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B6A065">
      <w:pPr>
        <w:jc w:val="left"/>
        <w:rPr>
          <w:rFonts w:hint="eastAsia" w:ascii="宋体" w:hAnsi="宋体"/>
          <w:b/>
          <w:sz w:val="48"/>
          <w:szCs w:val="48"/>
          <w:highlight w:val="none"/>
        </w:rPr>
      </w:pPr>
      <w:r>
        <w:rPr>
          <w:rFonts w:hint="eastAsia" w:ascii="仿宋" w:hAnsi="仿宋" w:eastAsia="仿宋" w:cs="仿宋"/>
          <w:b/>
          <w:sz w:val="28"/>
          <w:szCs w:val="28"/>
          <w:highlight w:val="none"/>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3834302A">
      <w:pPr>
        <w:jc w:val="center"/>
        <w:rPr>
          <w:rFonts w:hint="eastAsia" w:ascii="宋体" w:hAnsi="宋体"/>
          <w:b/>
          <w:sz w:val="48"/>
          <w:szCs w:val="48"/>
          <w:highlight w:val="none"/>
        </w:rPr>
      </w:pPr>
    </w:p>
    <w:p w14:paraId="45287D32">
      <w:pPr>
        <w:jc w:val="center"/>
        <w:rPr>
          <w:rFonts w:hint="eastAsia" w:ascii="宋体" w:hAnsi="宋体" w:eastAsia="宋体"/>
          <w:b/>
          <w:sz w:val="48"/>
          <w:szCs w:val="48"/>
          <w:highlight w:val="none"/>
          <w:lang w:eastAsia="zh-CN"/>
        </w:rPr>
      </w:pPr>
      <w:r>
        <w:rPr>
          <w:rFonts w:hint="eastAsia" w:ascii="宋体" w:hAnsi="宋体"/>
          <w:b/>
          <w:sz w:val="48"/>
          <w:szCs w:val="48"/>
          <w:highlight w:val="none"/>
          <w:lang w:eastAsia="zh-CN"/>
        </w:rPr>
        <w:t>新疆农业大学自治区优势特色学科建设教学科研设备更新项目-动医（二次）</w:t>
      </w:r>
    </w:p>
    <w:p w14:paraId="3D57BB02">
      <w:pPr>
        <w:rPr>
          <w:rFonts w:hint="eastAsia" w:ascii="宋体" w:hAnsi="宋体"/>
          <w:b/>
          <w:sz w:val="72"/>
          <w:szCs w:val="72"/>
          <w:highlight w:val="none"/>
        </w:rPr>
      </w:pPr>
    </w:p>
    <w:p w14:paraId="69AE1F61">
      <w:pPr>
        <w:rPr>
          <w:rFonts w:hint="eastAsia" w:ascii="宋体" w:hAnsi="宋体"/>
          <w:b/>
          <w:sz w:val="60"/>
          <w:szCs w:val="60"/>
          <w:highlight w:val="none"/>
        </w:rPr>
      </w:pPr>
    </w:p>
    <w:p w14:paraId="57F6BC68">
      <w:pPr>
        <w:jc w:val="center"/>
        <w:rPr>
          <w:rFonts w:hint="eastAsia" w:ascii="宋体" w:hAnsi="宋体"/>
          <w:b/>
          <w:spacing w:val="14"/>
          <w:sz w:val="32"/>
          <w:szCs w:val="32"/>
          <w:highlight w:val="none"/>
        </w:rPr>
      </w:pPr>
      <w:r>
        <w:rPr>
          <w:rFonts w:hint="eastAsia" w:ascii="宋体" w:hAnsi="宋体"/>
          <w:b/>
          <w:sz w:val="56"/>
          <w:szCs w:val="72"/>
          <w:highlight w:val="none"/>
        </w:rPr>
        <w:t>招标文件</w:t>
      </w:r>
    </w:p>
    <w:p w14:paraId="2FA6B866">
      <w:pPr>
        <w:pStyle w:val="87"/>
        <w:spacing w:line="440" w:lineRule="exact"/>
        <w:jc w:val="center"/>
        <w:rPr>
          <w:rFonts w:hint="eastAsia" w:ascii="宋体" w:hAnsi="宋体"/>
          <w:b/>
          <w:color w:val="auto"/>
          <w:spacing w:val="14"/>
          <w:kern w:val="2"/>
          <w:sz w:val="32"/>
          <w:szCs w:val="32"/>
          <w:highlight w:val="none"/>
        </w:rPr>
      </w:pPr>
    </w:p>
    <w:p w14:paraId="29FCF9FF">
      <w:pPr>
        <w:pStyle w:val="87"/>
        <w:spacing w:line="440" w:lineRule="exact"/>
        <w:jc w:val="center"/>
        <w:rPr>
          <w:rFonts w:hint="eastAsia" w:ascii="宋体" w:hAnsi="宋体"/>
          <w:b/>
          <w:color w:val="auto"/>
          <w:spacing w:val="14"/>
          <w:kern w:val="2"/>
          <w:sz w:val="32"/>
          <w:szCs w:val="32"/>
          <w:highlight w:val="none"/>
        </w:rPr>
      </w:pPr>
    </w:p>
    <w:p w14:paraId="690F766A">
      <w:pPr>
        <w:widowControl/>
        <w:shd w:val="clear" w:color="auto" w:fill="FFFFFF"/>
        <w:snapToGrid w:val="0"/>
        <w:spacing w:line="480" w:lineRule="auto"/>
        <w:ind w:firstLine="562" w:firstLineChars="200"/>
        <w:rPr>
          <w:rFonts w:hint="eastAsia" w:ascii="宋体" w:hAnsi="宋体" w:cs="Arial"/>
          <w:b/>
          <w:sz w:val="28"/>
          <w:szCs w:val="28"/>
          <w:highlight w:val="none"/>
        </w:rPr>
      </w:pPr>
      <w:r>
        <w:rPr>
          <w:rFonts w:hint="eastAsia" w:ascii="宋体" w:hAnsi="宋体" w:cs="Arial"/>
          <w:b/>
          <w:sz w:val="28"/>
          <w:szCs w:val="28"/>
          <w:highlight w:val="none"/>
        </w:rPr>
        <w:t>采购人（章）：</w:t>
      </w:r>
      <w:r>
        <w:rPr>
          <w:rFonts w:hint="eastAsia" w:ascii="宋体" w:hAnsi="宋体"/>
          <w:b/>
          <w:kern w:val="0"/>
          <w:sz w:val="28"/>
          <w:szCs w:val="28"/>
          <w:highlight w:val="none"/>
        </w:rPr>
        <w:t xml:space="preserve">新疆农业大学 </w:t>
      </w:r>
    </w:p>
    <w:p w14:paraId="113EA4FD">
      <w:pPr>
        <w:widowControl/>
        <w:shd w:val="clear" w:color="auto" w:fill="FFFFFF"/>
        <w:snapToGrid w:val="0"/>
        <w:spacing w:line="480" w:lineRule="auto"/>
        <w:ind w:firstLine="562" w:firstLineChars="200"/>
        <w:rPr>
          <w:rFonts w:hint="eastAsia" w:ascii="宋体" w:hAnsi="宋体"/>
          <w:b/>
          <w:kern w:val="0"/>
          <w:sz w:val="28"/>
          <w:szCs w:val="28"/>
          <w:highlight w:val="none"/>
        </w:rPr>
      </w:pPr>
      <w:r>
        <w:rPr>
          <w:rFonts w:hint="eastAsia" w:ascii="宋体" w:hAnsi="宋体"/>
          <w:b/>
          <w:kern w:val="0"/>
          <w:sz w:val="28"/>
          <w:szCs w:val="28"/>
          <w:highlight w:val="none"/>
        </w:rPr>
        <w:t>法定代表人（章）：</w:t>
      </w:r>
    </w:p>
    <w:p w14:paraId="2B4C47A4">
      <w:pPr>
        <w:widowControl/>
        <w:shd w:val="clear" w:color="auto" w:fill="FFFFFF"/>
        <w:snapToGrid w:val="0"/>
        <w:spacing w:line="480" w:lineRule="auto"/>
        <w:ind w:firstLine="562" w:firstLineChars="200"/>
        <w:rPr>
          <w:rFonts w:hint="eastAsia" w:ascii="宋体" w:hAnsi="宋体"/>
          <w:b/>
          <w:kern w:val="0"/>
          <w:sz w:val="28"/>
          <w:szCs w:val="28"/>
          <w:highlight w:val="none"/>
        </w:rPr>
      </w:pPr>
      <w:r>
        <w:rPr>
          <w:rFonts w:hint="eastAsia" w:ascii="宋体" w:hAnsi="宋体"/>
          <w:b/>
          <w:kern w:val="0"/>
          <w:sz w:val="28"/>
          <w:szCs w:val="28"/>
          <w:highlight w:val="none"/>
        </w:rPr>
        <w:t>联系人：翟少华</w:t>
      </w:r>
    </w:p>
    <w:p w14:paraId="28652E3B">
      <w:pPr>
        <w:widowControl/>
        <w:shd w:val="clear" w:color="auto" w:fill="FFFFFF"/>
        <w:snapToGrid w:val="0"/>
        <w:spacing w:line="480" w:lineRule="auto"/>
        <w:ind w:firstLine="562" w:firstLineChars="200"/>
        <w:rPr>
          <w:rFonts w:hint="eastAsia" w:ascii="宋体" w:hAnsi="宋体"/>
          <w:b/>
          <w:kern w:val="0"/>
          <w:sz w:val="28"/>
          <w:szCs w:val="28"/>
          <w:highlight w:val="none"/>
        </w:rPr>
      </w:pPr>
      <w:r>
        <w:rPr>
          <w:rFonts w:hint="eastAsia" w:ascii="宋体" w:hAnsi="宋体"/>
          <w:b/>
          <w:kern w:val="0"/>
          <w:sz w:val="28"/>
          <w:szCs w:val="28"/>
          <w:highlight w:val="none"/>
        </w:rPr>
        <w:t xml:space="preserve">电话：18309916937 </w:t>
      </w:r>
    </w:p>
    <w:p w14:paraId="4CAB4421">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采购代理：新疆守正项目管理咨询有限公司</w:t>
      </w:r>
    </w:p>
    <w:p w14:paraId="616196C1">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 xml:space="preserve">法定代表人（签字或盖章） ： </w:t>
      </w:r>
    </w:p>
    <w:p w14:paraId="77E1521C">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联 系 人：邱奕霏、郑龙、陈旭文</w:t>
      </w:r>
    </w:p>
    <w:p w14:paraId="1A1800DF">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电    话：18599788578/18599788582</w:t>
      </w:r>
    </w:p>
    <w:p w14:paraId="25E638DD">
      <w:pPr>
        <w:autoSpaceDE w:val="0"/>
        <w:autoSpaceDN w:val="0"/>
        <w:adjustRightInd w:val="0"/>
        <w:spacing w:line="700" w:lineRule="exact"/>
        <w:ind w:firstLine="551" w:firstLineChars="196"/>
        <w:rPr>
          <w:rFonts w:hint="eastAsia" w:ascii="宋体" w:hAnsi="宋体"/>
          <w:b/>
          <w:kern w:val="0"/>
          <w:sz w:val="28"/>
          <w:szCs w:val="28"/>
          <w:highlight w:val="none"/>
        </w:rPr>
      </w:pPr>
      <w:r>
        <w:rPr>
          <w:rFonts w:hint="eastAsia" w:ascii="宋体" w:hAnsi="宋体"/>
          <w:b/>
          <w:kern w:val="0"/>
          <w:sz w:val="28"/>
          <w:szCs w:val="28"/>
          <w:highlight w:val="none"/>
        </w:rPr>
        <w:t>联系地址：新疆乌鲁木齐高新区长春南路528号天康企业大厦3楼</w:t>
      </w:r>
    </w:p>
    <w:p w14:paraId="0C204590">
      <w:pPr>
        <w:pStyle w:val="19"/>
        <w:jc w:val="both"/>
        <w:rPr>
          <w:rFonts w:hint="eastAsia" w:ascii="宋体" w:hAnsi="宋体" w:eastAsia="宋体"/>
          <w:highlight w:val="none"/>
        </w:rPr>
      </w:pPr>
    </w:p>
    <w:p w14:paraId="4D195F88">
      <w:pPr>
        <w:pStyle w:val="19"/>
        <w:rPr>
          <w:rFonts w:hint="eastAsia" w:ascii="宋体" w:hAnsi="宋体" w:eastAsia="宋体"/>
          <w:highlight w:val="none"/>
        </w:rPr>
      </w:pPr>
      <w:r>
        <w:rPr>
          <w:rFonts w:ascii="宋体" w:hAnsi="宋体" w:eastAsia="宋体"/>
          <w:highlight w:val="none"/>
        </w:rPr>
        <w:br w:type="page"/>
      </w:r>
      <w:bookmarkStart w:id="0" w:name="_Toc92290550"/>
      <w:r>
        <w:rPr>
          <w:rFonts w:hint="eastAsia" w:ascii="宋体" w:hAnsi="宋体" w:eastAsia="宋体"/>
          <w:highlight w:val="none"/>
        </w:rPr>
        <w:t>目录</w:t>
      </w:r>
      <w:bookmarkEnd w:id="0"/>
    </w:p>
    <w:p w14:paraId="6172C36A">
      <w:pPr>
        <w:pStyle w:val="21"/>
        <w:tabs>
          <w:tab w:val="right" w:leader="dot" w:pos="8789"/>
        </w:tabs>
        <w:spacing w:line="360" w:lineRule="auto"/>
        <w:ind w:right="420" w:rightChars="200"/>
        <w:rPr>
          <w:rFonts w:hint="eastAsia" w:ascii="宋体" w:hAnsi="宋体"/>
          <w:sz w:val="28"/>
          <w:szCs w:val="28"/>
          <w:highlight w:val="none"/>
          <w:u w:val="single"/>
        </w:rPr>
      </w:pPr>
    </w:p>
    <w:p w14:paraId="0ABF9FA3">
      <w:pPr>
        <w:pStyle w:val="19"/>
        <w:tabs>
          <w:tab w:val="right" w:leader="dot" w:pos="9746"/>
          <w:tab w:val="clear" w:pos="9628"/>
        </w:tabs>
        <w:rPr>
          <w:rFonts w:hint="eastAsia" w:ascii="宋体" w:hAnsi="宋体" w:eastAsia="宋体" w:cs="宋体"/>
          <w:sz w:val="28"/>
          <w:szCs w:val="28"/>
          <w:highlight w:val="none"/>
        </w:rPr>
      </w:pPr>
      <w:r>
        <w:rPr>
          <w:rFonts w:hint="eastAsia" w:ascii="宋体" w:hAnsi="宋体" w:eastAsia="宋体" w:cs="宋体"/>
          <w:b w:val="0"/>
          <w:sz w:val="28"/>
          <w:szCs w:val="28"/>
          <w:highlight w:val="none"/>
          <w:u w:val="single"/>
        </w:rPr>
        <w:fldChar w:fldCharType="begin"/>
      </w:r>
      <w:r>
        <w:rPr>
          <w:rFonts w:hint="eastAsia" w:ascii="宋体" w:hAnsi="宋体" w:eastAsia="宋体" w:cs="宋体"/>
          <w:b w:val="0"/>
          <w:sz w:val="28"/>
          <w:szCs w:val="28"/>
          <w:highlight w:val="none"/>
          <w:u w:val="single"/>
        </w:rPr>
        <w:instrText xml:space="preserve"> TOC \o "1-3" \h \z \u </w:instrText>
      </w:r>
      <w:r>
        <w:rPr>
          <w:rFonts w:hint="eastAsia" w:ascii="宋体" w:hAnsi="宋体" w:eastAsia="宋体" w:cs="宋体"/>
          <w:b w:val="0"/>
          <w:sz w:val="28"/>
          <w:szCs w:val="28"/>
          <w:highlight w:val="none"/>
          <w:u w:val="single"/>
        </w:rPr>
        <w:fldChar w:fldCharType="separate"/>
      </w:r>
      <w:r>
        <w:rPr>
          <w:highlight w:val="none"/>
        </w:rPr>
        <w:fldChar w:fldCharType="begin"/>
      </w:r>
      <w:r>
        <w:rPr>
          <w:highlight w:val="none"/>
        </w:rPr>
        <w:instrText xml:space="preserve"> HYPERLINK \l "_Toc12828" </w:instrText>
      </w:r>
      <w:r>
        <w:rPr>
          <w:highlight w:val="none"/>
        </w:rPr>
        <w:fldChar w:fldCharType="separate"/>
      </w:r>
      <w:r>
        <w:rPr>
          <w:rFonts w:hint="eastAsia" w:ascii="宋体" w:hAnsi="宋体" w:eastAsia="宋体" w:cs="宋体"/>
          <w:sz w:val="28"/>
          <w:szCs w:val="28"/>
          <w:highlight w:val="none"/>
        </w:rPr>
        <w:t>公开招标公告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_Toc12828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45BF9C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"_Toc28474" </w:instrText>
      </w:r>
      <w:r>
        <w:rPr>
          <w:highlight w:val="none"/>
        </w:rPr>
        <w:fldChar w:fldCharType="separate"/>
      </w:r>
      <w:r>
        <w:rPr>
          <w:rFonts w:hint="eastAsia" w:ascii="宋体" w:hAnsi="宋体" w:eastAsia="宋体" w:cs="宋体"/>
          <w:sz w:val="28"/>
          <w:szCs w:val="28"/>
          <w:highlight w:val="none"/>
        </w:rPr>
        <w:t>第一部分 投标须知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_Toc28474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78AC8D3">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"_Toc3402" </w:instrText>
      </w:r>
      <w:r>
        <w:rPr>
          <w:highlight w:val="none"/>
        </w:rPr>
        <w:fldChar w:fldCharType="separate"/>
      </w:r>
      <w:r>
        <w:rPr>
          <w:rFonts w:hint="eastAsia" w:ascii="宋体" w:hAnsi="宋体" w:eastAsia="宋体" w:cs="宋体"/>
          <w:sz w:val="28"/>
          <w:szCs w:val="28"/>
          <w:highlight w:val="none"/>
        </w:rPr>
        <w:t>第二部分 招标说明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_Toc3402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24705AA">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"_Toc27276" </w:instrText>
      </w:r>
      <w:r>
        <w:rPr>
          <w:highlight w:val="none"/>
        </w:rPr>
        <w:fldChar w:fldCharType="separate"/>
      </w:r>
      <w:r>
        <w:rPr>
          <w:rFonts w:hint="eastAsia" w:ascii="宋体" w:hAnsi="宋体" w:cs="宋体"/>
          <w:sz w:val="28"/>
          <w:szCs w:val="28"/>
          <w:highlight w:val="none"/>
        </w:rPr>
        <w:t>第一章 总则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_Toc27276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29B141BF">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"_Toc17762" </w:instrText>
      </w:r>
      <w:r>
        <w:rPr>
          <w:highlight w:val="none"/>
        </w:rPr>
        <w:fldChar w:fldCharType="separate"/>
      </w:r>
      <w:r>
        <w:rPr>
          <w:rFonts w:hint="eastAsia" w:ascii="宋体" w:hAnsi="宋体" w:cs="宋体"/>
          <w:sz w:val="28"/>
          <w:szCs w:val="28"/>
          <w:highlight w:val="none"/>
        </w:rPr>
        <w:t>第二章 招标文件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03400F3">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"_Toc21054" </w:instrText>
      </w:r>
      <w:r>
        <w:rPr>
          <w:highlight w:val="none"/>
        </w:rPr>
        <w:fldChar w:fldCharType="separate"/>
      </w:r>
      <w:r>
        <w:rPr>
          <w:rFonts w:hint="eastAsia" w:ascii="宋体" w:hAnsi="宋体" w:eastAsia="宋体" w:cs="宋体"/>
          <w:sz w:val="28"/>
          <w:szCs w:val="28"/>
          <w:highlight w:val="none"/>
        </w:rPr>
        <w:t>第三部分 投标说明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_Toc21054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6152579">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"_Toc13313" </w:instrText>
      </w:r>
      <w:r>
        <w:rPr>
          <w:highlight w:val="none"/>
        </w:rPr>
        <w:fldChar w:fldCharType="separate"/>
      </w:r>
      <w:r>
        <w:rPr>
          <w:rFonts w:hint="eastAsia" w:ascii="宋体" w:hAnsi="宋体" w:cs="宋体"/>
          <w:sz w:val="28"/>
          <w:szCs w:val="28"/>
          <w:highlight w:val="none"/>
        </w:rPr>
        <w:t>第一章 对投标人的资质要求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_Toc13313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44B5976">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"_Toc5218" </w:instrText>
      </w:r>
      <w:r>
        <w:rPr>
          <w:highlight w:val="none"/>
        </w:rPr>
        <w:fldChar w:fldCharType="separate"/>
      </w:r>
      <w:r>
        <w:rPr>
          <w:rFonts w:hint="eastAsia" w:ascii="宋体" w:hAnsi="宋体" w:cs="宋体"/>
          <w:sz w:val="28"/>
          <w:szCs w:val="28"/>
          <w:highlight w:val="none"/>
        </w:rPr>
        <w:t>第二章 投标文件的编写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_Toc5218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9B40126">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"_Toc17974" </w:instrText>
      </w:r>
      <w:r>
        <w:rPr>
          <w:highlight w:val="none"/>
        </w:rPr>
        <w:fldChar w:fldCharType="separate"/>
      </w:r>
      <w:r>
        <w:rPr>
          <w:rFonts w:hint="eastAsia" w:ascii="宋体" w:hAnsi="宋体" w:cs="宋体"/>
          <w:sz w:val="28"/>
          <w:szCs w:val="28"/>
          <w:highlight w:val="none"/>
        </w:rPr>
        <w:t>第三章 投标文件的递交</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_Toc17974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99CDD4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"_Toc19458" </w:instrText>
      </w:r>
      <w:r>
        <w:rPr>
          <w:highlight w:val="none"/>
        </w:rPr>
        <w:fldChar w:fldCharType="separate"/>
      </w:r>
      <w:r>
        <w:rPr>
          <w:rFonts w:hint="eastAsia" w:ascii="宋体" w:hAnsi="宋体" w:cs="宋体"/>
          <w:sz w:val="28"/>
          <w:szCs w:val="28"/>
          <w:highlight w:val="none"/>
        </w:rPr>
        <w:t>第四章 评标委员会</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_Toc19458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21E0E746">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"_Toc27696" </w:instrText>
      </w:r>
      <w:r>
        <w:rPr>
          <w:highlight w:val="none"/>
        </w:rPr>
        <w:fldChar w:fldCharType="separate"/>
      </w:r>
      <w:r>
        <w:rPr>
          <w:rFonts w:hint="eastAsia" w:ascii="宋体" w:hAnsi="宋体" w:cs="宋体"/>
          <w:sz w:val="28"/>
          <w:szCs w:val="28"/>
          <w:highlight w:val="none"/>
        </w:rPr>
        <w:t>第五章 开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_Toc27696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15280B">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"_Toc11426" </w:instrText>
      </w:r>
      <w:r>
        <w:rPr>
          <w:highlight w:val="none"/>
        </w:rPr>
        <w:fldChar w:fldCharType="separate"/>
      </w:r>
      <w:r>
        <w:rPr>
          <w:rFonts w:hint="eastAsia" w:ascii="宋体" w:hAnsi="宋体" w:cs="宋体"/>
          <w:bCs/>
          <w:sz w:val="28"/>
          <w:szCs w:val="28"/>
          <w:highlight w:val="none"/>
        </w:rPr>
        <w:t>第六章 评　标</w:t>
      </w:r>
      <w:r>
        <w:rPr>
          <w:rFonts w:hint="eastAsia" w:ascii="宋体" w:hAnsi="宋体" w:cs="宋体"/>
          <w:sz w:val="28"/>
          <w:szCs w:val="28"/>
          <w:highlight w:val="none"/>
        </w:rPr>
        <w:tab/>
      </w:r>
      <w:r>
        <w:rPr>
          <w:rFonts w:hint="eastAsia" w:ascii="宋体" w:hAnsi="宋体" w:cs="宋体"/>
          <w:sz w:val="28"/>
          <w:szCs w:val="28"/>
          <w:highlight w:val="none"/>
        </w:rPr>
        <w:t>2</w:t>
      </w:r>
      <w:r>
        <w:rPr>
          <w:rFonts w:hint="eastAsia" w:ascii="宋体" w:hAnsi="宋体" w:cs="宋体"/>
          <w:sz w:val="28"/>
          <w:szCs w:val="28"/>
          <w:highlight w:val="none"/>
        </w:rPr>
        <w:fldChar w:fldCharType="end"/>
      </w:r>
      <w:r>
        <w:rPr>
          <w:rFonts w:hint="eastAsia" w:ascii="宋体" w:hAnsi="宋体" w:cs="宋体"/>
          <w:sz w:val="28"/>
          <w:szCs w:val="28"/>
          <w:highlight w:val="none"/>
          <w:u w:val="single"/>
        </w:rPr>
        <w:t>3</w:t>
      </w:r>
    </w:p>
    <w:p w14:paraId="62AE1000">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"_Toc10059" </w:instrText>
      </w:r>
      <w:r>
        <w:rPr>
          <w:highlight w:val="none"/>
        </w:rPr>
        <w:fldChar w:fldCharType="separate"/>
      </w:r>
      <w:r>
        <w:rPr>
          <w:rFonts w:hint="eastAsia" w:ascii="宋体" w:hAnsi="宋体" w:cs="宋体"/>
          <w:sz w:val="28"/>
          <w:szCs w:val="28"/>
          <w:highlight w:val="none"/>
        </w:rPr>
        <w:t>第七章 定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_Toc10059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AA8C05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"_Toc26243" </w:instrText>
      </w:r>
      <w:r>
        <w:rPr>
          <w:highlight w:val="none"/>
        </w:rPr>
        <w:fldChar w:fldCharType="separate"/>
      </w:r>
      <w:r>
        <w:rPr>
          <w:rFonts w:hint="eastAsia" w:ascii="宋体" w:hAnsi="宋体" w:cs="宋体"/>
          <w:sz w:val="28"/>
          <w:szCs w:val="28"/>
          <w:highlight w:val="none"/>
        </w:rPr>
        <w:t>第八章 授予合同</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_Toc26243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6E6C7F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"_Toc12723" </w:instrText>
      </w:r>
      <w:r>
        <w:rPr>
          <w:highlight w:val="none"/>
        </w:rPr>
        <w:fldChar w:fldCharType="separate"/>
      </w:r>
      <w:r>
        <w:rPr>
          <w:rFonts w:hint="eastAsia" w:ascii="宋体" w:hAnsi="宋体" w:eastAsia="宋体" w:cs="宋体"/>
          <w:sz w:val="28"/>
          <w:szCs w:val="28"/>
          <w:highlight w:val="none"/>
        </w:rPr>
        <w:t>第四部分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_Toc12723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E92B8E2">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"_Toc26316" </w:instrText>
      </w:r>
      <w:r>
        <w:rPr>
          <w:highlight w:val="none"/>
        </w:rPr>
        <w:fldChar w:fldCharType="separate"/>
      </w:r>
      <w:r>
        <w:rPr>
          <w:rFonts w:hint="eastAsia" w:ascii="宋体" w:hAnsi="宋体" w:eastAsia="宋体" w:cs="宋体"/>
          <w:sz w:val="28"/>
          <w:szCs w:val="28"/>
          <w:highlight w:val="none"/>
        </w:rPr>
        <w:t>第五部分 合同部分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_Toc26316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DCB81A0">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"_Toc24629" </w:instrText>
      </w:r>
      <w:r>
        <w:rPr>
          <w:highlight w:val="none"/>
        </w:rPr>
        <w:fldChar w:fldCharType="separate"/>
      </w:r>
      <w:r>
        <w:rPr>
          <w:rFonts w:hint="eastAsia" w:ascii="宋体" w:hAnsi="宋体" w:cs="宋体"/>
          <w:sz w:val="28"/>
          <w:szCs w:val="28"/>
          <w:highlight w:val="none"/>
        </w:rPr>
        <w:t>第一部分 合同书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_Toc24629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338DAEE">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"_Toc20973" </w:instrText>
      </w:r>
      <w:r>
        <w:rPr>
          <w:highlight w:val="none"/>
        </w:rPr>
        <w:fldChar w:fldCharType="separate"/>
      </w:r>
      <w:r>
        <w:rPr>
          <w:rFonts w:hint="eastAsia" w:ascii="宋体" w:hAnsi="宋体" w:cs="宋体"/>
          <w:sz w:val="28"/>
          <w:szCs w:val="28"/>
          <w:highlight w:val="none"/>
        </w:rPr>
        <w:t>第二部分 合同一般条款</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_Toc20973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7337D0E">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"_Toc18393" </w:instrText>
      </w:r>
      <w:r>
        <w:rPr>
          <w:highlight w:val="none"/>
        </w:rPr>
        <w:fldChar w:fldCharType="separate"/>
      </w:r>
      <w:r>
        <w:rPr>
          <w:rFonts w:hint="eastAsia" w:ascii="宋体" w:hAnsi="宋体" w:eastAsia="宋体" w:cs="宋体"/>
          <w:sz w:val="28"/>
          <w:szCs w:val="28"/>
          <w:highlight w:val="none"/>
        </w:rPr>
        <w:t>第六部分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D515C74">
      <w:pPr>
        <w:pStyle w:val="21"/>
        <w:tabs>
          <w:tab w:val="right" w:leader="dot" w:pos="8789"/>
          <w:tab w:val="clear" w:pos="9628"/>
        </w:tabs>
        <w:spacing w:line="360" w:lineRule="auto"/>
        <w:ind w:left="0" w:leftChars="0" w:right="420" w:rightChars="200"/>
        <w:rPr>
          <w:rFonts w:hint="eastAsia" w:ascii="宋体" w:hAnsi="宋体"/>
          <w:sz w:val="24"/>
          <w:szCs w:val="24"/>
          <w:highlight w:val="none"/>
          <w:u w:val="single"/>
        </w:rPr>
      </w:pPr>
      <w:r>
        <w:rPr>
          <w:rFonts w:hint="eastAsia" w:ascii="宋体" w:hAnsi="宋体" w:cs="宋体"/>
          <w:sz w:val="28"/>
          <w:szCs w:val="28"/>
          <w:highlight w:val="none"/>
          <w:u w:val="single"/>
        </w:rPr>
        <w:fldChar w:fldCharType="end"/>
      </w:r>
    </w:p>
    <w:p w14:paraId="45549ADE">
      <w:pPr>
        <w:pStyle w:val="21"/>
        <w:tabs>
          <w:tab w:val="right" w:leader="dot" w:pos="8789"/>
          <w:tab w:val="clear" w:pos="9628"/>
        </w:tabs>
        <w:spacing w:line="360" w:lineRule="auto"/>
        <w:ind w:left="0" w:leftChars="0" w:right="420" w:rightChars="200"/>
        <w:jc w:val="center"/>
        <w:rPr>
          <w:b/>
          <w:sz w:val="24"/>
          <w:highlight w:val="none"/>
        </w:rPr>
      </w:pPr>
    </w:p>
    <w:p w14:paraId="59C6107C">
      <w:pPr>
        <w:rPr>
          <w:highlight w:val="none"/>
        </w:rPr>
      </w:pPr>
    </w:p>
    <w:p w14:paraId="1E735D16">
      <w:pPr>
        <w:rPr>
          <w:highlight w:val="none"/>
        </w:rPr>
      </w:pPr>
    </w:p>
    <w:p w14:paraId="4AC6C805">
      <w:pPr>
        <w:tabs>
          <w:tab w:val="left" w:pos="3373"/>
        </w:tabs>
        <w:jc w:val="left"/>
        <w:rPr>
          <w:highlight w:val="none"/>
        </w:rPr>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highlight w:val="none"/>
        </w:rPr>
        <w:tab/>
      </w:r>
    </w:p>
    <w:p w14:paraId="46F4360B">
      <w:pPr>
        <w:pStyle w:val="21"/>
        <w:tabs>
          <w:tab w:val="right" w:leader="dot" w:pos="8789"/>
          <w:tab w:val="clear" w:pos="9628"/>
        </w:tabs>
        <w:spacing w:line="360" w:lineRule="auto"/>
        <w:ind w:left="0" w:leftChars="0" w:right="420" w:rightChars="200"/>
        <w:jc w:val="center"/>
        <w:rPr>
          <w:rFonts w:hint="eastAsia" w:eastAsia="宋体"/>
          <w:b/>
          <w:sz w:val="24"/>
          <w:highlight w:val="none"/>
          <w:lang w:eastAsia="zh-CN"/>
        </w:rPr>
      </w:pPr>
      <w:r>
        <w:rPr>
          <w:rFonts w:hint="eastAsia"/>
          <w:b/>
          <w:sz w:val="24"/>
          <w:highlight w:val="none"/>
          <w:lang w:eastAsia="zh-CN"/>
        </w:rPr>
        <w:t>新疆农业大学自治区优势特色学科建设教学科研设备更新项目-动医（二次）</w:t>
      </w:r>
    </w:p>
    <w:p w14:paraId="21CA0FC0">
      <w:pPr>
        <w:jc w:val="center"/>
        <w:outlineLvl w:val="0"/>
        <w:rPr>
          <w:b/>
          <w:highlight w:val="none"/>
        </w:rPr>
      </w:pPr>
      <w:bookmarkStart w:id="1" w:name="_Toc12828"/>
      <w:r>
        <w:rPr>
          <w:rFonts w:hint="eastAsia"/>
          <w:b/>
          <w:sz w:val="24"/>
          <w:highlight w:val="none"/>
        </w:rPr>
        <w:t>公开招标</w:t>
      </w:r>
      <w:r>
        <w:rPr>
          <w:b/>
          <w:sz w:val="24"/>
          <w:highlight w:val="none"/>
        </w:rPr>
        <w:t>公告</w:t>
      </w:r>
      <w:bookmarkEnd w:id="1"/>
    </w:p>
    <w:p w14:paraId="5FCB04BA">
      <w:pPr>
        <w:widowControl/>
        <w:spacing w:before="60" w:after="60" w:line="350" w:lineRule="exact"/>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项目概况</w:t>
      </w:r>
    </w:p>
    <w:p w14:paraId="0A813475">
      <w:pPr>
        <w:widowControl/>
        <w:spacing w:before="60" w:after="60" w:line="350" w:lineRule="exact"/>
        <w:jc w:val="lef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lang w:eastAsia="zh-CN"/>
        </w:rPr>
        <w:t>新疆农业大学自治区优势特色学科建设教学科研设备更新项目-动医（二次）</w:t>
      </w:r>
      <w:r>
        <w:rPr>
          <w:rFonts w:cs="Arial" w:asciiTheme="minorEastAsia" w:hAnsiTheme="minorEastAsia" w:eastAsiaTheme="minorEastAsia"/>
          <w:kern w:val="0"/>
          <w:sz w:val="24"/>
          <w:szCs w:val="24"/>
          <w:highlight w:val="none"/>
        </w:rPr>
        <w:t>的潜在投标人应在</w:t>
      </w:r>
      <w:r>
        <w:rPr>
          <w:rStyle w:val="101"/>
          <w:rFonts w:hint="eastAsia" w:cs="Arial" w:asciiTheme="minorEastAsia" w:hAnsiTheme="minorEastAsia" w:eastAsiaTheme="minorEastAsia"/>
          <w:sz w:val="24"/>
          <w:szCs w:val="24"/>
          <w:highlight w:val="none"/>
        </w:rPr>
        <w:t>政采云平台http://www.zcygov.cn/获取招标文件</w:t>
      </w:r>
      <w:r>
        <w:rPr>
          <w:rFonts w:cs="Arial" w:asciiTheme="minorEastAsia" w:hAnsiTheme="minorEastAsia" w:eastAsiaTheme="minorEastAsia"/>
          <w:kern w:val="0"/>
          <w:sz w:val="24"/>
          <w:szCs w:val="24"/>
          <w:highlight w:val="none"/>
        </w:rPr>
        <w:t>，并于</w:t>
      </w:r>
      <w:r>
        <w:rPr>
          <w:rFonts w:hint="eastAsia" w:cs="Arial" w:asciiTheme="minorEastAsia" w:hAnsiTheme="minorEastAsia" w:eastAsiaTheme="minorEastAsia"/>
          <w:kern w:val="0"/>
          <w:sz w:val="24"/>
          <w:szCs w:val="24"/>
          <w:highlight w:val="none"/>
          <w:lang w:eastAsia="zh-CN"/>
        </w:rPr>
        <w:t>2026年07月16日</w:t>
      </w:r>
      <w:r>
        <w:rPr>
          <w:rFonts w:cs="Arial" w:asciiTheme="minorEastAsia" w:hAnsiTheme="minorEastAsia" w:eastAsiaTheme="minorEastAsia"/>
          <w:kern w:val="0"/>
          <w:sz w:val="24"/>
          <w:szCs w:val="24"/>
          <w:highlight w:val="none"/>
        </w:rPr>
        <w:t xml:space="preserve"> 11:00（北京时间）前递交投标文件。</w:t>
      </w:r>
    </w:p>
    <w:p w14:paraId="19C61AAA">
      <w:pPr>
        <w:widowControl/>
        <w:spacing w:before="204" w:after="204" w:line="350" w:lineRule="exac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一、项目基本情况</w:t>
      </w:r>
    </w:p>
    <w:p w14:paraId="5FF99B09">
      <w:pPr>
        <w:widowControl/>
        <w:spacing w:before="60" w:after="60"/>
        <w:ind w:firstLine="480"/>
        <w:jc w:val="lef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招标方式: 公开招标</w:t>
      </w:r>
    </w:p>
    <w:p w14:paraId="05BD99B7">
      <w:pPr>
        <w:widowControl/>
        <w:spacing w:before="60" w:after="60"/>
        <w:ind w:firstLine="480"/>
        <w:jc w:val="left"/>
        <w:rPr>
          <w:rFonts w:hint="eastAsia" w:cs="Arial" w:asciiTheme="minorEastAsia" w:hAnsiTheme="minorEastAsia" w:eastAsiaTheme="minorEastAsia"/>
          <w:kern w:val="0"/>
          <w:sz w:val="24"/>
          <w:szCs w:val="24"/>
          <w:highlight w:val="none"/>
          <w:lang w:eastAsia="zh-CN"/>
        </w:rPr>
      </w:pPr>
      <w:r>
        <w:rPr>
          <w:rFonts w:cs="Arial" w:asciiTheme="minorEastAsia" w:hAnsiTheme="minorEastAsia" w:eastAsiaTheme="minorEastAsia"/>
          <w:kern w:val="0"/>
          <w:sz w:val="24"/>
          <w:szCs w:val="24"/>
          <w:highlight w:val="none"/>
        </w:rPr>
        <w:t>项目编号：</w:t>
      </w:r>
      <w:r>
        <w:rPr>
          <w:rFonts w:hint="eastAsia" w:cs="Arial" w:asciiTheme="minorEastAsia" w:hAnsiTheme="minorEastAsia" w:eastAsiaTheme="minorEastAsia"/>
          <w:kern w:val="0"/>
          <w:sz w:val="24"/>
          <w:szCs w:val="24"/>
          <w:highlight w:val="none"/>
          <w:lang w:eastAsia="zh-CN"/>
        </w:rPr>
        <w:t>XJSZG2026-119/2</w:t>
      </w:r>
    </w:p>
    <w:p w14:paraId="55BEB51B">
      <w:pPr>
        <w:widowControl/>
        <w:spacing w:before="60" w:after="60"/>
        <w:ind w:firstLine="480"/>
        <w:jc w:val="left"/>
        <w:rPr>
          <w:rFonts w:hint="eastAsia" w:cs="Arial" w:asciiTheme="minorEastAsia" w:hAnsiTheme="minorEastAsia" w:eastAsiaTheme="minorEastAsia"/>
          <w:kern w:val="0"/>
          <w:sz w:val="24"/>
          <w:szCs w:val="24"/>
          <w:highlight w:val="none"/>
          <w:lang w:eastAsia="zh-CN"/>
        </w:rPr>
      </w:pPr>
      <w:r>
        <w:rPr>
          <w:rFonts w:cs="Arial" w:asciiTheme="minorEastAsia" w:hAnsiTheme="minorEastAsia" w:eastAsiaTheme="minorEastAsia"/>
          <w:kern w:val="0"/>
          <w:sz w:val="24"/>
          <w:szCs w:val="24"/>
          <w:highlight w:val="none"/>
        </w:rPr>
        <w:t>项目名称：</w:t>
      </w:r>
      <w:r>
        <w:rPr>
          <w:rFonts w:hint="eastAsia" w:cs="Arial" w:asciiTheme="minorEastAsia" w:hAnsiTheme="minorEastAsia" w:eastAsiaTheme="minorEastAsia"/>
          <w:kern w:val="0"/>
          <w:sz w:val="24"/>
          <w:szCs w:val="24"/>
          <w:highlight w:val="none"/>
          <w:lang w:eastAsia="zh-CN"/>
        </w:rPr>
        <w:t>新疆农业大学自治区优势特色学科建设教学科研设备更新项目-动医（二次）</w:t>
      </w:r>
    </w:p>
    <w:p w14:paraId="1036AC6C">
      <w:pPr>
        <w:widowControl/>
        <w:spacing w:before="60" w:after="60"/>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预算金额（元）：</w:t>
      </w:r>
      <w:r>
        <w:rPr>
          <w:rFonts w:hint="eastAsia" w:cs="Arial" w:asciiTheme="minorEastAsia" w:hAnsiTheme="minorEastAsia" w:eastAsiaTheme="minorEastAsia"/>
          <w:kern w:val="0"/>
          <w:sz w:val="24"/>
          <w:szCs w:val="24"/>
          <w:highlight w:val="none"/>
        </w:rPr>
        <w:t>14680000.00元</w:t>
      </w:r>
    </w:p>
    <w:p w14:paraId="1C815605">
      <w:pPr>
        <w:widowControl/>
        <w:spacing w:before="60" w:after="60"/>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最高限价（元）：</w:t>
      </w:r>
      <w:r>
        <w:rPr>
          <w:rFonts w:hint="eastAsia" w:cs="Arial" w:asciiTheme="minorEastAsia" w:hAnsiTheme="minorEastAsia" w:eastAsiaTheme="minorEastAsia"/>
          <w:kern w:val="0"/>
          <w:sz w:val="24"/>
          <w:szCs w:val="24"/>
          <w:highlight w:val="none"/>
        </w:rPr>
        <w:t>14680000.00元</w:t>
      </w:r>
    </w:p>
    <w:p w14:paraId="28CDCCCB">
      <w:pPr>
        <w:pStyle w:val="20"/>
        <w:spacing w:line="276" w:lineRule="auto"/>
        <w:ind w:left="60" w:firstLine="4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采购需求：</w:t>
      </w:r>
    </w:p>
    <w:p w14:paraId="7A364C74">
      <w:pPr>
        <w:pStyle w:val="20"/>
        <w:spacing w:line="276" w:lineRule="auto"/>
        <w:ind w:left="60" w:firstLine="420"/>
        <w:rPr>
          <w:rFonts w:hint="eastAsia" w:cs="Arial" w:asciiTheme="minorEastAsia" w:hAnsiTheme="minorEastAsia" w:eastAsiaTheme="minorEastAsia"/>
          <w:kern w:val="0"/>
          <w:sz w:val="24"/>
          <w:szCs w:val="24"/>
          <w:highlight w:val="none"/>
        </w:rPr>
      </w:pPr>
    </w:p>
    <w:p w14:paraId="101FEDA3">
      <w:pPr>
        <w:pStyle w:val="20"/>
        <w:spacing w:line="276" w:lineRule="auto"/>
        <w:ind w:left="60" w:firstLine="4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标项名称:</w:t>
      </w:r>
      <w:r>
        <w:rPr>
          <w:rFonts w:hint="eastAsia" w:cs="Arial" w:asciiTheme="minorEastAsia" w:hAnsiTheme="minorEastAsia" w:eastAsiaTheme="minorEastAsia"/>
          <w:kern w:val="0"/>
          <w:sz w:val="24"/>
          <w:szCs w:val="24"/>
          <w:highlight w:val="none"/>
          <w:lang w:eastAsia="zh-CN"/>
        </w:rPr>
        <w:t>新疆农业大学自治区优势特色学科建设教学科研设备更新项目-动医（二次）</w:t>
      </w:r>
      <w:r>
        <w:rPr>
          <w:rFonts w:hint="eastAsia" w:cs="Arial" w:asciiTheme="minorEastAsia" w:hAnsiTheme="minorEastAsia" w:eastAsiaTheme="minorEastAsia"/>
          <w:kern w:val="0"/>
          <w:sz w:val="24"/>
          <w:szCs w:val="24"/>
          <w:highlight w:val="none"/>
        </w:rPr>
        <w:t>标项一</w:t>
      </w:r>
    </w:p>
    <w:p w14:paraId="33EC447B">
      <w:pPr>
        <w:pStyle w:val="20"/>
        <w:spacing w:line="276" w:lineRule="auto"/>
        <w:ind w:left="60" w:firstLine="4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数量:一批</w:t>
      </w:r>
    </w:p>
    <w:p w14:paraId="0A0BFA5A">
      <w:pPr>
        <w:pStyle w:val="20"/>
        <w:spacing w:line="276" w:lineRule="auto"/>
        <w:ind w:left="60" w:firstLine="4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预算金额（元）: 14680000.00元</w:t>
      </w:r>
    </w:p>
    <w:p w14:paraId="0890161B">
      <w:pPr>
        <w:pStyle w:val="20"/>
        <w:spacing w:line="276" w:lineRule="auto"/>
        <w:ind w:left="60" w:firstLine="4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简要规格描述或项目基本概况介绍、用途：采购超分辨率激光共聚焦显微镜、超高分辨率扫描透射电子显微镜、高效液相色谱仪、超高效液相色谱-三重四级杆质谱联用仪、显微数码互动教学设备、大动物影像设备等一批仪器，具体采购要求详见招标文件采购需求</w:t>
      </w:r>
      <w:r>
        <w:rPr>
          <w:rFonts w:hint="eastAsia" w:cs="Arial" w:asciiTheme="minorEastAsia" w:hAnsiTheme="minorEastAsia" w:eastAsiaTheme="minorEastAsia"/>
          <w:kern w:val="0"/>
          <w:sz w:val="24"/>
          <w:szCs w:val="24"/>
          <w:highlight w:val="none"/>
        </w:rPr>
        <w:tab/>
      </w:r>
      <w:r>
        <w:rPr>
          <w:rFonts w:hint="eastAsia" w:cs="Arial" w:asciiTheme="minorEastAsia" w:hAnsiTheme="minorEastAsia" w:eastAsiaTheme="minorEastAsia"/>
          <w:kern w:val="0"/>
          <w:sz w:val="24"/>
          <w:szCs w:val="24"/>
          <w:highlight w:val="none"/>
        </w:rPr>
        <w:t>。</w:t>
      </w:r>
    </w:p>
    <w:p w14:paraId="707EC456">
      <w:pPr>
        <w:widowControl/>
        <w:spacing w:before="60" w:after="60"/>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合同履约期限：</w:t>
      </w:r>
      <w:r>
        <w:rPr>
          <w:rFonts w:hint="eastAsia" w:cs="Arial" w:asciiTheme="minorEastAsia" w:hAnsiTheme="minorEastAsia" w:eastAsiaTheme="minorEastAsia"/>
          <w:kern w:val="0"/>
          <w:sz w:val="24"/>
          <w:szCs w:val="24"/>
          <w:highlight w:val="none"/>
        </w:rPr>
        <w:t>超分辨率激光共聚焦显微镜交货期：自合同签订之日起90天、超高分辨率扫描透射电子显微镜交货期：自合同签订之日起150天、高效液相色谱仪交货期：自合同签订之日起90天、超高效液相色谱-三重四级杆质谱联用仪交货期：自合同签订之日起90天、显微数码互动教学设备交货期：自合同签订之日起30天、大动物影像设备交货期：自合同签订之日起30天。</w:t>
      </w:r>
    </w:p>
    <w:p w14:paraId="4A3EFC65">
      <w:pPr>
        <w:widowControl/>
        <w:spacing w:before="60" w:after="60"/>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本项目</w:t>
      </w:r>
      <w:r>
        <w:rPr>
          <w:rFonts w:hint="eastAsia" w:cs="Arial" w:asciiTheme="minorEastAsia" w:hAnsiTheme="minorEastAsia" w:eastAsiaTheme="minorEastAsia"/>
          <w:kern w:val="0"/>
          <w:sz w:val="24"/>
          <w:szCs w:val="24"/>
          <w:highlight w:val="none"/>
        </w:rPr>
        <w:t>不</w:t>
      </w:r>
      <w:r>
        <w:rPr>
          <w:rFonts w:cs="Arial" w:asciiTheme="minorEastAsia" w:hAnsiTheme="minorEastAsia" w:eastAsiaTheme="minorEastAsia"/>
          <w:kern w:val="0"/>
          <w:sz w:val="24"/>
          <w:szCs w:val="24"/>
          <w:highlight w:val="none"/>
        </w:rPr>
        <w:t>接受联合体投标。</w:t>
      </w:r>
    </w:p>
    <w:p w14:paraId="6D6590EC">
      <w:pPr>
        <w:widowControl/>
        <w:spacing w:before="60" w:after="60" w:line="350" w:lineRule="exact"/>
        <w:jc w:val="lef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二、申请人的资格要求：</w:t>
      </w:r>
    </w:p>
    <w:p w14:paraId="6C758C97">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1.满足《中华人民共和国政府采购法》第二十二条规定；</w:t>
      </w:r>
    </w:p>
    <w:p w14:paraId="749F7B8E">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2.落实政府采购政策需满足的资格要求：</w:t>
      </w:r>
      <w:r>
        <w:rPr>
          <w:rFonts w:hint="eastAsia" w:cs="Arial" w:asciiTheme="minorEastAsia" w:hAnsiTheme="minorEastAsia" w:eastAsiaTheme="minorEastAsia"/>
          <w:kern w:val="0"/>
          <w:sz w:val="24"/>
          <w:szCs w:val="24"/>
          <w:highlight w:val="none"/>
        </w:rPr>
        <w:t>本项目预算金额中预留30%面向中小企业（其中60%面向小微企业）采购项目，该部分预留份额采取分包意向协议形式向中小企业进行分包，且分包意向协议合同金额需达到规定的比例。</w:t>
      </w:r>
    </w:p>
    <w:p w14:paraId="2553FCC9">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3.本项目的特定资格要求：</w:t>
      </w:r>
      <w:r>
        <w:rPr>
          <w:rFonts w:hint="eastAsia" w:cs="Arial" w:asciiTheme="minorEastAsia" w:hAnsiTheme="minorEastAsia" w:eastAsiaTheme="minorEastAsia"/>
          <w:kern w:val="0"/>
          <w:sz w:val="24"/>
          <w:szCs w:val="24"/>
          <w:highlight w:val="none"/>
        </w:rPr>
        <w:t>无</w:t>
      </w:r>
    </w:p>
    <w:p w14:paraId="22156AC9">
      <w:pPr>
        <w:widowControl/>
        <w:spacing w:before="204" w:after="204" w:line="350" w:lineRule="exac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三、获取招标文件</w:t>
      </w:r>
    </w:p>
    <w:p w14:paraId="2AAE6A9A">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时间：</w:t>
      </w:r>
      <w:r>
        <w:rPr>
          <w:rFonts w:hint="eastAsia" w:cs="Arial" w:asciiTheme="minorEastAsia" w:hAnsiTheme="minorEastAsia" w:eastAsiaTheme="minorEastAsia"/>
          <w:kern w:val="0"/>
          <w:sz w:val="24"/>
          <w:szCs w:val="24"/>
          <w:highlight w:val="none"/>
          <w:lang w:eastAsia="zh-CN"/>
        </w:rPr>
        <w:t>2026年06月24日</w:t>
      </w:r>
      <w:r>
        <w:rPr>
          <w:rFonts w:hint="eastAsia" w:cs="Arial" w:asciiTheme="minorEastAsia" w:hAnsiTheme="minorEastAsia" w:eastAsiaTheme="minorEastAsia"/>
          <w:kern w:val="0"/>
          <w:sz w:val="24"/>
          <w:szCs w:val="24"/>
          <w:highlight w:val="none"/>
        </w:rPr>
        <w:t>至</w:t>
      </w:r>
      <w:r>
        <w:rPr>
          <w:rFonts w:hint="eastAsia" w:cs="Arial" w:asciiTheme="minorEastAsia" w:hAnsiTheme="minorEastAsia" w:eastAsiaTheme="minorEastAsia"/>
          <w:kern w:val="0"/>
          <w:sz w:val="24"/>
          <w:szCs w:val="24"/>
          <w:highlight w:val="none"/>
          <w:lang w:eastAsia="zh-CN"/>
        </w:rPr>
        <w:t>2026年07月01日</w:t>
      </w:r>
      <w:r>
        <w:rPr>
          <w:rFonts w:hint="eastAsia" w:cs="Arial" w:asciiTheme="minorEastAsia" w:hAnsiTheme="minorEastAsia" w:eastAsiaTheme="minorEastAsia"/>
          <w:kern w:val="0"/>
          <w:sz w:val="24"/>
          <w:szCs w:val="24"/>
          <w:highlight w:val="none"/>
        </w:rPr>
        <w:t>（每日00：00-12：00，12：00-23：59</w:t>
      </w:r>
      <w:r>
        <w:rPr>
          <w:rFonts w:cs="Arial" w:asciiTheme="minorEastAsia" w:hAnsiTheme="minorEastAsia" w:eastAsiaTheme="minorEastAsia"/>
          <w:kern w:val="0"/>
          <w:sz w:val="24"/>
          <w:szCs w:val="24"/>
          <w:highlight w:val="none"/>
        </w:rPr>
        <w:t>（北京时间，法定节假日除外）</w:t>
      </w:r>
    </w:p>
    <w:p w14:paraId="003C57A9">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地点：</w:t>
      </w:r>
      <w:r>
        <w:rPr>
          <w:rStyle w:val="101"/>
          <w:rFonts w:hint="eastAsia" w:asciiTheme="minorEastAsia" w:hAnsiTheme="minorEastAsia" w:eastAsiaTheme="minorEastAsia"/>
          <w:sz w:val="24"/>
          <w:szCs w:val="24"/>
          <w:highlight w:val="none"/>
        </w:rPr>
        <w:t>政采云线上</w:t>
      </w:r>
    </w:p>
    <w:p w14:paraId="25FBAD56">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cs="Arial" w:asciiTheme="minorEastAsia" w:hAnsiTheme="minorEastAsia" w:eastAsiaTheme="minorEastAsia"/>
          <w:kern w:val="0"/>
          <w:sz w:val="24"/>
          <w:szCs w:val="24"/>
          <w:highlight w:val="none"/>
        </w:rPr>
        <w:t>登录</w:t>
      </w:r>
      <w:r>
        <w:rPr>
          <w:rFonts w:cs="Arial" w:asciiTheme="minorEastAsia" w:hAnsiTheme="minorEastAsia" w:eastAsiaTheme="minorEastAsia"/>
          <w:kern w:val="0"/>
          <w:sz w:val="24"/>
          <w:szCs w:val="24"/>
          <w:highlight w:val="none"/>
        </w:rPr>
        <w:t>，直接获取采购文件。</w:t>
      </w:r>
    </w:p>
    <w:p w14:paraId="433585E6">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售价（元）：</w:t>
      </w:r>
      <w:r>
        <w:rPr>
          <w:rFonts w:hint="eastAsia" w:cs="Arial" w:asciiTheme="minorEastAsia" w:hAnsiTheme="minorEastAsia" w:eastAsiaTheme="minorEastAsia"/>
          <w:kern w:val="0"/>
          <w:sz w:val="24"/>
          <w:szCs w:val="24"/>
          <w:highlight w:val="none"/>
        </w:rPr>
        <w:t>0</w:t>
      </w:r>
    </w:p>
    <w:p w14:paraId="775E9F9E">
      <w:pPr>
        <w:widowControl/>
        <w:spacing w:before="204" w:after="204" w:line="350" w:lineRule="exac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四、提交投标文件截止时间、开标时间和地点</w:t>
      </w:r>
    </w:p>
    <w:p w14:paraId="041E7327">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提交投标文件截止时间：</w:t>
      </w:r>
      <w:r>
        <w:rPr>
          <w:rFonts w:hint="eastAsia" w:cs="Arial" w:asciiTheme="minorEastAsia" w:hAnsiTheme="minorEastAsia" w:eastAsiaTheme="minorEastAsia"/>
          <w:kern w:val="0"/>
          <w:sz w:val="24"/>
          <w:szCs w:val="24"/>
          <w:highlight w:val="none"/>
          <w:lang w:eastAsia="zh-CN"/>
        </w:rPr>
        <w:t>2026年07月16日</w:t>
      </w:r>
      <w:r>
        <w:rPr>
          <w:rFonts w:cs="Arial" w:asciiTheme="minorEastAsia" w:hAnsiTheme="minorEastAsia" w:eastAsiaTheme="minorEastAsia"/>
          <w:kern w:val="0"/>
          <w:sz w:val="24"/>
          <w:szCs w:val="24"/>
          <w:highlight w:val="none"/>
        </w:rPr>
        <w:t xml:space="preserve"> 11:00（北京时间）</w:t>
      </w:r>
    </w:p>
    <w:p w14:paraId="1F34514C">
      <w:pPr>
        <w:widowControl/>
        <w:spacing w:before="60" w:after="60" w:line="350" w:lineRule="exact"/>
        <w:ind w:firstLine="480"/>
        <w:jc w:val="left"/>
        <w:rPr>
          <w:rStyle w:val="101"/>
          <w:rFonts w:hint="eastAsia" w:asciiTheme="minorEastAsia" w:hAnsiTheme="minorEastAsia" w:eastAsiaTheme="minorEastAsia"/>
          <w:sz w:val="24"/>
          <w:szCs w:val="24"/>
          <w:highlight w:val="none"/>
        </w:rPr>
      </w:pPr>
      <w:r>
        <w:rPr>
          <w:rFonts w:cs="Arial" w:asciiTheme="minorEastAsia" w:hAnsiTheme="minorEastAsia" w:eastAsiaTheme="minorEastAsia"/>
          <w:kern w:val="0"/>
          <w:sz w:val="24"/>
          <w:szCs w:val="24"/>
          <w:highlight w:val="none"/>
        </w:rPr>
        <w:t>投标地点：</w:t>
      </w:r>
      <w:r>
        <w:rPr>
          <w:rFonts w:hint="eastAsia" w:cs="Arial" w:asciiTheme="minorEastAsia" w:hAnsiTheme="minorEastAsia" w:eastAsiaTheme="minorEastAsia"/>
          <w:kern w:val="0"/>
          <w:sz w:val="24"/>
          <w:szCs w:val="24"/>
          <w:highlight w:val="none"/>
        </w:rPr>
        <w:t>新疆政府采购网政采云平台：https://www.zcygov.cn/ </w:t>
      </w:r>
    </w:p>
    <w:p w14:paraId="351F97F1">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开标时间：</w:t>
      </w:r>
      <w:r>
        <w:rPr>
          <w:rFonts w:hint="eastAsia" w:cs="Arial" w:asciiTheme="minorEastAsia" w:hAnsiTheme="minorEastAsia" w:eastAsiaTheme="minorEastAsia"/>
          <w:kern w:val="0"/>
          <w:sz w:val="24"/>
          <w:szCs w:val="24"/>
          <w:highlight w:val="none"/>
          <w:lang w:eastAsia="zh-CN"/>
        </w:rPr>
        <w:t>2026年07月16日</w:t>
      </w:r>
      <w:r>
        <w:rPr>
          <w:rFonts w:cs="Arial" w:asciiTheme="minorEastAsia" w:hAnsiTheme="minorEastAsia" w:eastAsiaTheme="minorEastAsia"/>
          <w:kern w:val="0"/>
          <w:sz w:val="24"/>
          <w:szCs w:val="24"/>
          <w:highlight w:val="none"/>
        </w:rPr>
        <w:t xml:space="preserve"> 11:00</w:t>
      </w:r>
      <w:r>
        <w:rPr>
          <w:rFonts w:hint="eastAsia" w:cs="Arial" w:asciiTheme="minorEastAsia" w:hAnsiTheme="minorEastAsia" w:eastAsiaTheme="minorEastAsia"/>
          <w:kern w:val="0"/>
          <w:sz w:val="24"/>
          <w:szCs w:val="24"/>
          <w:highlight w:val="none"/>
        </w:rPr>
        <w:t>（北京时间）</w:t>
      </w:r>
    </w:p>
    <w:p w14:paraId="1814CF65">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开标地点：</w:t>
      </w:r>
      <w:r>
        <w:rPr>
          <w:rFonts w:hint="eastAsia" w:cs="Arial" w:asciiTheme="minorEastAsia" w:hAnsiTheme="minorEastAsia" w:eastAsiaTheme="minorEastAsia"/>
          <w:kern w:val="0"/>
          <w:sz w:val="24"/>
          <w:szCs w:val="24"/>
          <w:highlight w:val="none"/>
        </w:rPr>
        <w:t>新疆政府采购网政采云平台：https://www.zcygov.cn/ </w:t>
      </w:r>
    </w:p>
    <w:p w14:paraId="71651D2C">
      <w:pPr>
        <w:widowControl/>
        <w:spacing w:before="204" w:after="204" w:line="350" w:lineRule="exac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五、公告期限</w:t>
      </w:r>
    </w:p>
    <w:p w14:paraId="4F1D05C3">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自本公告发布之日起5个工作日。</w:t>
      </w:r>
    </w:p>
    <w:p w14:paraId="2772EF85">
      <w:pPr>
        <w:widowControl/>
        <w:spacing w:before="204" w:after="204" w:line="350" w:lineRule="exact"/>
        <w:rPr>
          <w:rFonts w:hint="eastAsia" w:cs="Arial" w:asciiTheme="minorEastAsia" w:hAnsiTheme="minorEastAsia" w:eastAsiaTheme="minorEastAsia"/>
          <w:b/>
          <w:bCs/>
          <w:kern w:val="0"/>
          <w:sz w:val="24"/>
          <w:szCs w:val="24"/>
          <w:highlight w:val="none"/>
        </w:rPr>
      </w:pPr>
      <w:r>
        <w:rPr>
          <w:rFonts w:hint="eastAsia" w:cs="Arial" w:asciiTheme="minorEastAsia" w:hAnsiTheme="minorEastAsia" w:eastAsiaTheme="minorEastAsia"/>
          <w:b/>
          <w:bCs/>
          <w:kern w:val="0"/>
          <w:sz w:val="24"/>
          <w:szCs w:val="24"/>
          <w:highlight w:val="none"/>
        </w:rPr>
        <w:t>六、其他补充事宜</w:t>
      </w:r>
    </w:p>
    <w:p w14:paraId="7F5B8772">
      <w:pPr>
        <w:widowControl/>
        <w:spacing w:before="204" w:after="204" w:line="350" w:lineRule="exact"/>
        <w:ind w:firstLine="420" w:firstLineChars="175"/>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1、本项目实行网上投标，采用电子投标文件。</w:t>
      </w:r>
    </w:p>
    <w:p w14:paraId="75682136">
      <w:pPr>
        <w:widowControl/>
        <w:spacing w:before="204" w:after="204" w:line="350" w:lineRule="exact"/>
        <w:ind w:firstLine="420" w:firstLineChars="175"/>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36CF1E1D">
      <w:pPr>
        <w:widowControl/>
        <w:spacing w:before="204" w:after="204" w:line="350" w:lineRule="exact"/>
        <w:ind w:firstLine="420" w:firstLineChars="175"/>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3、供应商将政采云电子交易客户端下载、安装完成后，可通过账号密码或CA登录客户端进行投标文件的制作。在使用政采云投标客户端时，建议使用WIN7及以上操作系统。</w:t>
      </w:r>
    </w:p>
    <w:p w14:paraId="42C2FE00">
      <w:pPr>
        <w:widowControl/>
        <w:spacing w:before="204" w:after="204" w:line="350" w:lineRule="exac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b/>
          <w:bCs/>
          <w:kern w:val="0"/>
          <w:sz w:val="24"/>
          <w:szCs w:val="24"/>
          <w:highlight w:val="none"/>
        </w:rPr>
        <w:t>七、对本次采购提出询问，请按以下方式联系</w:t>
      </w:r>
    </w:p>
    <w:p w14:paraId="4D971A12">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1.采购人信息</w:t>
      </w:r>
    </w:p>
    <w:p w14:paraId="38CFF6BC">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名 称：</w:t>
      </w:r>
      <w:r>
        <w:rPr>
          <w:rFonts w:hint="eastAsia" w:cs="Arial" w:asciiTheme="minorEastAsia" w:hAnsiTheme="minorEastAsia" w:eastAsiaTheme="minorEastAsia"/>
          <w:kern w:val="0"/>
          <w:sz w:val="24"/>
          <w:szCs w:val="24"/>
          <w:highlight w:val="none"/>
        </w:rPr>
        <w:t>新疆农业大学</w:t>
      </w:r>
    </w:p>
    <w:p w14:paraId="1D396E1B">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地 址：新疆乌鲁木齐市沙依巴克区农大东路311号</w:t>
      </w:r>
    </w:p>
    <w:p w14:paraId="3F41B330">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联系方式</w:t>
      </w:r>
      <w:r>
        <w:rPr>
          <w:rFonts w:hint="eastAsia" w:cs="Arial" w:asciiTheme="minorEastAsia" w:hAnsiTheme="minorEastAsia" w:eastAsiaTheme="minorEastAsia"/>
          <w:kern w:val="0"/>
          <w:sz w:val="24"/>
          <w:szCs w:val="24"/>
          <w:highlight w:val="none"/>
        </w:rPr>
        <w:t>：18309916937</w:t>
      </w:r>
    </w:p>
    <w:p w14:paraId="568406D0">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2.采购代理机构信息</w:t>
      </w:r>
    </w:p>
    <w:p w14:paraId="22063341">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名 称：</w:t>
      </w:r>
      <w:r>
        <w:rPr>
          <w:rFonts w:hint="eastAsia" w:cs="Arial" w:asciiTheme="minorEastAsia" w:hAnsiTheme="minorEastAsia" w:eastAsiaTheme="minorEastAsia"/>
          <w:kern w:val="0"/>
          <w:sz w:val="24"/>
          <w:szCs w:val="24"/>
          <w:highlight w:val="none"/>
        </w:rPr>
        <w:t>新疆守正项目管理咨询有限公司</w:t>
      </w:r>
    </w:p>
    <w:p w14:paraId="62E90859">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地 址：</w:t>
      </w:r>
      <w:r>
        <w:rPr>
          <w:rFonts w:hint="eastAsia" w:cs="Arial" w:asciiTheme="minorEastAsia" w:hAnsiTheme="minorEastAsia" w:eastAsiaTheme="minorEastAsia"/>
          <w:kern w:val="0"/>
          <w:sz w:val="24"/>
          <w:szCs w:val="24"/>
          <w:highlight w:val="none"/>
        </w:rPr>
        <w:t>新疆乌鲁木齐高新区长春南路528号天康企业大厦3楼</w:t>
      </w:r>
    </w:p>
    <w:p w14:paraId="20F21FF7">
      <w:pPr>
        <w:widowControl/>
        <w:spacing w:before="60" w:after="60" w:line="350" w:lineRule="exact"/>
        <w:ind w:firstLine="480"/>
        <w:jc w:val="left"/>
        <w:rPr>
          <w:rFonts w:hint="eastAsia" w:cs="Arial" w:asciiTheme="minorEastAsia" w:hAnsiTheme="minorEastAsia" w:eastAsiaTheme="minorEastAsia"/>
          <w:kern w:val="0"/>
          <w:sz w:val="24"/>
          <w:szCs w:val="24"/>
          <w:highlight w:val="none"/>
        </w:rPr>
      </w:pPr>
      <w:r>
        <w:rPr>
          <w:rFonts w:cs="Arial" w:asciiTheme="minorEastAsia" w:hAnsiTheme="minorEastAsia" w:eastAsiaTheme="minorEastAsia"/>
          <w:kern w:val="0"/>
          <w:sz w:val="24"/>
          <w:szCs w:val="24"/>
          <w:highlight w:val="none"/>
        </w:rPr>
        <w:t>联系方式：</w:t>
      </w:r>
      <w:r>
        <w:rPr>
          <w:rFonts w:hint="eastAsia" w:cs="Arial" w:asciiTheme="minorEastAsia" w:hAnsiTheme="minorEastAsia" w:eastAsiaTheme="minorEastAsia"/>
          <w:kern w:val="0"/>
          <w:sz w:val="24"/>
          <w:szCs w:val="24"/>
          <w:highlight w:val="none"/>
        </w:rPr>
        <w:t>邱奕霏、郑龙、陈旭文18599788578/18599788582</w:t>
      </w:r>
    </w:p>
    <w:p w14:paraId="0D5A0F0E">
      <w:pPr>
        <w:rPr>
          <w:rFonts w:hint="eastAsia" w:ascii="宋体" w:hAnsi="宋体" w:cs="Arial"/>
          <w:kern w:val="0"/>
          <w:sz w:val="24"/>
          <w:szCs w:val="24"/>
          <w:highlight w:val="none"/>
        </w:rPr>
      </w:pPr>
      <w:r>
        <w:rPr>
          <w:rFonts w:hint="eastAsia" w:ascii="宋体" w:hAnsi="宋体" w:cs="Arial"/>
          <w:kern w:val="0"/>
          <w:sz w:val="24"/>
          <w:szCs w:val="24"/>
          <w:highlight w:val="none"/>
        </w:rPr>
        <w:br w:type="page"/>
      </w:r>
    </w:p>
    <w:p w14:paraId="53004FAC">
      <w:pPr>
        <w:widowControl/>
        <w:spacing w:before="60" w:after="60" w:line="350" w:lineRule="exact"/>
        <w:ind w:firstLine="482"/>
        <w:jc w:val="center"/>
        <w:outlineLvl w:val="0"/>
        <w:rPr>
          <w:rFonts w:hint="eastAsia" w:ascii="宋体" w:hAnsi="宋体"/>
          <w:b/>
          <w:sz w:val="32"/>
          <w:szCs w:val="32"/>
          <w:highlight w:val="none"/>
        </w:rPr>
      </w:pPr>
      <w:bookmarkStart w:id="2" w:name="_Toc89792125"/>
      <w:bookmarkStart w:id="3" w:name="_Toc28474"/>
      <w:r>
        <w:rPr>
          <w:rFonts w:hint="eastAsia" w:ascii="宋体" w:hAnsi="宋体"/>
          <w:b/>
          <w:sz w:val="32"/>
          <w:szCs w:val="32"/>
          <w:highlight w:val="none"/>
        </w:rPr>
        <w:t>第一部</w:t>
      </w:r>
      <w:r>
        <w:rPr>
          <w:rFonts w:hint="eastAsia" w:ascii="宋体" w:hAnsi="宋体"/>
          <w:b/>
          <w:sz w:val="32"/>
          <w:highlight w:val="none"/>
        </w:rPr>
        <w:t>分</w:t>
      </w:r>
      <w:r>
        <w:rPr>
          <w:rFonts w:ascii="宋体" w:hAnsi="宋体"/>
          <w:b/>
          <w:sz w:val="32"/>
          <w:szCs w:val="32"/>
          <w:highlight w:val="none"/>
        </w:rPr>
        <w:t xml:space="preserve"> </w:t>
      </w:r>
      <w:r>
        <w:rPr>
          <w:rFonts w:hint="eastAsia" w:ascii="宋体" w:hAnsi="宋体"/>
          <w:b/>
          <w:sz w:val="32"/>
          <w:szCs w:val="32"/>
          <w:highlight w:val="none"/>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48300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4DFD4D2E">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序号</w:t>
            </w:r>
          </w:p>
        </w:tc>
        <w:tc>
          <w:tcPr>
            <w:tcW w:w="2509" w:type="dxa"/>
            <w:vAlign w:val="center"/>
          </w:tcPr>
          <w:p w14:paraId="0986B36F">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名称</w:t>
            </w:r>
          </w:p>
        </w:tc>
        <w:tc>
          <w:tcPr>
            <w:tcW w:w="6837" w:type="dxa"/>
            <w:vAlign w:val="center"/>
          </w:tcPr>
          <w:p w14:paraId="0F9E550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内容</w:t>
            </w:r>
          </w:p>
        </w:tc>
      </w:tr>
      <w:tr w14:paraId="55E93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506BE3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w:t>
            </w:r>
          </w:p>
        </w:tc>
        <w:tc>
          <w:tcPr>
            <w:tcW w:w="2509" w:type="dxa"/>
            <w:vAlign w:val="center"/>
          </w:tcPr>
          <w:p w14:paraId="1EBB9E85">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项目编号</w:t>
            </w:r>
          </w:p>
        </w:tc>
        <w:tc>
          <w:tcPr>
            <w:tcW w:w="6837" w:type="dxa"/>
            <w:vAlign w:val="center"/>
          </w:tcPr>
          <w:p w14:paraId="1EBD0EB0">
            <w:pPr>
              <w:spacing w:line="276"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XJSZG2026-119/2</w:t>
            </w:r>
          </w:p>
        </w:tc>
      </w:tr>
      <w:tr w14:paraId="7FCF4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FC3983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w:t>
            </w:r>
          </w:p>
        </w:tc>
        <w:tc>
          <w:tcPr>
            <w:tcW w:w="2509" w:type="dxa"/>
            <w:vAlign w:val="center"/>
          </w:tcPr>
          <w:p w14:paraId="3DB2CD38">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项目名称</w:t>
            </w:r>
          </w:p>
        </w:tc>
        <w:tc>
          <w:tcPr>
            <w:tcW w:w="6837" w:type="dxa"/>
          </w:tcPr>
          <w:p w14:paraId="0F77BE61">
            <w:pPr>
              <w:spacing w:line="276" w:lineRule="auto"/>
              <w:rPr>
                <w:rFonts w:hint="eastAsia" w:cs="宋体" w:asciiTheme="minorEastAsia" w:hAnsiTheme="minorEastAsia" w:eastAsiaTheme="minorEastAsia"/>
                <w:kern w:val="0"/>
                <w:sz w:val="24"/>
                <w:szCs w:val="24"/>
                <w:highlight w:val="none"/>
                <w:lang w:eastAsia="zh-CN"/>
              </w:rPr>
            </w:pPr>
            <w:r>
              <w:rPr>
                <w:rFonts w:hint="eastAsia" w:cs="宋体" w:asciiTheme="minorEastAsia" w:hAnsiTheme="minorEastAsia" w:eastAsiaTheme="minorEastAsia"/>
                <w:kern w:val="0"/>
                <w:sz w:val="24"/>
                <w:szCs w:val="24"/>
                <w:highlight w:val="none"/>
                <w:lang w:eastAsia="zh-CN"/>
              </w:rPr>
              <w:t>新疆农业大学自治区优势特色学科建设教学科研设备更新项目-动医（二次）</w:t>
            </w:r>
          </w:p>
        </w:tc>
      </w:tr>
      <w:tr w14:paraId="771D1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E89C947">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w:t>
            </w:r>
          </w:p>
        </w:tc>
        <w:tc>
          <w:tcPr>
            <w:tcW w:w="2509" w:type="dxa"/>
            <w:vAlign w:val="center"/>
          </w:tcPr>
          <w:p w14:paraId="16FB9B1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联系方式</w:t>
            </w:r>
          </w:p>
        </w:tc>
        <w:tc>
          <w:tcPr>
            <w:tcW w:w="6837" w:type="dxa"/>
            <w:vAlign w:val="center"/>
          </w:tcPr>
          <w:p w14:paraId="4D78685D">
            <w:pPr>
              <w:widowControl/>
              <w:spacing w:before="60" w:after="60" w:line="350" w:lineRule="exact"/>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采购单位：</w:t>
            </w:r>
            <w:r>
              <w:rPr>
                <w:rFonts w:hint="eastAsia" w:cs="Arial" w:asciiTheme="minorEastAsia" w:hAnsiTheme="minorEastAsia" w:eastAsiaTheme="minorEastAsia"/>
                <w:kern w:val="0"/>
                <w:sz w:val="24"/>
                <w:szCs w:val="24"/>
                <w:highlight w:val="none"/>
              </w:rPr>
              <w:t>新疆农业大学</w:t>
            </w:r>
          </w:p>
          <w:p w14:paraId="1F48906D">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采购单位地址：新疆乌鲁木齐市沙依巴克区农大东路311号</w:t>
            </w:r>
          </w:p>
          <w:p w14:paraId="3DD97ADE">
            <w:pPr>
              <w:overflowPunct w:val="0"/>
              <w:spacing w:line="276" w:lineRule="auto"/>
              <w:rPr>
                <w:rFonts w:hint="eastAsia" w:asciiTheme="minorEastAsia" w:hAnsiTheme="minorEastAsia" w:eastAsiaTheme="minorEastAsia"/>
                <w:sz w:val="24"/>
                <w:szCs w:val="24"/>
                <w:highlight w:val="none"/>
              </w:rPr>
            </w:pPr>
          </w:p>
          <w:p w14:paraId="5B4B653F">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招标代理机构：</w:t>
            </w:r>
            <w:r>
              <w:rPr>
                <w:rFonts w:hint="eastAsia" w:cs="Arial" w:asciiTheme="minorEastAsia" w:hAnsiTheme="minorEastAsia" w:eastAsiaTheme="minorEastAsia"/>
                <w:kern w:val="0"/>
                <w:sz w:val="24"/>
                <w:szCs w:val="24"/>
                <w:highlight w:val="none"/>
              </w:rPr>
              <w:t>新疆守正项目管理咨询有限公司</w:t>
            </w:r>
          </w:p>
          <w:p w14:paraId="7678107A">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招标公司地址：</w:t>
            </w:r>
            <w:r>
              <w:rPr>
                <w:rFonts w:hint="eastAsia" w:cs="Arial" w:asciiTheme="minorEastAsia" w:hAnsiTheme="minorEastAsia" w:eastAsiaTheme="minorEastAsia"/>
                <w:kern w:val="0"/>
                <w:sz w:val="24"/>
                <w:szCs w:val="24"/>
                <w:highlight w:val="none"/>
              </w:rPr>
              <w:t>新疆乌鲁木齐高新区长春南路528号天康企业大厦3楼</w:t>
            </w:r>
          </w:p>
        </w:tc>
      </w:tr>
      <w:tr w14:paraId="41F1B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2D817B4">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4</w:t>
            </w:r>
          </w:p>
        </w:tc>
        <w:tc>
          <w:tcPr>
            <w:tcW w:w="2509" w:type="dxa"/>
            <w:vAlign w:val="center"/>
          </w:tcPr>
          <w:p w14:paraId="27121E5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采购内容</w:t>
            </w:r>
          </w:p>
        </w:tc>
        <w:tc>
          <w:tcPr>
            <w:tcW w:w="6837" w:type="dxa"/>
            <w:vAlign w:val="center"/>
          </w:tcPr>
          <w:p w14:paraId="7D22FA85">
            <w:pPr>
              <w:pStyle w:val="20"/>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分辨率激光共聚焦显微镜、超高分辨率扫描透射电子显微镜、高效液相色谱仪、超高效液相色谱-三重四级杆质谱联用仪、显微数码互动教学设备、大动物影像设备等一批仪器，具体采购要求详见招标文件采购需求</w:t>
            </w:r>
            <w:r>
              <w:rPr>
                <w:rFonts w:hint="eastAsia" w:cs="Arial" w:asciiTheme="minorEastAsia" w:hAnsiTheme="minorEastAsia" w:eastAsiaTheme="minorEastAsia"/>
                <w:kern w:val="0"/>
                <w:sz w:val="24"/>
                <w:szCs w:val="24"/>
                <w:highlight w:val="none"/>
              </w:rPr>
              <w:tab/>
            </w:r>
          </w:p>
        </w:tc>
      </w:tr>
      <w:tr w14:paraId="224A5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114CFD7">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5</w:t>
            </w:r>
          </w:p>
        </w:tc>
        <w:tc>
          <w:tcPr>
            <w:tcW w:w="2509" w:type="dxa"/>
            <w:vAlign w:val="center"/>
          </w:tcPr>
          <w:p w14:paraId="46764F82">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最高限价</w:t>
            </w:r>
          </w:p>
        </w:tc>
        <w:tc>
          <w:tcPr>
            <w:tcW w:w="6837" w:type="dxa"/>
            <w:vAlign w:val="center"/>
          </w:tcPr>
          <w:p w14:paraId="43D5175A">
            <w:pPr>
              <w:overflowPunct w:val="0"/>
              <w:spacing w:line="276" w:lineRule="auto"/>
              <w:rPr>
                <w:rFonts w:hint="eastAsia" w:cs="宋体" w:asciiTheme="minorEastAsia" w:hAnsiTheme="minorEastAsia" w:eastAsiaTheme="minorEastAsia"/>
                <w:b/>
                <w:kern w:val="0"/>
                <w:sz w:val="24"/>
                <w:szCs w:val="24"/>
                <w:highlight w:val="none"/>
              </w:rPr>
            </w:pPr>
            <w:r>
              <w:rPr>
                <w:rFonts w:hint="eastAsia" w:asciiTheme="minorEastAsia" w:hAnsiTheme="minorEastAsia" w:eastAsiaTheme="minorEastAsia"/>
                <w:sz w:val="24"/>
                <w:szCs w:val="24"/>
                <w:highlight w:val="none"/>
              </w:rPr>
              <w:t>¥14680000.00元（单台设备分项限价详见采购需求）</w:t>
            </w:r>
          </w:p>
          <w:p w14:paraId="60EDAB77">
            <w:pPr>
              <w:overflowPunct w:val="0"/>
              <w:spacing w:line="276"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注意：</w:t>
            </w:r>
            <w:r>
              <w:rPr>
                <w:rFonts w:cs="宋体" w:asciiTheme="minorEastAsia" w:hAnsiTheme="minorEastAsia" w:eastAsiaTheme="minorEastAsia"/>
                <w:sz w:val="24"/>
                <w:szCs w:val="24"/>
                <w:highlight w:val="none"/>
              </w:rPr>
              <w:t>（1）</w:t>
            </w:r>
            <w:r>
              <w:rPr>
                <w:rStyle w:val="27"/>
                <w:rFonts w:cs="宋体" w:asciiTheme="minorEastAsia" w:hAnsiTheme="minorEastAsia" w:eastAsiaTheme="minorEastAsia"/>
                <w:sz w:val="24"/>
                <w:szCs w:val="24"/>
                <w:highlight w:val="none"/>
              </w:rPr>
              <w:t>投标总价不得超过本项目最高限价（或采购预算），否则投标无效</w:t>
            </w:r>
            <w:r>
              <w:rPr>
                <w:rFonts w:cs="宋体" w:asciiTheme="minorEastAsia" w:hAnsiTheme="minorEastAsia" w:eastAsiaTheme="minorEastAsia"/>
                <w:sz w:val="24"/>
                <w:szCs w:val="24"/>
                <w:highlight w:val="none"/>
              </w:rPr>
              <w:t>；</w:t>
            </w:r>
          </w:p>
          <w:p w14:paraId="18D7D0EB">
            <w:pPr>
              <w:overflowPunct w:val="0"/>
              <w:spacing w:line="276" w:lineRule="auto"/>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（2）</w:t>
            </w:r>
            <w:r>
              <w:rPr>
                <w:rStyle w:val="27"/>
                <w:rFonts w:cs="宋体" w:asciiTheme="minorEastAsia" w:hAnsiTheme="minorEastAsia" w:eastAsiaTheme="minorEastAsia"/>
                <w:sz w:val="24"/>
                <w:szCs w:val="24"/>
                <w:highlight w:val="none"/>
              </w:rPr>
              <w:t>所有单台设备（分项）报价均不得超过招标文件公布的对应单台最高限价（或分项预算），否则投标无效</w:t>
            </w:r>
            <w:r>
              <w:rPr>
                <w:rFonts w:cs="宋体" w:asciiTheme="minorEastAsia" w:hAnsiTheme="minorEastAsia" w:eastAsiaTheme="minorEastAsia"/>
                <w:sz w:val="24"/>
                <w:szCs w:val="24"/>
                <w:highlight w:val="none"/>
              </w:rPr>
              <w:t>；</w:t>
            </w:r>
          </w:p>
          <w:p w14:paraId="2A76954C">
            <w:pPr>
              <w:overflowPunct w:val="0"/>
              <w:spacing w:line="276" w:lineRule="auto"/>
              <w:rPr>
                <w:rFonts w:hint="eastAsia" w:cs="宋体" w:asciiTheme="minorEastAsia" w:hAnsiTheme="minorEastAsia" w:eastAsiaTheme="minorEastAsia"/>
                <w:b/>
                <w:kern w:val="0"/>
                <w:sz w:val="24"/>
                <w:szCs w:val="24"/>
                <w:highlight w:val="none"/>
              </w:rPr>
            </w:pPr>
            <w:r>
              <w:rPr>
                <w:rFonts w:cs="宋体" w:asciiTheme="minorEastAsia" w:hAnsiTheme="minorEastAsia" w:eastAsiaTheme="minorEastAsia"/>
                <w:sz w:val="24"/>
                <w:szCs w:val="24"/>
                <w:highlight w:val="none"/>
              </w:rPr>
              <w:t>（3）报价包含设备、运输、安装、调试、培训、税费、</w:t>
            </w:r>
            <w:r>
              <w:rPr>
                <w:rFonts w:cs="宋体" w:asciiTheme="minorEastAsia" w:hAnsiTheme="minorEastAsia" w:eastAsiaTheme="minorEastAsia"/>
                <w:b/>
                <w:sz w:val="24"/>
                <w:szCs w:val="24"/>
                <w:highlight w:val="none"/>
              </w:rPr>
              <w:t>质保期</w:t>
            </w:r>
            <w:r>
              <w:rPr>
                <w:rFonts w:cs="宋体" w:asciiTheme="minorEastAsia" w:hAnsiTheme="minorEastAsia" w:eastAsiaTheme="minorEastAsia"/>
                <w:sz w:val="24"/>
                <w:szCs w:val="24"/>
                <w:highlight w:val="none"/>
              </w:rPr>
              <w:t>服务等全部费用，采购人不再支付任何其他费用。</w:t>
            </w:r>
          </w:p>
        </w:tc>
      </w:tr>
      <w:tr w14:paraId="13AEA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198C39A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6</w:t>
            </w:r>
          </w:p>
        </w:tc>
        <w:tc>
          <w:tcPr>
            <w:tcW w:w="2509" w:type="dxa"/>
            <w:tcBorders>
              <w:bottom w:val="single" w:color="auto" w:sz="4" w:space="0"/>
              <w:right w:val="single" w:color="auto" w:sz="4" w:space="0"/>
            </w:tcBorders>
            <w:vAlign w:val="center"/>
          </w:tcPr>
          <w:p w14:paraId="338CC16B">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投标资格</w:t>
            </w:r>
          </w:p>
        </w:tc>
        <w:tc>
          <w:tcPr>
            <w:tcW w:w="6837" w:type="dxa"/>
            <w:tcBorders>
              <w:left w:val="single" w:color="auto" w:sz="4" w:space="0"/>
              <w:bottom w:val="single" w:color="auto" w:sz="4" w:space="0"/>
            </w:tcBorders>
            <w:vAlign w:val="center"/>
          </w:tcPr>
          <w:p w14:paraId="39E4E21D">
            <w:pPr>
              <w:pStyle w:val="20"/>
              <w:spacing w:line="40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1.满足《中华人民共和国政府采购法》第二十二条规定；</w:t>
            </w:r>
          </w:p>
          <w:p w14:paraId="1CC34DE0">
            <w:pPr>
              <w:pStyle w:val="20"/>
              <w:spacing w:line="40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0B8F4DF7">
            <w:pPr>
              <w:pStyle w:val="20"/>
              <w:spacing w:line="40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3.本项目的特定资格要求：无</w:t>
            </w:r>
          </w:p>
        </w:tc>
      </w:tr>
      <w:tr w14:paraId="74728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2EBEFD88">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7</w:t>
            </w:r>
          </w:p>
        </w:tc>
        <w:tc>
          <w:tcPr>
            <w:tcW w:w="2509" w:type="dxa"/>
            <w:tcBorders>
              <w:bottom w:val="single" w:color="auto" w:sz="4" w:space="0"/>
              <w:right w:val="single" w:color="auto" w:sz="4" w:space="0"/>
            </w:tcBorders>
            <w:vAlign w:val="center"/>
          </w:tcPr>
          <w:p w14:paraId="70111C7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现场踏勘</w:t>
            </w:r>
          </w:p>
        </w:tc>
        <w:tc>
          <w:tcPr>
            <w:tcW w:w="6837" w:type="dxa"/>
            <w:tcBorders>
              <w:left w:val="single" w:color="auto" w:sz="4" w:space="0"/>
              <w:bottom w:val="single" w:color="auto" w:sz="4" w:space="0"/>
            </w:tcBorders>
            <w:vAlign w:val="center"/>
          </w:tcPr>
          <w:p w14:paraId="5B7D6402">
            <w:pPr>
              <w:pStyle w:val="2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组织形式：不组织</w:t>
            </w:r>
          </w:p>
        </w:tc>
      </w:tr>
      <w:tr w14:paraId="250E7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67C6537B">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8</w:t>
            </w:r>
          </w:p>
        </w:tc>
        <w:tc>
          <w:tcPr>
            <w:tcW w:w="2509" w:type="dxa"/>
            <w:tcBorders>
              <w:bottom w:val="single" w:color="auto" w:sz="4" w:space="0"/>
              <w:right w:val="single" w:color="auto" w:sz="4" w:space="0"/>
            </w:tcBorders>
            <w:vAlign w:val="center"/>
          </w:tcPr>
          <w:p w14:paraId="3E7D94B0">
            <w:pPr>
              <w:pStyle w:val="80"/>
              <w:spacing w:line="276" w:lineRule="auto"/>
              <w:ind w:left="38"/>
              <w:jc w:val="center"/>
              <w:rPr>
                <w:rFonts w:hint="eastAsia" w:cs="Times New Roman" w:asciiTheme="minorEastAsia" w:hAnsiTheme="minorEastAsia" w:eastAsiaTheme="minorEastAsia"/>
                <w:b/>
                <w:kern w:val="2"/>
                <w:highlight w:val="none"/>
              </w:rPr>
            </w:pPr>
            <w:r>
              <w:rPr>
                <w:rFonts w:hint="eastAsia" w:cs="Times New Roman" w:asciiTheme="minorEastAsia" w:hAnsiTheme="minorEastAsia" w:eastAsiaTheme="minorEastAsia"/>
                <w:b/>
                <w:kern w:val="2"/>
                <w:highlight w:val="none"/>
              </w:rPr>
              <w:t>信用情况</w:t>
            </w:r>
          </w:p>
        </w:tc>
        <w:tc>
          <w:tcPr>
            <w:tcW w:w="6837" w:type="dxa"/>
            <w:tcBorders>
              <w:left w:val="single" w:color="auto" w:sz="4" w:space="0"/>
              <w:bottom w:val="single" w:color="auto" w:sz="4" w:space="0"/>
            </w:tcBorders>
            <w:vAlign w:val="center"/>
          </w:tcPr>
          <w:p w14:paraId="72BDF934">
            <w:pPr>
              <w:widowControl/>
              <w:spacing w:line="276" w:lineRule="auto"/>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信用记录审查：</w:t>
            </w:r>
          </w:p>
          <w:p w14:paraId="7D0E34DA">
            <w:pPr>
              <w:widowControl/>
              <w:spacing w:line="276" w:lineRule="auto"/>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根据《财政部关于在政府采购活动中查询及使用信用记录有关问题的通知》（财库〔2016〕125号）规定，投标截止时间后，采购人或采购代理机构将通过“信用中国”网站(www.creditchina.gov.cn)</w:t>
            </w:r>
            <w:r>
              <w:rPr>
                <w:rFonts w:hint="eastAsia" w:cs="Arial" w:asciiTheme="minorEastAsia" w:hAnsiTheme="minorEastAsia" w:eastAsiaTheme="minorEastAsia"/>
                <w:kern w:val="0"/>
                <w:sz w:val="24"/>
                <w:szCs w:val="24"/>
                <w:highlight w:val="none"/>
              </w:rPr>
              <w:t xml:space="preserve"> 未被列入</w:t>
            </w:r>
            <w:r>
              <w:rPr>
                <w:rFonts w:hint="eastAsia" w:asciiTheme="minorEastAsia" w:hAnsiTheme="minorEastAsia" w:eastAsiaTheme="minorEastAsia"/>
                <w:sz w:val="24"/>
                <w:szCs w:val="24"/>
                <w:highlight w:val="none"/>
              </w:rPr>
              <w:t>重大税收违法失信主体</w:t>
            </w:r>
            <w:r>
              <w:rPr>
                <w:rFonts w:hint="eastAsia" w:cs="Arial" w:asciiTheme="minorEastAsia" w:hAnsiTheme="minorEastAsia" w:eastAsiaTheme="minorEastAsia"/>
                <w:kern w:val="0"/>
                <w:sz w:val="24"/>
                <w:szCs w:val="24"/>
                <w:highlight w:val="none"/>
              </w:rPr>
              <w:t>、</w:t>
            </w:r>
            <w:r>
              <w:rPr>
                <w:rFonts w:hint="eastAsia" w:asciiTheme="minorEastAsia" w:hAnsiTheme="minorEastAsia" w:eastAsiaTheme="minorEastAsia"/>
                <w:sz w:val="24"/>
                <w:szCs w:val="24"/>
                <w:highlight w:val="none"/>
              </w:rPr>
              <w:t>、“中国执行信息公开网”（http://zxgk.court.gov.cn/）未被列入失信被执行人、在中国政府采购网(www.ccgp.gov.cn)</w:t>
            </w:r>
            <w:r>
              <w:rPr>
                <w:rFonts w:hint="eastAsia" w:cs="Arial" w:asciiTheme="minorEastAsia" w:hAnsiTheme="minorEastAsia" w:eastAsiaTheme="minorEastAsia"/>
                <w:kern w:val="0"/>
                <w:sz w:val="24"/>
                <w:szCs w:val="24"/>
                <w:highlight w:val="none"/>
              </w:rPr>
              <w:t xml:space="preserve"> 网站上未被列入政府采购严重违法失信行为记录名单</w:t>
            </w:r>
            <w:r>
              <w:rPr>
                <w:rFonts w:hint="eastAsia" w:asciiTheme="minorEastAsia" w:hAnsiTheme="minorEastAsia" w:eastAsiaTheme="minorEastAsia"/>
                <w:sz w:val="24"/>
                <w:szCs w:val="24"/>
                <w:highlight w:val="none"/>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60F0D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37FF6C11">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9</w:t>
            </w:r>
          </w:p>
        </w:tc>
        <w:tc>
          <w:tcPr>
            <w:tcW w:w="2509" w:type="dxa"/>
            <w:tcBorders>
              <w:top w:val="single" w:color="auto" w:sz="4" w:space="0"/>
            </w:tcBorders>
            <w:vAlign w:val="center"/>
          </w:tcPr>
          <w:p w14:paraId="5CE1876A">
            <w:pPr>
              <w:overflowPunct w:val="0"/>
              <w:spacing w:line="276" w:lineRule="auto"/>
              <w:jc w:val="center"/>
              <w:rPr>
                <w:rFonts w:hint="eastAsia" w:asciiTheme="minorEastAsia" w:hAnsiTheme="minorEastAsia" w:eastAsiaTheme="minorEastAsia"/>
                <w:b/>
                <w:sz w:val="24"/>
                <w:szCs w:val="24"/>
                <w:highlight w:val="none"/>
              </w:rPr>
            </w:pPr>
            <w:r>
              <w:rPr>
                <w:rFonts w:hint="eastAsia" w:cs="宋体" w:asciiTheme="minorEastAsia" w:hAnsiTheme="minorEastAsia" w:eastAsiaTheme="minorEastAsia"/>
                <w:b/>
                <w:kern w:val="0"/>
                <w:sz w:val="24"/>
                <w:szCs w:val="24"/>
                <w:highlight w:val="none"/>
              </w:rPr>
              <w:t>是否接受联合体投标</w:t>
            </w:r>
          </w:p>
        </w:tc>
        <w:tc>
          <w:tcPr>
            <w:tcW w:w="6837" w:type="dxa"/>
            <w:tcBorders>
              <w:top w:val="single" w:color="auto" w:sz="4" w:space="0"/>
            </w:tcBorders>
            <w:vAlign w:val="center"/>
          </w:tcPr>
          <w:p w14:paraId="5314D309">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不接受</w:t>
            </w:r>
          </w:p>
        </w:tc>
      </w:tr>
      <w:tr w14:paraId="28B4E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3A14DB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10</w:t>
            </w:r>
          </w:p>
        </w:tc>
        <w:tc>
          <w:tcPr>
            <w:tcW w:w="2509" w:type="dxa"/>
            <w:vAlign w:val="center"/>
          </w:tcPr>
          <w:p w14:paraId="2E2E87F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招标文件发放日期</w:t>
            </w:r>
          </w:p>
        </w:tc>
        <w:tc>
          <w:tcPr>
            <w:tcW w:w="6837" w:type="dxa"/>
            <w:vAlign w:val="center"/>
          </w:tcPr>
          <w:p w14:paraId="4A231AEC">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时间：</w:t>
            </w:r>
            <w:r>
              <w:rPr>
                <w:rFonts w:hint="eastAsia" w:cs="Arial" w:asciiTheme="minorEastAsia" w:hAnsiTheme="minorEastAsia" w:eastAsiaTheme="minorEastAsia"/>
                <w:kern w:val="0"/>
                <w:sz w:val="24"/>
                <w:szCs w:val="24"/>
                <w:highlight w:val="none"/>
                <w:lang w:eastAsia="zh-CN"/>
              </w:rPr>
              <w:t>2026年06月24日</w:t>
            </w:r>
            <w:r>
              <w:rPr>
                <w:rFonts w:hint="eastAsia" w:cs="Arial" w:asciiTheme="minorEastAsia" w:hAnsiTheme="minorEastAsia" w:eastAsiaTheme="minorEastAsia"/>
                <w:kern w:val="0"/>
                <w:sz w:val="24"/>
                <w:szCs w:val="24"/>
                <w:highlight w:val="none"/>
              </w:rPr>
              <w:t>至</w:t>
            </w:r>
            <w:r>
              <w:rPr>
                <w:rFonts w:hint="eastAsia" w:cs="Arial" w:asciiTheme="minorEastAsia" w:hAnsiTheme="minorEastAsia" w:eastAsiaTheme="minorEastAsia"/>
                <w:kern w:val="0"/>
                <w:sz w:val="24"/>
                <w:szCs w:val="24"/>
                <w:highlight w:val="none"/>
                <w:lang w:eastAsia="zh-CN"/>
              </w:rPr>
              <w:t>2026年07月01日</w:t>
            </w:r>
            <w:r>
              <w:rPr>
                <w:rFonts w:hint="eastAsia" w:asciiTheme="minorEastAsia" w:hAnsiTheme="minorEastAsia" w:eastAsiaTheme="minorEastAsia"/>
                <w:sz w:val="24"/>
                <w:szCs w:val="24"/>
                <w:highlight w:val="none"/>
              </w:rPr>
              <w:t>（每日</w:t>
            </w:r>
            <w:r>
              <w:rPr>
                <w:rFonts w:asciiTheme="minorEastAsia" w:hAnsiTheme="minorEastAsia" w:eastAsiaTheme="minorEastAsia"/>
                <w:sz w:val="24"/>
                <w:szCs w:val="24"/>
                <w:highlight w:val="none"/>
              </w:rPr>
              <w:t>00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0</w:t>
            </w:r>
            <w:r>
              <w:rPr>
                <w:rFonts w:hint="eastAsia" w:asciiTheme="minorEastAsia" w:hAnsiTheme="minorEastAsia" w:eastAsiaTheme="minorEastAsia"/>
                <w:sz w:val="24"/>
                <w:szCs w:val="24"/>
                <w:highlight w:val="none"/>
              </w:rPr>
              <w:t>0-1</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0</w:t>
            </w:r>
            <w:r>
              <w:rPr>
                <w:rFonts w:hint="eastAsia" w:asciiTheme="minorEastAsia" w:hAnsiTheme="minorEastAsia" w:eastAsiaTheme="minorEastAsia"/>
                <w:sz w:val="24"/>
                <w:szCs w:val="24"/>
                <w:highlight w:val="none"/>
              </w:rPr>
              <w:t>0，1</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0</w:t>
            </w:r>
            <w:r>
              <w:rPr>
                <w:rFonts w:hint="eastAsia" w:asciiTheme="minorEastAsia" w:hAnsiTheme="minorEastAsia" w:eastAsiaTheme="minorEastAsia"/>
                <w:sz w:val="24"/>
                <w:szCs w:val="24"/>
                <w:highlight w:val="none"/>
              </w:rPr>
              <w:t>0-</w:t>
            </w:r>
            <w:r>
              <w:rPr>
                <w:rFonts w:asciiTheme="minorEastAsia" w:hAnsiTheme="minorEastAsia" w:eastAsiaTheme="minorEastAsia"/>
                <w:sz w:val="24"/>
                <w:szCs w:val="24"/>
                <w:highlight w:val="none"/>
              </w:rPr>
              <w:t>23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59</w:t>
            </w:r>
            <w:r>
              <w:rPr>
                <w:rFonts w:hint="eastAsia" w:asciiTheme="minorEastAsia" w:hAnsiTheme="minorEastAsia" w:eastAsiaTheme="minorEastAsia"/>
                <w:sz w:val="24"/>
                <w:szCs w:val="24"/>
                <w:highlight w:val="none"/>
              </w:rPr>
              <w:t>，北京时间，节假日除外)</w:t>
            </w:r>
          </w:p>
          <w:p w14:paraId="3FCCA3CE">
            <w:pPr>
              <w:widowControl/>
              <w:spacing w:line="276" w:lineRule="auto"/>
              <w:jc w:val="left"/>
              <w:rPr>
                <w:rFonts w:hint="eastAsia" w:cs="宋体" w:asciiTheme="minorEastAsia" w:hAnsiTheme="minorEastAsia" w:eastAsiaTheme="minorEastAsia"/>
                <w:kern w:val="0"/>
                <w:sz w:val="24"/>
                <w:szCs w:val="24"/>
                <w:highlight w:val="none"/>
              </w:rPr>
            </w:pPr>
            <w:r>
              <w:rPr>
                <w:rFonts w:hint="eastAsia" w:asciiTheme="minorEastAsia" w:hAnsiTheme="minorEastAsia" w:eastAsiaTheme="minorEastAsia"/>
                <w:sz w:val="24"/>
                <w:szCs w:val="24"/>
                <w:highlight w:val="none"/>
              </w:rPr>
              <w:t>地点：</w:t>
            </w:r>
            <w:r>
              <w:rPr>
                <w:rFonts w:hint="eastAsia" w:cs="宋体" w:asciiTheme="minorEastAsia" w:hAnsiTheme="minorEastAsia" w:eastAsiaTheme="minorEastAsia"/>
                <w:kern w:val="0"/>
                <w:sz w:val="24"/>
                <w:szCs w:val="24"/>
                <w:highlight w:val="none"/>
              </w:rPr>
              <w:t>线上获取。供应商登录政采云平台https://www.zcygov.cn/在线申请获取招标文件（进入“项目采购”应用，在获取招标文件菜单中选择项目，申请获取招标文件）</w:t>
            </w:r>
          </w:p>
        </w:tc>
      </w:tr>
      <w:tr w14:paraId="0884C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3F365EB6">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11</w:t>
            </w:r>
          </w:p>
        </w:tc>
        <w:tc>
          <w:tcPr>
            <w:tcW w:w="2509" w:type="dxa"/>
            <w:vAlign w:val="center"/>
          </w:tcPr>
          <w:p w14:paraId="23DC43DC">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标书售价</w:t>
            </w:r>
          </w:p>
        </w:tc>
        <w:tc>
          <w:tcPr>
            <w:tcW w:w="6837" w:type="dxa"/>
            <w:vAlign w:val="center"/>
          </w:tcPr>
          <w:p w14:paraId="54241D4C">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人民币0元/份</w:t>
            </w:r>
          </w:p>
        </w:tc>
      </w:tr>
      <w:tr w14:paraId="062A2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68B83BB5">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12</w:t>
            </w:r>
          </w:p>
        </w:tc>
        <w:tc>
          <w:tcPr>
            <w:tcW w:w="2509" w:type="dxa"/>
            <w:vAlign w:val="center"/>
          </w:tcPr>
          <w:p w14:paraId="7ED77062">
            <w:pPr>
              <w:overflowPunct w:val="0"/>
              <w:spacing w:line="276" w:lineRule="auto"/>
              <w:ind w:left="241" w:hanging="241" w:hangingChars="100"/>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投标文件</w:t>
            </w:r>
          </w:p>
          <w:p w14:paraId="29FF5371">
            <w:pPr>
              <w:overflowPunct w:val="0"/>
              <w:spacing w:line="276" w:lineRule="auto"/>
              <w:ind w:left="241" w:hanging="241" w:hangingChars="100"/>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递交截止时间及开标</w:t>
            </w:r>
          </w:p>
          <w:p w14:paraId="4330E8FF">
            <w:pPr>
              <w:overflowPunct w:val="0"/>
              <w:spacing w:line="276" w:lineRule="auto"/>
              <w:ind w:left="241" w:hanging="241" w:hangingChars="100"/>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时间</w:t>
            </w:r>
          </w:p>
        </w:tc>
        <w:tc>
          <w:tcPr>
            <w:tcW w:w="6837" w:type="dxa"/>
            <w:vAlign w:val="center"/>
          </w:tcPr>
          <w:p w14:paraId="46675B66">
            <w:pPr>
              <w:widowControl/>
              <w:spacing w:line="276" w:lineRule="auto"/>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2026年07月16日</w:t>
            </w:r>
            <w:r>
              <w:rPr>
                <w:rFonts w:hint="eastAsia" w:asciiTheme="minorEastAsia" w:hAnsiTheme="minorEastAsia" w:eastAsiaTheme="minorEastAsia"/>
                <w:sz w:val="24"/>
                <w:szCs w:val="24"/>
                <w:highlight w:val="none"/>
              </w:rPr>
              <w:t xml:space="preserve"> 11:00（北京时间）</w:t>
            </w:r>
          </w:p>
        </w:tc>
      </w:tr>
      <w:tr w14:paraId="1482A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1B0B3867">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13</w:t>
            </w:r>
          </w:p>
        </w:tc>
        <w:tc>
          <w:tcPr>
            <w:tcW w:w="2509" w:type="dxa"/>
            <w:vAlign w:val="center"/>
          </w:tcPr>
          <w:p w14:paraId="187F7DE5">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投标文件递交及开标地点</w:t>
            </w:r>
          </w:p>
        </w:tc>
        <w:tc>
          <w:tcPr>
            <w:tcW w:w="6837" w:type="dxa"/>
            <w:vAlign w:val="center"/>
          </w:tcPr>
          <w:p w14:paraId="6E0D6FB0">
            <w:pPr>
              <w:widowControl/>
              <w:spacing w:line="276" w:lineRule="auto"/>
              <w:jc w:val="left"/>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新疆政府采购网政采云平台：https://www.zcygov.cn/</w:t>
            </w:r>
          </w:p>
        </w:tc>
      </w:tr>
      <w:tr w14:paraId="37A36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73591241">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14</w:t>
            </w:r>
          </w:p>
        </w:tc>
        <w:tc>
          <w:tcPr>
            <w:tcW w:w="2509" w:type="dxa"/>
            <w:tcBorders>
              <w:top w:val="single" w:color="auto" w:sz="4" w:space="0"/>
            </w:tcBorders>
            <w:vAlign w:val="center"/>
          </w:tcPr>
          <w:p w14:paraId="3B1E4D4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投标有效期</w:t>
            </w:r>
          </w:p>
        </w:tc>
        <w:tc>
          <w:tcPr>
            <w:tcW w:w="6837" w:type="dxa"/>
            <w:tcBorders>
              <w:top w:val="single" w:color="auto" w:sz="4" w:space="0"/>
            </w:tcBorders>
            <w:vAlign w:val="center"/>
          </w:tcPr>
          <w:p w14:paraId="1487C529">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九十天</w:t>
            </w:r>
          </w:p>
        </w:tc>
      </w:tr>
      <w:tr w14:paraId="46AEA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3E5C97D">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15</w:t>
            </w:r>
          </w:p>
        </w:tc>
        <w:tc>
          <w:tcPr>
            <w:tcW w:w="2509" w:type="dxa"/>
            <w:tcBorders>
              <w:top w:val="single" w:color="auto" w:sz="4" w:space="0"/>
            </w:tcBorders>
            <w:vAlign w:val="center"/>
          </w:tcPr>
          <w:p w14:paraId="716F714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质保期</w:t>
            </w:r>
          </w:p>
        </w:tc>
        <w:tc>
          <w:tcPr>
            <w:tcW w:w="6837" w:type="dxa"/>
            <w:vAlign w:val="center"/>
          </w:tcPr>
          <w:p w14:paraId="5B5901A9">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超分辨率激光共聚焦显微镜：两年</w:t>
            </w:r>
          </w:p>
          <w:p w14:paraId="00A1A703">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超高分辨率扫描透射电子显微镜：一年</w:t>
            </w:r>
          </w:p>
          <w:p w14:paraId="5490BFCF">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高效液相色谱仪：一年</w:t>
            </w:r>
          </w:p>
          <w:p w14:paraId="501B3800">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超高效液相色谱-三重四级杆质谱联用仪：两年</w:t>
            </w:r>
          </w:p>
          <w:p w14:paraId="3F402819">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显微数码互动教学设备：一年</w:t>
            </w:r>
          </w:p>
          <w:p w14:paraId="1B4F2798">
            <w:pPr>
              <w:spacing w:line="276" w:lineRule="auto"/>
              <w:rPr>
                <w:rFonts w:hint="eastAsia" w:asciiTheme="minorEastAsia" w:hAnsiTheme="minorEastAsia" w:eastAsiaTheme="minorEastAsia"/>
                <w:sz w:val="24"/>
                <w:szCs w:val="24"/>
                <w:highlight w:val="none"/>
              </w:rPr>
            </w:pPr>
            <w:r>
              <w:rPr>
                <w:rFonts w:hint="eastAsia" w:cs="Arial" w:asciiTheme="minorEastAsia" w:hAnsiTheme="minorEastAsia" w:eastAsiaTheme="minorEastAsia"/>
                <w:kern w:val="0"/>
                <w:sz w:val="24"/>
                <w:szCs w:val="24"/>
                <w:highlight w:val="none"/>
              </w:rPr>
              <w:t>大动物影像设备：一年</w:t>
            </w:r>
          </w:p>
        </w:tc>
      </w:tr>
      <w:tr w14:paraId="0D51C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4D27271">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16</w:t>
            </w:r>
          </w:p>
        </w:tc>
        <w:tc>
          <w:tcPr>
            <w:tcW w:w="2509" w:type="dxa"/>
            <w:tcBorders>
              <w:top w:val="single" w:color="auto" w:sz="4" w:space="0"/>
            </w:tcBorders>
            <w:vAlign w:val="center"/>
          </w:tcPr>
          <w:p w14:paraId="087D2242">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供货周期</w:t>
            </w:r>
          </w:p>
        </w:tc>
        <w:tc>
          <w:tcPr>
            <w:tcW w:w="6837" w:type="dxa"/>
            <w:vAlign w:val="center"/>
          </w:tcPr>
          <w:p w14:paraId="43980336">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超分辨率激光共聚焦显微镜交货期：自合同签订之日起90天</w:t>
            </w:r>
          </w:p>
          <w:p w14:paraId="39C0022A">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超高分辨率扫描透射电子显微镜交货期：自合同签订之日起150天</w:t>
            </w:r>
          </w:p>
          <w:p w14:paraId="161FCD0B">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高效液相色谱仪交货期：自合同签订之日起90天</w:t>
            </w:r>
          </w:p>
          <w:p w14:paraId="5D09D2EC">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超高效液相色谱-三重四级杆质谱联用仪交货期：自合同签订之日起90天</w:t>
            </w:r>
          </w:p>
          <w:p w14:paraId="5CED7CDA">
            <w:pPr>
              <w:spacing w:line="276" w:lineRule="auto"/>
              <w:rPr>
                <w:rFonts w:hint="eastAsia" w:cs="Arial" w:asciiTheme="minorEastAsia" w:hAnsiTheme="minorEastAsia" w:eastAsiaTheme="minorEastAsia"/>
                <w:kern w:val="0"/>
                <w:sz w:val="24"/>
                <w:szCs w:val="24"/>
                <w:highlight w:val="none"/>
              </w:rPr>
            </w:pPr>
            <w:r>
              <w:rPr>
                <w:rFonts w:hint="eastAsia" w:cs="Arial" w:asciiTheme="minorEastAsia" w:hAnsiTheme="minorEastAsia" w:eastAsiaTheme="minorEastAsia"/>
                <w:kern w:val="0"/>
                <w:sz w:val="24"/>
                <w:szCs w:val="24"/>
                <w:highlight w:val="none"/>
              </w:rPr>
              <w:t>显微数码互动教学设备交货期：自合同签订之日起30天</w:t>
            </w:r>
          </w:p>
          <w:p w14:paraId="1DDB9E39">
            <w:pPr>
              <w:spacing w:line="276" w:lineRule="auto"/>
              <w:rPr>
                <w:rFonts w:hint="eastAsia" w:asciiTheme="minorEastAsia" w:hAnsiTheme="minorEastAsia" w:eastAsiaTheme="minorEastAsia"/>
                <w:sz w:val="24"/>
                <w:szCs w:val="24"/>
                <w:highlight w:val="none"/>
              </w:rPr>
            </w:pPr>
            <w:r>
              <w:rPr>
                <w:rFonts w:hint="eastAsia" w:cs="Arial" w:asciiTheme="minorEastAsia" w:hAnsiTheme="minorEastAsia" w:eastAsiaTheme="minorEastAsia"/>
                <w:kern w:val="0"/>
                <w:sz w:val="24"/>
                <w:szCs w:val="24"/>
                <w:highlight w:val="none"/>
              </w:rPr>
              <w:t>大动物影像设备交货期：自合同签订之日起30天。</w:t>
            </w:r>
          </w:p>
        </w:tc>
      </w:tr>
      <w:tr w14:paraId="638FD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46CDEB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17</w:t>
            </w:r>
          </w:p>
        </w:tc>
        <w:tc>
          <w:tcPr>
            <w:tcW w:w="2509" w:type="dxa"/>
            <w:vAlign w:val="center"/>
          </w:tcPr>
          <w:p w14:paraId="2FA83C77">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交货安装地点</w:t>
            </w:r>
          </w:p>
        </w:tc>
        <w:tc>
          <w:tcPr>
            <w:tcW w:w="6837" w:type="dxa"/>
            <w:vAlign w:val="center"/>
          </w:tcPr>
          <w:p w14:paraId="642466FD">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按照甲方指定地点安装调试，交货工期</w:t>
            </w:r>
            <w:r>
              <w:rPr>
                <w:rFonts w:hint="eastAsia" w:cs="Arial" w:asciiTheme="minorEastAsia" w:hAnsiTheme="minorEastAsia" w:eastAsiaTheme="minorEastAsia"/>
                <w:kern w:val="0"/>
                <w:sz w:val="24"/>
                <w:szCs w:val="24"/>
                <w:highlight w:val="none"/>
              </w:rPr>
              <w:t>详见第四章采购需求/采购清单中的交货工期，在指定时间</w:t>
            </w:r>
            <w:r>
              <w:rPr>
                <w:rFonts w:hint="eastAsia" w:asciiTheme="minorEastAsia" w:hAnsiTheme="minorEastAsia" w:eastAsiaTheme="minorEastAsia"/>
                <w:sz w:val="24"/>
                <w:szCs w:val="24"/>
                <w:highlight w:val="none"/>
              </w:rPr>
              <w:t>完成安装验收工作；供方自行勘测场地，全权负责设备的卸货、就位、安装、调试、培训等。</w:t>
            </w:r>
          </w:p>
        </w:tc>
      </w:tr>
      <w:tr w14:paraId="4AB11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200C9D5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18</w:t>
            </w:r>
          </w:p>
        </w:tc>
        <w:tc>
          <w:tcPr>
            <w:tcW w:w="2509" w:type="dxa"/>
            <w:tcBorders>
              <w:bottom w:val="single" w:color="auto" w:sz="4" w:space="0"/>
            </w:tcBorders>
            <w:vAlign w:val="center"/>
          </w:tcPr>
          <w:p w14:paraId="1EFBBC9D">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评标方法</w:t>
            </w:r>
          </w:p>
        </w:tc>
        <w:tc>
          <w:tcPr>
            <w:tcW w:w="6837" w:type="dxa"/>
            <w:tcBorders>
              <w:bottom w:val="single" w:color="auto" w:sz="4" w:space="0"/>
            </w:tcBorders>
            <w:vAlign w:val="center"/>
          </w:tcPr>
          <w:p w14:paraId="3A7F8F81">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综合评分法</w:t>
            </w:r>
          </w:p>
        </w:tc>
      </w:tr>
      <w:tr w14:paraId="4A7C6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602839D">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19</w:t>
            </w:r>
          </w:p>
        </w:tc>
        <w:tc>
          <w:tcPr>
            <w:tcW w:w="2509" w:type="dxa"/>
            <w:vAlign w:val="center"/>
          </w:tcPr>
          <w:p w14:paraId="297FCC7E">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投标保证金</w:t>
            </w:r>
          </w:p>
        </w:tc>
        <w:tc>
          <w:tcPr>
            <w:tcW w:w="6837" w:type="dxa"/>
            <w:vAlign w:val="center"/>
          </w:tcPr>
          <w:p w14:paraId="26D4C8EE">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保证金金额：293600元（贰拾玖万叁仟陆佰元整）（人民币）</w:t>
            </w:r>
          </w:p>
          <w:p w14:paraId="4C2D0D0E">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保证金缴纳方式：本项目保证金供应商自主选择以银行转账（仅支持平台电子保证金）、保函等非现金形式缴纳。以上方式投标人仅需选择其中一种即可。具体缴纳方式如下：</w:t>
            </w:r>
          </w:p>
          <w:p w14:paraId="775AAD92">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一、电子保证金：</w:t>
            </w:r>
          </w:p>
          <w:p w14:paraId="6CC1B1EC">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5DD39C8D">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二、保函（电子保函、纸质保函）</w:t>
            </w:r>
          </w:p>
          <w:p w14:paraId="1A29A3C4">
            <w:pPr>
              <w:spacing w:line="276"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57E7D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21B5554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20</w:t>
            </w:r>
          </w:p>
        </w:tc>
        <w:tc>
          <w:tcPr>
            <w:tcW w:w="2509" w:type="dxa"/>
            <w:vAlign w:val="center"/>
          </w:tcPr>
          <w:p w14:paraId="449435FE">
            <w:pPr>
              <w:overflowPunct w:val="0"/>
              <w:spacing w:line="276" w:lineRule="auto"/>
              <w:jc w:val="center"/>
              <w:rPr>
                <w:rFonts w:hint="eastAsia" w:asciiTheme="minorEastAsia" w:hAnsiTheme="minorEastAsia" w:eastAsiaTheme="minorEastAsia"/>
                <w:b/>
                <w:sz w:val="24"/>
                <w:szCs w:val="24"/>
                <w:highlight w:val="none"/>
              </w:rPr>
            </w:pPr>
            <w:r>
              <w:rPr>
                <w:rFonts w:hint="eastAsia" w:cs="宋体" w:asciiTheme="minorEastAsia" w:hAnsiTheme="minorEastAsia" w:eastAsiaTheme="minorEastAsia"/>
                <w:b/>
                <w:bCs/>
                <w:sz w:val="24"/>
                <w:szCs w:val="24"/>
                <w:highlight w:val="none"/>
              </w:rPr>
              <w:t>响应文件份数</w:t>
            </w:r>
          </w:p>
        </w:tc>
        <w:tc>
          <w:tcPr>
            <w:tcW w:w="6837" w:type="dxa"/>
            <w:vAlign w:val="center"/>
          </w:tcPr>
          <w:p w14:paraId="04E81E87">
            <w:pPr>
              <w:overflowPunct w:val="0"/>
              <w:spacing w:line="276" w:lineRule="auto"/>
              <w:rPr>
                <w:rFonts w:hint="eastAsia" w:asciiTheme="minorEastAsia" w:hAnsiTheme="minorEastAsia" w:eastAsiaTheme="minorEastAsia"/>
                <w:sz w:val="24"/>
                <w:szCs w:val="24"/>
                <w:highlight w:val="none"/>
              </w:rPr>
            </w:pPr>
            <w:r>
              <w:rPr>
                <w:rStyle w:val="112"/>
                <w:rFonts w:hint="eastAsia" w:asciiTheme="minorEastAsia" w:hAnsiTheme="minorEastAsia" w:eastAsiaTheme="minorEastAsia"/>
                <w:sz w:val="24"/>
                <w:szCs w:val="24"/>
                <w:highlight w:val="none"/>
              </w:rPr>
              <w:t>供应商可通过账号密码或CA登录政采云客户端进行投标文件的制作，本项目采用电子版投标文件。</w:t>
            </w:r>
          </w:p>
        </w:tc>
      </w:tr>
      <w:tr w14:paraId="05F9B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75605202">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21</w:t>
            </w:r>
          </w:p>
        </w:tc>
        <w:tc>
          <w:tcPr>
            <w:tcW w:w="2509" w:type="dxa"/>
            <w:tcBorders>
              <w:top w:val="single" w:color="auto" w:sz="4" w:space="0"/>
              <w:bottom w:val="single" w:color="auto" w:sz="4" w:space="0"/>
            </w:tcBorders>
            <w:vAlign w:val="center"/>
          </w:tcPr>
          <w:p w14:paraId="0B37191B">
            <w:pPr>
              <w:overflowPunct w:val="0"/>
              <w:spacing w:line="276" w:lineRule="auto"/>
              <w:jc w:val="center"/>
              <w:rPr>
                <w:rFonts w:hint="eastAsia" w:asciiTheme="minorEastAsia" w:hAnsiTheme="minorEastAsia" w:eastAsiaTheme="minorEastAsia"/>
                <w:b/>
                <w:sz w:val="24"/>
                <w:szCs w:val="24"/>
                <w:highlight w:val="none"/>
              </w:rPr>
            </w:pPr>
            <w:r>
              <w:rPr>
                <w:rFonts w:hint="eastAsia" w:cs="宋体" w:asciiTheme="minorEastAsia" w:hAnsiTheme="minorEastAsia" w:eastAsiaTheme="minorEastAsia"/>
                <w:b/>
                <w:bCs/>
                <w:sz w:val="24"/>
                <w:szCs w:val="24"/>
                <w:highlight w:val="none"/>
              </w:rPr>
              <w:t>签字或盖章要求</w:t>
            </w:r>
          </w:p>
        </w:tc>
        <w:tc>
          <w:tcPr>
            <w:tcW w:w="6837" w:type="dxa"/>
            <w:tcBorders>
              <w:top w:val="single" w:color="auto" w:sz="4" w:space="0"/>
              <w:bottom w:val="single" w:color="auto" w:sz="4" w:space="0"/>
            </w:tcBorders>
          </w:tcPr>
          <w:p w14:paraId="5BCAD662">
            <w:pPr>
              <w:pStyle w:val="113"/>
              <w:snapToGrid w:val="0"/>
              <w:spacing w:line="360" w:lineRule="auto"/>
              <w:rPr>
                <w:rStyle w:val="112"/>
                <w:rFonts w:hint="eastAsia" w:asciiTheme="minorEastAsia" w:hAnsiTheme="minorEastAsia" w:eastAsiaTheme="minorEastAsia"/>
                <w:sz w:val="24"/>
                <w:highlight w:val="none"/>
              </w:rPr>
            </w:pPr>
            <w:r>
              <w:rPr>
                <w:rStyle w:val="112"/>
                <w:rFonts w:asciiTheme="minorEastAsia" w:hAnsiTheme="minorEastAsia" w:eastAsiaTheme="minorEastAsia"/>
                <w:sz w:val="24"/>
                <w:highlight w:val="none"/>
              </w:rPr>
              <w:t>(1)</w:t>
            </w:r>
            <w:r>
              <w:rPr>
                <w:rStyle w:val="112"/>
                <w:rFonts w:hint="eastAsia" w:asciiTheme="minorEastAsia" w:hAnsiTheme="minorEastAsia" w:eastAsiaTheme="minorEastAsia"/>
                <w:sz w:val="24"/>
                <w:highlight w:val="none"/>
              </w:rPr>
              <w:t>投标文件格式文件要求盖单位章和（或）签字的地方，投标人均应使用CA数字证书加盖投标人的单位电子签章和（或）法定代表人的个人电子签名。</w:t>
            </w:r>
          </w:p>
          <w:p w14:paraId="0F8F4293">
            <w:pPr>
              <w:pStyle w:val="114"/>
              <w:snapToGrid w:val="0"/>
              <w:spacing w:line="360" w:lineRule="auto"/>
              <w:rPr>
                <w:rFonts w:hint="eastAsia" w:asciiTheme="minorEastAsia" w:hAnsiTheme="minorEastAsia" w:eastAsiaTheme="minorEastAsia"/>
                <w:sz w:val="24"/>
                <w:highlight w:val="none"/>
              </w:rPr>
            </w:pPr>
            <w:r>
              <w:rPr>
                <w:rStyle w:val="112"/>
                <w:rFonts w:asciiTheme="minorEastAsia" w:hAnsiTheme="minorEastAsia" w:eastAsiaTheme="minorEastAsia"/>
                <w:sz w:val="24"/>
                <w:highlight w:val="none"/>
              </w:rPr>
              <w:t>(2)本文件中要求提交网上查询的证明资料的，以及本款中未明确要求盖章或签字的，不需盖章或签字；</w:t>
            </w:r>
          </w:p>
        </w:tc>
      </w:tr>
      <w:tr w14:paraId="76CED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57802EB4">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22</w:t>
            </w:r>
          </w:p>
        </w:tc>
        <w:tc>
          <w:tcPr>
            <w:tcW w:w="2509" w:type="dxa"/>
            <w:tcBorders>
              <w:top w:val="single" w:color="auto" w:sz="4" w:space="0"/>
              <w:bottom w:val="single" w:color="auto" w:sz="4" w:space="0"/>
            </w:tcBorders>
            <w:vAlign w:val="center"/>
          </w:tcPr>
          <w:p w14:paraId="6B8C8BA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付款方式及币种</w:t>
            </w:r>
          </w:p>
        </w:tc>
        <w:tc>
          <w:tcPr>
            <w:tcW w:w="6837" w:type="dxa"/>
            <w:tcBorders>
              <w:top w:val="single" w:color="auto" w:sz="4" w:space="0"/>
            </w:tcBorders>
            <w:vAlign w:val="center"/>
          </w:tcPr>
          <w:p w14:paraId="09D569F8">
            <w:pPr>
              <w:overflowPunct w:val="0"/>
              <w:spacing w:line="276"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、付款币种</w:t>
            </w:r>
          </w:p>
          <w:p w14:paraId="5B4F17D9">
            <w:pPr>
              <w:overflowPunct w:val="0"/>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本次招标所述的项目资金均以人民币支付。</w:t>
            </w:r>
          </w:p>
          <w:p w14:paraId="0452C7FC">
            <w:pPr>
              <w:spacing w:line="276" w:lineRule="auto"/>
              <w:jc w:val="left"/>
              <w:rPr>
                <w:rFonts w:hint="eastAsia"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、付款方式：以合同签订时约定为准。</w:t>
            </w:r>
          </w:p>
        </w:tc>
      </w:tr>
      <w:tr w14:paraId="0182F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7B9520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23</w:t>
            </w:r>
          </w:p>
        </w:tc>
        <w:tc>
          <w:tcPr>
            <w:tcW w:w="2509" w:type="dxa"/>
            <w:tcBorders>
              <w:top w:val="single" w:color="auto" w:sz="4" w:space="0"/>
            </w:tcBorders>
            <w:vAlign w:val="center"/>
          </w:tcPr>
          <w:p w14:paraId="1B8D12B1">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投标费用</w:t>
            </w:r>
          </w:p>
        </w:tc>
        <w:tc>
          <w:tcPr>
            <w:tcW w:w="6837" w:type="dxa"/>
            <w:vAlign w:val="center"/>
          </w:tcPr>
          <w:p w14:paraId="0E12C7AD">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不论投标的结果如何，投标人均应自行承担所有与参加投标有关的全部费用。</w:t>
            </w:r>
          </w:p>
        </w:tc>
      </w:tr>
      <w:tr w14:paraId="07D5D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7E0B17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24</w:t>
            </w:r>
          </w:p>
        </w:tc>
        <w:tc>
          <w:tcPr>
            <w:tcW w:w="2509" w:type="dxa"/>
            <w:vAlign w:val="center"/>
          </w:tcPr>
          <w:p w14:paraId="2203D109">
            <w:pPr>
              <w:overflowPunct w:val="0"/>
              <w:spacing w:line="276" w:lineRule="auto"/>
              <w:jc w:val="center"/>
              <w:rPr>
                <w:rFonts w:hint="eastAsia" w:cs="宋体" w:asciiTheme="minorEastAsia" w:hAnsiTheme="minorEastAsia" w:eastAsiaTheme="minorEastAsia"/>
                <w:b/>
                <w:kern w:val="0"/>
                <w:sz w:val="24"/>
                <w:szCs w:val="24"/>
                <w:highlight w:val="none"/>
              </w:rPr>
            </w:pPr>
            <w:r>
              <w:rPr>
                <w:rFonts w:hint="eastAsia" w:cs="宋体" w:asciiTheme="minorEastAsia" w:hAnsiTheme="minorEastAsia" w:eastAsiaTheme="minorEastAsia"/>
                <w:b/>
                <w:kern w:val="0"/>
                <w:sz w:val="24"/>
                <w:szCs w:val="24"/>
                <w:highlight w:val="none"/>
              </w:rPr>
              <w:t>招标代理服务费</w:t>
            </w:r>
          </w:p>
        </w:tc>
        <w:tc>
          <w:tcPr>
            <w:tcW w:w="6837" w:type="dxa"/>
            <w:vAlign w:val="center"/>
          </w:tcPr>
          <w:p w14:paraId="0776FFDB">
            <w:pPr>
              <w:tabs>
                <w:tab w:val="left" w:pos="5760"/>
              </w:tabs>
              <w:spacing w:line="276"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1、代理报酬的计算方法：</w:t>
            </w:r>
            <w:r>
              <w:rPr>
                <w:rFonts w:hint="eastAsia" w:cs="仿宋" w:asciiTheme="minorEastAsia" w:hAnsiTheme="minorEastAsia" w:eastAsiaTheme="minorEastAsia"/>
                <w:sz w:val="24"/>
                <w:szCs w:val="24"/>
                <w:highlight w:val="none"/>
                <w:u w:val="single"/>
              </w:rPr>
              <w:t>参照原国家计委计价格【2002】1980号文和国家发改委发改办价格【2003】857号文的计算方法下浮30%收取。不足三千元按照三千元收取。</w:t>
            </w:r>
          </w:p>
          <w:p w14:paraId="7B422B84">
            <w:pPr>
              <w:tabs>
                <w:tab w:val="left" w:pos="5760"/>
              </w:tabs>
              <w:spacing w:line="276"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2、代理报酬支付方式：</w:t>
            </w:r>
            <w:r>
              <w:rPr>
                <w:rFonts w:hint="eastAsia" w:cs="仿宋" w:asciiTheme="minorEastAsia" w:hAnsiTheme="minorEastAsia" w:eastAsiaTheme="minorEastAsia"/>
                <w:sz w:val="24"/>
                <w:szCs w:val="24"/>
                <w:highlight w:val="none"/>
                <w:u w:val="single"/>
              </w:rPr>
              <w:t>由中标人支付。</w:t>
            </w:r>
          </w:p>
          <w:p w14:paraId="348C5CEE">
            <w:pPr>
              <w:tabs>
                <w:tab w:val="left" w:pos="5760"/>
              </w:tabs>
              <w:spacing w:line="276" w:lineRule="auto"/>
              <w:rPr>
                <w:rFonts w:hint="eastAsia" w:cs="宋体" w:asciiTheme="minorEastAsia" w:hAnsiTheme="minorEastAsia" w:eastAsiaTheme="minorEastAsia"/>
                <w:kern w:val="0"/>
                <w:sz w:val="24"/>
                <w:szCs w:val="24"/>
                <w:highlight w:val="none"/>
              </w:rPr>
            </w:pPr>
            <w:r>
              <w:rPr>
                <w:rFonts w:hint="eastAsia" w:cs="仿宋" w:asciiTheme="minorEastAsia" w:hAnsiTheme="minorEastAsia" w:eastAsiaTheme="minorEastAsia"/>
                <w:sz w:val="24"/>
                <w:szCs w:val="24"/>
                <w:highlight w:val="none"/>
              </w:rPr>
              <w:t>3、代理报酬的支付时间：</w:t>
            </w:r>
            <w:r>
              <w:rPr>
                <w:rFonts w:hint="eastAsia" w:cs="仿宋" w:asciiTheme="minorEastAsia" w:hAnsiTheme="minorEastAsia" w:eastAsiaTheme="minorEastAsia"/>
                <w:sz w:val="24"/>
                <w:szCs w:val="24"/>
                <w:highlight w:val="none"/>
                <w:u w:val="single"/>
              </w:rPr>
              <w:t>由中标人领取中标通知书前支付。</w:t>
            </w:r>
          </w:p>
        </w:tc>
      </w:tr>
      <w:tr w14:paraId="252A8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28AED0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25</w:t>
            </w:r>
          </w:p>
        </w:tc>
        <w:tc>
          <w:tcPr>
            <w:tcW w:w="2509" w:type="dxa"/>
            <w:vAlign w:val="center"/>
          </w:tcPr>
          <w:p w14:paraId="16B35A8B">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低于成本价不正当</w:t>
            </w:r>
          </w:p>
          <w:p w14:paraId="79A540CA">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竞争预防措施</w:t>
            </w:r>
          </w:p>
        </w:tc>
        <w:tc>
          <w:tcPr>
            <w:tcW w:w="6837" w:type="dxa"/>
            <w:vAlign w:val="center"/>
          </w:tcPr>
          <w:p w14:paraId="53B36B5C">
            <w:pPr>
              <w:spacing w:line="276" w:lineRule="auto"/>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00E0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6C1047C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26</w:t>
            </w:r>
          </w:p>
        </w:tc>
        <w:tc>
          <w:tcPr>
            <w:tcW w:w="2509" w:type="dxa"/>
            <w:vAlign w:val="center"/>
          </w:tcPr>
          <w:p w14:paraId="479ECA74">
            <w:pPr>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政府采购政策支持</w:t>
            </w:r>
          </w:p>
        </w:tc>
        <w:tc>
          <w:tcPr>
            <w:tcW w:w="6837" w:type="dxa"/>
          </w:tcPr>
          <w:p w14:paraId="31C9954A">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1D7106DC">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1420EAA2">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3、在货物采购项目中，供应商提供的货物既有中小企业制造货物，也有大型企业制造货物的，不享受本办法规定的中小企业扶持政策。</w:t>
            </w:r>
          </w:p>
          <w:p w14:paraId="4DD611FB">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4、以联合体形式参加政府采购活动，联合体各方均为中小企业的，联合体视同中小企业。其中，联合体各方均为小微企业的，联合体视同小微企业。</w:t>
            </w:r>
          </w:p>
          <w:p w14:paraId="287CAED0">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5、供应商经享受扶持政策获得政府采购合同的，小微企业不得将合同分包给大中型企业，中型企业不得将合同分包给大型企业。</w:t>
            </w:r>
          </w:p>
          <w:p w14:paraId="524B393A">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2ADF53D8">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7、根据“关于印发中小企业划型标准规定的通知（工信部联企业〔2011〕300号）”等有关规定，本项目标的所属行业为工业。</w:t>
            </w:r>
          </w:p>
          <w:p w14:paraId="54A03CEA">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224DC6BC">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1CCDD917">
            <w:pPr>
              <w:spacing w:line="276"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16F54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5498C0D3">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27</w:t>
            </w:r>
          </w:p>
        </w:tc>
        <w:tc>
          <w:tcPr>
            <w:tcW w:w="2509" w:type="dxa"/>
            <w:vAlign w:val="center"/>
          </w:tcPr>
          <w:p w14:paraId="032A3F17">
            <w:pPr>
              <w:pStyle w:val="80"/>
              <w:spacing w:line="276" w:lineRule="auto"/>
              <w:jc w:val="center"/>
              <w:rPr>
                <w:rFonts w:hint="eastAsia" w:cs="Times New Roman" w:asciiTheme="minorEastAsia" w:hAnsiTheme="minorEastAsia" w:eastAsiaTheme="minorEastAsia"/>
                <w:b/>
                <w:kern w:val="2"/>
                <w:highlight w:val="none"/>
              </w:rPr>
            </w:pPr>
            <w:r>
              <w:rPr>
                <w:rFonts w:hint="eastAsia" w:cs="Times New Roman" w:asciiTheme="minorEastAsia" w:hAnsiTheme="minorEastAsia" w:eastAsiaTheme="minorEastAsia"/>
                <w:b/>
                <w:kern w:val="2"/>
                <w:highlight w:val="none"/>
              </w:rPr>
              <w:t>质疑须知</w:t>
            </w:r>
          </w:p>
        </w:tc>
        <w:tc>
          <w:tcPr>
            <w:tcW w:w="6837" w:type="dxa"/>
            <w:vAlign w:val="center"/>
          </w:tcPr>
          <w:p w14:paraId="06C30012">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递交方式：现场递交纸质版质疑函（加盖供应商单位公章）及Word格式电子版质疑文件至采购代理机构，如法定代表人前来递交需携带法定代表人身份证明及法定代表人身份证原件，如</w:t>
            </w:r>
            <w:r>
              <w:rPr>
                <w:rFonts w:ascii="Times New Roman" w:hAnsi="Times New Roman" w:cs="Times New Roman" w:eastAsiaTheme="minorEastAsia"/>
                <w:kern w:val="2"/>
                <w:highlight w:val="none"/>
              </w:rPr>
              <w:t>‌</w:t>
            </w:r>
            <w:r>
              <w:rPr>
                <w:rFonts w:hint="eastAsia"/>
                <w:kern w:val="2"/>
                <w:highlight w:val="none"/>
              </w:rPr>
              <w:t>委托人（被授权人）前来递交需携带法定代表人授权委托书及委托人（被授权人）身份证原件。</w:t>
            </w:r>
          </w:p>
          <w:p w14:paraId="01E65430">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递交地址：新疆乌鲁木齐新市区长春南路528号天康企业大厦3楼</w:t>
            </w:r>
          </w:p>
          <w:p w14:paraId="7C386EE5">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联系人：邱奕霏</w:t>
            </w:r>
          </w:p>
          <w:p w14:paraId="1C03445B">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联系电话：18599788578</w:t>
            </w:r>
          </w:p>
          <w:p w14:paraId="44620FA1">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邮箱：346596835@qq.com</w:t>
            </w:r>
          </w:p>
          <w:p w14:paraId="00FE72A7">
            <w:pPr>
              <w:pStyle w:val="80"/>
              <w:spacing w:line="276" w:lineRule="auto"/>
              <w:jc w:val="both"/>
              <w:rPr>
                <w:rFonts w:hint="eastAsia" w:cs="Times New Roman" w:asciiTheme="minorEastAsia" w:hAnsiTheme="minorEastAsia" w:eastAsiaTheme="minorEastAsia"/>
                <w:kern w:val="2"/>
                <w:highlight w:val="none"/>
              </w:rPr>
            </w:pPr>
          </w:p>
          <w:p w14:paraId="3C811802">
            <w:pPr>
              <w:pStyle w:val="80"/>
              <w:spacing w:line="276" w:lineRule="auto"/>
              <w:jc w:val="both"/>
              <w:rPr>
                <w:rFonts w:hint="eastAsia" w:cs="Times New Roman" w:asciiTheme="minorEastAsia" w:hAnsiTheme="minorEastAsia" w:eastAsiaTheme="minorEastAsia"/>
                <w:b/>
                <w:bCs/>
                <w:kern w:val="2"/>
                <w:highlight w:val="none"/>
              </w:rPr>
            </w:pPr>
            <w:r>
              <w:rPr>
                <w:rFonts w:hint="eastAsia" w:cs="Times New Roman" w:asciiTheme="minorEastAsia" w:hAnsiTheme="minorEastAsia" w:eastAsiaTheme="minorEastAsia"/>
                <w:b/>
                <w:bCs/>
                <w:kern w:val="2"/>
                <w:highlight w:val="none"/>
              </w:rPr>
              <w:t>注：1.根据《中华人民共和国政府采购法》的规定，投标人质疑不得超出公开招标文件、公开招标过程及公开招标结果的范围及时效限制。</w:t>
            </w:r>
          </w:p>
          <w:p w14:paraId="3F82C611">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b/>
                <w:bCs/>
                <w:kern w:val="2"/>
                <w:highlight w:val="none"/>
              </w:rPr>
              <w:t>2.质疑函请参照中国政府采购网-下载专区-质疑函范本http://www.ccgp.gov.cn/编制。</w:t>
            </w:r>
          </w:p>
        </w:tc>
      </w:tr>
      <w:tr w14:paraId="5805B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5ADBE3B0">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28</w:t>
            </w:r>
          </w:p>
        </w:tc>
        <w:tc>
          <w:tcPr>
            <w:tcW w:w="2509" w:type="dxa"/>
            <w:vAlign w:val="center"/>
          </w:tcPr>
          <w:p w14:paraId="40BAB366">
            <w:pPr>
              <w:pStyle w:val="80"/>
              <w:spacing w:line="276" w:lineRule="auto"/>
              <w:jc w:val="center"/>
              <w:rPr>
                <w:rFonts w:hint="eastAsia" w:cs="Times New Roman" w:asciiTheme="minorEastAsia" w:hAnsiTheme="minorEastAsia" w:eastAsiaTheme="minorEastAsia"/>
                <w:b/>
                <w:kern w:val="2"/>
                <w:highlight w:val="none"/>
              </w:rPr>
            </w:pPr>
            <w:r>
              <w:rPr>
                <w:rFonts w:hint="eastAsia" w:cs="Times New Roman" w:asciiTheme="minorEastAsia" w:hAnsiTheme="minorEastAsia" w:eastAsiaTheme="minorEastAsia"/>
                <w:b/>
                <w:kern w:val="2"/>
                <w:highlight w:val="none"/>
              </w:rPr>
              <w:t>答疑澄清</w:t>
            </w:r>
          </w:p>
        </w:tc>
        <w:tc>
          <w:tcPr>
            <w:tcW w:w="6837" w:type="dxa"/>
            <w:vAlign w:val="center"/>
          </w:tcPr>
          <w:p w14:paraId="55812F70">
            <w:pPr>
              <w:pStyle w:val="80"/>
              <w:spacing w:line="276" w:lineRule="auto"/>
              <w:jc w:val="both"/>
              <w:rPr>
                <w:rFonts w:hint="eastAsia" w:cs="Times New Roman" w:asciiTheme="minorEastAsia" w:hAnsiTheme="minorEastAsia" w:eastAsiaTheme="minorEastAsia"/>
                <w:kern w:val="2"/>
                <w:highlight w:val="none"/>
              </w:rPr>
            </w:pPr>
            <w:r>
              <w:rPr>
                <w:rFonts w:hint="eastAsia" w:cs="Times New Roman" w:asciiTheme="minorEastAsia" w:hAnsiTheme="minorEastAsia" w:eastAsiaTheme="minorEastAsia"/>
                <w:kern w:val="2"/>
                <w:highlight w:val="none"/>
              </w:rPr>
              <w:t>投标人对招标文件有需要答疑澄清的须在投标截止之前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6CEF0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F621E95">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29</w:t>
            </w:r>
          </w:p>
        </w:tc>
        <w:tc>
          <w:tcPr>
            <w:tcW w:w="2509" w:type="dxa"/>
            <w:vAlign w:val="center"/>
          </w:tcPr>
          <w:p w14:paraId="223C2414">
            <w:pPr>
              <w:pStyle w:val="80"/>
              <w:spacing w:line="276" w:lineRule="auto"/>
              <w:jc w:val="center"/>
              <w:rPr>
                <w:rFonts w:hint="eastAsia" w:cs="Times New Roman" w:asciiTheme="minorEastAsia" w:hAnsiTheme="minorEastAsia" w:eastAsiaTheme="minorEastAsia"/>
                <w:b/>
                <w:kern w:val="2"/>
                <w:highlight w:val="none"/>
              </w:rPr>
            </w:pPr>
            <w:r>
              <w:rPr>
                <w:rFonts w:hint="eastAsia" w:cs="Times New Roman" w:asciiTheme="minorEastAsia" w:hAnsiTheme="minorEastAsia" w:eastAsiaTheme="minorEastAsia"/>
                <w:b/>
                <w:kern w:val="2"/>
                <w:highlight w:val="none"/>
              </w:rPr>
              <w:t>公告发布媒体</w:t>
            </w:r>
          </w:p>
        </w:tc>
        <w:tc>
          <w:tcPr>
            <w:tcW w:w="6837" w:type="dxa"/>
            <w:vAlign w:val="center"/>
          </w:tcPr>
          <w:p w14:paraId="7840E71B">
            <w:pPr>
              <w:widowControl/>
              <w:spacing w:line="276" w:lineRule="auto"/>
              <w:jc w:val="left"/>
              <w:rPr>
                <w:rFonts w:hint="eastAsia" w:cs="宋体" w:asciiTheme="minorEastAsia" w:hAnsiTheme="minorEastAsia" w:eastAsiaTheme="minorEastAsia"/>
                <w:kern w:val="0"/>
                <w:sz w:val="24"/>
                <w:szCs w:val="24"/>
                <w:highlight w:val="none"/>
              </w:rPr>
            </w:pPr>
            <w:r>
              <w:rPr>
                <w:rFonts w:cs="宋体" w:asciiTheme="minorEastAsia" w:hAnsiTheme="minorEastAsia" w:eastAsiaTheme="minorEastAsia"/>
                <w:kern w:val="0"/>
                <w:sz w:val="24"/>
                <w:szCs w:val="24"/>
                <w:highlight w:val="none"/>
              </w:rPr>
              <w:t>新疆政府采购网</w:t>
            </w:r>
            <w:r>
              <w:rPr>
                <w:rFonts w:cs="宋体" w:asciiTheme="minorEastAsia" w:hAnsiTheme="minorEastAsia" w:eastAsiaTheme="minorEastAsia"/>
                <w:kern w:val="0"/>
                <w:sz w:val="24"/>
                <w:szCs w:val="24"/>
                <w:highlight w:val="none"/>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cs="宋体" w:asciiTheme="minorEastAsia" w:hAnsiTheme="minorEastAsia" w:eastAsiaTheme="minorEastAsia"/>
                <w:kern w:val="0"/>
                <w:sz w:val="24"/>
                <w:szCs w:val="24"/>
                <w:highlight w:val="none"/>
              </w:rPr>
              <w:t>http://www.ccgp-xinjiang.gov.cn/home.html</w:t>
            </w:r>
          </w:p>
        </w:tc>
      </w:tr>
      <w:tr w14:paraId="27BBA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27FF8EF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30</w:t>
            </w:r>
          </w:p>
        </w:tc>
        <w:tc>
          <w:tcPr>
            <w:tcW w:w="2509" w:type="dxa"/>
            <w:vAlign w:val="center"/>
          </w:tcPr>
          <w:p w14:paraId="121CA4BA">
            <w:pPr>
              <w:spacing w:line="276" w:lineRule="auto"/>
              <w:jc w:val="center"/>
              <w:rPr>
                <w:rFonts w:hint="eastAsia" w:asciiTheme="minorEastAsia" w:hAnsiTheme="minorEastAsia" w:eastAsiaTheme="minorEastAsia"/>
                <w:b/>
                <w:sz w:val="24"/>
                <w:szCs w:val="24"/>
                <w:highlight w:val="none"/>
              </w:rPr>
            </w:pPr>
            <w:r>
              <w:rPr>
                <w:rFonts w:hint="eastAsia" w:cs="宋体" w:asciiTheme="minorEastAsia" w:hAnsiTheme="minorEastAsia" w:eastAsiaTheme="minorEastAsia"/>
                <w:b/>
                <w:bCs/>
                <w:sz w:val="24"/>
                <w:szCs w:val="24"/>
                <w:highlight w:val="none"/>
                <w:lang w:val="zh-CN"/>
              </w:rPr>
              <w:t>是否接受进口产品</w:t>
            </w:r>
          </w:p>
        </w:tc>
        <w:tc>
          <w:tcPr>
            <w:tcW w:w="6837" w:type="dxa"/>
            <w:vAlign w:val="center"/>
          </w:tcPr>
          <w:p w14:paraId="6FE824DF">
            <w:pPr>
              <w:pStyle w:val="129"/>
              <w:spacing w:line="460" w:lineRule="exact"/>
              <w:rPr>
                <w:rFonts w:hint="eastAsia"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sym w:font="Wingdings" w:char="00FE"/>
            </w:r>
            <w:r>
              <w:rPr>
                <w:rFonts w:hint="eastAsia" w:cs="宋体" w:asciiTheme="minorEastAsia" w:hAnsiTheme="minorEastAsia" w:eastAsiaTheme="minorEastAsia"/>
                <w:szCs w:val="24"/>
                <w:highlight w:val="none"/>
              </w:rPr>
              <w:t>不接受</w:t>
            </w:r>
          </w:p>
          <w:p w14:paraId="37DB6CC8">
            <w:pPr>
              <w:pStyle w:val="129"/>
              <w:spacing w:line="460" w:lineRule="exact"/>
              <w:rPr>
                <w:rFonts w:hint="eastAsia" w:cs="宋体" w:asciiTheme="minorEastAsia" w:hAnsiTheme="minorEastAsia" w:eastAsiaTheme="minorEastAsia"/>
                <w:szCs w:val="24"/>
                <w:highlight w:val="none"/>
                <w:lang w:val="zh-CN"/>
              </w:rPr>
            </w:pPr>
            <w:r>
              <w:rPr>
                <w:rFonts w:hint="eastAsia" w:cs="宋体" w:asciiTheme="minorEastAsia" w:hAnsiTheme="minorEastAsia" w:eastAsiaTheme="minorEastAsia"/>
                <w:szCs w:val="24"/>
                <w:highlight w:val="none"/>
              </w:rPr>
              <w:sym w:font="Wingdings" w:char="00A8"/>
            </w:r>
            <w:r>
              <w:rPr>
                <w:rFonts w:hint="eastAsia" w:cs="宋体" w:asciiTheme="minorEastAsia" w:hAnsiTheme="minorEastAsia" w:eastAsiaTheme="minorEastAsia"/>
                <w:szCs w:val="24"/>
                <w:highlight w:val="none"/>
                <w:lang w:val="zh-CN"/>
              </w:rPr>
              <w:t>接受</w:t>
            </w:r>
          </w:p>
          <w:p w14:paraId="77E9128A">
            <w:pPr>
              <w:pStyle w:val="129"/>
              <w:spacing w:line="460" w:lineRule="exact"/>
              <w:rPr>
                <w:rFonts w:hint="eastAsia" w:cs="宋体" w:asciiTheme="minorEastAsia" w:hAnsiTheme="minorEastAsia" w:eastAsiaTheme="minorEastAsia"/>
                <w:szCs w:val="24"/>
                <w:highlight w:val="none"/>
                <w:lang w:val="zh-CN"/>
              </w:rPr>
            </w:pPr>
            <w:r>
              <w:rPr>
                <w:rFonts w:hint="eastAsia" w:cs="宋体" w:asciiTheme="minorEastAsia" w:hAnsiTheme="minorEastAsia" w:eastAsiaTheme="minorEastAsia"/>
                <w:szCs w:val="24"/>
                <w:highlight w:val="none"/>
                <w:lang w:val="zh-CN"/>
              </w:rPr>
              <w:t>根据《国务院办公厅关于在政府采购中实施本国产品标准及相关政策的通知》（国办发〔2025〕34 号）的相关规定，投标产品符合“本国产品标准”的，按照以下政策执行价格评审优惠：</w:t>
            </w:r>
          </w:p>
          <w:p w14:paraId="437928D3">
            <w:pPr>
              <w:pStyle w:val="129"/>
              <w:spacing w:line="460" w:lineRule="exact"/>
              <w:ind w:firstLine="480" w:firstLineChars="200"/>
              <w:rPr>
                <w:rFonts w:hint="eastAsia" w:cs="宋体" w:asciiTheme="minorEastAsia" w:hAnsiTheme="minorEastAsia" w:eastAsiaTheme="minorEastAsia"/>
                <w:szCs w:val="24"/>
                <w:highlight w:val="none"/>
                <w:lang w:val="zh-CN"/>
              </w:rPr>
            </w:pPr>
            <w:r>
              <w:rPr>
                <w:rFonts w:hint="eastAsia" w:cs="宋体" w:asciiTheme="minorEastAsia" w:hAnsiTheme="minorEastAsia" w:eastAsiaTheme="minorEastAsia"/>
                <w:szCs w:val="24"/>
                <w:highlight w:val="none"/>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1A2007B0">
            <w:pPr>
              <w:pStyle w:val="129"/>
              <w:spacing w:line="460" w:lineRule="exact"/>
              <w:ind w:firstLine="480" w:firstLineChars="200"/>
              <w:rPr>
                <w:rFonts w:hint="eastAsia" w:cs="宋体" w:asciiTheme="minorEastAsia" w:hAnsiTheme="minorEastAsia" w:eastAsiaTheme="minorEastAsia"/>
                <w:szCs w:val="24"/>
                <w:highlight w:val="none"/>
                <w:lang w:val="zh-CN"/>
              </w:rPr>
            </w:pPr>
            <w:r>
              <w:rPr>
                <w:rFonts w:hint="eastAsia" w:cs="宋体" w:asciiTheme="minorEastAsia" w:hAnsiTheme="minorEastAsia" w:eastAsiaTheme="minorEastAsia"/>
                <w:szCs w:val="24"/>
                <w:highlight w:val="none"/>
                <w:lang w:val="zh-CN"/>
              </w:rPr>
              <w:t>符合以上政策价格评审优惠政策的，需按以下要求提供证明文件，否则不予享受价格评审优惠政策：</w:t>
            </w:r>
          </w:p>
          <w:p w14:paraId="59D3A707">
            <w:pPr>
              <w:spacing w:line="276" w:lineRule="auto"/>
              <w:jc w:val="left"/>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sz w:val="24"/>
                <w:szCs w:val="24"/>
                <w:highlight w:val="none"/>
                <w:lang w:val="zh-CN"/>
              </w:rPr>
              <w:t>（一）出具《关于符合本国产品标准的声明函》（样式见第</w:t>
            </w:r>
            <w:r>
              <w:rPr>
                <w:rFonts w:hint="eastAsia" w:cs="宋体" w:asciiTheme="minorEastAsia" w:hAnsiTheme="minorEastAsia" w:eastAsiaTheme="minorEastAsia"/>
                <w:sz w:val="24"/>
                <w:szCs w:val="24"/>
                <w:highlight w:val="none"/>
              </w:rPr>
              <w:t>六部分</w:t>
            </w:r>
            <w:r>
              <w:rPr>
                <w:rFonts w:hint="eastAsia" w:cs="宋体" w:asciiTheme="minorEastAsia" w:hAnsiTheme="minorEastAsia" w:eastAsiaTheme="minorEastAsia"/>
                <w:sz w:val="24"/>
                <w:szCs w:val="24"/>
                <w:highlight w:val="none"/>
                <w:lang w:val="zh-CN"/>
              </w:rPr>
              <w:t>投标文件格式，以下简称《声明函》）或财政部会同有关部门规</w:t>
            </w:r>
            <w:r>
              <w:rPr>
                <w:rFonts w:hint="eastAsia" w:cs="宋体" w:asciiTheme="minorEastAsia" w:hAnsiTheme="minorEastAsia" w:eastAsiaTheme="minorEastAsia"/>
                <w:kern w:val="0"/>
                <w:sz w:val="24"/>
                <w:szCs w:val="24"/>
                <w:highlight w:val="none"/>
                <w:lang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6BFFC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5A7C186">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31</w:t>
            </w:r>
          </w:p>
        </w:tc>
        <w:tc>
          <w:tcPr>
            <w:tcW w:w="2509" w:type="dxa"/>
            <w:vAlign w:val="center"/>
          </w:tcPr>
          <w:p w14:paraId="6FB82AFC">
            <w:pPr>
              <w:spacing w:line="276" w:lineRule="auto"/>
              <w:jc w:val="center"/>
              <w:rPr>
                <w:rFonts w:hint="eastAsia" w:cs="宋体" w:asciiTheme="minorEastAsia" w:hAnsiTheme="minorEastAsia" w:eastAsiaTheme="minorEastAsia"/>
                <w:b/>
                <w:bCs/>
                <w:sz w:val="24"/>
                <w:szCs w:val="24"/>
                <w:highlight w:val="none"/>
                <w:lang w:val="zh-CN"/>
              </w:rPr>
            </w:pPr>
            <w:r>
              <w:rPr>
                <w:rFonts w:hint="eastAsia" w:cs="宋体" w:asciiTheme="minorEastAsia" w:hAnsiTheme="minorEastAsia" w:eastAsiaTheme="minorEastAsia"/>
                <w:b/>
                <w:bCs/>
                <w:sz w:val="24"/>
                <w:szCs w:val="24"/>
                <w:highlight w:val="none"/>
              </w:rPr>
              <w:t>政府采购异常低价</w:t>
            </w:r>
          </w:p>
        </w:tc>
        <w:tc>
          <w:tcPr>
            <w:tcW w:w="6837" w:type="dxa"/>
            <w:vAlign w:val="center"/>
          </w:tcPr>
          <w:p w14:paraId="075608AD">
            <w:pPr>
              <w:pStyle w:val="129"/>
              <w:spacing w:line="460" w:lineRule="exact"/>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关于政府采购异常低价问题：</w:t>
            </w:r>
          </w:p>
          <w:p w14:paraId="0A978388">
            <w:pPr>
              <w:pStyle w:val="129"/>
              <w:spacing w:line="460" w:lineRule="exact"/>
              <w:ind w:firstLine="480" w:firstLineChars="200"/>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1.“恶意低价中标”指报价明显低于成本，且无法通过审查证明合理性的情形，一经认定，取消投标资格。</w:t>
            </w:r>
          </w:p>
          <w:p w14:paraId="719DB219">
            <w:pPr>
              <w:pStyle w:val="129"/>
              <w:spacing w:line="460" w:lineRule="exact"/>
              <w:ind w:firstLine="480" w:firstLineChars="200"/>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2.异常低价审查规则（依据《关于推动解决政府采购异常低价问题的通知》财库〔2026〕2号）：</w:t>
            </w:r>
          </w:p>
          <w:p w14:paraId="49C6640A">
            <w:pPr>
              <w:pStyle w:val="129"/>
              <w:spacing w:line="460" w:lineRule="exact"/>
              <w:ind w:firstLine="480" w:firstLineChars="200"/>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①启动审查情形（满足任一即启动）：</w:t>
            </w:r>
          </w:p>
          <w:p w14:paraId="5AF8B051">
            <w:pPr>
              <w:pStyle w:val="129"/>
              <w:spacing w:line="460" w:lineRule="exact"/>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报价＜全部通过符合性审查供应商报价平均值×50%；</w:t>
            </w:r>
          </w:p>
          <w:p w14:paraId="119107B8">
            <w:pPr>
              <w:pStyle w:val="129"/>
              <w:spacing w:line="460" w:lineRule="exact"/>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报价＜通过符合性审查的次低报价 ×50%；</w:t>
            </w:r>
          </w:p>
          <w:p w14:paraId="03E1CDBA">
            <w:pPr>
              <w:pStyle w:val="129"/>
              <w:spacing w:line="460" w:lineRule="exact"/>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报价＜本项目最高限价×45%；</w:t>
            </w:r>
          </w:p>
          <w:p w14:paraId="089E0EAC">
            <w:pPr>
              <w:pStyle w:val="129"/>
              <w:spacing w:line="460" w:lineRule="exact"/>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评审委员会基于专业判断，认为报价过低可能影响产品质量或诚信履约的；</w:t>
            </w:r>
          </w:p>
          <w:p w14:paraId="32A59582">
            <w:pPr>
              <w:pStyle w:val="129"/>
              <w:spacing w:line="460" w:lineRule="exact"/>
              <w:ind w:firstLine="480" w:firstLineChars="200"/>
              <w:rPr>
                <w:rFonts w:hint="eastAsia" w:cs="宋体" w:asciiTheme="minorEastAsia" w:hAnsiTheme="minorEastAsia" w:eastAsiaTheme="minorEastAsia"/>
                <w:snapToGrid w:val="0"/>
                <w:szCs w:val="24"/>
                <w:highlight w:val="none"/>
              </w:rPr>
            </w:pPr>
            <w:r>
              <w:rPr>
                <w:rFonts w:hint="eastAsia" w:cs="宋体" w:asciiTheme="minorEastAsia" w:hAnsiTheme="minorEastAsia" w:eastAsiaTheme="minorEastAsia"/>
                <w:snapToGrid w:val="0"/>
                <w:szCs w:val="24"/>
                <w:highlight w:val="none"/>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15655879">
            <w:pPr>
              <w:pStyle w:val="129"/>
              <w:spacing w:line="460" w:lineRule="exact"/>
              <w:ind w:firstLine="480" w:firstLineChars="200"/>
              <w:rPr>
                <w:rFonts w:hint="eastAsia" w:cs="宋体" w:asciiTheme="minorEastAsia" w:hAnsiTheme="minorEastAsia" w:eastAsiaTheme="minorEastAsia"/>
                <w:szCs w:val="24"/>
                <w:highlight w:val="none"/>
                <w:lang w:val="zh-CN"/>
              </w:rPr>
            </w:pPr>
            <w:r>
              <w:rPr>
                <w:rFonts w:hint="eastAsia" w:cs="宋体" w:asciiTheme="minorEastAsia" w:hAnsiTheme="minorEastAsia" w:eastAsiaTheme="minorEastAsia"/>
                <w:snapToGrid w:val="0"/>
                <w:szCs w:val="24"/>
                <w:highlight w:val="none"/>
              </w:rPr>
              <w:t>③结果处理：供应商未提供说明/材料，或材料无法证明报价合理性的，按“无效投标”处理；审查过程（启动原因、专家意见、供应商材料）需随评审报告归档，互联网查询记录需留存；</w:t>
            </w:r>
          </w:p>
        </w:tc>
      </w:tr>
      <w:tr w14:paraId="1323F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FB26A69">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32</w:t>
            </w:r>
          </w:p>
        </w:tc>
        <w:tc>
          <w:tcPr>
            <w:tcW w:w="9346" w:type="dxa"/>
            <w:gridSpan w:val="2"/>
            <w:vAlign w:val="center"/>
          </w:tcPr>
          <w:p w14:paraId="0AA911FE">
            <w:pPr>
              <w:spacing w:line="276" w:lineRule="auto"/>
              <w:jc w:val="left"/>
              <w:rPr>
                <w:rFonts w:hint="eastAsia" w:cs="宋体" w:asciiTheme="minorEastAsia" w:hAnsiTheme="minorEastAsia" w:eastAsiaTheme="minorEastAsia"/>
                <w:bCs/>
                <w:kern w:val="0"/>
                <w:sz w:val="24"/>
                <w:szCs w:val="24"/>
                <w:highlight w:val="none"/>
              </w:rPr>
            </w:pPr>
            <w:r>
              <w:rPr>
                <w:rFonts w:hint="eastAsia" w:cs="宋体" w:asciiTheme="minorEastAsia" w:hAnsiTheme="minorEastAsia" w:eastAsiaTheme="minorEastAsia"/>
                <w:bCs/>
                <w:kern w:val="0"/>
                <w:sz w:val="24"/>
                <w:szCs w:val="24"/>
                <w:highlight w:val="none"/>
                <w:lang w:val="zh-TW"/>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843F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6650567A">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33</w:t>
            </w:r>
          </w:p>
        </w:tc>
        <w:tc>
          <w:tcPr>
            <w:tcW w:w="9346" w:type="dxa"/>
            <w:gridSpan w:val="2"/>
            <w:vAlign w:val="center"/>
          </w:tcPr>
          <w:p w14:paraId="3312834D">
            <w:pPr>
              <w:spacing w:line="276" w:lineRule="auto"/>
              <w:jc w:val="left"/>
              <w:rPr>
                <w:rFonts w:hint="eastAsia" w:cs="宋体" w:asciiTheme="minorEastAsia" w:hAnsiTheme="minorEastAsia" w:eastAsiaTheme="minorEastAsia"/>
                <w:bCs/>
                <w:kern w:val="0"/>
                <w:sz w:val="24"/>
                <w:szCs w:val="24"/>
                <w:highlight w:val="none"/>
              </w:rPr>
            </w:pPr>
            <w:r>
              <w:rPr>
                <w:rFonts w:hint="eastAsia" w:cs="宋体" w:asciiTheme="minorEastAsia" w:hAnsiTheme="minorEastAsia" w:eastAsiaTheme="minorEastAsia"/>
                <w:bCs/>
                <w:kern w:val="0"/>
                <w:sz w:val="24"/>
                <w:szCs w:val="24"/>
                <w:highlight w:val="none"/>
              </w:rPr>
              <w:t>政采云平台中的报价明细表需按投标产品逐条填写，如简写为详见投标文件等，则该供应商的投标文件作废标处理。</w:t>
            </w:r>
          </w:p>
        </w:tc>
      </w:tr>
      <w:tr w14:paraId="4D4FD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12D750CA">
            <w:pPr>
              <w:overflowPunct w:val="0"/>
              <w:spacing w:line="276" w:lineRule="auto"/>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34</w:t>
            </w:r>
          </w:p>
        </w:tc>
        <w:tc>
          <w:tcPr>
            <w:tcW w:w="9346" w:type="dxa"/>
            <w:gridSpan w:val="2"/>
            <w:vAlign w:val="center"/>
          </w:tcPr>
          <w:p w14:paraId="6943137F">
            <w:pPr>
              <w:spacing w:line="276" w:lineRule="auto"/>
              <w:jc w:val="left"/>
              <w:rPr>
                <w:rFonts w:hint="eastAsia" w:cs="宋体" w:asciiTheme="minorEastAsia" w:hAnsiTheme="minorEastAsia" w:eastAsiaTheme="minorEastAsia"/>
                <w:bCs/>
                <w:kern w:val="0"/>
                <w:sz w:val="24"/>
                <w:szCs w:val="24"/>
                <w:highlight w:val="none"/>
              </w:rPr>
            </w:pPr>
            <w:r>
              <w:rPr>
                <w:rFonts w:hint="eastAsia" w:cs="宋体" w:asciiTheme="minorEastAsia" w:hAnsiTheme="minorEastAsia" w:eastAsiaTheme="minorEastAsia"/>
                <w:b/>
                <w:kern w:val="0"/>
                <w:sz w:val="24"/>
                <w:szCs w:val="24"/>
                <w:highlight w:val="none"/>
              </w:rPr>
              <w:t>核心产品：</w:t>
            </w:r>
            <w:r>
              <w:rPr>
                <w:rFonts w:hint="eastAsia" w:cs="Arial" w:asciiTheme="minorEastAsia" w:hAnsiTheme="minorEastAsia" w:eastAsiaTheme="minorEastAsia"/>
                <w:kern w:val="0"/>
                <w:sz w:val="24"/>
                <w:szCs w:val="24"/>
                <w:highlight w:val="none"/>
              </w:rPr>
              <w:t>超高效液相色谱-三重四级杆质谱联用仪</w:t>
            </w:r>
          </w:p>
        </w:tc>
      </w:tr>
      <w:tr w14:paraId="152DD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C33AA16">
            <w:pPr>
              <w:overflowPunct w:val="0"/>
              <w:jc w:val="cente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备注</w:t>
            </w:r>
          </w:p>
        </w:tc>
        <w:tc>
          <w:tcPr>
            <w:tcW w:w="9346" w:type="dxa"/>
            <w:gridSpan w:val="2"/>
            <w:vAlign w:val="center"/>
          </w:tcPr>
          <w:p w14:paraId="3510C4B1">
            <w:pPr>
              <w:ind w:firstLine="472" w:firstLineChars="196"/>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1</w:t>
            </w:r>
            <w:r>
              <w:rPr>
                <w:rFonts w:hint="eastAsia" w:asciiTheme="minorEastAsia" w:hAnsiTheme="minorEastAsia" w:eastAsiaTheme="minorEastAsia"/>
                <w:b/>
                <w:sz w:val="24"/>
                <w:szCs w:val="24"/>
                <w:highlight w:val="none"/>
              </w:rPr>
              <w:t>、招标文件中加粗、加下划线、废标、无效标、投标被拒绝字样的条款，为招标的实质性要求和条件，着重提醒各投标人注意，并认真查看招标文件中的每一个条款及要求，因误读招标文件而造成的后果，招标人概不负责。</w:t>
            </w:r>
          </w:p>
          <w:p w14:paraId="5F5684B4">
            <w:pPr>
              <w:ind w:firstLine="472" w:firstLineChars="196"/>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2</w:t>
            </w:r>
            <w:r>
              <w:rPr>
                <w:rFonts w:hint="eastAsia" w:asciiTheme="minorEastAsia" w:hAnsiTheme="minorEastAsia" w:eastAsiaTheme="minorEastAsia"/>
                <w:b/>
                <w:sz w:val="24"/>
                <w:szCs w:val="24"/>
                <w:highlight w:val="none"/>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78DDB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1A603BAA">
            <w:pPr>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6CB06E13">
      <w:pPr>
        <w:pStyle w:val="87"/>
        <w:spacing w:line="440" w:lineRule="exact"/>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4" w:name="_Toc89792126"/>
      <w:bookmarkStart w:id="5" w:name="_Toc3402"/>
      <w:r>
        <w:rPr>
          <w:rFonts w:hint="eastAsia" w:ascii="宋体" w:hAnsi="宋体"/>
          <w:b/>
          <w:color w:val="auto"/>
          <w:kern w:val="2"/>
          <w:sz w:val="32"/>
          <w:szCs w:val="20"/>
          <w:highlight w:val="none"/>
        </w:rPr>
        <w:t>第二部分 招标说明</w:t>
      </w:r>
      <w:bookmarkEnd w:id="4"/>
      <w:bookmarkEnd w:id="5"/>
    </w:p>
    <w:p w14:paraId="477BB3AE">
      <w:pPr>
        <w:pStyle w:val="87"/>
        <w:spacing w:line="440" w:lineRule="exact"/>
        <w:jc w:val="center"/>
        <w:rPr>
          <w:rFonts w:hint="eastAsia" w:ascii="宋体" w:hAnsi="宋体"/>
          <w:b/>
          <w:color w:val="auto"/>
          <w:kern w:val="2"/>
          <w:sz w:val="32"/>
          <w:szCs w:val="32"/>
          <w:highlight w:val="none"/>
        </w:rPr>
      </w:pPr>
    </w:p>
    <w:p w14:paraId="6FA8FFE3">
      <w:pPr>
        <w:pStyle w:val="87"/>
        <w:spacing w:line="440" w:lineRule="exact"/>
        <w:jc w:val="center"/>
        <w:outlineLvl w:val="1"/>
        <w:rPr>
          <w:rFonts w:hint="eastAsia" w:ascii="宋体" w:hAnsi="宋体"/>
          <w:b/>
          <w:color w:val="auto"/>
          <w:kern w:val="2"/>
          <w:sz w:val="28"/>
          <w:szCs w:val="28"/>
          <w:highlight w:val="none"/>
        </w:rPr>
      </w:pPr>
      <w:bookmarkStart w:id="6" w:name="_Toc27276"/>
      <w:bookmarkStart w:id="7" w:name="_Toc89792127"/>
      <w:r>
        <w:rPr>
          <w:rFonts w:hint="eastAsia" w:ascii="宋体" w:hAnsi="宋体"/>
          <w:b/>
          <w:color w:val="auto"/>
          <w:kern w:val="2"/>
          <w:sz w:val="28"/>
          <w:szCs w:val="28"/>
          <w:highlight w:val="none"/>
        </w:rPr>
        <w:t>第一章 总则</w:t>
      </w:r>
      <w:bookmarkEnd w:id="6"/>
      <w:bookmarkEnd w:id="7"/>
    </w:p>
    <w:p w14:paraId="416D93F6">
      <w:pPr>
        <w:spacing w:line="440" w:lineRule="exact"/>
        <w:ind w:firstLine="470" w:firstLineChars="196"/>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1. </w:t>
      </w:r>
      <w:r>
        <w:rPr>
          <w:rFonts w:hint="eastAsia" w:asciiTheme="minorEastAsia" w:hAnsiTheme="minorEastAsia" w:eastAsiaTheme="minorEastAsia"/>
          <w:bCs/>
          <w:sz w:val="24"/>
          <w:szCs w:val="24"/>
          <w:highlight w:val="none"/>
        </w:rPr>
        <w:t>适用范围</w:t>
      </w:r>
    </w:p>
    <w:p w14:paraId="23D21ECF">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1.1  </w:t>
      </w:r>
      <w:r>
        <w:rPr>
          <w:rFonts w:hint="eastAsia" w:asciiTheme="minorEastAsia" w:hAnsiTheme="minorEastAsia" w:eastAsiaTheme="minorEastAsia"/>
          <w:bCs/>
          <w:sz w:val="24"/>
          <w:szCs w:val="24"/>
          <w:highlight w:val="none"/>
        </w:rPr>
        <w:t>本招标文件仅适用于</w:t>
      </w:r>
      <w:r>
        <w:rPr>
          <w:rFonts w:hint="eastAsia" w:cs="宋体" w:asciiTheme="minorEastAsia" w:hAnsiTheme="minorEastAsia" w:eastAsiaTheme="minorEastAsia"/>
          <w:bCs/>
          <w:sz w:val="24"/>
          <w:szCs w:val="24"/>
          <w:highlight w:val="none"/>
        </w:rPr>
        <w:t>本招标公告中所述项目的货物及相关服务的采购</w:t>
      </w:r>
      <w:r>
        <w:rPr>
          <w:rFonts w:hint="eastAsia" w:asciiTheme="minorEastAsia" w:hAnsiTheme="minorEastAsia" w:eastAsiaTheme="minorEastAsia"/>
          <w:bCs/>
          <w:sz w:val="24"/>
          <w:szCs w:val="24"/>
          <w:highlight w:val="none"/>
        </w:rPr>
        <w:t>。</w:t>
      </w:r>
    </w:p>
    <w:p w14:paraId="4EF4A7E4">
      <w:pPr>
        <w:tabs>
          <w:tab w:val="left" w:pos="1185"/>
        </w:tabs>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2. </w:t>
      </w:r>
      <w:r>
        <w:rPr>
          <w:rFonts w:hint="eastAsia" w:asciiTheme="minorEastAsia" w:hAnsiTheme="minorEastAsia" w:eastAsiaTheme="minorEastAsia"/>
          <w:bCs/>
          <w:sz w:val="24"/>
          <w:szCs w:val="24"/>
          <w:highlight w:val="none"/>
        </w:rPr>
        <w:t>投标资格</w:t>
      </w:r>
    </w:p>
    <w:p w14:paraId="1AD9B49D">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2.</w:t>
      </w:r>
      <w:r>
        <w:rPr>
          <w:rFonts w:hint="eastAsia" w:asciiTheme="minorEastAsia" w:hAnsiTheme="minorEastAsia" w:eastAsiaTheme="minorEastAsia"/>
          <w:bCs/>
          <w:sz w:val="24"/>
          <w:szCs w:val="24"/>
          <w:highlight w:val="none"/>
        </w:rPr>
        <w:t>1. 满足《中华人民共和国政府采购法》第二十二条规定；</w:t>
      </w:r>
    </w:p>
    <w:p w14:paraId="2CF2BC42">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2.</w:t>
      </w:r>
      <w:r>
        <w:rPr>
          <w:rFonts w:hint="eastAsia" w:asciiTheme="minorEastAsia" w:hAnsiTheme="minorEastAsia" w:eastAsiaTheme="minorEastAsia"/>
          <w:bCs/>
          <w:sz w:val="24"/>
          <w:szCs w:val="24"/>
          <w:highlight w:val="none"/>
        </w:rPr>
        <w:t>2. 落实政府采购政策需满足的资格要求：见投标须知前附表</w:t>
      </w:r>
    </w:p>
    <w:p w14:paraId="772D05EB">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2.</w:t>
      </w:r>
      <w:r>
        <w:rPr>
          <w:rFonts w:hint="eastAsia" w:asciiTheme="minorEastAsia" w:hAnsiTheme="minorEastAsia" w:eastAsiaTheme="minorEastAsia"/>
          <w:bCs/>
          <w:sz w:val="24"/>
          <w:szCs w:val="24"/>
          <w:highlight w:val="none"/>
        </w:rPr>
        <w:t>3. 本项目的特定资格要求：见投标须知前附表</w:t>
      </w:r>
      <w:r>
        <w:rPr>
          <w:rFonts w:asciiTheme="minorEastAsia" w:hAnsiTheme="minorEastAsia" w:eastAsiaTheme="minorEastAsia"/>
          <w:bCs/>
          <w:sz w:val="24"/>
          <w:szCs w:val="24"/>
          <w:highlight w:val="none"/>
        </w:rPr>
        <w:t xml:space="preserve"> </w:t>
      </w:r>
    </w:p>
    <w:p w14:paraId="1548EF53">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3.</w:t>
      </w:r>
      <w:r>
        <w:rPr>
          <w:rFonts w:hint="eastAsia" w:asciiTheme="minorEastAsia" w:hAnsiTheme="minorEastAsia" w:eastAsiaTheme="minorEastAsia"/>
          <w:bCs/>
          <w:sz w:val="24"/>
          <w:szCs w:val="24"/>
          <w:highlight w:val="none"/>
        </w:rPr>
        <w:t xml:space="preserve"> 投标人存在下列情形之一的，拒绝其参加本次投标（已投标的按无效标处理）：</w:t>
      </w:r>
    </w:p>
    <w:p w14:paraId="2A120CCF">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（1）为招标人不具有独立法人资格的附属机构（单位）；</w:t>
      </w:r>
    </w:p>
    <w:p w14:paraId="118229E2">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（2）为本标段前期准备提供设计或咨询服务的；</w:t>
      </w:r>
    </w:p>
    <w:p w14:paraId="498D7DEC">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（3）为本标段提供招标代理服务的；</w:t>
      </w:r>
    </w:p>
    <w:p w14:paraId="542490C3">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（4）法定代表人为同一人的两个及两个以上法人，母公司、全资子公司及其控股公司，在同一货物采购招标中同时投标的；</w:t>
      </w:r>
    </w:p>
    <w:p w14:paraId="19D2745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（5）单位负责人为同一人或者存在直接控股、管理关系的不同供应商（服务商），不得参加同一合同项下的政府采购活动；</w:t>
      </w:r>
    </w:p>
    <w:p w14:paraId="39C6E05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（6）被责令停业的；</w:t>
      </w:r>
    </w:p>
    <w:p w14:paraId="1D9A1BB1">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（7）被暂停或取消投标资格的；</w:t>
      </w:r>
    </w:p>
    <w:p w14:paraId="3C2508DA">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（8）财产被接管或冻结的；</w:t>
      </w:r>
    </w:p>
    <w:p w14:paraId="73D16BD5">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（9）在最近三年内有骗取中标或严重违约或重大质量问题的，受到行政处罚的。</w:t>
      </w:r>
    </w:p>
    <w:p w14:paraId="4422C603">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4. </w:t>
      </w:r>
      <w:r>
        <w:rPr>
          <w:rFonts w:hint="eastAsia" w:asciiTheme="minorEastAsia" w:hAnsiTheme="minorEastAsia" w:eastAsiaTheme="minorEastAsia"/>
          <w:bCs/>
          <w:sz w:val="24"/>
          <w:szCs w:val="24"/>
          <w:highlight w:val="none"/>
        </w:rPr>
        <w:t>有下列情形之一的，视为投标人串通投标，其投标无效：</w:t>
      </w:r>
    </w:p>
    <w:p w14:paraId="05132FD8">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1</w:t>
      </w:r>
      <w:r>
        <w:rPr>
          <w:rFonts w:hint="eastAsia" w:asciiTheme="minorEastAsia" w:hAnsiTheme="minorEastAsia" w:eastAsiaTheme="minorEastAsia"/>
          <w:bCs/>
          <w:sz w:val="24"/>
          <w:szCs w:val="24"/>
          <w:highlight w:val="none"/>
        </w:rPr>
        <w:t>）不同投标人的投标文件由同一单位或者个人编制。</w:t>
      </w:r>
    </w:p>
    <w:p w14:paraId="4C1F2146">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2</w:t>
      </w:r>
      <w:r>
        <w:rPr>
          <w:rFonts w:hint="eastAsia" w:asciiTheme="minorEastAsia" w:hAnsiTheme="minorEastAsia" w:eastAsiaTheme="minorEastAsia"/>
          <w:bCs/>
          <w:sz w:val="24"/>
          <w:szCs w:val="24"/>
          <w:highlight w:val="none"/>
        </w:rPr>
        <w:t>）不同投标人委托同一单位或者个人办理投标事宜。</w:t>
      </w:r>
    </w:p>
    <w:p w14:paraId="614C4FEC">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3</w:t>
      </w:r>
      <w:r>
        <w:rPr>
          <w:rFonts w:hint="eastAsia" w:asciiTheme="minorEastAsia" w:hAnsiTheme="minorEastAsia" w:eastAsiaTheme="minorEastAsia"/>
          <w:bCs/>
          <w:sz w:val="24"/>
          <w:szCs w:val="24"/>
          <w:highlight w:val="none"/>
        </w:rPr>
        <w:t>）不同投标人的投标文件载明的项目管理成员或者联系人员为同一人。</w:t>
      </w:r>
    </w:p>
    <w:p w14:paraId="47A2F43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4</w:t>
      </w:r>
      <w:r>
        <w:rPr>
          <w:rFonts w:hint="eastAsia" w:asciiTheme="minorEastAsia" w:hAnsiTheme="minorEastAsia" w:eastAsiaTheme="minorEastAsia"/>
          <w:bCs/>
          <w:sz w:val="24"/>
          <w:szCs w:val="24"/>
          <w:highlight w:val="none"/>
        </w:rPr>
        <w:t>）不同投标人的投标文件异常一致或者投标报价呈规律性差异。</w:t>
      </w:r>
    </w:p>
    <w:p w14:paraId="5180AA64">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5</w:t>
      </w:r>
      <w:r>
        <w:rPr>
          <w:rFonts w:hint="eastAsia" w:asciiTheme="minorEastAsia" w:hAnsiTheme="minorEastAsia" w:eastAsiaTheme="minorEastAsia"/>
          <w:bCs/>
          <w:sz w:val="24"/>
          <w:szCs w:val="24"/>
          <w:highlight w:val="none"/>
        </w:rPr>
        <w:t>）不同投标人的投标文件相互混装。</w:t>
      </w:r>
    </w:p>
    <w:p w14:paraId="50159D30">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w:t>
      </w:r>
      <w:r>
        <w:rPr>
          <w:rFonts w:asciiTheme="minorEastAsia" w:hAnsiTheme="minorEastAsia" w:eastAsiaTheme="minorEastAsia"/>
          <w:bCs/>
          <w:sz w:val="24"/>
          <w:szCs w:val="24"/>
          <w:highlight w:val="none"/>
        </w:rPr>
        <w:t>6</w:t>
      </w:r>
      <w:r>
        <w:rPr>
          <w:rFonts w:hint="eastAsia" w:asciiTheme="minorEastAsia" w:hAnsiTheme="minorEastAsia" w:eastAsiaTheme="minorEastAsia"/>
          <w:bCs/>
          <w:sz w:val="24"/>
          <w:szCs w:val="24"/>
          <w:highlight w:val="none"/>
        </w:rPr>
        <w:t>）不同投标人的投标保证金从同一单位或者个人的账户转出。</w:t>
      </w:r>
    </w:p>
    <w:p w14:paraId="683C12A0">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（7）投标文件技术规格中的响应与事实不符或虚假投标的；</w:t>
      </w:r>
    </w:p>
    <w:p w14:paraId="63A37C4F">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（8）投标文件符合招标文件中规定废标的其它技术条款；</w:t>
      </w:r>
    </w:p>
    <w:p w14:paraId="11E4CA07">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（9）投标人拒绝修正错误的；</w:t>
      </w:r>
    </w:p>
    <w:p w14:paraId="11273487">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（10）其他违反相关法律法规规定的行为的；</w:t>
      </w:r>
    </w:p>
    <w:p w14:paraId="2816EB8C">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（11）评标委员会认为是其他应当否决的投标。</w:t>
      </w:r>
    </w:p>
    <w:p w14:paraId="12571ECC">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5. </w:t>
      </w:r>
      <w:r>
        <w:rPr>
          <w:rFonts w:hint="eastAsia" w:asciiTheme="minorEastAsia" w:hAnsiTheme="minorEastAsia" w:eastAsiaTheme="minorEastAsia"/>
          <w:bCs/>
          <w:sz w:val="24"/>
          <w:szCs w:val="24"/>
          <w:highlight w:val="none"/>
        </w:rPr>
        <w:t>投标人在本次招标活动中，必须遵守《中华人民共和国政府采购法》及相关法律法规的规定。</w:t>
      </w:r>
    </w:p>
    <w:p w14:paraId="33452FC8">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6</w:t>
      </w:r>
      <w:r>
        <w:rPr>
          <w:rFonts w:hint="eastAsia" w:asciiTheme="minorEastAsia" w:hAnsiTheme="minorEastAsia" w:eastAsiaTheme="minorEastAsia"/>
          <w:bCs/>
          <w:sz w:val="24"/>
          <w:szCs w:val="24"/>
          <w:highlight w:val="none"/>
        </w:rPr>
        <w:t>. 定义</w:t>
      </w:r>
    </w:p>
    <w:p w14:paraId="0046E3E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下列术语和缩写的定义为：</w:t>
      </w:r>
    </w:p>
    <w:p w14:paraId="3AA2AD86">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6.1  “采购人”是指依法进行政府采购的国家机关、事业单位、团体组织。</w:t>
      </w:r>
    </w:p>
    <w:p w14:paraId="0DE7D0E4">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6.2  “招标代理机构”系指新疆守正项目管理咨询有限公司。</w:t>
      </w:r>
    </w:p>
    <w:p w14:paraId="11456936">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6.3  “招标方”系指采购人和招标代理机构的统称。</w:t>
      </w:r>
    </w:p>
    <w:p w14:paraId="2EE200CE">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6.4  “投标人”是响应招标文件并且符合招标文件规定资格条件和参加投标竞争的法人、其他组织或者自然人。</w:t>
      </w:r>
    </w:p>
    <w:p w14:paraId="2F459D8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5</w:t>
      </w:r>
      <w:r>
        <w:rPr>
          <w:rFonts w:hint="eastAsia" w:asciiTheme="minorEastAsia" w:hAnsiTheme="minorEastAsia" w:eastAsiaTheme="minorEastAsia"/>
          <w:bCs/>
          <w:sz w:val="24"/>
          <w:szCs w:val="24"/>
          <w:highlight w:val="none"/>
        </w:rPr>
        <w:t>　“供应商”是指向采购人提供货物、工程或者服务的法人、其他组织或者自然人。</w:t>
      </w:r>
    </w:p>
    <w:p w14:paraId="1CBA0557">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6</w:t>
      </w:r>
      <w:r>
        <w:rPr>
          <w:rFonts w:hint="eastAsia" w:asciiTheme="minorEastAsia" w:hAnsiTheme="minorEastAsia" w:eastAsiaTheme="minorEastAsia"/>
          <w:bCs/>
          <w:sz w:val="24"/>
          <w:szCs w:val="24"/>
          <w:highlight w:val="none"/>
        </w:rPr>
        <w:t xml:space="preserve">  “投标人代表”是指投标人法定代表人，或法定代表人指定的某一代表自己参与和处理与投标项目有关事宜的自然人。</w:t>
      </w:r>
    </w:p>
    <w:p w14:paraId="276B894A">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7</w:t>
      </w:r>
      <w:r>
        <w:rPr>
          <w:rFonts w:hint="eastAsia" w:asciiTheme="minorEastAsia" w:hAnsiTheme="minorEastAsia" w:eastAsiaTheme="minorEastAsia"/>
          <w:bCs/>
          <w:sz w:val="24"/>
          <w:szCs w:val="24"/>
          <w:highlight w:val="none"/>
        </w:rPr>
        <w:t xml:space="preserve"> “中标人”系指经评标委员、会评定后由评标委员会推荐并由采购人确定的投标人。</w:t>
      </w:r>
    </w:p>
    <w:p w14:paraId="637E9593">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8</w:t>
      </w:r>
      <w:r>
        <w:rPr>
          <w:rFonts w:hint="eastAsia" w:asciiTheme="minorEastAsia" w:hAnsiTheme="minorEastAsia" w:eastAsiaTheme="minorEastAsia"/>
          <w:bCs/>
          <w:sz w:val="24"/>
          <w:szCs w:val="24"/>
          <w:highlight w:val="none"/>
        </w:rPr>
        <w:t xml:space="preserve">  “货物”、“产品”指本招标文件中第四部分《采购需求》及《政府采购品目分类目录》(财库〔2022〕31号)所述所有货物及相关服务。</w:t>
      </w:r>
    </w:p>
    <w:p w14:paraId="0A3D235D">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9</w:t>
      </w:r>
      <w:r>
        <w:rPr>
          <w:rFonts w:hint="eastAsia" w:asciiTheme="minorEastAsia" w:hAnsiTheme="minorEastAsia" w:eastAsiaTheme="minorEastAsia"/>
          <w:bCs/>
          <w:sz w:val="24"/>
          <w:szCs w:val="24"/>
          <w:highlight w:val="none"/>
        </w:rPr>
        <w:t xml:space="preserve">  采购信息安全产品的，应当采购经国家认证的信息安全产品；供应货物中的相关产品，供应商应提供由中国信息安全认证中心按国家标准认证颁发的有效认证证书。</w:t>
      </w:r>
    </w:p>
    <w:p w14:paraId="66825D08">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10</w:t>
      </w:r>
      <w:r>
        <w:rPr>
          <w:rFonts w:hint="eastAsia" w:asciiTheme="minorEastAsia" w:hAnsiTheme="minorEastAsia" w:eastAsiaTheme="minorEastAsia"/>
          <w:bCs/>
          <w:sz w:val="24"/>
          <w:szCs w:val="24"/>
          <w:highlight w:val="none"/>
        </w:rPr>
        <w:t xml:space="preserve"> “节能产品”或者“环保产品”是指财政部发布的《节能产品政府采购品目清单》内并获得认证的产品及《环境标志产品政府采购品目清单》内并获得认证的产品。</w:t>
      </w:r>
    </w:p>
    <w:p w14:paraId="3237E93A">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w:t>
      </w:r>
      <w:r>
        <w:rPr>
          <w:rFonts w:asciiTheme="minorEastAsia" w:hAnsiTheme="minorEastAsia" w:eastAsiaTheme="minorEastAsia"/>
          <w:bCs/>
          <w:sz w:val="24"/>
          <w:szCs w:val="24"/>
          <w:highlight w:val="none"/>
        </w:rPr>
        <w:t>11</w:t>
      </w:r>
      <w:r>
        <w:rPr>
          <w:rFonts w:hint="eastAsia" w:asciiTheme="minorEastAsia" w:hAnsiTheme="minorEastAsia" w:eastAsiaTheme="minorEastAsia"/>
          <w:bCs/>
          <w:sz w:val="24"/>
          <w:szCs w:val="24"/>
          <w:highlight w:val="none"/>
        </w:rPr>
        <w:t xml:space="preserve"> “进口产品”是指通过中国海关报关验放进入中国境内且产自关境外的产品，详见《关于政府采购进口产品管理有关问题的通知》(财库[2007]119号)。</w:t>
      </w:r>
    </w:p>
    <w:p w14:paraId="25FB3070">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6.1</w:t>
      </w:r>
      <w:r>
        <w:rPr>
          <w:rFonts w:asciiTheme="minorEastAsia" w:hAnsiTheme="minorEastAsia" w:eastAsiaTheme="minorEastAsia"/>
          <w:bCs/>
          <w:sz w:val="24"/>
          <w:szCs w:val="24"/>
          <w:highlight w:val="none"/>
        </w:rPr>
        <w:t>2</w:t>
      </w:r>
      <w:r>
        <w:rPr>
          <w:rFonts w:hint="eastAsia" w:asciiTheme="minorEastAsia" w:hAnsiTheme="minorEastAsia" w:eastAsiaTheme="minorEastAsia"/>
          <w:bCs/>
          <w:sz w:val="24"/>
          <w:szCs w:val="24"/>
          <w:highlight w:val="none"/>
        </w:rPr>
        <w:t xml:space="preserve">  “服务”系指招标文件中规定投标人须承担的质保、技术协助、培训及其他类似的责任。</w:t>
      </w:r>
    </w:p>
    <w:p w14:paraId="307DEE6A">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6.1</w:t>
      </w:r>
      <w:r>
        <w:rPr>
          <w:rFonts w:asciiTheme="minorEastAsia" w:hAnsiTheme="minorEastAsia" w:eastAsiaTheme="minorEastAsia"/>
          <w:bCs/>
          <w:sz w:val="24"/>
          <w:szCs w:val="24"/>
          <w:highlight w:val="none"/>
        </w:rPr>
        <w:t>3</w:t>
      </w:r>
      <w:r>
        <w:rPr>
          <w:rFonts w:hint="eastAsia" w:asciiTheme="minorEastAsia" w:hAnsiTheme="minorEastAsia" w:eastAsiaTheme="minorEastAsia"/>
          <w:bCs/>
          <w:sz w:val="24"/>
          <w:szCs w:val="24"/>
          <w:highlight w:val="none"/>
        </w:rPr>
        <w:t xml:space="preserve"> “响应”系指投标人根据招标代理机构发布的招标文件，编制投标文件并按规定投标的行为。</w:t>
      </w:r>
    </w:p>
    <w:p w14:paraId="6A30150C">
      <w:pPr>
        <w:spacing w:line="440" w:lineRule="exact"/>
        <w:ind w:firstLine="480" w:firstLineChars="200"/>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6.1</w:t>
      </w:r>
      <w:r>
        <w:rPr>
          <w:rFonts w:asciiTheme="minorEastAsia" w:hAnsiTheme="minorEastAsia" w:eastAsiaTheme="minorEastAsia"/>
          <w:bCs/>
          <w:sz w:val="24"/>
          <w:szCs w:val="24"/>
          <w:highlight w:val="none"/>
        </w:rPr>
        <w:t>4</w:t>
      </w:r>
      <w:r>
        <w:rPr>
          <w:rFonts w:hint="eastAsia" w:asciiTheme="minorEastAsia" w:hAnsiTheme="minorEastAsia" w:eastAsiaTheme="minorEastAsia"/>
          <w:bCs/>
          <w:sz w:val="24"/>
          <w:szCs w:val="24"/>
          <w:highlight w:val="none"/>
        </w:rPr>
        <w:t xml:space="preserve">  “标段/标项（包）”系指一个完整独立的投标项目。</w:t>
      </w:r>
    </w:p>
    <w:p w14:paraId="51A46492">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7. </w:t>
      </w:r>
      <w:r>
        <w:rPr>
          <w:rFonts w:hint="eastAsia" w:asciiTheme="minorEastAsia" w:hAnsiTheme="minorEastAsia" w:eastAsiaTheme="minorEastAsia"/>
          <w:bCs/>
          <w:sz w:val="24"/>
          <w:szCs w:val="24"/>
          <w:highlight w:val="none"/>
        </w:rPr>
        <w:t>投标费用</w:t>
      </w:r>
    </w:p>
    <w:p w14:paraId="2AB30E81">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7.1  </w:t>
      </w:r>
      <w:r>
        <w:rPr>
          <w:rFonts w:hint="eastAsia" w:asciiTheme="minorEastAsia" w:hAnsiTheme="minorEastAsia" w:eastAsiaTheme="minorEastAsia"/>
          <w:bCs/>
          <w:sz w:val="24"/>
          <w:szCs w:val="24"/>
          <w:highlight w:val="none"/>
        </w:rPr>
        <w:t>无论投标结果如何，凡参与招标、投标活动有关的所有费用将由投标人自行承担。</w:t>
      </w:r>
    </w:p>
    <w:p w14:paraId="3240400F">
      <w:pPr>
        <w:spacing w:line="440" w:lineRule="exact"/>
        <w:ind w:firstLine="480" w:firstLineChars="200"/>
        <w:rPr>
          <w:rFonts w:hint="eastAsia"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t xml:space="preserve">7.2  </w:t>
      </w:r>
      <w:r>
        <w:rPr>
          <w:rFonts w:hint="eastAsia" w:asciiTheme="minorEastAsia" w:hAnsiTheme="minorEastAsia" w:eastAsiaTheme="minorEastAsia"/>
          <w:bCs/>
          <w:sz w:val="24"/>
          <w:szCs w:val="24"/>
          <w:highlight w:val="none"/>
        </w:rPr>
        <w:t>投标人被视为熟悉本招标项目的各种情况以及与履行合同有关的一切情况。</w:t>
      </w:r>
    </w:p>
    <w:p w14:paraId="65E64714">
      <w:pPr>
        <w:pStyle w:val="87"/>
        <w:spacing w:line="440" w:lineRule="exact"/>
        <w:jc w:val="center"/>
        <w:outlineLvl w:val="1"/>
        <w:rPr>
          <w:rFonts w:hint="eastAsia" w:ascii="宋体" w:hAnsi="宋体"/>
          <w:b/>
          <w:color w:val="auto"/>
          <w:kern w:val="2"/>
          <w:sz w:val="28"/>
          <w:szCs w:val="32"/>
          <w:highlight w:val="none"/>
        </w:rPr>
      </w:pPr>
      <w:bookmarkStart w:id="8" w:name="_Toc89792128"/>
      <w:r>
        <w:rPr>
          <w:rFonts w:asciiTheme="minorEastAsia" w:hAnsiTheme="minorEastAsia" w:eastAsiaTheme="minorEastAsia"/>
          <w:bCs/>
          <w:color w:val="auto"/>
          <w:kern w:val="2"/>
          <w:highlight w:val="none"/>
        </w:rPr>
        <w:br w:type="page"/>
      </w:r>
      <w:bookmarkStart w:id="9" w:name="_Toc17762"/>
      <w:r>
        <w:rPr>
          <w:rFonts w:hint="eastAsia" w:ascii="宋体" w:hAnsi="宋体"/>
          <w:b/>
          <w:color w:val="auto"/>
          <w:kern w:val="2"/>
          <w:sz w:val="28"/>
          <w:szCs w:val="32"/>
          <w:highlight w:val="none"/>
        </w:rPr>
        <w:t>第二章 招标文件</w:t>
      </w:r>
      <w:bookmarkEnd w:id="8"/>
      <w:bookmarkEnd w:id="9"/>
    </w:p>
    <w:p w14:paraId="4E41BCFB">
      <w:pPr>
        <w:spacing w:line="440" w:lineRule="exact"/>
        <w:ind w:firstLine="482" w:firstLineChars="200"/>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8. </w:t>
      </w:r>
      <w:r>
        <w:rPr>
          <w:rFonts w:hint="eastAsia" w:asciiTheme="minorEastAsia" w:hAnsiTheme="minorEastAsia" w:eastAsiaTheme="minorEastAsia"/>
          <w:b/>
          <w:sz w:val="24"/>
          <w:szCs w:val="24"/>
          <w:highlight w:val="none"/>
        </w:rPr>
        <w:t>招标文件说明</w:t>
      </w:r>
    </w:p>
    <w:p w14:paraId="4AFBC68B">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8.1  </w:t>
      </w:r>
      <w:r>
        <w:rPr>
          <w:rFonts w:hint="eastAsia" w:asciiTheme="minorEastAsia" w:hAnsiTheme="minorEastAsia" w:eastAsiaTheme="minorEastAsia"/>
          <w:sz w:val="24"/>
          <w:szCs w:val="24"/>
          <w:highlight w:val="none"/>
        </w:rPr>
        <w:t>招标文件组成如下：</w:t>
      </w:r>
    </w:p>
    <w:p w14:paraId="37FCA8C6">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投标邀请</w:t>
      </w:r>
    </w:p>
    <w:p w14:paraId="72E38B7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第一部分投标须知</w:t>
      </w:r>
    </w:p>
    <w:p w14:paraId="1E697440">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第二部分招标说明</w:t>
      </w:r>
    </w:p>
    <w:p w14:paraId="4E9D7B03">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第三部分投标说明</w:t>
      </w:r>
    </w:p>
    <w:p w14:paraId="0A851209">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第四部分采购需求</w:t>
      </w:r>
    </w:p>
    <w:p w14:paraId="2E11A4FC">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第五部分合同部分</w:t>
      </w:r>
    </w:p>
    <w:p w14:paraId="75F3167C">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第六部分投标文件格式（范本格式）</w:t>
      </w:r>
    </w:p>
    <w:p w14:paraId="09B28311">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8.2  </w:t>
      </w:r>
      <w:r>
        <w:rPr>
          <w:rFonts w:hint="eastAsia" w:asciiTheme="minorEastAsia" w:hAnsiTheme="minorEastAsia" w:eastAsiaTheme="minorEastAsia"/>
          <w:sz w:val="24"/>
          <w:szCs w:val="24"/>
          <w:highlight w:val="none"/>
        </w:rPr>
        <w:t>投标人应详细阅读招标文件的全部内容。如果投标人未按照招标文件要求提交全部资料或者投标文件没有对招标文件在各方面的要求做出实质性响应，将导致其投标被拒绝。</w:t>
      </w:r>
    </w:p>
    <w:p w14:paraId="205AEBEF">
      <w:pPr>
        <w:spacing w:line="440" w:lineRule="exact"/>
        <w:ind w:left="359" w:leftChars="171" w:firstLine="120" w:firstLineChars="50"/>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9.</w:t>
      </w:r>
      <w:r>
        <w:rPr>
          <w:rFonts w:hint="eastAsia" w:asciiTheme="minorEastAsia" w:hAnsiTheme="minorEastAsia" w:eastAsiaTheme="minorEastAsia"/>
          <w:b/>
          <w:sz w:val="24"/>
          <w:szCs w:val="24"/>
          <w:highlight w:val="none"/>
        </w:rPr>
        <w:t xml:space="preserve"> 招标文件的修改或补充</w:t>
      </w:r>
    </w:p>
    <w:p w14:paraId="5B19F19C">
      <w:pPr>
        <w:spacing w:line="440" w:lineRule="exact"/>
        <w:ind w:left="359" w:leftChars="171" w:firstLine="120" w:firstLineChars="5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0D56D9F2">
      <w:pPr>
        <w:spacing w:line="440" w:lineRule="exact"/>
        <w:ind w:left="359" w:leftChars="171" w:firstLine="120" w:firstLineChars="5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2　为使投标人在准备投标时有适当的时间考虑投标文件的修改，招标方有权决定推迟投标截止时间和开标时间，并将此变更通知所有的投标人。</w:t>
      </w:r>
    </w:p>
    <w:p w14:paraId="57F3DE72">
      <w:pPr>
        <w:spacing w:line="440" w:lineRule="exact"/>
        <w:ind w:left="359" w:leftChars="171" w:firstLine="120" w:firstLineChars="5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3　招标文件的修改和补充文件将构成招标文件的一部分，并且对投标人具有优先约束力。</w:t>
      </w:r>
    </w:p>
    <w:p w14:paraId="41A9AAD5">
      <w:pPr>
        <w:spacing w:line="440" w:lineRule="exact"/>
        <w:ind w:firstLine="482" w:firstLineChars="200"/>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10</w:t>
      </w:r>
      <w:r>
        <w:rPr>
          <w:rFonts w:hint="eastAsia" w:asciiTheme="minorEastAsia" w:hAnsiTheme="minorEastAsia" w:eastAsiaTheme="minorEastAsia"/>
          <w:b/>
          <w:sz w:val="24"/>
          <w:szCs w:val="24"/>
          <w:highlight w:val="none"/>
        </w:rPr>
        <w:t>.质疑须知</w:t>
      </w:r>
    </w:p>
    <w:p w14:paraId="250B8B0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投标人如需提出质疑的，应在法定质疑期内一次性提出针对同一采购程序环节的质疑。</w:t>
      </w:r>
    </w:p>
    <w:p w14:paraId="46E1DA6B">
      <w:pPr>
        <w:pStyle w:val="87"/>
        <w:spacing w:line="276" w:lineRule="auto"/>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10" w:name="_Toc89792129"/>
      <w:bookmarkStart w:id="11" w:name="_Toc21054"/>
      <w:r>
        <w:rPr>
          <w:rFonts w:hint="eastAsia" w:ascii="宋体" w:hAnsi="宋体"/>
          <w:b/>
          <w:color w:val="auto"/>
          <w:kern w:val="2"/>
          <w:sz w:val="32"/>
          <w:szCs w:val="20"/>
          <w:highlight w:val="none"/>
        </w:rPr>
        <w:t>第三部分 投标说明</w:t>
      </w:r>
      <w:bookmarkEnd w:id="10"/>
      <w:bookmarkEnd w:id="11"/>
    </w:p>
    <w:p w14:paraId="61852844">
      <w:pPr>
        <w:spacing w:line="440" w:lineRule="exact"/>
        <w:jc w:val="center"/>
        <w:rPr>
          <w:rFonts w:hint="eastAsia" w:ascii="宋体" w:hAnsi="宋体"/>
          <w:b/>
          <w:sz w:val="28"/>
          <w:highlight w:val="none"/>
        </w:rPr>
      </w:pPr>
    </w:p>
    <w:p w14:paraId="4C669A09">
      <w:pPr>
        <w:spacing w:line="440" w:lineRule="exact"/>
        <w:jc w:val="center"/>
        <w:outlineLvl w:val="1"/>
        <w:rPr>
          <w:rFonts w:hint="eastAsia" w:ascii="宋体" w:hAnsi="宋体"/>
          <w:b/>
          <w:sz w:val="28"/>
          <w:highlight w:val="none"/>
        </w:rPr>
      </w:pPr>
      <w:bookmarkStart w:id="12" w:name="_Toc89792130"/>
      <w:bookmarkStart w:id="13" w:name="_Toc13313"/>
      <w:r>
        <w:rPr>
          <w:rFonts w:hint="eastAsia" w:ascii="宋体" w:hAnsi="宋体"/>
          <w:b/>
          <w:sz w:val="28"/>
          <w:highlight w:val="none"/>
        </w:rPr>
        <w:t>第一章 对投标人的资质要求</w:t>
      </w:r>
      <w:bookmarkEnd w:id="12"/>
      <w:bookmarkEnd w:id="13"/>
    </w:p>
    <w:p w14:paraId="1730233D">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、开标会的资质要求、开标时间及地点</w:t>
      </w:r>
    </w:p>
    <w:p w14:paraId="2CC49814">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w:t>
      </w:r>
      <w:r>
        <w:rPr>
          <w:rFonts w:hint="eastAsia" w:asciiTheme="minorEastAsia" w:hAnsiTheme="minorEastAsia" w:eastAsiaTheme="minorEastAsia"/>
          <w:sz w:val="24"/>
          <w:szCs w:val="24"/>
          <w:highlight w:val="none"/>
        </w:rPr>
        <w:t xml:space="preserve">  本项目开标的时间、地点已在投标人须知前附表列清。</w:t>
      </w:r>
    </w:p>
    <w:p w14:paraId="0D0B0498">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2　所有资格证明文件必须满足招标文件的要求，否则将导致废标。</w:t>
      </w:r>
    </w:p>
    <w:p w14:paraId="7ABC0013">
      <w:pPr>
        <w:spacing w:line="440" w:lineRule="exact"/>
        <w:jc w:val="center"/>
        <w:rPr>
          <w:rFonts w:hint="eastAsia" w:ascii="宋体" w:hAnsi="宋体"/>
          <w:b/>
          <w:sz w:val="28"/>
          <w:szCs w:val="32"/>
          <w:highlight w:val="none"/>
        </w:rPr>
      </w:pPr>
      <w:bookmarkStart w:id="14" w:name="_Toc89792131"/>
    </w:p>
    <w:p w14:paraId="195BD656">
      <w:pPr>
        <w:spacing w:line="440" w:lineRule="exact"/>
        <w:jc w:val="center"/>
        <w:outlineLvl w:val="1"/>
        <w:rPr>
          <w:rFonts w:hint="eastAsia" w:ascii="宋体" w:hAnsi="宋体"/>
          <w:b/>
          <w:sz w:val="32"/>
          <w:szCs w:val="32"/>
          <w:highlight w:val="none"/>
        </w:rPr>
      </w:pPr>
      <w:bookmarkStart w:id="15" w:name="_Toc5218"/>
      <w:r>
        <w:rPr>
          <w:rFonts w:hint="eastAsia" w:ascii="宋体" w:hAnsi="宋体"/>
          <w:b/>
          <w:sz w:val="28"/>
          <w:szCs w:val="32"/>
          <w:highlight w:val="none"/>
        </w:rPr>
        <w:t>第二章 投标文件的编写</w:t>
      </w:r>
      <w:bookmarkEnd w:id="14"/>
      <w:bookmarkEnd w:id="15"/>
    </w:p>
    <w:p w14:paraId="733A576A">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 </w:t>
      </w:r>
      <w:r>
        <w:rPr>
          <w:rFonts w:hint="eastAsia" w:ascii="宋体" w:hAnsi="宋体"/>
          <w:b/>
          <w:sz w:val="24"/>
          <w:szCs w:val="24"/>
          <w:highlight w:val="none"/>
        </w:rPr>
        <w:t>要求</w:t>
      </w:r>
    </w:p>
    <w:p w14:paraId="203863DD">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2.1  </w:t>
      </w:r>
      <w:r>
        <w:rPr>
          <w:rFonts w:hint="eastAsia" w:ascii="宋体" w:hAnsi="宋体"/>
          <w:sz w:val="24"/>
          <w:szCs w:val="24"/>
          <w:highlight w:val="none"/>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2E5BCD8F">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2.2  </w:t>
      </w:r>
      <w:r>
        <w:rPr>
          <w:rFonts w:hint="eastAsia" w:ascii="宋体" w:hAnsi="宋体"/>
          <w:sz w:val="24"/>
          <w:szCs w:val="24"/>
          <w:highlight w:val="none"/>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12E9AA3D">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3. </w:t>
      </w:r>
      <w:r>
        <w:rPr>
          <w:rFonts w:hint="eastAsia" w:ascii="宋体" w:hAnsi="宋体"/>
          <w:b/>
          <w:sz w:val="24"/>
          <w:szCs w:val="24"/>
          <w:highlight w:val="none"/>
        </w:rPr>
        <w:t>投标文件语言和度量单位</w:t>
      </w:r>
    </w:p>
    <w:p w14:paraId="29349DFC">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3.1  </w:t>
      </w:r>
      <w:r>
        <w:rPr>
          <w:rFonts w:hint="eastAsia" w:ascii="宋体" w:hAnsi="宋体"/>
          <w:sz w:val="24"/>
          <w:szCs w:val="24"/>
          <w:highlight w:val="none"/>
        </w:rPr>
        <w:t>投标文件及投标人和招标方就招标、投标交换的文件和往来信件，须以中文书写。</w:t>
      </w:r>
    </w:p>
    <w:p w14:paraId="629D8C62">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3.2  </w:t>
      </w:r>
      <w:r>
        <w:rPr>
          <w:rFonts w:hint="eastAsia" w:ascii="宋体" w:hAnsi="宋体"/>
          <w:sz w:val="24"/>
          <w:szCs w:val="24"/>
          <w:highlight w:val="none"/>
        </w:rPr>
        <w:t>除在招标文件的技术规格中另有规定外，计量单位应使用中华人民共和国法定计量单位。</w:t>
      </w:r>
    </w:p>
    <w:p w14:paraId="511F8283">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4. </w:t>
      </w:r>
      <w:r>
        <w:rPr>
          <w:rFonts w:hint="eastAsia" w:ascii="宋体" w:hAnsi="宋体"/>
          <w:b/>
          <w:sz w:val="24"/>
          <w:szCs w:val="24"/>
          <w:highlight w:val="none"/>
        </w:rPr>
        <w:t>投标文件的组成</w:t>
      </w:r>
    </w:p>
    <w:p w14:paraId="40DEBF8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 投标文件的组成</w:t>
      </w:r>
    </w:p>
    <w:p w14:paraId="3C671D2D">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4.1　投标人编写的投标文件应包括但不限于下列内容：</w:t>
      </w:r>
    </w:p>
    <w:p w14:paraId="5AD70D7B">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一、法人或者其他组织的营业执照副本复印件或自然人的身份证明复印件</w:t>
      </w:r>
    </w:p>
    <w:p w14:paraId="072D0220">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二、投标人代表身份证明</w:t>
      </w:r>
    </w:p>
    <w:p w14:paraId="64B74251">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1法定代表人身份证明复印件(法定代表人参加投标)（附件1-1）</w:t>
      </w:r>
    </w:p>
    <w:p w14:paraId="6577FC35">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2法定代表人授权委托书(授权代表参加投标) （附件1-2）</w:t>
      </w:r>
    </w:p>
    <w:p w14:paraId="471374D7">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三、提供符合政府采购政策的证明材料</w:t>
      </w:r>
    </w:p>
    <w:p w14:paraId="5076320C">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1中小企业声明函（附件1-4-1）</w:t>
      </w:r>
    </w:p>
    <w:p w14:paraId="616ADD4F">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2监狱企业证明文件（附件1-4-2）</w:t>
      </w:r>
    </w:p>
    <w:p w14:paraId="5BB90F91">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3残疾人福利性单位声明函（附件1-4-3）</w:t>
      </w:r>
    </w:p>
    <w:p w14:paraId="65970EC8">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4关于符合本国产品标准的声明函（附件1-4-4）</w:t>
      </w:r>
    </w:p>
    <w:p w14:paraId="6F1EF814">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5分包意向协议（附件1-4-5）</w:t>
      </w:r>
    </w:p>
    <w:p w14:paraId="122006E9">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四、投标函（附件2-1）</w:t>
      </w:r>
    </w:p>
    <w:p w14:paraId="71B5E4FE">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五、反商业贿赂承诺书；（附件2-2）</w:t>
      </w:r>
    </w:p>
    <w:p w14:paraId="6A1EE7FF">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六、投标报价</w:t>
      </w:r>
    </w:p>
    <w:p w14:paraId="3EB70810">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1开标一览表（附件2-3-1）</w:t>
      </w:r>
    </w:p>
    <w:p w14:paraId="0EBD3345">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2明细报价表（附件2-3-2）</w:t>
      </w:r>
    </w:p>
    <w:p w14:paraId="0B648F4C">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七、商务条款偏离表（附件2-4）</w:t>
      </w:r>
    </w:p>
    <w:p w14:paraId="2BDA170D">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八、产品简要说明一览表（附件2-5）</w:t>
      </w:r>
    </w:p>
    <w:p w14:paraId="68B3094A">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九、产品技术支持文件（包含但不限于产品检测报告、产品彩页或技术白皮书等）</w:t>
      </w:r>
    </w:p>
    <w:p w14:paraId="3778453C">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十、技术参数偏离表（附件2-6）</w:t>
      </w:r>
    </w:p>
    <w:p w14:paraId="1C04D11C">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十一、售后服务</w:t>
      </w:r>
    </w:p>
    <w:p w14:paraId="7FD6EF7E">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十二、项目实施方案</w:t>
      </w:r>
    </w:p>
    <w:p w14:paraId="73AEAA2F">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十三、业绩</w:t>
      </w:r>
    </w:p>
    <w:p w14:paraId="0EC3BF31">
      <w:pPr>
        <w:spacing w:line="440" w:lineRule="exact"/>
        <w:ind w:firstLine="1058" w:firstLineChars="44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十四、资格审查文件</w:t>
      </w:r>
    </w:p>
    <w:p w14:paraId="068A86D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4.2　在投标过程中，投标人根据评标委员会书面形式要求提供的澄清文件是投标文件的有效组成部分。</w:t>
      </w:r>
    </w:p>
    <w:p w14:paraId="0B64410D">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4.3　供应商无论中标与否，其投标文件不予退还。</w:t>
      </w:r>
    </w:p>
    <w:p w14:paraId="202039C2">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 投标文件格式</w:t>
      </w:r>
    </w:p>
    <w:p w14:paraId="0F549D7F">
      <w:pPr>
        <w:spacing w:line="440" w:lineRule="exact"/>
        <w:ind w:firstLine="480" w:firstLineChars="200"/>
        <w:rPr>
          <w:rFonts w:hint="eastAsia" w:cs="宋体" w:asciiTheme="minorEastAsia" w:hAnsiTheme="minorEastAsia" w:eastAsiaTheme="minorEastAsia"/>
          <w:kern w:val="0"/>
          <w:sz w:val="24"/>
          <w:szCs w:val="24"/>
          <w:highlight w:val="none"/>
        </w:rPr>
      </w:pPr>
      <w:r>
        <w:rPr>
          <w:rFonts w:hint="eastAsia" w:asciiTheme="minorEastAsia" w:hAnsiTheme="minorEastAsia" w:eastAsiaTheme="minorEastAsia"/>
          <w:sz w:val="24"/>
          <w:szCs w:val="24"/>
          <w:highlight w:val="none"/>
        </w:rPr>
        <w:t xml:space="preserve">5.1 </w:t>
      </w:r>
      <w:r>
        <w:rPr>
          <w:rFonts w:hint="eastAsia" w:cs="宋体" w:asciiTheme="minorEastAsia" w:hAnsiTheme="minorEastAsia" w:eastAsiaTheme="minorEastAsia"/>
          <w:spacing w:val="-6"/>
          <w:sz w:val="24"/>
          <w:szCs w:val="24"/>
          <w:highlight w:val="none"/>
        </w:rPr>
        <w:t>投标文件</w:t>
      </w:r>
      <w:r>
        <w:rPr>
          <w:rFonts w:hint="eastAsia" w:cs="宋体" w:asciiTheme="minorEastAsia" w:hAnsiTheme="minorEastAsia" w:eastAsiaTheme="minorEastAsia"/>
          <w:kern w:val="0"/>
          <w:sz w:val="24"/>
          <w:szCs w:val="24"/>
          <w:highlight w:val="none"/>
        </w:rPr>
        <w:t>制作时，应按照招标文件中明确的投标文件目录和投标</w:t>
      </w:r>
      <w:r>
        <w:rPr>
          <w:rFonts w:hint="eastAsia" w:cs="宋体" w:asciiTheme="minorEastAsia" w:hAnsiTheme="minorEastAsia" w:eastAsiaTheme="minorEastAsia"/>
          <w:sz w:val="24"/>
          <w:szCs w:val="24"/>
          <w:highlight w:val="none"/>
        </w:rPr>
        <w:t>技术规格、参数及相关要求</w:t>
      </w:r>
      <w:r>
        <w:rPr>
          <w:rFonts w:hint="eastAsia" w:cs="宋体" w:asciiTheme="minorEastAsia" w:hAnsiTheme="minorEastAsia" w:eastAsiaTheme="minorEastAsia"/>
          <w:kern w:val="0"/>
          <w:sz w:val="24"/>
          <w:szCs w:val="24"/>
          <w:highlight w:val="none"/>
        </w:rPr>
        <w:t>格式进行编制，保证目录清晰、内容完整。</w:t>
      </w:r>
    </w:p>
    <w:p w14:paraId="3C2AD8B2">
      <w:pPr>
        <w:spacing w:line="440" w:lineRule="exact"/>
        <w:ind w:firstLine="480" w:firstLineChars="200"/>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5.2 投标人应按照投标须知前附表要求的份数编制投标文件。</w:t>
      </w:r>
    </w:p>
    <w:p w14:paraId="52C7EA0C">
      <w:pPr>
        <w:spacing w:line="440" w:lineRule="exact"/>
        <w:ind w:firstLine="480" w:firstLineChars="200"/>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5.3 当副本和正本不一致时，以正本为准。</w:t>
      </w:r>
    </w:p>
    <w:p w14:paraId="5A6AAFD7">
      <w:pPr>
        <w:spacing w:line="440" w:lineRule="exact"/>
        <w:ind w:firstLine="480" w:firstLineChars="200"/>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5.4 投标文件具有法律效力,与其他形式的投标文件在内容和格式上等同，若投标文件与招标文件要求不一致，其内容影响成交结果时，责任由供应商自行承担。</w:t>
      </w:r>
    </w:p>
    <w:p w14:paraId="49E8B102">
      <w:pPr>
        <w:pStyle w:val="115"/>
        <w:snapToGrid w:val="0"/>
        <w:spacing w:line="360" w:lineRule="auto"/>
        <w:ind w:firstLine="484" w:firstLineChars="202"/>
        <w:jc w:val="left"/>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5.5 投标文件应在规定区域加盖单位和法定代表人签章。投标文件若无签章，则视为无效文件。</w:t>
      </w:r>
    </w:p>
    <w:p w14:paraId="7EDB74C3">
      <w:pPr>
        <w:pStyle w:val="115"/>
        <w:snapToGrid w:val="0"/>
        <w:spacing w:line="360" w:lineRule="auto"/>
        <w:ind w:firstLine="484" w:firstLineChars="202"/>
        <w:jc w:val="left"/>
        <w:rPr>
          <w:rFonts w:hint="eastAsia" w:asciiTheme="minorEastAsia" w:hAnsiTheme="minorEastAsia" w:eastAsiaTheme="minorEastAsia"/>
          <w:sz w:val="24"/>
          <w:szCs w:val="24"/>
          <w:highlight w:val="none"/>
        </w:rPr>
      </w:pPr>
      <w:r>
        <w:rPr>
          <w:rFonts w:hint="eastAsia" w:cs="宋体" w:asciiTheme="minorEastAsia" w:hAnsiTheme="minorEastAsia" w:eastAsiaTheme="minorEastAsia"/>
          <w:kern w:val="0"/>
          <w:sz w:val="24"/>
          <w:szCs w:val="24"/>
          <w:highlight w:val="none"/>
        </w:rPr>
        <w:t>5.6 投标人必须保证投标文件所提供的全部资料真实可靠，并接受采购单位对其中任何资料进一步核实的要求</w:t>
      </w:r>
    </w:p>
    <w:p w14:paraId="441B5147">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 投标报价</w:t>
      </w:r>
    </w:p>
    <w:p w14:paraId="6709F51F">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6.1 投标人应按招标文件规定的供货及服务要求、责任范围和合同条件以人民币形式进行报价。投标报价应为完税价。</w:t>
      </w:r>
    </w:p>
    <w:p w14:paraId="040D886C">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163748C4">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6.3 投标人应在明细报价表上标明综合单价和总价。</w:t>
      </w:r>
    </w:p>
    <w:p w14:paraId="61EF3D26">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（1）投标文件中开标一览表（报价表）内容与投标文件中相应内容不一致的，以开标一览表（报价表）为准；</w:t>
      </w:r>
    </w:p>
    <w:p w14:paraId="3209D29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（2）大写金额和小写金额不一致的，以大写金额为准；</w:t>
      </w:r>
    </w:p>
    <w:p w14:paraId="3DE1BBE2">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（3）单价金额小数点或者百分比有明显错位的，以开标一览表的总价为准，并修改单价；</w:t>
      </w:r>
    </w:p>
    <w:p w14:paraId="17F1A7B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（4）总价金额与按单价汇总金额不一致的，以单价金额计算结果为准。</w:t>
      </w:r>
    </w:p>
    <w:p w14:paraId="2CBAFBE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同时出现两种以上不一致的，按照前款规定的顺序修正。修正后的报价经投标人确认后产生约束力，投标人不确认的，其投标无效。</w:t>
      </w:r>
    </w:p>
    <w:p w14:paraId="1C5FB00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6.4　投标人对每种货物及服务只允许有一个报价，不接受可变动性报价、赠送，否则，在评标时将其视为无效投标。</w:t>
      </w:r>
    </w:p>
    <w:p w14:paraId="1DEFE856">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6.5  投标报价不符合招标文件对投标报价要求的，为无效投标。</w:t>
      </w:r>
    </w:p>
    <w:p w14:paraId="17B0FA25">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6.6 投标报价超预算金额（最高限价）的，为无效投标。</w:t>
      </w:r>
    </w:p>
    <w:p w14:paraId="7B791B2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6.7 投标报价是履行合同的最终价格，应包括下列几项费用：</w:t>
      </w:r>
    </w:p>
    <w:p w14:paraId="7014A753">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（1）招标文件中要求的备品备件、易损件和专用工具的费用；</w:t>
      </w:r>
    </w:p>
    <w:p w14:paraId="6363FF7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（2）招标文件中特别要求的安装、调试、培训、运输、保险及其它附带服务的全部费用；</w:t>
      </w:r>
    </w:p>
    <w:p w14:paraId="0E4CF3E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（3）投标人提供的在中华人民共和国制造的货物，其货物的投标价即交货价中，包括制造、组装该货物所使用的零部件及原材料已付的全部关税、销售税和其他税。</w:t>
      </w:r>
    </w:p>
    <w:p w14:paraId="393636D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（4）综合单价必须包括货物、安装、调试、技术支持、运输保险、售后服务、培训及其它必需服务的报价。</w:t>
      </w:r>
    </w:p>
    <w:p w14:paraId="6FE3BAD6">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 证明货物的合格性和符合招标文件规定的文件</w:t>
      </w:r>
    </w:p>
    <w:p w14:paraId="0E839BE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7.1 投标人应提交证明文件证明其拟投标的货物的合格性符合招标文件规定。该证明文件作为投标文件的一部分。</w:t>
      </w:r>
    </w:p>
    <w:p w14:paraId="6A01BA6C">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7.2  投标人的服务承诺应按不低于招标文件中要求的服务标准做出响应。</w:t>
      </w:r>
    </w:p>
    <w:p w14:paraId="5F59AD94">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7.3  上述文件可以是文字资料、图纸和数据等，并提供：</w:t>
      </w:r>
    </w:p>
    <w:p w14:paraId="0E64F9A2">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（1）货物主要技术及性能特点的详细描述； </w:t>
      </w:r>
    </w:p>
    <w:p w14:paraId="52C980C9">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（2）货物主要部件的详细资料，包括检验报告等；</w:t>
      </w:r>
    </w:p>
    <w:p w14:paraId="175E7D0F">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（3）一份在技术规格中规定的保证服务正常和连续运转期间所需要的所有备件和专业工具的详细清单包括供货来源信息。</w:t>
      </w:r>
    </w:p>
    <w:p w14:paraId="1EF05A5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7.4没有按要求提供资料或提供资料不完全的或仅仅复制招标文件提供的技术参数并与实际提供设备参数不符，将被视为对招标文件没有做出实质性响应，其风险由投标人自行承担。</w:t>
      </w:r>
    </w:p>
    <w:p w14:paraId="05C7077D">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7.5 投标人提供的设备必须是正规厂家生产的高质量产品，不能提供劣质三无产品（无厂址,无商标,无合格证）。</w:t>
      </w:r>
    </w:p>
    <w:p w14:paraId="3F77034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7.6 产品资料和检测报告所反映的技术参数和性能指标将作为验收产品实物的依据。</w:t>
      </w:r>
    </w:p>
    <w:p w14:paraId="53C49AF8">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387A0B70">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3D159E6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 投标有效期</w:t>
      </w:r>
    </w:p>
    <w:p w14:paraId="0169CF27">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533CAB76">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98AB2B8">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 投标文件的签署和规定见前投标须知前附表。</w:t>
      </w:r>
    </w:p>
    <w:p w14:paraId="38F734E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10.投标文件的密封和标记见前投标须知前附表。</w:t>
      </w:r>
    </w:p>
    <w:p w14:paraId="7EB47520">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w:t>
      </w:r>
      <w:r>
        <w:rPr>
          <w:rFonts w:hint="eastAsia" w:asciiTheme="minorEastAsia" w:hAnsiTheme="minorEastAsia" w:eastAsiaTheme="minorEastAsia"/>
          <w:sz w:val="24"/>
          <w:szCs w:val="24"/>
          <w:highlight w:val="none"/>
        </w:rPr>
        <w:t>投标保证金</w:t>
      </w:r>
    </w:p>
    <w:p w14:paraId="6BFE4136">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11.1  </w:t>
      </w:r>
      <w:r>
        <w:rPr>
          <w:rFonts w:hint="eastAsia" w:asciiTheme="minorEastAsia" w:hAnsiTheme="minorEastAsia" w:eastAsiaTheme="minorEastAsia"/>
          <w:sz w:val="24"/>
          <w:szCs w:val="24"/>
          <w:highlight w:val="none"/>
        </w:rPr>
        <w:t>招标方因投标人的违规行为而受到损害时将不予退还投标人的投标保证金，将其作为所受损害的补偿。</w:t>
      </w:r>
    </w:p>
    <w:p w14:paraId="1418A6BC">
      <w:pPr>
        <w:pStyle w:val="13"/>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11.2</w:t>
      </w:r>
      <w:r>
        <w:rPr>
          <w:rFonts w:hint="eastAsia" w:asciiTheme="minorEastAsia" w:hAnsiTheme="minorEastAsia" w:eastAsiaTheme="minorEastAsia"/>
          <w:sz w:val="24"/>
          <w:szCs w:val="24"/>
          <w:highlight w:val="none"/>
        </w:rPr>
        <w:t>　投标保证金应当以支票、汇票、本票、保函等非现金形式提交，必须从投标人基本账户转出，其有效期应不低于投标有效期。投标人未按照招标文件要求提交投标保证金的，投标无效。</w:t>
      </w:r>
    </w:p>
    <w:p w14:paraId="10C1465A">
      <w:pPr>
        <w:pStyle w:val="13"/>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11.3  </w:t>
      </w:r>
      <w:r>
        <w:rPr>
          <w:rFonts w:hint="eastAsia" w:asciiTheme="minorEastAsia" w:hAnsiTheme="minorEastAsia" w:eastAsiaTheme="minorEastAsia"/>
          <w:sz w:val="24"/>
          <w:szCs w:val="24"/>
          <w:highlight w:val="none"/>
        </w:rPr>
        <w:t>投标人应提交投标保证金，并于投标保证金缴纳截止时间前到达新疆守正项目管理咨询有限公司指定账户（人民币）。如是本地转账支票需于投标保证金缴纳截止时间三个工作日前向新疆守正项目管理咨询有限公司送达，如投标保证金为汇款形式的，（汇款时汇款单填写内容须备注项目编号及包号）。</w:t>
      </w:r>
    </w:p>
    <w:p w14:paraId="61B4AC2E">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11.4</w:t>
      </w:r>
      <w:r>
        <w:rPr>
          <w:rFonts w:hint="eastAsia" w:asciiTheme="minorEastAsia" w:hAnsiTheme="minorEastAsia" w:eastAsiaTheme="minorEastAsia"/>
          <w:sz w:val="24"/>
          <w:szCs w:val="24"/>
          <w:highlight w:val="none"/>
        </w:rPr>
        <w:t>　未中标的投标人的投标保证金，将在中标通知书发出后</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个工作日内无息退还。</w:t>
      </w:r>
    </w:p>
    <w:p w14:paraId="6B3E5778">
      <w:pPr>
        <w:spacing w:line="460" w:lineRule="atLeas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11.5  </w:t>
      </w:r>
      <w:r>
        <w:rPr>
          <w:rFonts w:hint="eastAsia" w:asciiTheme="minorEastAsia" w:hAnsiTheme="minorEastAsia" w:eastAsiaTheme="minorEastAsia"/>
          <w:sz w:val="24"/>
          <w:szCs w:val="24"/>
          <w:highlight w:val="none"/>
        </w:rPr>
        <w:t>中标人的投标保证金，将在领取中标通知书，缴纳履约保证金并签订合同后</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个工作日内无息退还。</w:t>
      </w:r>
    </w:p>
    <w:p w14:paraId="51AE92F9">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11.6在评标过程中，如发现下列情况之一的，其投标将被拒绝；</w:t>
      </w:r>
    </w:p>
    <w:p w14:paraId="3149486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（1）未按规定提交投标保证金的投标；</w:t>
      </w:r>
    </w:p>
    <w:p w14:paraId="636A769F">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（2）投标文件技术规格中的响应与事实不符或虚假投标的；</w:t>
      </w:r>
    </w:p>
    <w:p w14:paraId="0655933F">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（3）投标人复制招标文件的技术规格相关部分内容作为其投标文件的一部分；</w:t>
      </w:r>
    </w:p>
    <w:p w14:paraId="1BFE976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（4）投标文件符合招标文件中规定废标的其它技术条款；</w:t>
      </w:r>
    </w:p>
    <w:p w14:paraId="11040BA4">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（5）投标人拒绝修正错误的；</w:t>
      </w:r>
    </w:p>
    <w:p w14:paraId="633F3A4A">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（6）投标文件的关键内容字迹模糊，无法辨认的；</w:t>
      </w:r>
    </w:p>
    <w:p w14:paraId="0BAC0D1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（7）投标有效期不足的；</w:t>
      </w:r>
    </w:p>
    <w:p w14:paraId="627DF308">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（8）其他违反相关法律法规规定的行为的；</w:t>
      </w:r>
    </w:p>
    <w:p w14:paraId="14E15A0B">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（9）评标委员会认为是其他应当否决的投标。</w:t>
      </w:r>
    </w:p>
    <w:p w14:paraId="24480D32">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11.7下列任何情况发生时，投标保证金将不予退还，转为违约金：</w:t>
      </w:r>
    </w:p>
    <w:p w14:paraId="7B2F0FA7">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  投标人在投标截止期后，投标有效期内撤回投标；</w:t>
      </w:r>
    </w:p>
    <w:p w14:paraId="5778675D">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  投标人在规定期限内未按规定向采购人缴纳履约保证金；</w:t>
      </w:r>
    </w:p>
    <w:p w14:paraId="412231A1">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  中标人未按投标人须知规定缴纳招标代理费；</w:t>
      </w:r>
    </w:p>
    <w:p w14:paraId="57D6B4F8">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  以他人名义投标或者以其他方式弄虚作假，骗取中标；</w:t>
      </w:r>
    </w:p>
    <w:p w14:paraId="62E972DF">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  打架斗殴，扰乱会场秩序；</w:t>
      </w:r>
    </w:p>
    <w:p w14:paraId="30E8BA9E">
      <w:pPr>
        <w:spacing w:line="440" w:lineRule="exact"/>
        <w:ind w:firstLine="480" w:firstLine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  本招标文件中或《政府采购货物和服务招标投标管理办法》第七十五条规定的其他不予退还投标保证金的情形。</w:t>
      </w:r>
    </w:p>
    <w:p w14:paraId="6B4BFE90">
      <w:pPr>
        <w:spacing w:line="440" w:lineRule="exact"/>
        <w:ind w:firstLine="840" w:firstLineChars="35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上述不予退还投标保证金的情况并给招标代理机构造成损失的，还要承担赔偿责任。</w:t>
      </w:r>
    </w:p>
    <w:p w14:paraId="5D71B8DF">
      <w:pPr>
        <w:spacing w:line="440" w:lineRule="exact"/>
        <w:rPr>
          <w:rFonts w:hint="eastAsia" w:ascii="宋体" w:hAnsi="宋体"/>
          <w:sz w:val="24"/>
          <w:szCs w:val="24"/>
          <w:highlight w:val="none"/>
        </w:rPr>
      </w:pPr>
    </w:p>
    <w:p w14:paraId="6ECE25D7">
      <w:pPr>
        <w:spacing w:line="440" w:lineRule="exact"/>
        <w:ind w:firstLine="482"/>
        <w:jc w:val="center"/>
        <w:outlineLvl w:val="1"/>
        <w:rPr>
          <w:rFonts w:hint="eastAsia" w:ascii="宋体" w:hAnsi="宋体"/>
          <w:b/>
          <w:sz w:val="28"/>
          <w:szCs w:val="32"/>
          <w:highlight w:val="none"/>
        </w:rPr>
      </w:pPr>
      <w:bookmarkStart w:id="16" w:name="_Toc89792132"/>
      <w:bookmarkStart w:id="17" w:name="_Toc17974"/>
      <w:r>
        <w:rPr>
          <w:rFonts w:hint="eastAsia" w:ascii="宋体" w:hAnsi="宋体"/>
          <w:b/>
          <w:sz w:val="28"/>
          <w:szCs w:val="32"/>
          <w:highlight w:val="none"/>
        </w:rPr>
        <w:t>第三章 投标文件的递交</w:t>
      </w:r>
      <w:bookmarkEnd w:id="16"/>
      <w:bookmarkEnd w:id="17"/>
    </w:p>
    <w:p w14:paraId="758E9958">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12. </w:t>
      </w:r>
      <w:r>
        <w:rPr>
          <w:rFonts w:hint="eastAsia" w:ascii="宋体" w:hAnsi="宋体"/>
          <w:b/>
          <w:sz w:val="24"/>
          <w:szCs w:val="24"/>
          <w:highlight w:val="none"/>
        </w:rPr>
        <w:t>投标文件的标记</w:t>
      </w:r>
    </w:p>
    <w:p w14:paraId="7A9DC910">
      <w:pPr>
        <w:spacing w:line="440" w:lineRule="exact"/>
        <w:ind w:firstLine="480" w:firstLineChars="200"/>
        <w:rPr>
          <w:rFonts w:hint="eastAsia" w:ascii="宋体" w:hAnsi="宋体"/>
          <w:sz w:val="24"/>
          <w:szCs w:val="24"/>
          <w:highlight w:val="none"/>
        </w:rPr>
      </w:pPr>
      <w:r>
        <w:rPr>
          <w:rFonts w:ascii="宋体" w:hAnsi="宋体"/>
          <w:sz w:val="24"/>
          <w:szCs w:val="24"/>
          <w:highlight w:val="none"/>
        </w:rPr>
        <w:t>12.1</w:t>
      </w:r>
      <w:r>
        <w:rPr>
          <w:rStyle w:val="112"/>
          <w:rFonts w:hint="eastAsia" w:ascii="宋体" w:hAnsi="宋体"/>
          <w:sz w:val="24"/>
          <w:highlight w:val="none"/>
        </w:rPr>
        <w:t>本项目采用不见面电子标。</w:t>
      </w:r>
      <w:r>
        <w:rPr>
          <w:rFonts w:hint="eastAsia" w:ascii="宋体" w:hAnsi="宋体"/>
          <w:sz w:val="24"/>
          <w:szCs w:val="24"/>
          <w:highlight w:val="none"/>
        </w:rPr>
        <w:t>　</w:t>
      </w:r>
    </w:p>
    <w:p w14:paraId="12377402">
      <w:pPr>
        <w:spacing w:line="440" w:lineRule="exact"/>
        <w:ind w:firstLine="480" w:firstLineChars="200"/>
        <w:rPr>
          <w:rFonts w:hint="eastAsia" w:ascii="宋体" w:hAnsi="宋体"/>
          <w:sz w:val="24"/>
          <w:szCs w:val="24"/>
          <w:highlight w:val="none"/>
        </w:rPr>
      </w:pPr>
      <w:r>
        <w:rPr>
          <w:rFonts w:ascii="宋体" w:hAnsi="宋体"/>
          <w:sz w:val="24"/>
          <w:szCs w:val="24"/>
          <w:highlight w:val="none"/>
        </w:rPr>
        <w:t>12.2</w:t>
      </w:r>
      <w:r>
        <w:rPr>
          <w:rFonts w:hint="eastAsia" w:ascii="宋体" w:hAnsi="宋体"/>
          <w:sz w:val="24"/>
          <w:szCs w:val="24"/>
          <w:highlight w:val="none"/>
        </w:rPr>
        <w:t>任何不完整或不满足招标文件要求的投标文件将被拒绝。　</w:t>
      </w:r>
    </w:p>
    <w:p w14:paraId="746A3AAE">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13. </w:t>
      </w:r>
      <w:r>
        <w:rPr>
          <w:rFonts w:hint="eastAsia" w:ascii="宋体" w:hAnsi="宋体"/>
          <w:b/>
          <w:sz w:val="24"/>
          <w:szCs w:val="24"/>
          <w:highlight w:val="none"/>
        </w:rPr>
        <w:t>投标截止时间</w:t>
      </w:r>
    </w:p>
    <w:p w14:paraId="2A5A09C4">
      <w:pPr>
        <w:spacing w:line="440" w:lineRule="exact"/>
        <w:ind w:firstLine="480" w:firstLineChars="200"/>
        <w:rPr>
          <w:rFonts w:hint="eastAsia" w:ascii="宋体" w:hAnsi="宋体"/>
          <w:sz w:val="24"/>
          <w:szCs w:val="24"/>
          <w:highlight w:val="none"/>
        </w:rPr>
      </w:pPr>
      <w:r>
        <w:rPr>
          <w:rFonts w:ascii="宋体" w:hAnsi="宋体"/>
          <w:sz w:val="24"/>
          <w:szCs w:val="24"/>
          <w:highlight w:val="none"/>
        </w:rPr>
        <w:t>13.1  投标人应在本章规定的投标截止时间前和地点递交投标文件。</w:t>
      </w:r>
    </w:p>
    <w:p w14:paraId="5B35750D">
      <w:pPr>
        <w:spacing w:line="440" w:lineRule="exact"/>
        <w:ind w:firstLine="480" w:firstLineChars="200"/>
        <w:rPr>
          <w:rFonts w:hint="eastAsia" w:ascii="宋体" w:hAnsi="宋体"/>
          <w:sz w:val="24"/>
          <w:szCs w:val="24"/>
          <w:highlight w:val="none"/>
        </w:rPr>
      </w:pPr>
      <w:r>
        <w:rPr>
          <w:rFonts w:ascii="宋体" w:hAnsi="宋体"/>
          <w:sz w:val="24"/>
          <w:szCs w:val="24"/>
          <w:highlight w:val="none"/>
        </w:rPr>
        <w:t>13.2</w:t>
      </w:r>
      <w:r>
        <w:rPr>
          <w:rFonts w:hint="eastAsia" w:ascii="宋体" w:hAnsi="宋体"/>
          <w:sz w:val="24"/>
          <w:szCs w:val="24"/>
          <w:highlight w:val="none"/>
        </w:rPr>
        <w:t>　</w:t>
      </w:r>
      <w:r>
        <w:rPr>
          <w:rStyle w:val="112"/>
          <w:rFonts w:ascii="宋体" w:hAnsi="宋体"/>
          <w:sz w:val="24"/>
          <w:highlight w:val="none"/>
        </w:rPr>
        <w:t>除投标人须知前附表另有规定外，投标人所递交的投标文件不予退还</w:t>
      </w:r>
      <w:r>
        <w:rPr>
          <w:rFonts w:hint="eastAsia" w:ascii="宋体" w:hAnsi="宋体"/>
          <w:sz w:val="24"/>
          <w:szCs w:val="24"/>
          <w:highlight w:val="none"/>
        </w:rPr>
        <w:t>。</w:t>
      </w:r>
    </w:p>
    <w:p w14:paraId="2CD84D30">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13.3  </w:t>
      </w:r>
      <w:r>
        <w:rPr>
          <w:rStyle w:val="112"/>
          <w:rFonts w:ascii="宋体" w:hAnsi="宋体"/>
          <w:sz w:val="24"/>
          <w:highlight w:val="none"/>
        </w:rPr>
        <w:t>逾期送达的或者未送达指定地点的投标文件，招标人不予受理</w:t>
      </w:r>
    </w:p>
    <w:p w14:paraId="0115FFA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13.4  出现因招标文件的修改而推迟投标截止时间的情况时，投标人则需按招标方的书面修改通知重新规定的投标时间递交。</w:t>
      </w:r>
    </w:p>
    <w:p w14:paraId="43FCB17C">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14. </w:t>
      </w:r>
      <w:r>
        <w:rPr>
          <w:rFonts w:hint="eastAsia" w:ascii="宋体" w:hAnsi="宋体"/>
          <w:b/>
          <w:sz w:val="24"/>
          <w:szCs w:val="24"/>
          <w:highlight w:val="none"/>
        </w:rPr>
        <w:t>投标文件</w:t>
      </w:r>
      <w:r>
        <w:rPr>
          <w:rStyle w:val="112"/>
          <w:rFonts w:ascii="宋体" w:hAnsi="宋体" w:cs="宋体"/>
          <w:b/>
          <w:bCs/>
          <w:sz w:val="24"/>
          <w:highlight w:val="none"/>
        </w:rPr>
        <w:t>的</w:t>
      </w:r>
      <w:r>
        <w:rPr>
          <w:rStyle w:val="112"/>
          <w:rFonts w:ascii="宋体" w:hAnsi="宋体"/>
          <w:b/>
          <w:kern w:val="0"/>
          <w:sz w:val="24"/>
          <w:highlight w:val="none"/>
          <w:lang w:val="zh-CN"/>
        </w:rPr>
        <w:t>补充、修改或者撤回</w:t>
      </w:r>
    </w:p>
    <w:p w14:paraId="5031AE66">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14.1</w:t>
      </w:r>
      <w:r>
        <w:rPr>
          <w:rFonts w:hint="eastAsia" w:ascii="宋体" w:hAnsi="宋体"/>
          <w:sz w:val="24"/>
          <w:szCs w:val="24"/>
          <w:highlight w:val="none"/>
        </w:rPr>
        <w:t xml:space="preserve"> 投标人</w:t>
      </w:r>
      <w:r>
        <w:rPr>
          <w:rFonts w:ascii="宋体" w:hAnsi="宋体"/>
          <w:sz w:val="24"/>
          <w:szCs w:val="24"/>
          <w:highlight w:val="none"/>
        </w:rPr>
        <w:t>在</w:t>
      </w:r>
      <w:r>
        <w:rPr>
          <w:rFonts w:hint="eastAsia" w:ascii="宋体" w:hAnsi="宋体"/>
          <w:sz w:val="24"/>
          <w:szCs w:val="24"/>
          <w:highlight w:val="none"/>
        </w:rPr>
        <w:t>招标</w:t>
      </w:r>
      <w:r>
        <w:rPr>
          <w:rFonts w:ascii="宋体" w:hAnsi="宋体"/>
          <w:sz w:val="24"/>
          <w:szCs w:val="24"/>
          <w:highlight w:val="none"/>
        </w:rPr>
        <w:t>文件规定的</w:t>
      </w:r>
      <w:r>
        <w:rPr>
          <w:rFonts w:hint="eastAsia" w:ascii="宋体" w:hAnsi="宋体"/>
          <w:sz w:val="24"/>
          <w:szCs w:val="24"/>
          <w:highlight w:val="none"/>
        </w:rPr>
        <w:t>提交投标文件</w:t>
      </w:r>
      <w:r>
        <w:rPr>
          <w:rFonts w:ascii="宋体" w:hAnsi="宋体"/>
          <w:sz w:val="24"/>
          <w:szCs w:val="24"/>
          <w:highlight w:val="none"/>
        </w:rPr>
        <w:t>截止时间前，可以撤回已递交的</w:t>
      </w:r>
      <w:r>
        <w:rPr>
          <w:rFonts w:hint="eastAsia" w:ascii="宋体" w:hAnsi="宋体"/>
          <w:sz w:val="24"/>
          <w:szCs w:val="24"/>
          <w:highlight w:val="none"/>
        </w:rPr>
        <w:t>投标</w:t>
      </w:r>
      <w:r>
        <w:rPr>
          <w:rFonts w:ascii="宋体" w:hAnsi="宋体"/>
          <w:sz w:val="24"/>
          <w:szCs w:val="24"/>
          <w:highlight w:val="none"/>
        </w:rPr>
        <w:t>文件。如要修改，必须在撤回并修改后在规定的</w:t>
      </w:r>
      <w:r>
        <w:rPr>
          <w:rFonts w:hint="eastAsia" w:ascii="宋体" w:hAnsi="宋体"/>
          <w:sz w:val="24"/>
          <w:szCs w:val="24"/>
          <w:highlight w:val="none"/>
        </w:rPr>
        <w:t>投标</w:t>
      </w:r>
      <w:r>
        <w:rPr>
          <w:rFonts w:ascii="宋体" w:hAnsi="宋体"/>
          <w:sz w:val="24"/>
          <w:szCs w:val="24"/>
          <w:highlight w:val="none"/>
        </w:rPr>
        <w:t>文件递交截止时间之前将修改后的</w:t>
      </w:r>
      <w:r>
        <w:rPr>
          <w:rFonts w:hint="eastAsia" w:ascii="宋体" w:hAnsi="宋体"/>
          <w:sz w:val="24"/>
          <w:szCs w:val="24"/>
          <w:highlight w:val="none"/>
        </w:rPr>
        <w:t>投标</w:t>
      </w:r>
      <w:r>
        <w:rPr>
          <w:rFonts w:ascii="宋体" w:hAnsi="宋体"/>
          <w:sz w:val="24"/>
          <w:szCs w:val="24"/>
          <w:highlight w:val="none"/>
        </w:rPr>
        <w:t>文件再重新递交。在</w:t>
      </w:r>
      <w:r>
        <w:rPr>
          <w:rFonts w:hint="eastAsia" w:ascii="宋体" w:hAnsi="宋体"/>
          <w:sz w:val="24"/>
          <w:szCs w:val="24"/>
          <w:highlight w:val="none"/>
        </w:rPr>
        <w:t>投标</w:t>
      </w:r>
      <w:r>
        <w:rPr>
          <w:rFonts w:ascii="宋体" w:hAnsi="宋体"/>
          <w:sz w:val="24"/>
          <w:szCs w:val="24"/>
          <w:highlight w:val="none"/>
        </w:rPr>
        <w:t>文件递交截止时间之后，供应商不得对已经递交的</w:t>
      </w:r>
      <w:r>
        <w:rPr>
          <w:rFonts w:hint="eastAsia" w:ascii="宋体" w:hAnsi="宋体"/>
          <w:sz w:val="24"/>
          <w:szCs w:val="24"/>
          <w:highlight w:val="none"/>
        </w:rPr>
        <w:t>投标</w:t>
      </w:r>
      <w:r>
        <w:rPr>
          <w:rFonts w:ascii="宋体" w:hAnsi="宋体"/>
          <w:sz w:val="24"/>
          <w:szCs w:val="24"/>
          <w:highlight w:val="none"/>
        </w:rPr>
        <w:t>文件撤销或修改</w:t>
      </w:r>
      <w:r>
        <w:rPr>
          <w:rFonts w:hint="eastAsia" w:ascii="宋体" w:hAnsi="宋体"/>
          <w:sz w:val="24"/>
          <w:szCs w:val="24"/>
          <w:highlight w:val="none"/>
        </w:rPr>
        <w:t>。</w:t>
      </w:r>
    </w:p>
    <w:p w14:paraId="1CFC67E2">
      <w:pPr>
        <w:spacing w:line="440" w:lineRule="exact"/>
        <w:ind w:firstLine="480" w:firstLineChars="200"/>
        <w:rPr>
          <w:rFonts w:hint="eastAsia" w:ascii="宋体" w:hAnsi="宋体"/>
          <w:sz w:val="24"/>
          <w:szCs w:val="24"/>
          <w:highlight w:val="none"/>
        </w:rPr>
      </w:pPr>
      <w:r>
        <w:rPr>
          <w:rFonts w:ascii="宋体" w:hAnsi="宋体"/>
          <w:sz w:val="24"/>
          <w:szCs w:val="24"/>
          <w:highlight w:val="none"/>
        </w:rPr>
        <w:t>14.</w:t>
      </w:r>
      <w:r>
        <w:rPr>
          <w:rFonts w:hint="eastAsia" w:ascii="宋体" w:hAnsi="宋体"/>
          <w:sz w:val="24"/>
          <w:szCs w:val="24"/>
          <w:highlight w:val="none"/>
        </w:rPr>
        <w:t>2</w:t>
      </w:r>
      <w:r>
        <w:rPr>
          <w:rFonts w:ascii="宋体" w:hAnsi="宋体"/>
          <w:sz w:val="24"/>
          <w:szCs w:val="24"/>
          <w:highlight w:val="none"/>
        </w:rPr>
        <w:t xml:space="preserve">  </w:t>
      </w:r>
      <w:r>
        <w:rPr>
          <w:rFonts w:hint="eastAsia" w:ascii="宋体" w:hAnsi="宋体"/>
          <w:sz w:val="24"/>
          <w:szCs w:val="24"/>
          <w:highlight w:val="none"/>
        </w:rPr>
        <w:t>投标人不得在开标后至投标有效期期满前撤销投标文件，否则招标方将不予退还其投标保证金。</w:t>
      </w:r>
    </w:p>
    <w:p w14:paraId="1A2A0100">
      <w:pPr>
        <w:spacing w:line="440" w:lineRule="exact"/>
        <w:ind w:firstLine="480" w:firstLineChars="200"/>
        <w:rPr>
          <w:rFonts w:hint="eastAsia" w:ascii="宋体" w:hAnsi="宋体"/>
          <w:sz w:val="24"/>
          <w:szCs w:val="24"/>
          <w:highlight w:val="none"/>
        </w:rPr>
      </w:pPr>
    </w:p>
    <w:p w14:paraId="587523CE">
      <w:pPr>
        <w:spacing w:line="440" w:lineRule="exact"/>
        <w:ind w:firstLine="422" w:firstLineChars="150"/>
        <w:jc w:val="center"/>
        <w:outlineLvl w:val="1"/>
        <w:rPr>
          <w:rFonts w:hint="eastAsia" w:ascii="宋体" w:hAnsi="宋体"/>
          <w:sz w:val="22"/>
          <w:highlight w:val="none"/>
        </w:rPr>
      </w:pPr>
      <w:bookmarkStart w:id="18" w:name="_Toc89792133"/>
      <w:bookmarkStart w:id="19" w:name="_Toc19458"/>
      <w:r>
        <w:rPr>
          <w:rFonts w:hint="eastAsia" w:ascii="宋体" w:hAnsi="宋体"/>
          <w:b/>
          <w:sz w:val="28"/>
          <w:szCs w:val="32"/>
          <w:highlight w:val="none"/>
        </w:rPr>
        <w:t>第四章</w:t>
      </w:r>
      <w:r>
        <w:rPr>
          <w:rFonts w:ascii="宋体" w:hAnsi="宋体"/>
          <w:b/>
          <w:sz w:val="28"/>
          <w:szCs w:val="32"/>
          <w:highlight w:val="none"/>
        </w:rPr>
        <w:t xml:space="preserve"> </w:t>
      </w:r>
      <w:r>
        <w:rPr>
          <w:rFonts w:hint="eastAsia" w:ascii="宋体" w:hAnsi="宋体"/>
          <w:b/>
          <w:sz w:val="28"/>
          <w:szCs w:val="32"/>
          <w:highlight w:val="none"/>
        </w:rPr>
        <w:t>评标委员会</w:t>
      </w:r>
      <w:bookmarkEnd w:id="18"/>
      <w:bookmarkEnd w:id="19"/>
    </w:p>
    <w:p w14:paraId="20EB88A1">
      <w:pPr>
        <w:spacing w:line="440" w:lineRule="exact"/>
        <w:ind w:left="481" w:leftChars="229"/>
        <w:rPr>
          <w:rFonts w:hint="eastAsia" w:ascii="宋体" w:hAnsi="宋体"/>
          <w:b/>
          <w:sz w:val="24"/>
          <w:highlight w:val="none"/>
        </w:rPr>
      </w:pPr>
      <w:r>
        <w:rPr>
          <w:rFonts w:ascii="宋体" w:hAnsi="宋体"/>
          <w:b/>
          <w:sz w:val="24"/>
          <w:highlight w:val="none"/>
        </w:rPr>
        <w:t xml:space="preserve">15. </w:t>
      </w:r>
      <w:r>
        <w:rPr>
          <w:rFonts w:hint="eastAsia" w:ascii="宋体" w:hAnsi="宋体"/>
          <w:b/>
          <w:sz w:val="24"/>
          <w:highlight w:val="none"/>
        </w:rPr>
        <w:t>评标委员会</w:t>
      </w:r>
    </w:p>
    <w:p w14:paraId="06E54675">
      <w:pPr>
        <w:spacing w:line="440" w:lineRule="exact"/>
        <w:ind w:left="481" w:leftChars="229"/>
        <w:rPr>
          <w:rFonts w:hint="eastAsia" w:ascii="宋体" w:hAnsi="宋体"/>
          <w:spacing w:val="-2"/>
          <w:sz w:val="24"/>
          <w:szCs w:val="24"/>
          <w:highlight w:val="none"/>
        </w:rPr>
      </w:pPr>
      <w:r>
        <w:rPr>
          <w:rFonts w:hint="eastAsia" w:ascii="宋体" w:hAnsi="宋体"/>
          <w:spacing w:val="-2"/>
          <w:sz w:val="24"/>
          <w:szCs w:val="24"/>
          <w:highlight w:val="none"/>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24CCB24C">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15.2　评标委员会人选于开标前确定。评标委员会成员名单在中标结果确定前保密。</w:t>
      </w:r>
    </w:p>
    <w:p w14:paraId="5BE0E580">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15.3  评标委员会由有关技术、经济等方面的五名以上专家组成。</w:t>
      </w:r>
    </w:p>
    <w:p w14:paraId="5DD13BCF">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3EF06C03">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15.5评标委员会成员应当熟悉并认真研究招标文件，至少应了解和熟悉以下内容：</w:t>
      </w:r>
    </w:p>
    <w:p w14:paraId="286C7393">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（1）招标目的；</w:t>
      </w:r>
    </w:p>
    <w:p w14:paraId="639AA8F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（2）招标项目的范围、性质；</w:t>
      </w:r>
    </w:p>
    <w:p w14:paraId="3F51E2E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（3）招标文件中规定的主要技术要求、标准和商务条款；</w:t>
      </w:r>
    </w:p>
    <w:p w14:paraId="437A8E76">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（4）招标文件规定的评标标准、评标方法和在评标过程中应考虑的相关因素。</w:t>
      </w:r>
    </w:p>
    <w:p w14:paraId="4FB816D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15.6  评标委员会应当根据招标文件规定的评标标准和方法，对投标文件进行系统地评审。招标文件中没有规定的标准和方法不得作为评标的依据。</w:t>
      </w:r>
    </w:p>
    <w:p w14:paraId="64510501">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1339DB78">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15.8  评标委员会成员和与本次评标活动有关的工作人员，不得透露对投标文件的评审和中标候选人的推荐情况以及与评标有关的其他情况。</w:t>
      </w:r>
    </w:p>
    <w:p w14:paraId="2DA557D9">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15.9　与评标活动有关的工作人员，是指评标委员会成员以外的、因参与评标监督工作或者事务性工作而知悉有关评标情况的所有人员。</w:t>
      </w:r>
    </w:p>
    <w:p w14:paraId="3B27DDB9">
      <w:pPr>
        <w:spacing w:line="440" w:lineRule="exact"/>
        <w:jc w:val="center"/>
        <w:rPr>
          <w:rFonts w:hint="eastAsia" w:ascii="宋体" w:hAnsi="宋体"/>
          <w:b/>
          <w:sz w:val="32"/>
          <w:szCs w:val="32"/>
          <w:highlight w:val="none"/>
        </w:rPr>
      </w:pPr>
    </w:p>
    <w:p w14:paraId="0371DD66">
      <w:pPr>
        <w:spacing w:line="440" w:lineRule="exact"/>
        <w:jc w:val="center"/>
        <w:outlineLvl w:val="1"/>
        <w:rPr>
          <w:rFonts w:hint="eastAsia" w:ascii="宋体" w:hAnsi="宋体"/>
          <w:b/>
          <w:sz w:val="28"/>
          <w:szCs w:val="32"/>
          <w:highlight w:val="none"/>
        </w:rPr>
      </w:pPr>
      <w:bookmarkStart w:id="20" w:name="_Toc89792134"/>
      <w:bookmarkStart w:id="21" w:name="_Toc27696"/>
      <w:r>
        <w:rPr>
          <w:rFonts w:hint="eastAsia" w:ascii="宋体" w:hAnsi="宋体"/>
          <w:b/>
          <w:sz w:val="28"/>
          <w:szCs w:val="32"/>
          <w:highlight w:val="none"/>
        </w:rPr>
        <w:t>第五章</w:t>
      </w:r>
      <w:r>
        <w:rPr>
          <w:rFonts w:ascii="宋体" w:hAnsi="宋体"/>
          <w:b/>
          <w:sz w:val="28"/>
          <w:szCs w:val="32"/>
          <w:highlight w:val="none"/>
        </w:rPr>
        <w:t xml:space="preserve"> </w:t>
      </w:r>
      <w:r>
        <w:rPr>
          <w:rFonts w:hint="eastAsia" w:ascii="宋体" w:hAnsi="宋体"/>
          <w:b/>
          <w:sz w:val="28"/>
          <w:szCs w:val="32"/>
          <w:highlight w:val="none"/>
        </w:rPr>
        <w:t>开　标</w:t>
      </w:r>
      <w:bookmarkEnd w:id="20"/>
      <w:bookmarkEnd w:id="21"/>
    </w:p>
    <w:p w14:paraId="424747B4">
      <w:pPr>
        <w:spacing w:line="440" w:lineRule="exact"/>
        <w:ind w:firstLine="474" w:firstLineChars="200"/>
        <w:rPr>
          <w:rFonts w:hint="eastAsia" w:ascii="宋体" w:hAnsi="宋体"/>
          <w:b/>
          <w:spacing w:val="-2"/>
          <w:sz w:val="24"/>
          <w:szCs w:val="24"/>
          <w:highlight w:val="none"/>
        </w:rPr>
      </w:pPr>
      <w:r>
        <w:rPr>
          <w:rFonts w:ascii="宋体" w:hAnsi="宋体"/>
          <w:b/>
          <w:spacing w:val="-2"/>
          <w:sz w:val="24"/>
          <w:szCs w:val="24"/>
          <w:highlight w:val="none"/>
        </w:rPr>
        <w:t xml:space="preserve">16. </w:t>
      </w:r>
      <w:r>
        <w:rPr>
          <w:rFonts w:hint="eastAsia" w:ascii="宋体" w:hAnsi="宋体"/>
          <w:b/>
          <w:spacing w:val="-2"/>
          <w:sz w:val="24"/>
          <w:szCs w:val="24"/>
          <w:highlight w:val="none"/>
        </w:rPr>
        <w:t>开标</w:t>
      </w:r>
    </w:p>
    <w:p w14:paraId="4396A054">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16.1开标会按“第一章 招标公告”规定的开标时间和地点准时举行，采购人、采购代理机构邀请所有投标人准时参加开标会。投标人应按照招标文件的要求参与不见面开标。</w:t>
      </w:r>
    </w:p>
    <w:p w14:paraId="04918B7D">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16.2 采购代理机构按照招标文件规定的时间、地点主持开标。采购人在规定的投标文件递交截止时间（开标时间）和地点进行不见面远程开标。投标人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5EA0ED23">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 xml:space="preserve">16.3开标过程将宣布投标人名称、投标价格和招标文件规定的需要宣布的其他内容并进行记录，并由参加开标的各投标人确认。投标人未在规定时间内提出疑义或确认一览表的，视同认可开标结果。 </w:t>
      </w:r>
    </w:p>
    <w:p w14:paraId="5EB6306E">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16.4.开标程序</w:t>
      </w:r>
    </w:p>
    <w:p w14:paraId="0E6CC833">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16.4.1 投标人不足3家的，不得开标。</w:t>
      </w:r>
    </w:p>
    <w:p w14:paraId="7E491701">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16.4.2 评标委员会成员不得参加开标活动。</w:t>
      </w:r>
    </w:p>
    <w:p w14:paraId="55047055">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16.4.3主持人按下列程序进行开标：</w:t>
      </w:r>
    </w:p>
    <w:p w14:paraId="2656472B">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（1）宣布开标会纪律；</w:t>
      </w:r>
    </w:p>
    <w:p w14:paraId="56F511BD">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（2）介绍参加开标会的单位和人员；</w:t>
      </w:r>
    </w:p>
    <w:p w14:paraId="12B666B1">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（3）发起投标文件解密。投标人应在“投标人须知前附表”规定的时间内使用加密投标文件的CA证书在系统中完成投标文件的解密；</w:t>
      </w:r>
    </w:p>
    <w:p w14:paraId="7A8E3E68">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（4）解密完成后，系统自动显示投标人名称、投标价格和招标文件规定的需要宣布的其他内容；</w:t>
      </w:r>
    </w:p>
    <w:p w14:paraId="3DFD1F22">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（5）系统自动生成开标记录表，供应商应在线对开标记录进行签署确认；</w:t>
      </w:r>
    </w:p>
    <w:p w14:paraId="32A01EDD">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（6）开标会结束。</w:t>
      </w:r>
    </w:p>
    <w:p w14:paraId="43CCD103">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16.5.开标疑义及回避情形</w:t>
      </w:r>
    </w:p>
    <w:p w14:paraId="237B39EE">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16.5.1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496A3122">
      <w:pPr>
        <w:spacing w:line="440" w:lineRule="exact"/>
        <w:ind w:firstLine="472" w:firstLineChars="200"/>
        <w:rPr>
          <w:rFonts w:hint="eastAsia" w:ascii="宋体" w:hAnsi="宋体"/>
          <w:bCs/>
          <w:spacing w:val="-2"/>
          <w:sz w:val="24"/>
          <w:szCs w:val="24"/>
          <w:highlight w:val="none"/>
        </w:rPr>
      </w:pPr>
      <w:r>
        <w:rPr>
          <w:rFonts w:hint="eastAsia" w:ascii="宋体" w:hAnsi="宋体"/>
          <w:bCs/>
          <w:spacing w:val="-2"/>
          <w:sz w:val="24"/>
          <w:szCs w:val="24"/>
          <w:highlight w:val="none"/>
        </w:rPr>
        <w:t>16.5.2投标人未参加开标的，视同认可开标结果。</w:t>
      </w:r>
    </w:p>
    <w:p w14:paraId="09EBBEBF">
      <w:pPr>
        <w:spacing w:line="440" w:lineRule="exact"/>
        <w:ind w:firstLine="472" w:firstLineChars="200"/>
        <w:rPr>
          <w:rFonts w:hint="eastAsia" w:ascii="宋体" w:hAnsi="宋体"/>
          <w:b/>
          <w:spacing w:val="-2"/>
          <w:sz w:val="24"/>
          <w:szCs w:val="24"/>
          <w:highlight w:val="none"/>
        </w:rPr>
      </w:pPr>
      <w:r>
        <w:rPr>
          <w:rFonts w:hint="eastAsia" w:ascii="宋体" w:hAnsi="宋体"/>
          <w:spacing w:val="-2"/>
          <w:sz w:val="24"/>
          <w:szCs w:val="24"/>
          <w:highlight w:val="none"/>
        </w:rPr>
        <w:t>★</w:t>
      </w:r>
      <w:r>
        <w:rPr>
          <w:rFonts w:hint="eastAsia" w:ascii="宋体" w:hAnsi="宋体"/>
          <w:b/>
          <w:spacing w:val="-2"/>
          <w:sz w:val="24"/>
          <w:szCs w:val="24"/>
          <w:highlight w:val="none"/>
        </w:rPr>
        <w:t>1</w:t>
      </w:r>
      <w:r>
        <w:rPr>
          <w:rFonts w:ascii="宋体" w:hAnsi="宋体"/>
          <w:b/>
          <w:spacing w:val="-2"/>
          <w:sz w:val="24"/>
          <w:szCs w:val="24"/>
          <w:highlight w:val="none"/>
        </w:rPr>
        <w:t xml:space="preserve">7. </w:t>
      </w:r>
      <w:r>
        <w:rPr>
          <w:rFonts w:hint="eastAsia" w:ascii="宋体" w:hAnsi="宋体"/>
          <w:b/>
          <w:spacing w:val="-2"/>
          <w:sz w:val="24"/>
          <w:szCs w:val="24"/>
          <w:highlight w:val="none"/>
        </w:rPr>
        <w:t>资格审查</w:t>
      </w:r>
    </w:p>
    <w:p w14:paraId="34014D40">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17.</w:t>
      </w:r>
      <w:r>
        <w:rPr>
          <w:rFonts w:hint="eastAsia" w:ascii="宋体" w:hAnsi="宋体"/>
          <w:spacing w:val="-2"/>
          <w:sz w:val="24"/>
          <w:szCs w:val="24"/>
          <w:highlight w:val="none"/>
        </w:rPr>
        <w:t>1　公开招标采购项目开标结束后，采购人或者采购代理机构应当依法对投标人的资格进行审查。合格投标人不足3家的，不得评标。</w:t>
      </w:r>
    </w:p>
    <w:p w14:paraId="30FD5C01">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资格审查内容如下：</w:t>
      </w:r>
    </w:p>
    <w:p w14:paraId="02BF5E58">
      <w:pPr>
        <w:pStyle w:val="20"/>
        <w:rPr>
          <w:highlight w:val="none"/>
        </w:rPr>
      </w:pPr>
    </w:p>
    <w:p w14:paraId="0293107E">
      <w:pPr>
        <w:pStyle w:val="20"/>
        <w:rPr>
          <w:highlight w:val="none"/>
        </w:rPr>
      </w:pPr>
    </w:p>
    <w:p w14:paraId="5EEC5FEE">
      <w:pPr>
        <w:spacing w:line="440" w:lineRule="exact"/>
        <w:ind w:firstLine="554" w:firstLineChars="200"/>
        <w:jc w:val="center"/>
        <w:rPr>
          <w:rFonts w:hint="eastAsia" w:asciiTheme="minorEastAsia" w:hAnsiTheme="minorEastAsia" w:eastAsiaTheme="minorEastAsia"/>
          <w:b/>
          <w:spacing w:val="-2"/>
          <w:sz w:val="28"/>
          <w:szCs w:val="28"/>
          <w:highlight w:val="none"/>
        </w:rPr>
      </w:pPr>
      <w:r>
        <w:rPr>
          <w:rFonts w:hint="eastAsia" w:asciiTheme="minorEastAsia" w:hAnsiTheme="minorEastAsia" w:eastAsiaTheme="minorEastAsia"/>
          <w:b/>
          <w:spacing w:val="-2"/>
          <w:sz w:val="28"/>
          <w:szCs w:val="28"/>
          <w:highlight w:val="none"/>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25163222">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D291A1B">
            <w:pPr>
              <w:jc w:val="center"/>
              <w:rPr>
                <w:rFonts w:hint="eastAsia" w:ascii="宋体" w:hAnsi="宋体" w:cs="宋体"/>
                <w:sz w:val="22"/>
                <w:szCs w:val="22"/>
                <w:highlight w:val="none"/>
              </w:rPr>
            </w:pPr>
            <w:r>
              <w:rPr>
                <w:rFonts w:hint="eastAsia" w:ascii="宋体" w:hAnsi="宋体" w:cs="宋体"/>
                <w:sz w:val="22"/>
                <w:szCs w:val="22"/>
                <w:highlight w:val="none"/>
              </w:rPr>
              <w:t>序号</w:t>
            </w:r>
          </w:p>
        </w:tc>
        <w:tc>
          <w:tcPr>
            <w:tcW w:w="1708" w:type="dxa"/>
            <w:tcBorders>
              <w:top w:val="single" w:color="auto" w:sz="4" w:space="0"/>
              <w:left w:val="nil"/>
              <w:bottom w:val="single" w:color="auto" w:sz="4" w:space="0"/>
              <w:right w:val="single" w:color="auto" w:sz="4" w:space="0"/>
            </w:tcBorders>
            <w:vAlign w:val="center"/>
          </w:tcPr>
          <w:p w14:paraId="1CDB382E">
            <w:pPr>
              <w:jc w:val="center"/>
              <w:rPr>
                <w:rFonts w:hint="eastAsia" w:ascii="宋体" w:hAnsi="宋体" w:cs="宋体"/>
                <w:sz w:val="22"/>
                <w:szCs w:val="22"/>
                <w:highlight w:val="none"/>
              </w:rPr>
            </w:pPr>
            <w:r>
              <w:rPr>
                <w:rFonts w:hint="eastAsia" w:ascii="宋体" w:hAnsi="宋体" w:cs="宋体"/>
                <w:sz w:val="22"/>
                <w:szCs w:val="22"/>
                <w:highlight w:val="none"/>
              </w:rPr>
              <w:t>评审因素</w:t>
            </w:r>
          </w:p>
        </w:tc>
        <w:tc>
          <w:tcPr>
            <w:tcW w:w="6493" w:type="dxa"/>
            <w:tcBorders>
              <w:top w:val="single" w:color="auto" w:sz="4" w:space="0"/>
              <w:left w:val="nil"/>
              <w:bottom w:val="single" w:color="auto" w:sz="4" w:space="0"/>
              <w:right w:val="single" w:color="auto" w:sz="4" w:space="0"/>
            </w:tcBorders>
            <w:vAlign w:val="center"/>
          </w:tcPr>
          <w:p w14:paraId="2107034C">
            <w:pPr>
              <w:jc w:val="center"/>
              <w:rPr>
                <w:rFonts w:hint="eastAsia" w:ascii="宋体" w:hAnsi="宋体" w:cs="宋体"/>
                <w:sz w:val="22"/>
                <w:szCs w:val="22"/>
                <w:highlight w:val="none"/>
              </w:rPr>
            </w:pPr>
            <w:r>
              <w:rPr>
                <w:rFonts w:hint="eastAsia" w:ascii="宋体" w:hAnsi="宋体" w:cs="宋体"/>
                <w:sz w:val="22"/>
                <w:szCs w:val="22"/>
                <w:highlight w:val="none"/>
              </w:rPr>
              <w:t>评审标准</w:t>
            </w:r>
          </w:p>
        </w:tc>
      </w:tr>
      <w:tr w14:paraId="17A83696">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5F8E0CAE">
            <w:pPr>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708" w:type="dxa"/>
            <w:tcBorders>
              <w:top w:val="single" w:color="auto" w:sz="4" w:space="0"/>
              <w:left w:val="nil"/>
              <w:bottom w:val="single" w:color="auto" w:sz="4" w:space="0"/>
              <w:right w:val="single" w:color="auto" w:sz="4" w:space="0"/>
            </w:tcBorders>
            <w:vAlign w:val="center"/>
          </w:tcPr>
          <w:p w14:paraId="6789503E">
            <w:pPr>
              <w:widowControl/>
              <w:rPr>
                <w:rFonts w:hint="eastAsia" w:ascii="宋体" w:hAnsi="宋体" w:cs="宋体"/>
                <w:sz w:val="22"/>
                <w:szCs w:val="22"/>
                <w:highlight w:val="none"/>
              </w:rPr>
            </w:pPr>
            <w:r>
              <w:rPr>
                <w:rFonts w:hint="eastAsia" w:ascii="宋体" w:hAnsi="宋体" w:cs="宋体"/>
                <w:sz w:val="22"/>
                <w:szCs w:val="22"/>
                <w:highlight w:val="none"/>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19D83CFB">
            <w:pPr>
              <w:widowControl/>
              <w:rPr>
                <w:rFonts w:hint="eastAsia" w:ascii="宋体" w:hAnsi="宋体" w:cs="宋体"/>
                <w:sz w:val="22"/>
                <w:szCs w:val="22"/>
                <w:highlight w:val="none"/>
              </w:rPr>
            </w:pPr>
            <w:r>
              <w:rPr>
                <w:rFonts w:hint="eastAsia" w:ascii="宋体" w:hAnsi="宋体" w:cs="宋体"/>
                <w:sz w:val="22"/>
                <w:szCs w:val="22"/>
                <w:highlight w:val="none"/>
              </w:rPr>
              <w:t>三证合一营业执照（副本）或事业单位法人证书（副本）复印件</w:t>
            </w:r>
          </w:p>
        </w:tc>
      </w:tr>
      <w:tr w14:paraId="771F0716">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B42E452">
            <w:pPr>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708" w:type="dxa"/>
            <w:tcBorders>
              <w:top w:val="single" w:color="auto" w:sz="4" w:space="0"/>
              <w:left w:val="nil"/>
              <w:bottom w:val="single" w:color="auto" w:sz="4" w:space="0"/>
              <w:right w:val="single" w:color="auto" w:sz="4" w:space="0"/>
            </w:tcBorders>
            <w:vAlign w:val="center"/>
          </w:tcPr>
          <w:p w14:paraId="403DF0BC">
            <w:pPr>
              <w:widowControl/>
              <w:rPr>
                <w:rFonts w:hint="eastAsia" w:ascii="宋体" w:hAnsi="宋体" w:cs="宋体"/>
                <w:sz w:val="22"/>
                <w:szCs w:val="22"/>
                <w:highlight w:val="none"/>
              </w:rPr>
            </w:pPr>
            <w:r>
              <w:rPr>
                <w:rFonts w:hint="eastAsia" w:ascii="宋体" w:hAnsi="宋体" w:cs="宋体"/>
                <w:sz w:val="22"/>
                <w:szCs w:val="22"/>
                <w:highlight w:val="none"/>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2349390F">
            <w:pPr>
              <w:rPr>
                <w:rFonts w:hint="eastAsia" w:ascii="宋体" w:hAnsi="宋体" w:cs="宋体"/>
                <w:sz w:val="22"/>
                <w:szCs w:val="22"/>
                <w:highlight w:val="none"/>
              </w:rPr>
            </w:pPr>
            <w:r>
              <w:rPr>
                <w:rFonts w:hint="eastAsia" w:ascii="宋体" w:hAnsi="宋体" w:cs="宋体"/>
                <w:sz w:val="22"/>
                <w:szCs w:val="22"/>
                <w:highlight w:val="none"/>
              </w:rPr>
              <w:t>提供（2024年度或2025年度）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p w14:paraId="4B1EC958">
            <w:pPr>
              <w:rPr>
                <w:rFonts w:hint="eastAsia" w:ascii="宋体" w:hAnsi="宋体" w:cs="宋体"/>
                <w:sz w:val="22"/>
                <w:szCs w:val="22"/>
                <w:highlight w:val="none"/>
              </w:rPr>
            </w:pPr>
            <w:r>
              <w:rPr>
                <w:rFonts w:hint="eastAsia" w:ascii="宋体" w:hAnsi="宋体" w:cs="宋体"/>
                <w:sz w:val="22"/>
                <w:szCs w:val="22"/>
                <w:highlight w:val="none"/>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C975173">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C5FDA30">
            <w:pPr>
              <w:jc w:val="center"/>
              <w:rPr>
                <w:rFonts w:hint="eastAsia" w:ascii="宋体" w:hAnsi="宋体" w:cs="宋体"/>
                <w:sz w:val="22"/>
                <w:szCs w:val="22"/>
                <w:highlight w:val="none"/>
              </w:rPr>
            </w:pPr>
            <w:r>
              <w:rPr>
                <w:rFonts w:hint="eastAsia" w:ascii="宋体" w:hAnsi="宋体" w:cs="宋体"/>
                <w:sz w:val="22"/>
                <w:szCs w:val="22"/>
                <w:highlight w:val="none"/>
              </w:rPr>
              <w:t>3</w:t>
            </w:r>
          </w:p>
        </w:tc>
        <w:tc>
          <w:tcPr>
            <w:tcW w:w="1708" w:type="dxa"/>
            <w:tcBorders>
              <w:top w:val="single" w:color="auto" w:sz="4" w:space="0"/>
              <w:left w:val="nil"/>
              <w:bottom w:val="single" w:color="auto" w:sz="4" w:space="0"/>
              <w:right w:val="single" w:color="auto" w:sz="4" w:space="0"/>
            </w:tcBorders>
            <w:vAlign w:val="center"/>
          </w:tcPr>
          <w:p w14:paraId="044265BE">
            <w:pPr>
              <w:rPr>
                <w:rFonts w:hint="eastAsia" w:ascii="宋体" w:hAnsi="宋体" w:cs="宋体"/>
                <w:sz w:val="22"/>
                <w:szCs w:val="22"/>
                <w:highlight w:val="none"/>
              </w:rPr>
            </w:pPr>
            <w:r>
              <w:rPr>
                <w:rFonts w:hint="eastAsia" w:ascii="宋体" w:hAnsi="宋体" w:cs="宋体"/>
                <w:sz w:val="22"/>
                <w:szCs w:val="22"/>
                <w:highlight w:val="none"/>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0245D8B5">
            <w:pPr>
              <w:rPr>
                <w:rFonts w:hint="eastAsia" w:ascii="宋体" w:hAnsi="宋体" w:cs="宋体"/>
                <w:sz w:val="24"/>
                <w:szCs w:val="24"/>
                <w:highlight w:val="none"/>
              </w:rPr>
            </w:pPr>
            <w:r>
              <w:rPr>
                <w:rFonts w:hint="eastAsia" w:ascii="宋体" w:hAnsi="宋体" w:cs="宋体"/>
                <w:sz w:val="24"/>
                <w:szCs w:val="24"/>
                <w:highlight w:val="none"/>
              </w:rPr>
              <w:t>提供具有履行合同所必需的设备和专业技术能力等相关证明材料或声明；</w:t>
            </w:r>
          </w:p>
        </w:tc>
      </w:tr>
      <w:tr w14:paraId="6B71CE1B">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41C7D5F">
            <w:pPr>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708" w:type="dxa"/>
            <w:tcBorders>
              <w:top w:val="single" w:color="auto" w:sz="4" w:space="0"/>
              <w:left w:val="nil"/>
              <w:bottom w:val="single" w:color="auto" w:sz="4" w:space="0"/>
              <w:right w:val="single" w:color="auto" w:sz="4" w:space="0"/>
            </w:tcBorders>
            <w:vAlign w:val="center"/>
          </w:tcPr>
          <w:p w14:paraId="34029921">
            <w:pPr>
              <w:rPr>
                <w:rFonts w:hint="eastAsia" w:ascii="宋体" w:hAnsi="宋体" w:cs="宋体"/>
                <w:sz w:val="22"/>
                <w:szCs w:val="22"/>
                <w:highlight w:val="none"/>
              </w:rPr>
            </w:pPr>
            <w:r>
              <w:rPr>
                <w:rFonts w:hint="eastAsia" w:ascii="宋体" w:hAnsi="宋体" w:cs="宋体"/>
                <w:sz w:val="22"/>
                <w:szCs w:val="22"/>
                <w:highlight w:val="none"/>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62B944E1">
            <w:pPr>
              <w:rPr>
                <w:rFonts w:hint="eastAsia" w:ascii="宋体" w:hAnsi="宋体" w:cs="宋体"/>
                <w:sz w:val="22"/>
                <w:szCs w:val="22"/>
                <w:highlight w:val="none"/>
              </w:rPr>
            </w:pPr>
            <w:r>
              <w:rPr>
                <w:rFonts w:hint="eastAsia" w:ascii="宋体" w:hAnsi="宋体" w:cs="宋体"/>
                <w:sz w:val="22"/>
                <w:szCs w:val="22"/>
                <w:highlight w:val="none"/>
              </w:rPr>
              <w:t xml:space="preserve">提供近半年任意一个月依法缴纳税收和社会保障资金的良好记录的证明材料（附复印件）； </w:t>
            </w:r>
          </w:p>
          <w:p w14:paraId="789446EC">
            <w:pPr>
              <w:rPr>
                <w:rFonts w:hint="eastAsia" w:ascii="宋体" w:hAnsi="宋体" w:cs="宋体"/>
                <w:sz w:val="22"/>
                <w:szCs w:val="22"/>
                <w:highlight w:val="none"/>
              </w:rPr>
            </w:pPr>
            <w:r>
              <w:rPr>
                <w:rFonts w:hint="eastAsia" w:ascii="宋体" w:hAnsi="宋体" w:cs="宋体"/>
                <w:sz w:val="22"/>
                <w:szCs w:val="22"/>
                <w:highlight w:val="none"/>
              </w:rPr>
              <w:t xml:space="preserve">个体工商户参与政府采购活动需要提供缴纳税收的凭据和社会保险的凭据；依法免税或不需要缴纳社保的，应提供相应文件以证明其依法免税或不需要缴纳社保的优惠； </w:t>
            </w:r>
          </w:p>
        </w:tc>
      </w:tr>
      <w:tr w14:paraId="45C82D3A">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7FCE41D">
            <w:pPr>
              <w:jc w:val="cente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5</w:t>
            </w:r>
          </w:p>
        </w:tc>
        <w:tc>
          <w:tcPr>
            <w:tcW w:w="1708" w:type="dxa"/>
            <w:tcBorders>
              <w:top w:val="single" w:color="auto" w:sz="4" w:space="0"/>
              <w:left w:val="nil"/>
              <w:bottom w:val="single" w:color="auto" w:sz="4" w:space="0"/>
              <w:right w:val="single" w:color="auto" w:sz="4" w:space="0"/>
            </w:tcBorders>
            <w:vAlign w:val="center"/>
          </w:tcPr>
          <w:p w14:paraId="0BC7DB38">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0D31AD0B">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参加政府采购活动近3年内，在经营活动中没有重大违法记录，提供声明书。</w:t>
            </w:r>
          </w:p>
        </w:tc>
      </w:tr>
      <w:tr w14:paraId="38B94EA7">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B7BE6AF">
            <w:pPr>
              <w:jc w:val="cente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6</w:t>
            </w:r>
          </w:p>
        </w:tc>
        <w:tc>
          <w:tcPr>
            <w:tcW w:w="1708" w:type="dxa"/>
            <w:tcBorders>
              <w:top w:val="single" w:color="auto" w:sz="4" w:space="0"/>
              <w:left w:val="nil"/>
              <w:bottom w:val="single" w:color="auto" w:sz="4" w:space="0"/>
              <w:right w:val="single" w:color="auto" w:sz="4" w:space="0"/>
            </w:tcBorders>
            <w:vAlign w:val="center"/>
          </w:tcPr>
          <w:p w14:paraId="4B4D8E88">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信用查询</w:t>
            </w:r>
          </w:p>
        </w:tc>
        <w:tc>
          <w:tcPr>
            <w:tcW w:w="6493" w:type="dxa"/>
            <w:tcBorders>
              <w:top w:val="single" w:color="auto" w:sz="4" w:space="0"/>
              <w:left w:val="nil"/>
              <w:bottom w:val="single" w:color="auto" w:sz="4" w:space="0"/>
              <w:right w:val="single" w:color="auto" w:sz="4" w:space="0"/>
            </w:tcBorders>
            <w:vAlign w:val="center"/>
          </w:tcPr>
          <w:p w14:paraId="7961D1C4">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487F14E0">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380B3FA6">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7</w:t>
            </w:r>
          </w:p>
        </w:tc>
        <w:tc>
          <w:tcPr>
            <w:tcW w:w="1708" w:type="dxa"/>
            <w:tcBorders>
              <w:top w:val="single" w:color="auto" w:sz="4" w:space="0"/>
              <w:left w:val="nil"/>
              <w:bottom w:val="single" w:color="auto" w:sz="4" w:space="0"/>
              <w:right w:val="single" w:color="auto" w:sz="4" w:space="0"/>
            </w:tcBorders>
            <w:vAlign w:val="center"/>
          </w:tcPr>
          <w:p w14:paraId="22959B1F">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是否缴纳投标保证金</w:t>
            </w:r>
          </w:p>
        </w:tc>
        <w:tc>
          <w:tcPr>
            <w:tcW w:w="6493" w:type="dxa"/>
            <w:tcBorders>
              <w:top w:val="single" w:color="auto" w:sz="4" w:space="0"/>
              <w:left w:val="nil"/>
              <w:bottom w:val="single" w:color="auto" w:sz="4" w:space="0"/>
              <w:right w:val="single" w:color="auto" w:sz="4" w:space="0"/>
            </w:tcBorders>
            <w:vAlign w:val="center"/>
          </w:tcPr>
          <w:p w14:paraId="606CC99A">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提供缴纳保证金凭证。</w:t>
            </w:r>
          </w:p>
        </w:tc>
      </w:tr>
      <w:tr w14:paraId="75CA9426">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4E50BFD9">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rPr>
              <w:t>8</w:t>
            </w:r>
          </w:p>
        </w:tc>
        <w:tc>
          <w:tcPr>
            <w:tcW w:w="1708" w:type="dxa"/>
            <w:tcBorders>
              <w:top w:val="single" w:color="auto" w:sz="4" w:space="0"/>
              <w:left w:val="nil"/>
              <w:bottom w:val="single" w:color="auto" w:sz="4" w:space="0"/>
              <w:right w:val="single" w:color="auto" w:sz="4" w:space="0"/>
            </w:tcBorders>
            <w:vAlign w:val="center"/>
          </w:tcPr>
          <w:p w14:paraId="0ADCC5F2">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lang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52A28DC9">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lang w:bidi="ar"/>
              </w:rPr>
              <w:t>本项目预算金额中预留30%面向中小企业（其中60%面向小微企业）采购项目，该部分预留份额采取分包意向协议形式向中小企业进行分包，且分包意向协议合同金额需达到规定的比例，具体合同分包相关规则如下：（1）如供应商所报货物制造商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41262CB0">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lang w:bidi="ar"/>
              </w:rPr>
              <w:t>（2）如供应商所报货物制造商属于中型企业的，必须将本项目适宜分包的内容分包给小微企业，分包给小微企业的部分不低于合同金额的18%。须按招标文件要求提供《分包意向协议》以及《中小企业声明函》。</w:t>
            </w:r>
          </w:p>
          <w:p w14:paraId="708D3F84">
            <w:pPr>
              <w:rPr>
                <w:rFonts w:hint="eastAsia" w:cs="宋体" w:asciiTheme="minorEastAsia" w:hAnsiTheme="minorEastAsia" w:eastAsiaTheme="minorEastAsia"/>
                <w:kern w:val="0"/>
                <w:sz w:val="24"/>
                <w:szCs w:val="24"/>
                <w:highlight w:val="none"/>
              </w:rPr>
            </w:pPr>
            <w:r>
              <w:rPr>
                <w:rFonts w:hint="eastAsia" w:cs="宋体" w:asciiTheme="minorEastAsia" w:hAnsiTheme="minorEastAsia" w:eastAsiaTheme="minorEastAsia"/>
                <w:kern w:val="0"/>
                <w:sz w:val="24"/>
                <w:szCs w:val="24"/>
                <w:highlight w:val="none"/>
                <w:lang w:bidi="ar"/>
              </w:rPr>
              <w:t>（3）如供应商所报货物制造商均属于小微企业的，是否采取分包不作强制要求。须按招标文件要求提供《中小企业声明函》。</w:t>
            </w:r>
          </w:p>
        </w:tc>
      </w:tr>
      <w:tr w14:paraId="76508513">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7A276E7">
            <w:pPr>
              <w:jc w:val="cente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备注</w:t>
            </w:r>
          </w:p>
        </w:tc>
        <w:tc>
          <w:tcPr>
            <w:tcW w:w="8201" w:type="dxa"/>
            <w:gridSpan w:val="2"/>
            <w:tcBorders>
              <w:top w:val="single" w:color="auto" w:sz="4" w:space="0"/>
              <w:left w:val="nil"/>
              <w:bottom w:val="single" w:color="auto" w:sz="4" w:space="0"/>
              <w:right w:val="single" w:color="auto" w:sz="4" w:space="0"/>
            </w:tcBorders>
            <w:vAlign w:val="center"/>
          </w:tcPr>
          <w:p w14:paraId="2EB87AEC">
            <w:pPr>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再次重申：供应商请认真阅读和理解上述内容，避免资格审查中有违背上述审查标准之一的情况发生而造成废标。</w:t>
            </w:r>
          </w:p>
        </w:tc>
      </w:tr>
    </w:tbl>
    <w:p w14:paraId="0A0E25D6">
      <w:pPr>
        <w:pStyle w:val="20"/>
        <w:rPr>
          <w:rFonts w:hint="eastAsia" w:asciiTheme="minorEastAsia" w:hAnsiTheme="minorEastAsia" w:eastAsiaTheme="minorEastAsia"/>
          <w:sz w:val="24"/>
          <w:szCs w:val="24"/>
          <w:highlight w:val="none"/>
        </w:rPr>
      </w:pPr>
    </w:p>
    <w:p w14:paraId="5BCE4700">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1.资格审查合格的打“√”，不合格的打“×”。</w:t>
      </w:r>
    </w:p>
    <w:p w14:paraId="1386B70D">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2.资格审查结果，通过打“√”，不通过的打“×”。</w:t>
      </w:r>
    </w:p>
    <w:p w14:paraId="32291E5A">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3.请填写不通过资格审查的投标人的原因。</w:t>
      </w:r>
    </w:p>
    <w:p w14:paraId="6E7E381C">
      <w:pPr>
        <w:jc w:val="center"/>
        <w:outlineLvl w:val="1"/>
        <w:rPr>
          <w:highlight w:val="none"/>
        </w:rPr>
      </w:pPr>
      <w:bookmarkStart w:id="22" w:name="_Toc8072"/>
      <w:r>
        <w:rPr>
          <w:rFonts w:asciiTheme="minorEastAsia" w:hAnsiTheme="minorEastAsia" w:eastAsiaTheme="minorEastAsia"/>
          <w:b/>
          <w:bCs/>
          <w:sz w:val="24"/>
          <w:szCs w:val="24"/>
          <w:highlight w:val="none"/>
        </w:rPr>
        <w:br w:type="page"/>
      </w:r>
      <w:bookmarkStart w:id="23" w:name="_Toc131497492"/>
      <w:r>
        <w:rPr>
          <w:rFonts w:hint="eastAsia" w:ascii="宋体" w:hAnsi="宋体"/>
          <w:b/>
          <w:sz w:val="28"/>
          <w:szCs w:val="32"/>
          <w:highlight w:val="none"/>
        </w:rPr>
        <w:t>第六章 评　标</w:t>
      </w:r>
      <w:bookmarkEnd w:id="22"/>
      <w:bookmarkEnd w:id="23"/>
    </w:p>
    <w:p w14:paraId="7B3B8D11">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8</w:t>
      </w:r>
      <w:r>
        <w:rPr>
          <w:rFonts w:ascii="宋体" w:hAnsi="宋体"/>
          <w:b/>
          <w:sz w:val="24"/>
          <w:szCs w:val="24"/>
          <w:highlight w:val="none"/>
        </w:rPr>
        <w:t xml:space="preserve">. </w:t>
      </w:r>
      <w:r>
        <w:rPr>
          <w:rFonts w:hint="eastAsia" w:ascii="宋体" w:hAnsi="宋体"/>
          <w:b/>
          <w:sz w:val="24"/>
          <w:szCs w:val="24"/>
          <w:highlight w:val="none"/>
        </w:rPr>
        <w:t>评标依据</w:t>
      </w:r>
    </w:p>
    <w:p w14:paraId="369FD1F8">
      <w:pPr>
        <w:spacing w:line="440" w:lineRule="exact"/>
        <w:ind w:firstLine="480" w:firstLineChars="200"/>
        <w:rPr>
          <w:rFonts w:hint="eastAsia"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.1</w:t>
      </w:r>
      <w:r>
        <w:rPr>
          <w:rFonts w:hint="eastAsia" w:ascii="宋体" w:hAnsi="宋体"/>
          <w:sz w:val="24"/>
          <w:szCs w:val="24"/>
          <w:highlight w:val="none"/>
        </w:rPr>
        <w:t>　评标的依据为招标文件。</w:t>
      </w:r>
    </w:p>
    <w:p w14:paraId="2C46D643">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9</w:t>
      </w:r>
      <w:r>
        <w:rPr>
          <w:rFonts w:ascii="宋体" w:hAnsi="宋体"/>
          <w:b/>
          <w:sz w:val="24"/>
          <w:szCs w:val="24"/>
          <w:highlight w:val="none"/>
        </w:rPr>
        <w:t xml:space="preserve">. </w:t>
      </w:r>
      <w:r>
        <w:rPr>
          <w:rFonts w:hint="eastAsia" w:ascii="宋体" w:hAnsi="宋体"/>
          <w:b/>
          <w:sz w:val="24"/>
          <w:szCs w:val="24"/>
          <w:highlight w:val="none"/>
        </w:rPr>
        <w:t>投标文件的澄清</w:t>
      </w:r>
    </w:p>
    <w:p w14:paraId="34968089">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1</w:t>
      </w:r>
      <w:r>
        <w:rPr>
          <w:rFonts w:hint="eastAsia" w:asciiTheme="minorEastAsia" w:hAnsiTheme="minorEastAsia" w:eastAsiaTheme="minorEastAsia"/>
          <w:spacing w:val="-2"/>
          <w:sz w:val="24"/>
          <w:szCs w:val="24"/>
          <w:highlight w:val="none"/>
        </w:rPr>
        <w:t>9</w:t>
      </w:r>
      <w:r>
        <w:rPr>
          <w:rFonts w:asciiTheme="minorEastAsia" w:hAnsiTheme="minorEastAsia" w:eastAsiaTheme="minorEastAsia"/>
          <w:spacing w:val="-2"/>
          <w:sz w:val="24"/>
          <w:szCs w:val="24"/>
          <w:highlight w:val="none"/>
        </w:rPr>
        <w:t>.1</w:t>
      </w:r>
      <w:r>
        <w:rPr>
          <w:rFonts w:hint="eastAsia" w:asciiTheme="minorEastAsia" w:hAnsiTheme="minorEastAsia" w:eastAsiaTheme="minorEastAsia"/>
          <w:spacing w:val="-2"/>
          <w:sz w:val="24"/>
          <w:szCs w:val="24"/>
          <w:highlight w:val="none"/>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0CCDEA74">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1</w:t>
      </w:r>
      <w:r>
        <w:rPr>
          <w:rFonts w:hint="eastAsia" w:asciiTheme="minorEastAsia" w:hAnsiTheme="minorEastAsia" w:eastAsiaTheme="minorEastAsia"/>
          <w:spacing w:val="-2"/>
          <w:sz w:val="24"/>
          <w:szCs w:val="24"/>
          <w:highlight w:val="none"/>
        </w:rPr>
        <w:t>9</w:t>
      </w:r>
      <w:r>
        <w:rPr>
          <w:rFonts w:asciiTheme="minorEastAsia" w:hAnsiTheme="minorEastAsia" w:eastAsiaTheme="minorEastAsia"/>
          <w:spacing w:val="-2"/>
          <w:sz w:val="24"/>
          <w:szCs w:val="24"/>
          <w:highlight w:val="none"/>
        </w:rPr>
        <w:t>.2</w:t>
      </w:r>
      <w:r>
        <w:rPr>
          <w:rFonts w:hint="eastAsia" w:asciiTheme="minorEastAsia" w:hAnsiTheme="minorEastAsia" w:eastAsiaTheme="minorEastAsia"/>
          <w:spacing w:val="-2"/>
          <w:sz w:val="24"/>
          <w:szCs w:val="24"/>
          <w:highlight w:val="none"/>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52A82015">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20. </w:t>
      </w:r>
      <w:r>
        <w:rPr>
          <w:rFonts w:hint="eastAsia" w:asciiTheme="minorEastAsia" w:hAnsiTheme="minorEastAsia" w:eastAsiaTheme="minorEastAsia"/>
          <w:sz w:val="24"/>
          <w:szCs w:val="24"/>
          <w:highlight w:val="none"/>
        </w:rPr>
        <w:t>评标过程的保密</w:t>
      </w:r>
    </w:p>
    <w:p w14:paraId="16E3AB76">
      <w:pPr>
        <w:spacing w:line="440" w:lineRule="exact"/>
        <w:ind w:firstLine="480"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z w:val="24"/>
          <w:szCs w:val="24"/>
          <w:highlight w:val="none"/>
        </w:rPr>
        <w:t xml:space="preserve">20.1  </w:t>
      </w:r>
      <w:r>
        <w:rPr>
          <w:rFonts w:hint="eastAsia" w:asciiTheme="minorEastAsia" w:hAnsiTheme="minorEastAsia" w:eastAsiaTheme="minorEastAsia"/>
          <w:spacing w:val="-2"/>
          <w:sz w:val="24"/>
          <w:szCs w:val="24"/>
          <w:highlight w:val="none"/>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37357B93">
      <w:pPr>
        <w:spacing w:line="440" w:lineRule="exact"/>
        <w:ind w:firstLine="480"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z w:val="24"/>
          <w:szCs w:val="24"/>
          <w:highlight w:val="none"/>
        </w:rPr>
        <w:t xml:space="preserve">20.2 </w:t>
      </w:r>
      <w:r>
        <w:rPr>
          <w:rFonts w:hint="eastAsia" w:asciiTheme="minorEastAsia" w:hAnsiTheme="minorEastAsia" w:eastAsiaTheme="minorEastAsia"/>
          <w:spacing w:val="-2"/>
          <w:sz w:val="24"/>
          <w:szCs w:val="24"/>
          <w:highlight w:val="none"/>
        </w:rPr>
        <w:t>投标人在评标过程中，所进行的试图影响评标结果的不符合《中华人民共和国政府采购法》</w:t>
      </w:r>
      <w:r>
        <w:rPr>
          <w:rFonts w:hint="eastAsia" w:asciiTheme="minorEastAsia" w:hAnsiTheme="minorEastAsia" w:eastAsiaTheme="minorEastAsia"/>
          <w:sz w:val="24"/>
          <w:szCs w:val="24"/>
          <w:highlight w:val="none"/>
        </w:rPr>
        <w:t>和相关法律法规</w:t>
      </w:r>
      <w:r>
        <w:rPr>
          <w:rFonts w:hint="eastAsia" w:asciiTheme="minorEastAsia" w:hAnsiTheme="minorEastAsia" w:eastAsiaTheme="minorEastAsia"/>
          <w:spacing w:val="-2"/>
          <w:sz w:val="24"/>
          <w:szCs w:val="24"/>
          <w:highlight w:val="none"/>
        </w:rPr>
        <w:t>及本次招标有关规定的活动，将被取消中标资格。</w:t>
      </w:r>
    </w:p>
    <w:p w14:paraId="19D2889A">
      <w:pPr>
        <w:spacing w:line="440" w:lineRule="exact"/>
        <w:ind w:firstLine="480" w:firstLineChars="200"/>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w:t>
      </w:r>
      <w:r>
        <w:rPr>
          <w:rFonts w:hint="eastAsia" w:asciiTheme="minorEastAsia" w:hAnsiTheme="minorEastAsia" w:eastAsiaTheme="minorEastAsia"/>
          <w:sz w:val="24"/>
          <w:szCs w:val="24"/>
          <w:highlight w:val="none"/>
        </w:rPr>
        <w:t>符合性评审</w:t>
      </w:r>
    </w:p>
    <w:p w14:paraId="3CCF3963">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 xml:space="preserve">21.1  </w:t>
      </w:r>
      <w:r>
        <w:rPr>
          <w:rFonts w:hint="eastAsia" w:asciiTheme="minorEastAsia" w:hAnsiTheme="minorEastAsia" w:eastAsiaTheme="minorEastAsia"/>
          <w:spacing w:val="-2"/>
          <w:sz w:val="24"/>
          <w:szCs w:val="24"/>
          <w:highlight w:val="none"/>
        </w:rPr>
        <w:t>评标委员会可以以书面方式要求投标人对投标文件中含义不明确、对同类问题表述不一致或者有明显文字和计算错误的内容作必要的澄清、说明或补正。澄清、说明或补正应以书面方式进行</w:t>
      </w:r>
      <w:r>
        <w:rPr>
          <w:rFonts w:asciiTheme="minorEastAsia" w:hAnsiTheme="minorEastAsia" w:eastAsiaTheme="minorEastAsia"/>
          <w:spacing w:val="-2"/>
          <w:sz w:val="24"/>
          <w:szCs w:val="24"/>
          <w:highlight w:val="none"/>
        </w:rPr>
        <w:t>,</w:t>
      </w:r>
      <w:r>
        <w:rPr>
          <w:rFonts w:hint="eastAsia" w:asciiTheme="minorEastAsia" w:hAnsiTheme="minorEastAsia" w:eastAsiaTheme="minorEastAsia"/>
          <w:spacing w:val="-2"/>
          <w:sz w:val="24"/>
          <w:szCs w:val="24"/>
          <w:highlight w:val="none"/>
        </w:rPr>
        <w:t>且不得超出投标文件的范围或者改变投标文件的实质性内容。</w:t>
      </w:r>
    </w:p>
    <w:p w14:paraId="74D962B4">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21.</w:t>
      </w:r>
      <w:r>
        <w:rPr>
          <w:rFonts w:hint="eastAsia" w:asciiTheme="minorEastAsia" w:hAnsiTheme="minorEastAsia" w:eastAsiaTheme="minorEastAsia"/>
          <w:spacing w:val="-2"/>
          <w:sz w:val="24"/>
          <w:szCs w:val="24"/>
          <w:highlight w:val="none"/>
        </w:rPr>
        <w:t>2　招标方不接受不符合国家有关部门相关规定的投标报价或优惠方案。</w:t>
      </w:r>
    </w:p>
    <w:p w14:paraId="52AC8821">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21.</w:t>
      </w:r>
      <w:r>
        <w:rPr>
          <w:rFonts w:hint="eastAsia" w:asciiTheme="minorEastAsia" w:hAnsiTheme="minorEastAsia" w:eastAsiaTheme="minorEastAsia"/>
          <w:spacing w:val="-2"/>
          <w:sz w:val="24"/>
          <w:szCs w:val="24"/>
          <w:highlight w:val="none"/>
        </w:rPr>
        <w:t>3　在评标过程中，评标委员会发现投标人以他人名义投标、串通投标、以行贿手段谋取中标或者以其他弄虚作假方式投标的，该投标人的投标应作无效标处理。</w:t>
      </w:r>
    </w:p>
    <w:p w14:paraId="3FEF33D4">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21.</w:t>
      </w:r>
      <w:r>
        <w:rPr>
          <w:rFonts w:hint="eastAsia" w:asciiTheme="minorEastAsia" w:hAnsiTheme="minorEastAsia" w:eastAsiaTheme="minorEastAsia"/>
          <w:spacing w:val="-2"/>
          <w:sz w:val="24"/>
          <w:szCs w:val="24"/>
          <w:highlight w:val="none"/>
        </w:rPr>
        <w:t>4</w:t>
      </w:r>
      <w:r>
        <w:rPr>
          <w:rFonts w:asciiTheme="minorEastAsia" w:hAnsiTheme="minorEastAsia" w:eastAsiaTheme="minorEastAsia"/>
          <w:spacing w:val="-2"/>
          <w:sz w:val="24"/>
          <w:szCs w:val="24"/>
          <w:highlight w:val="none"/>
        </w:rPr>
        <w:t xml:space="preserve">  </w:t>
      </w:r>
      <w:r>
        <w:rPr>
          <w:rFonts w:hint="eastAsia" w:asciiTheme="minorEastAsia" w:hAnsiTheme="minorEastAsia" w:eastAsiaTheme="minorEastAsia"/>
          <w:spacing w:val="-2"/>
          <w:sz w:val="24"/>
          <w:szCs w:val="24"/>
          <w:highlight w:val="none"/>
        </w:rPr>
        <w:t>投标人拒不按照要求对投标文件进行澄清、说明或补正的，评标委员会可以否决其投标。</w:t>
      </w:r>
    </w:p>
    <w:p w14:paraId="56A41DB0">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21.</w:t>
      </w:r>
      <w:r>
        <w:rPr>
          <w:rFonts w:hint="eastAsia" w:asciiTheme="minorEastAsia" w:hAnsiTheme="minorEastAsia" w:eastAsiaTheme="minorEastAsia"/>
          <w:spacing w:val="-2"/>
          <w:sz w:val="24"/>
          <w:szCs w:val="24"/>
          <w:highlight w:val="none"/>
        </w:rPr>
        <w:t>5</w:t>
      </w:r>
      <w:r>
        <w:rPr>
          <w:rFonts w:asciiTheme="minorEastAsia" w:hAnsiTheme="minorEastAsia" w:eastAsiaTheme="minorEastAsia"/>
          <w:spacing w:val="-2"/>
          <w:sz w:val="24"/>
          <w:szCs w:val="24"/>
          <w:highlight w:val="none"/>
        </w:rPr>
        <w:t xml:space="preserve">  </w:t>
      </w:r>
      <w:r>
        <w:rPr>
          <w:rFonts w:hint="eastAsia" w:asciiTheme="minorEastAsia" w:hAnsiTheme="minorEastAsia" w:eastAsiaTheme="minorEastAsia"/>
          <w:spacing w:val="-2"/>
          <w:sz w:val="24"/>
          <w:szCs w:val="24"/>
          <w:highlight w:val="none"/>
        </w:rPr>
        <w:t>评标委员会应当审查每一投标文件是否对招标文件提出的所有实质性要求和条件做出满足。未能在实质上满足的投标，应作无效标处理。</w:t>
      </w:r>
    </w:p>
    <w:p w14:paraId="7113C253">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21.</w:t>
      </w:r>
      <w:r>
        <w:rPr>
          <w:rFonts w:hint="eastAsia" w:asciiTheme="minorEastAsia" w:hAnsiTheme="minorEastAsia" w:eastAsiaTheme="minorEastAsia"/>
          <w:spacing w:val="-2"/>
          <w:sz w:val="24"/>
          <w:szCs w:val="24"/>
          <w:highlight w:val="none"/>
        </w:rPr>
        <w:t>6　投标人不得误导、干扰招标方的评标活动，否则将废除其投标。</w:t>
      </w:r>
    </w:p>
    <w:p w14:paraId="1E12DEBE">
      <w:pPr>
        <w:spacing w:line="440" w:lineRule="exact"/>
        <w:ind w:firstLine="472" w:firstLineChars="200"/>
        <w:rPr>
          <w:rFonts w:hint="eastAsia" w:asciiTheme="minorEastAsia" w:hAnsiTheme="minorEastAsia" w:eastAsiaTheme="minorEastAsia"/>
          <w:spacing w:val="-2"/>
          <w:sz w:val="24"/>
          <w:szCs w:val="24"/>
          <w:highlight w:val="none"/>
        </w:rPr>
      </w:pPr>
      <w:r>
        <w:rPr>
          <w:rFonts w:asciiTheme="minorEastAsia" w:hAnsiTheme="minorEastAsia" w:eastAsiaTheme="minorEastAsia"/>
          <w:spacing w:val="-2"/>
          <w:sz w:val="24"/>
          <w:szCs w:val="24"/>
          <w:highlight w:val="none"/>
        </w:rPr>
        <w:t xml:space="preserve">21.7  </w:t>
      </w:r>
      <w:r>
        <w:rPr>
          <w:rFonts w:hint="eastAsia" w:asciiTheme="minorEastAsia" w:hAnsiTheme="minorEastAsia" w:eastAsiaTheme="minorEastAsia"/>
          <w:spacing w:val="-2"/>
          <w:sz w:val="24"/>
          <w:szCs w:val="24"/>
          <w:highlight w:val="none"/>
        </w:rPr>
        <w:t>对投标文件满足招标文件条款的审查：</w:t>
      </w:r>
    </w:p>
    <w:p w14:paraId="54F7EAC6">
      <w:pPr>
        <w:spacing w:line="440" w:lineRule="exact"/>
        <w:ind w:firstLine="472" w:firstLineChars="200"/>
        <w:rPr>
          <w:rFonts w:hint="eastAsia" w:asciiTheme="minorEastAsia" w:hAnsiTheme="minorEastAsia" w:eastAsiaTheme="minorEastAsia"/>
          <w:spacing w:val="-2"/>
          <w:sz w:val="24"/>
          <w:szCs w:val="24"/>
          <w:highlight w:val="none"/>
        </w:rPr>
      </w:pPr>
      <w:r>
        <w:rPr>
          <w:rFonts w:hint="eastAsia" w:asciiTheme="minorEastAsia" w:hAnsiTheme="minorEastAsia" w:eastAsiaTheme="minorEastAsia"/>
          <w:spacing w:val="-2"/>
          <w:sz w:val="24"/>
          <w:szCs w:val="24"/>
          <w:highlight w:val="none"/>
        </w:rPr>
        <w:t>（</w:t>
      </w:r>
      <w:r>
        <w:rPr>
          <w:rFonts w:asciiTheme="minorEastAsia" w:hAnsiTheme="minorEastAsia" w:eastAsiaTheme="minorEastAsia"/>
          <w:spacing w:val="-2"/>
          <w:sz w:val="24"/>
          <w:szCs w:val="24"/>
          <w:highlight w:val="none"/>
        </w:rPr>
        <w:t>1</w:t>
      </w:r>
      <w:r>
        <w:rPr>
          <w:rFonts w:hint="eastAsia" w:asciiTheme="minorEastAsia" w:hAnsiTheme="minorEastAsia" w:eastAsiaTheme="minorEastAsia"/>
          <w:spacing w:val="-2"/>
          <w:sz w:val="24"/>
          <w:szCs w:val="24"/>
          <w:highlight w:val="none"/>
        </w:rPr>
        <w:t>）开标后，评标委员会将组织对投标文件进行审查，检查投标文件是否完整，是否出现计算性错误，投标文件正本是否满足招标文件的格式要求；</w:t>
      </w:r>
    </w:p>
    <w:p w14:paraId="45F6A045">
      <w:pPr>
        <w:spacing w:line="440" w:lineRule="exact"/>
        <w:ind w:firstLine="472" w:firstLineChars="200"/>
        <w:rPr>
          <w:rFonts w:hint="eastAsia" w:asciiTheme="minorEastAsia" w:hAnsiTheme="minorEastAsia" w:eastAsiaTheme="minorEastAsia"/>
          <w:spacing w:val="-2"/>
          <w:sz w:val="24"/>
          <w:szCs w:val="24"/>
          <w:highlight w:val="none"/>
        </w:rPr>
      </w:pPr>
      <w:r>
        <w:rPr>
          <w:rFonts w:hint="eastAsia" w:asciiTheme="minorEastAsia" w:hAnsiTheme="minorEastAsia" w:eastAsiaTheme="minorEastAsia"/>
          <w:spacing w:val="-2"/>
          <w:sz w:val="24"/>
          <w:szCs w:val="24"/>
          <w:highlight w:val="none"/>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216F57F3">
      <w:pPr>
        <w:spacing w:line="440" w:lineRule="exact"/>
        <w:ind w:firstLine="472" w:firstLineChars="200"/>
        <w:rPr>
          <w:rFonts w:hint="eastAsia" w:asciiTheme="minorEastAsia" w:hAnsiTheme="minorEastAsia" w:eastAsiaTheme="minorEastAsia"/>
          <w:spacing w:val="-2"/>
          <w:sz w:val="24"/>
          <w:szCs w:val="24"/>
          <w:highlight w:val="none"/>
        </w:rPr>
      </w:pPr>
      <w:r>
        <w:rPr>
          <w:rFonts w:hint="eastAsia" w:asciiTheme="minorEastAsia" w:hAnsiTheme="minorEastAsia" w:eastAsiaTheme="minorEastAsia"/>
          <w:spacing w:val="-2"/>
          <w:sz w:val="24"/>
          <w:szCs w:val="24"/>
          <w:highlight w:val="none"/>
        </w:rPr>
        <w:t>（3）评标委员会判断投标文件的满足性仅基于投标文件本身而不靠外部证据；</w:t>
      </w:r>
    </w:p>
    <w:p w14:paraId="478DD9CC">
      <w:pPr>
        <w:spacing w:line="440" w:lineRule="exact"/>
        <w:ind w:firstLine="472" w:firstLineChars="200"/>
        <w:rPr>
          <w:rFonts w:hint="eastAsia" w:asciiTheme="minorEastAsia" w:hAnsiTheme="minorEastAsia" w:eastAsiaTheme="minorEastAsia"/>
          <w:spacing w:val="-2"/>
          <w:sz w:val="24"/>
          <w:szCs w:val="24"/>
          <w:highlight w:val="none"/>
        </w:rPr>
      </w:pPr>
      <w:r>
        <w:rPr>
          <w:rFonts w:hint="eastAsia" w:asciiTheme="minorEastAsia" w:hAnsiTheme="minorEastAsia" w:eastAsiaTheme="minorEastAsia"/>
          <w:spacing w:val="-2"/>
          <w:sz w:val="24"/>
          <w:szCs w:val="24"/>
          <w:highlight w:val="none"/>
        </w:rPr>
        <w:t>（4）评标委员会将拒绝被确定为非实质性满足的投标。投标人不能通过修正或撤消不符合之处而使其投标成为实质性满足的投标。</w:t>
      </w:r>
    </w:p>
    <w:p w14:paraId="27E93CC1">
      <w:pPr>
        <w:spacing w:line="440" w:lineRule="exact"/>
        <w:jc w:val="center"/>
        <w:rPr>
          <w:rFonts w:hint="eastAsia" w:asciiTheme="minorEastAsia" w:hAnsiTheme="minorEastAsia" w:eastAsiaTheme="minorEastAsia"/>
          <w:b/>
          <w:bCs/>
          <w:spacing w:val="-2"/>
          <w:sz w:val="28"/>
          <w:szCs w:val="28"/>
          <w:highlight w:val="none"/>
        </w:rPr>
      </w:pPr>
      <w:r>
        <w:rPr>
          <w:rFonts w:hint="eastAsia" w:asciiTheme="minorEastAsia" w:hAnsiTheme="minorEastAsia" w:eastAsiaTheme="minorEastAsia"/>
          <w:b/>
          <w:bCs/>
          <w:spacing w:val="-2"/>
          <w:sz w:val="28"/>
          <w:szCs w:val="28"/>
          <w:highlight w:val="none"/>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0C10C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39CC8331">
            <w:pPr>
              <w:jc w:val="center"/>
              <w:rPr>
                <w:rFonts w:hint="eastAsia" w:ascii="宋体" w:hAnsi="宋体"/>
                <w:b/>
                <w:bCs/>
                <w:sz w:val="24"/>
                <w:szCs w:val="24"/>
                <w:highlight w:val="none"/>
              </w:rPr>
            </w:pPr>
            <w:r>
              <w:rPr>
                <w:rFonts w:hint="eastAsia" w:ascii="宋体" w:hAnsi="宋体"/>
                <w:b/>
                <w:bCs/>
                <w:sz w:val="24"/>
                <w:szCs w:val="24"/>
                <w:highlight w:val="none"/>
              </w:rPr>
              <w:t>评审内容</w:t>
            </w:r>
          </w:p>
        </w:tc>
        <w:tc>
          <w:tcPr>
            <w:tcW w:w="2535" w:type="dxa"/>
            <w:gridSpan w:val="4"/>
            <w:tcBorders>
              <w:top w:val="single" w:color="auto" w:sz="12" w:space="0"/>
              <w:left w:val="single" w:color="auto" w:sz="4" w:space="0"/>
              <w:bottom w:val="single" w:color="auto" w:sz="4" w:space="0"/>
            </w:tcBorders>
            <w:vAlign w:val="center"/>
          </w:tcPr>
          <w:p w14:paraId="75D1C8C9">
            <w:pPr>
              <w:jc w:val="center"/>
              <w:rPr>
                <w:rFonts w:hint="eastAsia" w:ascii="宋体" w:hAnsi="宋体"/>
                <w:b/>
                <w:bCs/>
                <w:sz w:val="24"/>
                <w:szCs w:val="24"/>
                <w:highlight w:val="none"/>
              </w:rPr>
            </w:pPr>
            <w:r>
              <w:rPr>
                <w:rFonts w:hint="eastAsia" w:ascii="宋体" w:hAnsi="宋体"/>
                <w:b/>
                <w:bCs/>
                <w:sz w:val="24"/>
                <w:szCs w:val="24"/>
                <w:highlight w:val="none"/>
              </w:rPr>
              <w:t>投标企业名称</w:t>
            </w:r>
          </w:p>
        </w:tc>
      </w:tr>
      <w:tr w14:paraId="73C839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7B94FD6B">
            <w:pPr>
              <w:jc w:val="center"/>
              <w:rPr>
                <w:rFonts w:hint="eastAsia" w:ascii="宋体" w:hAnsi="宋体"/>
                <w:b/>
                <w:bCs/>
                <w:sz w:val="24"/>
                <w:szCs w:val="24"/>
                <w:highlight w:val="none"/>
              </w:rPr>
            </w:pPr>
          </w:p>
        </w:tc>
        <w:tc>
          <w:tcPr>
            <w:tcW w:w="646" w:type="dxa"/>
            <w:tcBorders>
              <w:top w:val="single" w:color="auto" w:sz="4" w:space="0"/>
              <w:left w:val="single" w:color="auto" w:sz="4" w:space="0"/>
              <w:right w:val="single" w:color="auto" w:sz="4" w:space="0"/>
            </w:tcBorders>
            <w:vAlign w:val="center"/>
          </w:tcPr>
          <w:p w14:paraId="1DCAE736">
            <w:pPr>
              <w:jc w:val="center"/>
              <w:rPr>
                <w:rFonts w:hint="eastAsia" w:ascii="宋体" w:hAnsi="宋体"/>
                <w:b/>
                <w:bCs/>
                <w:sz w:val="24"/>
                <w:szCs w:val="24"/>
                <w:highlight w:val="none"/>
              </w:rPr>
            </w:pPr>
            <w:r>
              <w:rPr>
                <w:rFonts w:ascii="宋体" w:hAnsi="宋体"/>
                <w:b/>
                <w:bCs/>
                <w:sz w:val="24"/>
                <w:szCs w:val="24"/>
                <w:highlight w:val="none"/>
              </w:rPr>
              <w:t>1</w:t>
            </w:r>
          </w:p>
        </w:tc>
        <w:tc>
          <w:tcPr>
            <w:tcW w:w="646" w:type="dxa"/>
            <w:tcBorders>
              <w:top w:val="single" w:color="auto" w:sz="4" w:space="0"/>
              <w:left w:val="single" w:color="auto" w:sz="4" w:space="0"/>
            </w:tcBorders>
            <w:vAlign w:val="center"/>
          </w:tcPr>
          <w:p w14:paraId="0C14C77B">
            <w:pPr>
              <w:jc w:val="center"/>
              <w:rPr>
                <w:rFonts w:hint="eastAsia" w:ascii="宋体" w:hAnsi="宋体"/>
                <w:b/>
                <w:bCs/>
                <w:sz w:val="24"/>
                <w:szCs w:val="24"/>
                <w:highlight w:val="none"/>
              </w:rPr>
            </w:pPr>
            <w:r>
              <w:rPr>
                <w:rFonts w:ascii="宋体" w:hAnsi="宋体"/>
                <w:b/>
                <w:bCs/>
                <w:sz w:val="24"/>
                <w:szCs w:val="24"/>
                <w:highlight w:val="none"/>
              </w:rPr>
              <w:t>2</w:t>
            </w:r>
          </w:p>
        </w:tc>
        <w:tc>
          <w:tcPr>
            <w:tcW w:w="646" w:type="dxa"/>
            <w:vAlign w:val="center"/>
          </w:tcPr>
          <w:p w14:paraId="14356A64">
            <w:pPr>
              <w:jc w:val="center"/>
              <w:rPr>
                <w:rFonts w:hint="eastAsia" w:ascii="宋体" w:hAnsi="宋体"/>
                <w:b/>
                <w:bCs/>
                <w:sz w:val="24"/>
                <w:szCs w:val="24"/>
                <w:highlight w:val="none"/>
              </w:rPr>
            </w:pPr>
            <w:r>
              <w:rPr>
                <w:rFonts w:ascii="宋体" w:hAnsi="宋体"/>
                <w:b/>
                <w:bCs/>
                <w:sz w:val="24"/>
                <w:szCs w:val="24"/>
                <w:highlight w:val="none"/>
              </w:rPr>
              <w:t>3</w:t>
            </w:r>
          </w:p>
        </w:tc>
        <w:tc>
          <w:tcPr>
            <w:tcW w:w="597" w:type="dxa"/>
            <w:vAlign w:val="center"/>
          </w:tcPr>
          <w:p w14:paraId="603F345A">
            <w:pPr>
              <w:jc w:val="center"/>
              <w:rPr>
                <w:rFonts w:hint="eastAsia" w:ascii="宋体" w:hAnsi="宋体"/>
                <w:b/>
                <w:bCs/>
                <w:sz w:val="24"/>
                <w:szCs w:val="24"/>
                <w:highlight w:val="none"/>
              </w:rPr>
            </w:pPr>
            <w:r>
              <w:rPr>
                <w:rFonts w:hint="eastAsia" w:ascii="宋体" w:hAnsi="宋体"/>
                <w:b/>
                <w:bCs/>
                <w:sz w:val="24"/>
                <w:szCs w:val="24"/>
                <w:highlight w:val="none"/>
              </w:rPr>
              <w:t>…</w:t>
            </w:r>
          </w:p>
        </w:tc>
      </w:tr>
      <w:tr w14:paraId="7D701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6343CDE6">
            <w:pPr>
              <w:jc w:val="center"/>
              <w:textAlignment w:val="center"/>
              <w:rPr>
                <w:rFonts w:hint="eastAsia" w:ascii="宋体" w:hAnsi="宋体"/>
                <w:b/>
                <w:bCs/>
                <w:sz w:val="24"/>
                <w:szCs w:val="24"/>
                <w:highlight w:val="none"/>
              </w:rPr>
            </w:pPr>
            <w:r>
              <w:rPr>
                <w:rFonts w:hint="eastAsia" w:ascii="宋体" w:hAnsi="宋体"/>
                <w:b/>
                <w:bCs/>
                <w:sz w:val="24"/>
                <w:szCs w:val="24"/>
                <w:highlight w:val="none"/>
              </w:rPr>
              <w:t>1</w:t>
            </w:r>
          </w:p>
        </w:tc>
        <w:tc>
          <w:tcPr>
            <w:tcW w:w="6674" w:type="dxa"/>
            <w:tcBorders>
              <w:right w:val="single" w:color="auto" w:sz="4" w:space="0"/>
            </w:tcBorders>
            <w:vAlign w:val="center"/>
          </w:tcPr>
          <w:p w14:paraId="3B3ECB98">
            <w:pPr>
              <w:rPr>
                <w:rFonts w:hint="eastAsia" w:ascii="宋体" w:hAnsi="宋体"/>
                <w:b/>
                <w:bCs/>
                <w:sz w:val="24"/>
                <w:szCs w:val="24"/>
                <w:highlight w:val="none"/>
              </w:rPr>
            </w:pPr>
            <w:r>
              <w:rPr>
                <w:rFonts w:hint="eastAsia" w:ascii="宋体" w:hAnsi="宋体"/>
                <w:b/>
                <w:bCs/>
                <w:sz w:val="24"/>
                <w:szCs w:val="24"/>
                <w:highlight w:val="none"/>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7315544B">
            <w:pPr>
              <w:jc w:val="center"/>
              <w:rPr>
                <w:rFonts w:hint="eastAsia" w:ascii="宋体" w:hAnsi="宋体"/>
                <w:b/>
                <w:bCs/>
                <w:sz w:val="24"/>
                <w:szCs w:val="24"/>
                <w:highlight w:val="none"/>
              </w:rPr>
            </w:pPr>
          </w:p>
        </w:tc>
        <w:tc>
          <w:tcPr>
            <w:tcW w:w="646" w:type="dxa"/>
            <w:tcBorders>
              <w:left w:val="single" w:color="auto" w:sz="4" w:space="0"/>
            </w:tcBorders>
            <w:vAlign w:val="center"/>
          </w:tcPr>
          <w:p w14:paraId="144FA56E">
            <w:pPr>
              <w:jc w:val="center"/>
              <w:rPr>
                <w:rFonts w:hint="eastAsia" w:ascii="宋体" w:hAnsi="宋体"/>
                <w:b/>
                <w:bCs/>
                <w:sz w:val="24"/>
                <w:szCs w:val="24"/>
                <w:highlight w:val="none"/>
              </w:rPr>
            </w:pPr>
          </w:p>
        </w:tc>
        <w:tc>
          <w:tcPr>
            <w:tcW w:w="646" w:type="dxa"/>
            <w:tcBorders>
              <w:right w:val="single" w:color="auto" w:sz="4" w:space="0"/>
            </w:tcBorders>
            <w:vAlign w:val="center"/>
          </w:tcPr>
          <w:p w14:paraId="4E8A1AE4">
            <w:pPr>
              <w:jc w:val="center"/>
              <w:rPr>
                <w:rFonts w:hint="eastAsia" w:ascii="宋体" w:hAnsi="宋体"/>
                <w:b/>
                <w:bCs/>
                <w:sz w:val="24"/>
                <w:szCs w:val="24"/>
                <w:highlight w:val="none"/>
              </w:rPr>
            </w:pPr>
          </w:p>
        </w:tc>
        <w:tc>
          <w:tcPr>
            <w:tcW w:w="597" w:type="dxa"/>
            <w:tcBorders>
              <w:left w:val="single" w:color="auto" w:sz="4" w:space="0"/>
            </w:tcBorders>
            <w:vAlign w:val="center"/>
          </w:tcPr>
          <w:p w14:paraId="233683EE">
            <w:pPr>
              <w:jc w:val="center"/>
              <w:rPr>
                <w:rFonts w:hint="eastAsia" w:ascii="宋体" w:hAnsi="宋体"/>
                <w:b/>
                <w:bCs/>
                <w:sz w:val="24"/>
                <w:szCs w:val="24"/>
                <w:highlight w:val="none"/>
              </w:rPr>
            </w:pPr>
          </w:p>
        </w:tc>
      </w:tr>
      <w:tr w14:paraId="66E61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50782EC8">
            <w:pPr>
              <w:jc w:val="center"/>
              <w:textAlignment w:val="center"/>
              <w:rPr>
                <w:rFonts w:hint="eastAsia" w:ascii="宋体" w:hAnsi="宋体"/>
                <w:b/>
                <w:bCs/>
                <w:sz w:val="24"/>
                <w:szCs w:val="24"/>
                <w:highlight w:val="none"/>
              </w:rPr>
            </w:pPr>
            <w:r>
              <w:rPr>
                <w:rFonts w:hint="eastAsia" w:ascii="宋体" w:hAnsi="宋体"/>
                <w:b/>
                <w:bCs/>
                <w:sz w:val="24"/>
                <w:szCs w:val="24"/>
                <w:highlight w:val="none"/>
              </w:rPr>
              <w:t>2</w:t>
            </w:r>
          </w:p>
        </w:tc>
        <w:tc>
          <w:tcPr>
            <w:tcW w:w="6674" w:type="dxa"/>
            <w:tcBorders>
              <w:right w:val="single" w:color="auto" w:sz="4" w:space="0"/>
            </w:tcBorders>
            <w:vAlign w:val="center"/>
          </w:tcPr>
          <w:p w14:paraId="2DA798FB">
            <w:pPr>
              <w:rPr>
                <w:rFonts w:hint="eastAsia" w:ascii="宋体" w:hAnsi="宋体"/>
                <w:b/>
                <w:bCs/>
                <w:sz w:val="24"/>
                <w:szCs w:val="24"/>
                <w:highlight w:val="none"/>
              </w:rPr>
            </w:pPr>
            <w:r>
              <w:rPr>
                <w:rFonts w:hint="eastAsia" w:ascii="宋体" w:hAnsi="宋体"/>
                <w:b/>
                <w:bCs/>
                <w:sz w:val="24"/>
                <w:szCs w:val="24"/>
                <w:highlight w:val="none"/>
              </w:rPr>
              <w:t>投标有效期是否满足招标文件要求的；</w:t>
            </w:r>
          </w:p>
        </w:tc>
        <w:tc>
          <w:tcPr>
            <w:tcW w:w="646" w:type="dxa"/>
            <w:tcBorders>
              <w:left w:val="single" w:color="auto" w:sz="4" w:space="0"/>
              <w:right w:val="single" w:color="auto" w:sz="4" w:space="0"/>
            </w:tcBorders>
            <w:vAlign w:val="center"/>
          </w:tcPr>
          <w:p w14:paraId="11A4A55C">
            <w:pPr>
              <w:jc w:val="center"/>
              <w:rPr>
                <w:rFonts w:hint="eastAsia" w:ascii="宋体" w:hAnsi="宋体"/>
                <w:b/>
                <w:bCs/>
                <w:sz w:val="24"/>
                <w:szCs w:val="24"/>
                <w:highlight w:val="none"/>
              </w:rPr>
            </w:pPr>
          </w:p>
        </w:tc>
        <w:tc>
          <w:tcPr>
            <w:tcW w:w="646" w:type="dxa"/>
            <w:tcBorders>
              <w:left w:val="single" w:color="auto" w:sz="4" w:space="0"/>
            </w:tcBorders>
            <w:vAlign w:val="center"/>
          </w:tcPr>
          <w:p w14:paraId="74687B88">
            <w:pPr>
              <w:jc w:val="center"/>
              <w:rPr>
                <w:rFonts w:hint="eastAsia" w:ascii="宋体" w:hAnsi="宋体"/>
                <w:b/>
                <w:bCs/>
                <w:sz w:val="24"/>
                <w:szCs w:val="24"/>
                <w:highlight w:val="none"/>
              </w:rPr>
            </w:pPr>
          </w:p>
        </w:tc>
        <w:tc>
          <w:tcPr>
            <w:tcW w:w="646" w:type="dxa"/>
            <w:tcBorders>
              <w:right w:val="single" w:color="auto" w:sz="4" w:space="0"/>
            </w:tcBorders>
            <w:vAlign w:val="center"/>
          </w:tcPr>
          <w:p w14:paraId="67580AB0">
            <w:pPr>
              <w:jc w:val="center"/>
              <w:rPr>
                <w:rFonts w:hint="eastAsia" w:ascii="宋体" w:hAnsi="宋体"/>
                <w:b/>
                <w:bCs/>
                <w:sz w:val="24"/>
                <w:szCs w:val="24"/>
                <w:highlight w:val="none"/>
              </w:rPr>
            </w:pPr>
          </w:p>
        </w:tc>
        <w:tc>
          <w:tcPr>
            <w:tcW w:w="597" w:type="dxa"/>
            <w:tcBorders>
              <w:left w:val="single" w:color="auto" w:sz="4" w:space="0"/>
            </w:tcBorders>
            <w:vAlign w:val="center"/>
          </w:tcPr>
          <w:p w14:paraId="379EEC90">
            <w:pPr>
              <w:jc w:val="center"/>
              <w:rPr>
                <w:rFonts w:hint="eastAsia" w:ascii="宋体" w:hAnsi="宋体"/>
                <w:b/>
                <w:bCs/>
                <w:sz w:val="24"/>
                <w:szCs w:val="24"/>
                <w:highlight w:val="none"/>
              </w:rPr>
            </w:pPr>
          </w:p>
        </w:tc>
      </w:tr>
      <w:tr w14:paraId="44DAF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23E6AEA1">
            <w:pPr>
              <w:jc w:val="center"/>
              <w:textAlignment w:val="center"/>
              <w:rPr>
                <w:rFonts w:hint="eastAsia" w:ascii="宋体" w:hAnsi="宋体"/>
                <w:b/>
                <w:bCs/>
                <w:sz w:val="24"/>
                <w:szCs w:val="24"/>
                <w:highlight w:val="none"/>
              </w:rPr>
            </w:pPr>
            <w:r>
              <w:rPr>
                <w:rFonts w:hint="eastAsia" w:ascii="宋体" w:hAnsi="宋体"/>
                <w:b/>
                <w:bCs/>
                <w:sz w:val="24"/>
                <w:szCs w:val="24"/>
                <w:highlight w:val="none"/>
              </w:rPr>
              <w:t>3</w:t>
            </w:r>
          </w:p>
        </w:tc>
        <w:tc>
          <w:tcPr>
            <w:tcW w:w="6674" w:type="dxa"/>
            <w:tcBorders>
              <w:right w:val="single" w:color="auto" w:sz="4" w:space="0"/>
            </w:tcBorders>
            <w:vAlign w:val="center"/>
          </w:tcPr>
          <w:p w14:paraId="63C62BE8">
            <w:pPr>
              <w:rPr>
                <w:rFonts w:hint="eastAsia" w:ascii="宋体" w:hAnsi="宋体"/>
                <w:b/>
                <w:bCs/>
                <w:sz w:val="24"/>
                <w:szCs w:val="24"/>
                <w:highlight w:val="none"/>
              </w:rPr>
            </w:pPr>
            <w:r>
              <w:rPr>
                <w:rFonts w:hint="eastAsia" w:ascii="宋体" w:hAnsi="宋体"/>
                <w:b/>
                <w:bCs/>
                <w:sz w:val="24"/>
                <w:szCs w:val="24"/>
                <w:highlight w:val="none"/>
              </w:rPr>
              <w:t>投标文件组成是否完整，主要内容是否按招标文件规定的内容、格式填写；</w:t>
            </w:r>
          </w:p>
        </w:tc>
        <w:tc>
          <w:tcPr>
            <w:tcW w:w="646" w:type="dxa"/>
            <w:tcBorders>
              <w:left w:val="single" w:color="auto" w:sz="4" w:space="0"/>
              <w:right w:val="single" w:color="auto" w:sz="4" w:space="0"/>
            </w:tcBorders>
            <w:vAlign w:val="center"/>
          </w:tcPr>
          <w:p w14:paraId="448F3FD1">
            <w:pPr>
              <w:jc w:val="center"/>
              <w:rPr>
                <w:rFonts w:hint="eastAsia" w:ascii="宋体" w:hAnsi="宋体"/>
                <w:b/>
                <w:bCs/>
                <w:sz w:val="24"/>
                <w:szCs w:val="24"/>
                <w:highlight w:val="none"/>
              </w:rPr>
            </w:pPr>
          </w:p>
        </w:tc>
        <w:tc>
          <w:tcPr>
            <w:tcW w:w="646" w:type="dxa"/>
            <w:tcBorders>
              <w:left w:val="single" w:color="auto" w:sz="4" w:space="0"/>
            </w:tcBorders>
            <w:vAlign w:val="center"/>
          </w:tcPr>
          <w:p w14:paraId="46901B47">
            <w:pPr>
              <w:jc w:val="center"/>
              <w:rPr>
                <w:rFonts w:hint="eastAsia" w:ascii="宋体" w:hAnsi="宋体"/>
                <w:b/>
                <w:bCs/>
                <w:sz w:val="24"/>
                <w:szCs w:val="24"/>
                <w:highlight w:val="none"/>
              </w:rPr>
            </w:pPr>
          </w:p>
        </w:tc>
        <w:tc>
          <w:tcPr>
            <w:tcW w:w="646" w:type="dxa"/>
            <w:tcBorders>
              <w:right w:val="single" w:color="auto" w:sz="4" w:space="0"/>
            </w:tcBorders>
            <w:vAlign w:val="center"/>
          </w:tcPr>
          <w:p w14:paraId="21735148">
            <w:pPr>
              <w:jc w:val="center"/>
              <w:rPr>
                <w:rFonts w:hint="eastAsia" w:ascii="宋体" w:hAnsi="宋体"/>
                <w:b/>
                <w:bCs/>
                <w:sz w:val="24"/>
                <w:szCs w:val="24"/>
                <w:highlight w:val="none"/>
              </w:rPr>
            </w:pPr>
          </w:p>
        </w:tc>
        <w:tc>
          <w:tcPr>
            <w:tcW w:w="597" w:type="dxa"/>
            <w:tcBorders>
              <w:left w:val="single" w:color="auto" w:sz="4" w:space="0"/>
            </w:tcBorders>
            <w:vAlign w:val="center"/>
          </w:tcPr>
          <w:p w14:paraId="6001EC81">
            <w:pPr>
              <w:jc w:val="center"/>
              <w:rPr>
                <w:rFonts w:hint="eastAsia" w:ascii="宋体" w:hAnsi="宋体"/>
                <w:b/>
                <w:bCs/>
                <w:sz w:val="24"/>
                <w:szCs w:val="24"/>
                <w:highlight w:val="none"/>
              </w:rPr>
            </w:pPr>
          </w:p>
        </w:tc>
      </w:tr>
      <w:tr w14:paraId="7E9C75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F4DB757">
            <w:pPr>
              <w:jc w:val="center"/>
              <w:textAlignment w:val="center"/>
              <w:rPr>
                <w:rFonts w:hint="eastAsia" w:ascii="宋体" w:hAnsi="宋体"/>
                <w:b/>
                <w:bCs/>
                <w:sz w:val="24"/>
                <w:szCs w:val="24"/>
                <w:highlight w:val="none"/>
              </w:rPr>
            </w:pPr>
            <w:r>
              <w:rPr>
                <w:rFonts w:hint="eastAsia" w:ascii="宋体" w:hAnsi="宋体"/>
                <w:b/>
                <w:bCs/>
                <w:sz w:val="24"/>
                <w:szCs w:val="24"/>
                <w:highlight w:val="none"/>
              </w:rPr>
              <w:t>4</w:t>
            </w:r>
          </w:p>
        </w:tc>
        <w:tc>
          <w:tcPr>
            <w:tcW w:w="6674" w:type="dxa"/>
            <w:tcBorders>
              <w:right w:val="single" w:color="auto" w:sz="4" w:space="0"/>
            </w:tcBorders>
            <w:vAlign w:val="center"/>
          </w:tcPr>
          <w:p w14:paraId="037F35D6">
            <w:pPr>
              <w:textAlignment w:val="center"/>
              <w:rPr>
                <w:rFonts w:hint="eastAsia" w:ascii="宋体" w:hAnsi="宋体"/>
                <w:b/>
                <w:bCs/>
                <w:sz w:val="24"/>
                <w:szCs w:val="24"/>
                <w:highlight w:val="none"/>
              </w:rPr>
            </w:pPr>
            <w:r>
              <w:rPr>
                <w:rFonts w:hint="eastAsia" w:ascii="宋体" w:hAnsi="宋体"/>
                <w:b/>
                <w:bCs/>
                <w:sz w:val="24"/>
                <w:szCs w:val="24"/>
                <w:highlight w:val="none"/>
              </w:rPr>
              <w:t>投标文件是否按照要求签署、盖章；</w:t>
            </w:r>
          </w:p>
        </w:tc>
        <w:tc>
          <w:tcPr>
            <w:tcW w:w="646" w:type="dxa"/>
            <w:tcBorders>
              <w:left w:val="single" w:color="auto" w:sz="4" w:space="0"/>
              <w:right w:val="single" w:color="auto" w:sz="4" w:space="0"/>
            </w:tcBorders>
            <w:vAlign w:val="center"/>
          </w:tcPr>
          <w:p w14:paraId="4241132E">
            <w:pPr>
              <w:jc w:val="center"/>
              <w:rPr>
                <w:rFonts w:hint="eastAsia" w:ascii="宋体" w:hAnsi="宋体"/>
                <w:b/>
                <w:bCs/>
                <w:sz w:val="24"/>
                <w:szCs w:val="24"/>
                <w:highlight w:val="none"/>
              </w:rPr>
            </w:pPr>
          </w:p>
        </w:tc>
        <w:tc>
          <w:tcPr>
            <w:tcW w:w="646" w:type="dxa"/>
            <w:tcBorders>
              <w:left w:val="single" w:color="auto" w:sz="4" w:space="0"/>
            </w:tcBorders>
            <w:vAlign w:val="center"/>
          </w:tcPr>
          <w:p w14:paraId="5589ADA4">
            <w:pPr>
              <w:jc w:val="center"/>
              <w:rPr>
                <w:rFonts w:hint="eastAsia" w:ascii="宋体" w:hAnsi="宋体"/>
                <w:b/>
                <w:bCs/>
                <w:sz w:val="24"/>
                <w:szCs w:val="24"/>
                <w:highlight w:val="none"/>
              </w:rPr>
            </w:pPr>
          </w:p>
        </w:tc>
        <w:tc>
          <w:tcPr>
            <w:tcW w:w="646" w:type="dxa"/>
            <w:tcBorders>
              <w:right w:val="single" w:color="auto" w:sz="4" w:space="0"/>
            </w:tcBorders>
            <w:vAlign w:val="center"/>
          </w:tcPr>
          <w:p w14:paraId="1DD755EE">
            <w:pPr>
              <w:jc w:val="center"/>
              <w:rPr>
                <w:rFonts w:hint="eastAsia" w:ascii="宋体" w:hAnsi="宋体"/>
                <w:b/>
                <w:bCs/>
                <w:sz w:val="24"/>
                <w:szCs w:val="24"/>
                <w:highlight w:val="none"/>
              </w:rPr>
            </w:pPr>
          </w:p>
        </w:tc>
        <w:tc>
          <w:tcPr>
            <w:tcW w:w="597" w:type="dxa"/>
            <w:tcBorders>
              <w:left w:val="single" w:color="auto" w:sz="4" w:space="0"/>
            </w:tcBorders>
            <w:vAlign w:val="center"/>
          </w:tcPr>
          <w:p w14:paraId="69084DC5">
            <w:pPr>
              <w:jc w:val="center"/>
              <w:rPr>
                <w:rFonts w:hint="eastAsia" w:ascii="宋体" w:hAnsi="宋体"/>
                <w:b/>
                <w:bCs/>
                <w:sz w:val="24"/>
                <w:szCs w:val="24"/>
                <w:highlight w:val="none"/>
              </w:rPr>
            </w:pPr>
          </w:p>
        </w:tc>
      </w:tr>
      <w:tr w14:paraId="223BE6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534B0DA9">
            <w:pPr>
              <w:jc w:val="center"/>
              <w:textAlignment w:val="center"/>
              <w:rPr>
                <w:rFonts w:hint="eastAsia" w:ascii="宋体" w:hAnsi="宋体"/>
                <w:b/>
                <w:bCs/>
                <w:sz w:val="24"/>
                <w:szCs w:val="24"/>
                <w:highlight w:val="none"/>
              </w:rPr>
            </w:pPr>
            <w:r>
              <w:rPr>
                <w:rFonts w:hint="eastAsia" w:ascii="宋体" w:hAnsi="宋体"/>
                <w:b/>
                <w:bCs/>
                <w:sz w:val="24"/>
                <w:szCs w:val="24"/>
                <w:highlight w:val="none"/>
              </w:rPr>
              <w:t>5</w:t>
            </w:r>
          </w:p>
        </w:tc>
        <w:tc>
          <w:tcPr>
            <w:tcW w:w="6674" w:type="dxa"/>
            <w:tcBorders>
              <w:right w:val="single" w:color="auto" w:sz="4" w:space="0"/>
            </w:tcBorders>
            <w:vAlign w:val="center"/>
          </w:tcPr>
          <w:p w14:paraId="0157FE84">
            <w:pPr>
              <w:textAlignment w:val="center"/>
              <w:rPr>
                <w:rFonts w:hint="eastAsia" w:ascii="宋体" w:hAnsi="宋体"/>
                <w:b/>
                <w:bCs/>
                <w:sz w:val="24"/>
                <w:szCs w:val="24"/>
                <w:highlight w:val="none"/>
              </w:rPr>
            </w:pPr>
            <w:bookmarkStart w:id="24" w:name="OLE_LINK4"/>
            <w:r>
              <w:rPr>
                <w:rFonts w:hint="eastAsia" w:ascii="宋体" w:hAnsi="宋体"/>
                <w:b/>
                <w:bCs/>
                <w:sz w:val="24"/>
                <w:szCs w:val="24"/>
                <w:highlight w:val="none"/>
              </w:rPr>
              <w:t>投标文件中所投产品技术规格是否满足技术参数中标记</w:t>
            </w:r>
            <w:r>
              <w:rPr>
                <w:rFonts w:ascii="宋体" w:hAnsi="宋体" w:cs="Segoe UI Symbol"/>
                <w:bCs/>
                <w:sz w:val="24"/>
                <w:szCs w:val="24"/>
                <w:highlight w:val="none"/>
              </w:rPr>
              <w:t>★</w:t>
            </w:r>
            <w:r>
              <w:rPr>
                <w:rFonts w:hint="eastAsia"/>
                <w:b/>
                <w:bCs/>
                <w:sz w:val="24"/>
                <w:szCs w:val="24"/>
                <w:highlight w:val="none"/>
              </w:rPr>
              <w:t>的参数，并逐项提供证明材料。</w:t>
            </w:r>
            <w:bookmarkEnd w:id="24"/>
          </w:p>
        </w:tc>
        <w:tc>
          <w:tcPr>
            <w:tcW w:w="646" w:type="dxa"/>
            <w:tcBorders>
              <w:left w:val="single" w:color="auto" w:sz="4" w:space="0"/>
              <w:right w:val="single" w:color="auto" w:sz="4" w:space="0"/>
            </w:tcBorders>
            <w:vAlign w:val="center"/>
          </w:tcPr>
          <w:p w14:paraId="27CBB392">
            <w:pPr>
              <w:jc w:val="center"/>
              <w:rPr>
                <w:rFonts w:hint="eastAsia" w:ascii="宋体" w:hAnsi="宋体"/>
                <w:b/>
                <w:bCs/>
                <w:sz w:val="24"/>
                <w:szCs w:val="24"/>
                <w:highlight w:val="none"/>
              </w:rPr>
            </w:pPr>
          </w:p>
        </w:tc>
        <w:tc>
          <w:tcPr>
            <w:tcW w:w="646" w:type="dxa"/>
            <w:tcBorders>
              <w:left w:val="single" w:color="auto" w:sz="4" w:space="0"/>
            </w:tcBorders>
            <w:vAlign w:val="center"/>
          </w:tcPr>
          <w:p w14:paraId="4CB4A28F">
            <w:pPr>
              <w:jc w:val="center"/>
              <w:rPr>
                <w:rFonts w:hint="eastAsia" w:ascii="宋体" w:hAnsi="宋体"/>
                <w:b/>
                <w:bCs/>
                <w:sz w:val="24"/>
                <w:szCs w:val="24"/>
                <w:highlight w:val="none"/>
              </w:rPr>
            </w:pPr>
          </w:p>
        </w:tc>
        <w:tc>
          <w:tcPr>
            <w:tcW w:w="646" w:type="dxa"/>
            <w:tcBorders>
              <w:right w:val="single" w:color="auto" w:sz="4" w:space="0"/>
            </w:tcBorders>
            <w:vAlign w:val="center"/>
          </w:tcPr>
          <w:p w14:paraId="48CD27F8">
            <w:pPr>
              <w:jc w:val="center"/>
              <w:rPr>
                <w:rFonts w:hint="eastAsia" w:ascii="宋体" w:hAnsi="宋体"/>
                <w:b/>
                <w:bCs/>
                <w:sz w:val="24"/>
                <w:szCs w:val="24"/>
                <w:highlight w:val="none"/>
              </w:rPr>
            </w:pPr>
          </w:p>
        </w:tc>
        <w:tc>
          <w:tcPr>
            <w:tcW w:w="597" w:type="dxa"/>
            <w:tcBorders>
              <w:left w:val="single" w:color="auto" w:sz="4" w:space="0"/>
            </w:tcBorders>
            <w:vAlign w:val="center"/>
          </w:tcPr>
          <w:p w14:paraId="0183395A">
            <w:pPr>
              <w:jc w:val="center"/>
              <w:rPr>
                <w:rFonts w:hint="eastAsia" w:ascii="宋体" w:hAnsi="宋体"/>
                <w:b/>
                <w:bCs/>
                <w:sz w:val="24"/>
                <w:szCs w:val="24"/>
                <w:highlight w:val="none"/>
              </w:rPr>
            </w:pPr>
          </w:p>
        </w:tc>
      </w:tr>
      <w:tr w14:paraId="5D7BE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6F075854">
            <w:pPr>
              <w:jc w:val="center"/>
              <w:textAlignment w:val="center"/>
              <w:rPr>
                <w:rFonts w:hint="eastAsia" w:ascii="宋体" w:hAnsi="宋体"/>
                <w:b/>
                <w:bCs/>
                <w:sz w:val="24"/>
                <w:szCs w:val="24"/>
                <w:highlight w:val="none"/>
              </w:rPr>
            </w:pPr>
            <w:r>
              <w:rPr>
                <w:rFonts w:ascii="宋体" w:hAnsi="宋体"/>
                <w:b/>
                <w:bCs/>
                <w:sz w:val="24"/>
                <w:szCs w:val="24"/>
                <w:highlight w:val="none"/>
              </w:rPr>
              <w:t>6</w:t>
            </w:r>
          </w:p>
        </w:tc>
        <w:tc>
          <w:tcPr>
            <w:tcW w:w="6674" w:type="dxa"/>
            <w:tcBorders>
              <w:right w:val="single" w:color="auto" w:sz="4" w:space="0"/>
            </w:tcBorders>
            <w:vAlign w:val="center"/>
          </w:tcPr>
          <w:p w14:paraId="07D475F5">
            <w:pPr>
              <w:rPr>
                <w:rFonts w:hint="eastAsia" w:ascii="宋体" w:hAnsi="宋体"/>
                <w:b/>
                <w:bCs/>
                <w:sz w:val="24"/>
                <w:szCs w:val="24"/>
                <w:highlight w:val="none"/>
              </w:rPr>
            </w:pPr>
            <w:r>
              <w:rPr>
                <w:rFonts w:ascii="Segoe UI Emoji" w:hAnsi="Segoe UI Emoji" w:eastAsia="Segoe UI Emoji" w:cs="Segoe UI Emoji"/>
                <w:b/>
                <w:bCs/>
                <w:sz w:val="24"/>
                <w:szCs w:val="24"/>
                <w:highlight w:val="none"/>
              </w:rPr>
              <w:t>投标报价的总价和单台设备分项报价是否在采购预算或最高限价以内</w:t>
            </w:r>
          </w:p>
        </w:tc>
        <w:tc>
          <w:tcPr>
            <w:tcW w:w="646" w:type="dxa"/>
            <w:tcBorders>
              <w:left w:val="single" w:color="auto" w:sz="4" w:space="0"/>
              <w:right w:val="single" w:color="auto" w:sz="4" w:space="0"/>
            </w:tcBorders>
            <w:vAlign w:val="center"/>
          </w:tcPr>
          <w:p w14:paraId="7CBDF55E">
            <w:pPr>
              <w:jc w:val="center"/>
              <w:rPr>
                <w:rFonts w:hint="eastAsia" w:ascii="宋体" w:hAnsi="宋体"/>
                <w:b/>
                <w:bCs/>
                <w:sz w:val="24"/>
                <w:szCs w:val="24"/>
                <w:highlight w:val="none"/>
              </w:rPr>
            </w:pPr>
          </w:p>
        </w:tc>
        <w:tc>
          <w:tcPr>
            <w:tcW w:w="646" w:type="dxa"/>
            <w:tcBorders>
              <w:left w:val="single" w:color="auto" w:sz="4" w:space="0"/>
            </w:tcBorders>
            <w:vAlign w:val="center"/>
          </w:tcPr>
          <w:p w14:paraId="1E7B0E49">
            <w:pPr>
              <w:jc w:val="center"/>
              <w:rPr>
                <w:rFonts w:hint="eastAsia" w:ascii="宋体" w:hAnsi="宋体"/>
                <w:b/>
                <w:bCs/>
                <w:sz w:val="24"/>
                <w:szCs w:val="24"/>
                <w:highlight w:val="none"/>
              </w:rPr>
            </w:pPr>
          </w:p>
        </w:tc>
        <w:tc>
          <w:tcPr>
            <w:tcW w:w="646" w:type="dxa"/>
            <w:tcBorders>
              <w:right w:val="single" w:color="auto" w:sz="4" w:space="0"/>
            </w:tcBorders>
            <w:vAlign w:val="center"/>
          </w:tcPr>
          <w:p w14:paraId="71DFD92A">
            <w:pPr>
              <w:jc w:val="center"/>
              <w:rPr>
                <w:rFonts w:hint="eastAsia" w:ascii="宋体" w:hAnsi="宋体"/>
                <w:b/>
                <w:bCs/>
                <w:sz w:val="24"/>
                <w:szCs w:val="24"/>
                <w:highlight w:val="none"/>
              </w:rPr>
            </w:pPr>
          </w:p>
        </w:tc>
        <w:tc>
          <w:tcPr>
            <w:tcW w:w="597" w:type="dxa"/>
            <w:tcBorders>
              <w:left w:val="single" w:color="auto" w:sz="4" w:space="0"/>
            </w:tcBorders>
            <w:vAlign w:val="center"/>
          </w:tcPr>
          <w:p w14:paraId="339B0783">
            <w:pPr>
              <w:jc w:val="center"/>
              <w:rPr>
                <w:rFonts w:hint="eastAsia" w:ascii="宋体" w:hAnsi="宋体"/>
                <w:b/>
                <w:bCs/>
                <w:sz w:val="24"/>
                <w:szCs w:val="24"/>
                <w:highlight w:val="none"/>
              </w:rPr>
            </w:pPr>
          </w:p>
        </w:tc>
      </w:tr>
      <w:tr w14:paraId="44EFE5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vAlign w:val="center"/>
          </w:tcPr>
          <w:p w14:paraId="761029AB">
            <w:pPr>
              <w:jc w:val="center"/>
              <w:textAlignment w:val="center"/>
              <w:rPr>
                <w:rFonts w:hint="eastAsia" w:ascii="宋体" w:hAnsi="宋体"/>
                <w:b/>
                <w:bCs/>
                <w:sz w:val="24"/>
                <w:szCs w:val="24"/>
                <w:highlight w:val="none"/>
              </w:rPr>
            </w:pPr>
            <w:r>
              <w:rPr>
                <w:rFonts w:ascii="宋体" w:hAnsi="宋体"/>
                <w:b/>
                <w:bCs/>
                <w:sz w:val="24"/>
                <w:szCs w:val="24"/>
                <w:highlight w:val="none"/>
              </w:rPr>
              <w:t>7</w:t>
            </w:r>
          </w:p>
        </w:tc>
        <w:tc>
          <w:tcPr>
            <w:tcW w:w="6674" w:type="dxa"/>
            <w:tcBorders>
              <w:right w:val="single" w:color="auto" w:sz="4" w:space="0"/>
            </w:tcBorders>
            <w:vAlign w:val="center"/>
          </w:tcPr>
          <w:p w14:paraId="651B8E2A">
            <w:pPr>
              <w:rPr>
                <w:rFonts w:hint="eastAsia" w:ascii="宋体" w:hAnsi="宋体"/>
                <w:b/>
                <w:bCs/>
                <w:sz w:val="24"/>
                <w:szCs w:val="24"/>
                <w:highlight w:val="none"/>
              </w:rPr>
            </w:pPr>
            <w:r>
              <w:rPr>
                <w:rFonts w:hint="eastAsia" w:ascii="宋体" w:hAnsi="宋体"/>
                <w:b/>
                <w:bCs/>
                <w:sz w:val="24"/>
                <w:szCs w:val="24"/>
                <w:highlight w:val="none"/>
              </w:rPr>
              <w:t>投标文件针对同一种货物未出现了两个或两个以上的报价</w:t>
            </w:r>
          </w:p>
        </w:tc>
        <w:tc>
          <w:tcPr>
            <w:tcW w:w="646" w:type="dxa"/>
            <w:tcBorders>
              <w:left w:val="single" w:color="auto" w:sz="4" w:space="0"/>
              <w:right w:val="single" w:color="auto" w:sz="4" w:space="0"/>
            </w:tcBorders>
            <w:vAlign w:val="center"/>
          </w:tcPr>
          <w:p w14:paraId="6D29C3A3">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76433102">
            <w:pPr>
              <w:jc w:val="center"/>
              <w:rPr>
                <w:rFonts w:hint="eastAsia" w:ascii="宋体" w:hAnsi="宋体"/>
                <w:b/>
                <w:bCs/>
                <w:sz w:val="24"/>
                <w:szCs w:val="24"/>
                <w:highlight w:val="none"/>
              </w:rPr>
            </w:pPr>
          </w:p>
        </w:tc>
        <w:tc>
          <w:tcPr>
            <w:tcW w:w="646" w:type="dxa"/>
            <w:tcBorders>
              <w:right w:val="single" w:color="auto" w:sz="4" w:space="0"/>
            </w:tcBorders>
            <w:vAlign w:val="center"/>
          </w:tcPr>
          <w:p w14:paraId="0ABC100B">
            <w:pPr>
              <w:jc w:val="center"/>
              <w:rPr>
                <w:rFonts w:hint="eastAsia" w:ascii="宋体" w:hAnsi="宋体"/>
                <w:b/>
                <w:bCs/>
                <w:sz w:val="24"/>
                <w:szCs w:val="24"/>
                <w:highlight w:val="none"/>
              </w:rPr>
            </w:pPr>
          </w:p>
        </w:tc>
        <w:tc>
          <w:tcPr>
            <w:tcW w:w="597" w:type="dxa"/>
            <w:tcBorders>
              <w:left w:val="single" w:color="auto" w:sz="4" w:space="0"/>
            </w:tcBorders>
            <w:vAlign w:val="center"/>
          </w:tcPr>
          <w:p w14:paraId="6BC02247">
            <w:pPr>
              <w:jc w:val="center"/>
              <w:rPr>
                <w:rFonts w:hint="eastAsia" w:ascii="宋体" w:hAnsi="宋体"/>
                <w:b/>
                <w:bCs/>
                <w:sz w:val="24"/>
                <w:szCs w:val="24"/>
                <w:highlight w:val="none"/>
              </w:rPr>
            </w:pPr>
          </w:p>
        </w:tc>
      </w:tr>
      <w:tr w14:paraId="3A474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4232BC86">
            <w:pPr>
              <w:jc w:val="center"/>
              <w:textAlignment w:val="center"/>
              <w:rPr>
                <w:rFonts w:hint="eastAsia" w:ascii="宋体" w:hAnsi="宋体"/>
                <w:b/>
                <w:bCs/>
                <w:sz w:val="24"/>
                <w:szCs w:val="24"/>
                <w:highlight w:val="none"/>
              </w:rPr>
            </w:pPr>
            <w:r>
              <w:rPr>
                <w:rFonts w:ascii="宋体" w:hAnsi="宋体"/>
                <w:b/>
                <w:bCs/>
                <w:sz w:val="24"/>
                <w:szCs w:val="24"/>
                <w:highlight w:val="none"/>
              </w:rPr>
              <w:t>8</w:t>
            </w:r>
          </w:p>
        </w:tc>
        <w:tc>
          <w:tcPr>
            <w:tcW w:w="6674" w:type="dxa"/>
            <w:tcBorders>
              <w:right w:val="single" w:color="auto" w:sz="4" w:space="0"/>
            </w:tcBorders>
            <w:vAlign w:val="center"/>
          </w:tcPr>
          <w:p w14:paraId="2F773F3E">
            <w:pPr>
              <w:rPr>
                <w:rFonts w:hint="eastAsia" w:ascii="宋体" w:hAnsi="宋体"/>
                <w:b/>
                <w:bCs/>
                <w:sz w:val="24"/>
                <w:szCs w:val="24"/>
                <w:highlight w:val="none"/>
              </w:rPr>
            </w:pPr>
            <w:r>
              <w:rPr>
                <w:rFonts w:hint="eastAsia" w:ascii="宋体" w:hAnsi="宋体"/>
                <w:b/>
                <w:bCs/>
                <w:sz w:val="24"/>
                <w:szCs w:val="24"/>
                <w:highlight w:val="none"/>
              </w:rPr>
              <w:t>是否符合法律、法规和招标文件中规定的其他实质性要求</w:t>
            </w:r>
          </w:p>
        </w:tc>
        <w:tc>
          <w:tcPr>
            <w:tcW w:w="646" w:type="dxa"/>
            <w:tcBorders>
              <w:left w:val="single" w:color="auto" w:sz="4" w:space="0"/>
              <w:right w:val="single" w:color="auto" w:sz="4" w:space="0"/>
            </w:tcBorders>
            <w:vAlign w:val="center"/>
          </w:tcPr>
          <w:p w14:paraId="0CC1E9D8">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0634BF6A">
            <w:pPr>
              <w:jc w:val="center"/>
              <w:rPr>
                <w:rFonts w:hint="eastAsia" w:ascii="宋体" w:hAnsi="宋体"/>
                <w:b/>
                <w:bCs/>
                <w:sz w:val="24"/>
                <w:szCs w:val="24"/>
                <w:highlight w:val="none"/>
              </w:rPr>
            </w:pPr>
          </w:p>
        </w:tc>
        <w:tc>
          <w:tcPr>
            <w:tcW w:w="646" w:type="dxa"/>
            <w:tcBorders>
              <w:right w:val="single" w:color="auto" w:sz="4" w:space="0"/>
            </w:tcBorders>
            <w:vAlign w:val="center"/>
          </w:tcPr>
          <w:p w14:paraId="30A004F9">
            <w:pPr>
              <w:jc w:val="center"/>
              <w:rPr>
                <w:rFonts w:hint="eastAsia" w:ascii="宋体" w:hAnsi="宋体"/>
                <w:b/>
                <w:bCs/>
                <w:sz w:val="24"/>
                <w:szCs w:val="24"/>
                <w:highlight w:val="none"/>
              </w:rPr>
            </w:pPr>
          </w:p>
        </w:tc>
        <w:tc>
          <w:tcPr>
            <w:tcW w:w="597" w:type="dxa"/>
            <w:tcBorders>
              <w:left w:val="single" w:color="auto" w:sz="4" w:space="0"/>
            </w:tcBorders>
            <w:vAlign w:val="center"/>
          </w:tcPr>
          <w:p w14:paraId="05EB9888">
            <w:pPr>
              <w:jc w:val="center"/>
              <w:rPr>
                <w:rFonts w:hint="eastAsia" w:ascii="宋体" w:hAnsi="宋体"/>
                <w:b/>
                <w:bCs/>
                <w:sz w:val="24"/>
                <w:szCs w:val="24"/>
                <w:highlight w:val="none"/>
              </w:rPr>
            </w:pPr>
          </w:p>
        </w:tc>
      </w:tr>
      <w:tr w14:paraId="4A669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5B3818F7">
            <w:pPr>
              <w:jc w:val="center"/>
              <w:rPr>
                <w:rFonts w:hint="eastAsia" w:ascii="宋体" w:hAnsi="宋体"/>
                <w:b/>
                <w:bCs/>
                <w:sz w:val="24"/>
                <w:szCs w:val="24"/>
                <w:highlight w:val="none"/>
              </w:rPr>
            </w:pPr>
            <w:r>
              <w:rPr>
                <w:rFonts w:hint="eastAsia" w:ascii="宋体" w:hAnsi="宋体"/>
                <w:b/>
                <w:bCs/>
                <w:sz w:val="24"/>
                <w:szCs w:val="24"/>
                <w:highlight w:val="none"/>
              </w:rPr>
              <w:t>审查结果</w:t>
            </w:r>
          </w:p>
        </w:tc>
        <w:tc>
          <w:tcPr>
            <w:tcW w:w="646" w:type="dxa"/>
            <w:tcBorders>
              <w:left w:val="single" w:color="auto" w:sz="4" w:space="0"/>
              <w:right w:val="single" w:color="auto" w:sz="4" w:space="0"/>
            </w:tcBorders>
            <w:vAlign w:val="center"/>
          </w:tcPr>
          <w:p w14:paraId="1222937A">
            <w:pPr>
              <w:jc w:val="center"/>
              <w:rPr>
                <w:rFonts w:hint="eastAsia" w:ascii="宋体" w:hAnsi="宋体"/>
                <w:b/>
                <w:bCs/>
                <w:sz w:val="24"/>
                <w:szCs w:val="24"/>
                <w:highlight w:val="none"/>
              </w:rPr>
            </w:pPr>
          </w:p>
        </w:tc>
        <w:tc>
          <w:tcPr>
            <w:tcW w:w="646" w:type="dxa"/>
            <w:tcBorders>
              <w:left w:val="single" w:color="auto" w:sz="4" w:space="0"/>
            </w:tcBorders>
            <w:vAlign w:val="center"/>
          </w:tcPr>
          <w:p w14:paraId="53805755">
            <w:pPr>
              <w:jc w:val="center"/>
              <w:rPr>
                <w:rFonts w:hint="eastAsia" w:ascii="宋体" w:hAnsi="宋体"/>
                <w:b/>
                <w:bCs/>
                <w:sz w:val="24"/>
                <w:szCs w:val="24"/>
                <w:highlight w:val="none"/>
              </w:rPr>
            </w:pPr>
          </w:p>
        </w:tc>
        <w:tc>
          <w:tcPr>
            <w:tcW w:w="646" w:type="dxa"/>
            <w:vAlign w:val="center"/>
          </w:tcPr>
          <w:p w14:paraId="7DA33191">
            <w:pPr>
              <w:jc w:val="center"/>
              <w:rPr>
                <w:rFonts w:hint="eastAsia" w:ascii="宋体" w:hAnsi="宋体"/>
                <w:b/>
                <w:bCs/>
                <w:sz w:val="24"/>
                <w:szCs w:val="24"/>
                <w:highlight w:val="none"/>
              </w:rPr>
            </w:pPr>
          </w:p>
        </w:tc>
        <w:tc>
          <w:tcPr>
            <w:tcW w:w="597" w:type="dxa"/>
            <w:vAlign w:val="center"/>
          </w:tcPr>
          <w:p w14:paraId="78B171C5">
            <w:pPr>
              <w:jc w:val="center"/>
              <w:rPr>
                <w:rFonts w:hint="eastAsia" w:ascii="宋体" w:hAnsi="宋体"/>
                <w:b/>
                <w:bCs/>
                <w:sz w:val="24"/>
                <w:szCs w:val="24"/>
                <w:highlight w:val="none"/>
              </w:rPr>
            </w:pPr>
          </w:p>
        </w:tc>
      </w:tr>
      <w:tr w14:paraId="4C44C0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5D4453DD">
            <w:pPr>
              <w:jc w:val="center"/>
              <w:rPr>
                <w:rFonts w:hint="eastAsia" w:ascii="宋体" w:hAnsi="宋体"/>
                <w:b/>
                <w:bCs/>
                <w:sz w:val="24"/>
                <w:szCs w:val="24"/>
                <w:highlight w:val="none"/>
              </w:rPr>
            </w:pPr>
            <w:r>
              <w:rPr>
                <w:rFonts w:hint="eastAsia" w:ascii="宋体" w:hAnsi="宋体"/>
                <w:b/>
                <w:bCs/>
                <w:sz w:val="24"/>
                <w:szCs w:val="24"/>
                <w:highlight w:val="none"/>
              </w:rPr>
              <w:t>不通过理由说明</w:t>
            </w:r>
          </w:p>
        </w:tc>
        <w:tc>
          <w:tcPr>
            <w:tcW w:w="646" w:type="dxa"/>
            <w:tcBorders>
              <w:left w:val="single" w:color="auto" w:sz="4" w:space="0"/>
              <w:bottom w:val="single" w:color="auto" w:sz="12" w:space="0"/>
              <w:right w:val="single" w:color="auto" w:sz="4" w:space="0"/>
            </w:tcBorders>
            <w:vAlign w:val="center"/>
          </w:tcPr>
          <w:p w14:paraId="21521F0D">
            <w:pPr>
              <w:jc w:val="center"/>
              <w:rPr>
                <w:rFonts w:hint="eastAsia" w:ascii="宋体" w:hAnsi="宋体"/>
                <w:b/>
                <w:bCs/>
                <w:sz w:val="24"/>
                <w:szCs w:val="24"/>
                <w:highlight w:val="none"/>
              </w:rPr>
            </w:pPr>
          </w:p>
        </w:tc>
        <w:tc>
          <w:tcPr>
            <w:tcW w:w="646" w:type="dxa"/>
            <w:tcBorders>
              <w:left w:val="single" w:color="auto" w:sz="4" w:space="0"/>
              <w:bottom w:val="single" w:color="auto" w:sz="12" w:space="0"/>
            </w:tcBorders>
            <w:vAlign w:val="center"/>
          </w:tcPr>
          <w:p w14:paraId="667E006D">
            <w:pPr>
              <w:jc w:val="center"/>
              <w:rPr>
                <w:rFonts w:hint="eastAsia" w:ascii="宋体" w:hAnsi="宋体"/>
                <w:b/>
                <w:bCs/>
                <w:sz w:val="24"/>
                <w:szCs w:val="24"/>
                <w:highlight w:val="none"/>
              </w:rPr>
            </w:pPr>
          </w:p>
        </w:tc>
        <w:tc>
          <w:tcPr>
            <w:tcW w:w="646" w:type="dxa"/>
            <w:tcBorders>
              <w:bottom w:val="single" w:color="auto" w:sz="12" w:space="0"/>
            </w:tcBorders>
            <w:vAlign w:val="center"/>
          </w:tcPr>
          <w:p w14:paraId="0AE3331D">
            <w:pPr>
              <w:jc w:val="center"/>
              <w:rPr>
                <w:rFonts w:hint="eastAsia" w:ascii="宋体" w:hAnsi="宋体"/>
                <w:b/>
                <w:bCs/>
                <w:sz w:val="24"/>
                <w:szCs w:val="24"/>
                <w:highlight w:val="none"/>
              </w:rPr>
            </w:pPr>
          </w:p>
        </w:tc>
        <w:tc>
          <w:tcPr>
            <w:tcW w:w="597" w:type="dxa"/>
            <w:tcBorders>
              <w:bottom w:val="single" w:color="auto" w:sz="12" w:space="0"/>
            </w:tcBorders>
            <w:vAlign w:val="center"/>
          </w:tcPr>
          <w:p w14:paraId="492C8706">
            <w:pPr>
              <w:jc w:val="center"/>
              <w:rPr>
                <w:rFonts w:hint="eastAsia" w:ascii="宋体" w:hAnsi="宋体"/>
                <w:b/>
                <w:bCs/>
                <w:sz w:val="24"/>
                <w:szCs w:val="24"/>
                <w:highlight w:val="none"/>
              </w:rPr>
            </w:pPr>
          </w:p>
        </w:tc>
      </w:tr>
    </w:tbl>
    <w:p w14:paraId="049802BA">
      <w:pPr>
        <w:rPr>
          <w:rFonts w:hint="eastAsia" w:ascii="宋体" w:hAnsi="宋体"/>
          <w:sz w:val="24"/>
          <w:szCs w:val="24"/>
          <w:highlight w:val="none"/>
        </w:rPr>
      </w:pPr>
      <w:r>
        <w:rPr>
          <w:rFonts w:hint="eastAsia" w:ascii="宋体" w:hAnsi="宋体"/>
          <w:sz w:val="24"/>
          <w:szCs w:val="24"/>
          <w:highlight w:val="none"/>
        </w:rPr>
        <w:t>1.符合性审查审查合格的打“√”，不合格的打“×”。</w:t>
      </w:r>
    </w:p>
    <w:p w14:paraId="56AD5237">
      <w:pPr>
        <w:rPr>
          <w:rFonts w:hint="eastAsia" w:ascii="宋体" w:hAnsi="宋体"/>
          <w:sz w:val="24"/>
          <w:szCs w:val="24"/>
          <w:highlight w:val="none"/>
        </w:rPr>
      </w:pPr>
      <w:r>
        <w:rPr>
          <w:rFonts w:hint="eastAsia" w:ascii="宋体" w:hAnsi="宋体"/>
          <w:sz w:val="24"/>
          <w:szCs w:val="24"/>
          <w:highlight w:val="none"/>
        </w:rPr>
        <w:t>2.符合性审查审查结果，通过打“√”，不通过的打“×”。</w:t>
      </w:r>
    </w:p>
    <w:p w14:paraId="5237EE1B">
      <w:pPr>
        <w:rPr>
          <w:rFonts w:hint="eastAsia" w:ascii="宋体" w:hAnsi="宋体"/>
          <w:sz w:val="24"/>
          <w:szCs w:val="24"/>
          <w:highlight w:val="none"/>
        </w:rPr>
      </w:pPr>
      <w:r>
        <w:rPr>
          <w:rFonts w:hint="eastAsia" w:ascii="宋体" w:hAnsi="宋体"/>
          <w:sz w:val="24"/>
          <w:szCs w:val="24"/>
          <w:highlight w:val="none"/>
        </w:rPr>
        <w:t>3.请填写不通过符合性审查审查的</w:t>
      </w:r>
      <w:r>
        <w:rPr>
          <w:rFonts w:hint="eastAsia" w:ascii="宋体" w:hAnsi="宋体" w:cs="Arial"/>
          <w:kern w:val="0"/>
          <w:sz w:val="24"/>
          <w:szCs w:val="24"/>
          <w:highlight w:val="none"/>
        </w:rPr>
        <w:t>投标人</w:t>
      </w:r>
      <w:r>
        <w:rPr>
          <w:rFonts w:hint="eastAsia" w:ascii="宋体" w:hAnsi="宋体"/>
          <w:sz w:val="24"/>
          <w:szCs w:val="24"/>
          <w:highlight w:val="none"/>
        </w:rPr>
        <w:t>的原因。</w:t>
      </w:r>
    </w:p>
    <w:p w14:paraId="46B671C0">
      <w:pPr>
        <w:spacing w:line="440" w:lineRule="exact"/>
        <w:ind w:firstLine="480" w:firstLineChars="200"/>
        <w:rPr>
          <w:rFonts w:hint="eastAsia" w:ascii="宋体" w:hAnsi="宋体"/>
          <w:spacing w:val="-2"/>
          <w:sz w:val="24"/>
          <w:szCs w:val="24"/>
          <w:highlight w:val="none"/>
        </w:rPr>
      </w:pPr>
      <w:r>
        <w:rPr>
          <w:rFonts w:hint="eastAsia" w:ascii="宋体" w:hAnsi="宋体"/>
          <w:sz w:val="24"/>
          <w:szCs w:val="24"/>
          <w:highlight w:val="none"/>
        </w:rPr>
        <w:t>投标文件响应程度符合性审查通过的投标企业，进入下一步详细评审阶段，未通过投标文件响应程度符合性审查的企业，其投标作为无效标，不进入后期评审阶段。</w:t>
      </w:r>
    </w:p>
    <w:p w14:paraId="6036BAD3">
      <w:pPr>
        <w:spacing w:line="440" w:lineRule="exact"/>
        <w:jc w:val="center"/>
        <w:rPr>
          <w:b/>
          <w:sz w:val="30"/>
          <w:szCs w:val="30"/>
          <w:highlight w:val="none"/>
        </w:rPr>
      </w:pPr>
      <w:r>
        <w:rPr>
          <w:rFonts w:hint="eastAsia" w:ascii="宋体" w:hAnsi="宋体"/>
          <w:b/>
          <w:sz w:val="24"/>
          <w:szCs w:val="24"/>
          <w:highlight w:val="none"/>
        </w:rPr>
        <w:br w:type="page"/>
      </w:r>
      <w:r>
        <w:rPr>
          <w:rFonts w:hint="eastAsia"/>
          <w:b/>
          <w:sz w:val="30"/>
          <w:szCs w:val="30"/>
          <w:highlight w:val="none"/>
        </w:rPr>
        <w:t>评分标准100%（以下得分保留小数点后2位）</w:t>
      </w:r>
    </w:p>
    <w:p w14:paraId="2EAA15F5">
      <w:pPr>
        <w:rPr>
          <w:sz w:val="24"/>
          <w:szCs w:val="24"/>
          <w:highlight w:val="none"/>
        </w:rPr>
      </w:pPr>
    </w:p>
    <w:tbl>
      <w:tblPr>
        <w:tblStyle w:val="24"/>
        <w:tblW w:w="0" w:type="auto"/>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2"/>
        <w:gridCol w:w="1425"/>
        <w:gridCol w:w="1517"/>
        <w:gridCol w:w="6410"/>
      </w:tblGrid>
      <w:tr w14:paraId="553E305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4E1921A8">
            <w:pPr>
              <w:pStyle w:val="95"/>
              <w:spacing w:before="0" w:after="0" w:line="240" w:lineRule="auto"/>
              <w:ind w:firstLine="0"/>
              <w:rPr>
                <w:rFonts w:hint="eastAsia" w:ascii="宋体" w:hAnsi="宋体"/>
                <w:szCs w:val="24"/>
                <w:highlight w:val="none"/>
              </w:rPr>
            </w:pPr>
            <w:r>
              <w:rPr>
                <w:rFonts w:hint="eastAsia" w:ascii="宋体" w:hAnsi="宋体"/>
                <w:szCs w:val="24"/>
                <w:highlight w:val="none"/>
              </w:rPr>
              <w:t>序号</w:t>
            </w:r>
          </w:p>
        </w:tc>
        <w:tc>
          <w:tcPr>
            <w:tcW w:w="1425" w:type="dxa"/>
            <w:vAlign w:val="center"/>
          </w:tcPr>
          <w:p w14:paraId="352D1913">
            <w:pPr>
              <w:pStyle w:val="95"/>
              <w:spacing w:before="0" w:after="0" w:line="240" w:lineRule="auto"/>
              <w:ind w:firstLine="0"/>
              <w:jc w:val="center"/>
              <w:rPr>
                <w:rFonts w:hint="eastAsia" w:ascii="宋体" w:hAnsi="宋体"/>
                <w:szCs w:val="24"/>
                <w:highlight w:val="none"/>
              </w:rPr>
            </w:pPr>
            <w:r>
              <w:rPr>
                <w:rFonts w:hint="eastAsia" w:ascii="宋体" w:hAnsi="宋体"/>
                <w:szCs w:val="24"/>
                <w:highlight w:val="none"/>
              </w:rPr>
              <w:t>评审项目</w:t>
            </w:r>
          </w:p>
        </w:tc>
        <w:tc>
          <w:tcPr>
            <w:tcW w:w="1517" w:type="dxa"/>
            <w:vAlign w:val="center"/>
          </w:tcPr>
          <w:p w14:paraId="1E27CF16">
            <w:pPr>
              <w:pStyle w:val="95"/>
              <w:spacing w:before="0" w:after="0" w:line="240" w:lineRule="auto"/>
              <w:ind w:firstLine="0"/>
              <w:jc w:val="center"/>
              <w:rPr>
                <w:rFonts w:hint="eastAsia" w:ascii="宋体" w:hAnsi="宋体"/>
                <w:szCs w:val="24"/>
                <w:highlight w:val="none"/>
              </w:rPr>
            </w:pPr>
            <w:r>
              <w:rPr>
                <w:rFonts w:hint="eastAsia" w:ascii="宋体" w:hAnsi="宋体"/>
                <w:szCs w:val="24"/>
                <w:highlight w:val="none"/>
              </w:rPr>
              <w:t>评分标准</w:t>
            </w:r>
          </w:p>
        </w:tc>
        <w:tc>
          <w:tcPr>
            <w:tcW w:w="6410" w:type="dxa"/>
            <w:vAlign w:val="center"/>
          </w:tcPr>
          <w:p w14:paraId="78404905">
            <w:pPr>
              <w:pStyle w:val="95"/>
              <w:spacing w:before="0" w:after="0" w:line="240" w:lineRule="auto"/>
              <w:ind w:firstLine="0"/>
              <w:jc w:val="center"/>
              <w:rPr>
                <w:rFonts w:hint="eastAsia" w:ascii="宋体" w:hAnsi="宋体"/>
                <w:szCs w:val="24"/>
                <w:highlight w:val="none"/>
              </w:rPr>
            </w:pPr>
            <w:r>
              <w:rPr>
                <w:rFonts w:hint="eastAsia" w:ascii="宋体" w:hAnsi="宋体"/>
                <w:szCs w:val="24"/>
                <w:highlight w:val="none"/>
              </w:rPr>
              <w:t>分值</w:t>
            </w:r>
          </w:p>
        </w:tc>
      </w:tr>
      <w:tr w14:paraId="297B1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482" w:type="dxa"/>
            <w:tcBorders>
              <w:top w:val="single" w:color="auto" w:sz="4" w:space="0"/>
              <w:bottom w:val="single" w:color="auto" w:sz="4" w:space="0"/>
              <w:right w:val="single" w:color="auto" w:sz="4" w:space="0"/>
            </w:tcBorders>
            <w:vAlign w:val="center"/>
          </w:tcPr>
          <w:p w14:paraId="4DD14642">
            <w:pPr>
              <w:jc w:val="center"/>
              <w:rPr>
                <w:sz w:val="24"/>
                <w:szCs w:val="22"/>
                <w:highlight w:val="none"/>
              </w:rPr>
            </w:pPr>
            <w:r>
              <w:rPr>
                <w:sz w:val="24"/>
                <w:szCs w:val="22"/>
                <w:highlight w:val="none"/>
              </w:rPr>
              <w:t>1</w:t>
            </w:r>
          </w:p>
        </w:tc>
        <w:tc>
          <w:tcPr>
            <w:tcW w:w="1425" w:type="dxa"/>
            <w:tcBorders>
              <w:top w:val="single" w:color="auto" w:sz="4" w:space="0"/>
              <w:left w:val="single" w:color="auto" w:sz="4" w:space="0"/>
              <w:bottom w:val="single" w:color="auto" w:sz="4" w:space="0"/>
              <w:right w:val="single" w:color="auto" w:sz="4" w:space="0"/>
            </w:tcBorders>
            <w:vAlign w:val="center"/>
          </w:tcPr>
          <w:p w14:paraId="708124D8">
            <w:pPr>
              <w:spacing w:line="360" w:lineRule="auto"/>
              <w:jc w:val="center"/>
              <w:rPr>
                <w:sz w:val="24"/>
                <w:szCs w:val="22"/>
                <w:highlight w:val="none"/>
              </w:rPr>
            </w:pPr>
            <w:r>
              <w:rPr>
                <w:rFonts w:hint="eastAsia"/>
                <w:sz w:val="24"/>
                <w:szCs w:val="22"/>
                <w:highlight w:val="none"/>
              </w:rPr>
              <w:t>投标人报价</w:t>
            </w:r>
          </w:p>
        </w:tc>
        <w:tc>
          <w:tcPr>
            <w:tcW w:w="1517" w:type="dxa"/>
            <w:tcBorders>
              <w:top w:val="single" w:color="auto" w:sz="4" w:space="0"/>
              <w:left w:val="single" w:color="auto" w:sz="4" w:space="0"/>
              <w:bottom w:val="single" w:color="auto" w:sz="4" w:space="0"/>
              <w:right w:val="single" w:color="auto" w:sz="4" w:space="0"/>
            </w:tcBorders>
            <w:vAlign w:val="center"/>
          </w:tcPr>
          <w:p w14:paraId="256F6EA0">
            <w:pPr>
              <w:spacing w:line="360" w:lineRule="auto"/>
              <w:jc w:val="center"/>
              <w:rPr>
                <w:sz w:val="24"/>
                <w:szCs w:val="22"/>
                <w:highlight w:val="none"/>
              </w:rPr>
            </w:pPr>
            <w:r>
              <w:rPr>
                <w:sz w:val="24"/>
                <w:szCs w:val="22"/>
                <w:highlight w:val="none"/>
              </w:rPr>
              <w:t>30</w:t>
            </w:r>
            <w:r>
              <w:rPr>
                <w:rFonts w:hint="eastAsia"/>
                <w:sz w:val="24"/>
                <w:szCs w:val="22"/>
                <w:highlight w:val="none"/>
              </w:rPr>
              <w:t>分</w:t>
            </w:r>
          </w:p>
        </w:tc>
        <w:tc>
          <w:tcPr>
            <w:tcW w:w="6410" w:type="dxa"/>
            <w:tcBorders>
              <w:top w:val="single" w:color="auto" w:sz="4" w:space="0"/>
              <w:left w:val="single" w:color="auto" w:sz="4" w:space="0"/>
              <w:bottom w:val="single" w:color="auto" w:sz="4" w:space="0"/>
            </w:tcBorders>
            <w:vAlign w:val="center"/>
          </w:tcPr>
          <w:p w14:paraId="3EF3C937">
            <w:pPr>
              <w:rPr>
                <w:sz w:val="24"/>
                <w:szCs w:val="22"/>
                <w:highlight w:val="none"/>
              </w:rPr>
            </w:pPr>
            <w:r>
              <w:rPr>
                <w:rFonts w:hint="eastAsia"/>
                <w:sz w:val="24"/>
                <w:szCs w:val="22"/>
                <w:highlight w:val="none"/>
              </w:rPr>
              <w:t>在满足招标文件要求的前提下，取各投标人有效报价的最低价作为评标基准价，满分为</w:t>
            </w:r>
            <w:r>
              <w:rPr>
                <w:sz w:val="24"/>
                <w:szCs w:val="22"/>
                <w:highlight w:val="none"/>
              </w:rPr>
              <w:t>30</w:t>
            </w:r>
            <w:r>
              <w:rPr>
                <w:rFonts w:hint="eastAsia"/>
                <w:sz w:val="24"/>
                <w:szCs w:val="22"/>
                <w:highlight w:val="none"/>
              </w:rPr>
              <w:t>分；价格分的计算投标报价得分</w:t>
            </w:r>
            <w:r>
              <w:rPr>
                <w:sz w:val="24"/>
                <w:szCs w:val="22"/>
                <w:highlight w:val="none"/>
              </w:rPr>
              <w:t>=(</w:t>
            </w:r>
            <w:r>
              <w:rPr>
                <w:rFonts w:hint="eastAsia"/>
                <w:sz w:val="24"/>
                <w:szCs w:val="22"/>
                <w:highlight w:val="none"/>
              </w:rPr>
              <w:t>评标基准价／投标报价</w:t>
            </w:r>
            <w:r>
              <w:rPr>
                <w:sz w:val="24"/>
                <w:szCs w:val="22"/>
                <w:highlight w:val="none"/>
              </w:rPr>
              <w:t>)</w:t>
            </w:r>
            <w:r>
              <w:rPr>
                <w:rFonts w:hint="eastAsia"/>
                <w:sz w:val="24"/>
                <w:szCs w:val="22"/>
                <w:highlight w:val="none"/>
              </w:rPr>
              <w:t>×</w:t>
            </w:r>
            <w:r>
              <w:rPr>
                <w:sz w:val="24"/>
                <w:szCs w:val="22"/>
                <w:highlight w:val="none"/>
              </w:rPr>
              <w:t>0.30</w:t>
            </w:r>
            <w:r>
              <w:rPr>
                <w:rFonts w:hint="eastAsia"/>
                <w:sz w:val="24"/>
                <w:szCs w:val="22"/>
                <w:highlight w:val="none"/>
              </w:rPr>
              <w:t>×</w:t>
            </w:r>
            <w:r>
              <w:rPr>
                <w:sz w:val="24"/>
                <w:szCs w:val="22"/>
                <w:highlight w:val="none"/>
              </w:rPr>
              <w:t>100</w:t>
            </w:r>
            <w:r>
              <w:rPr>
                <w:rFonts w:hint="eastAsia"/>
                <w:sz w:val="24"/>
                <w:szCs w:val="22"/>
                <w:highlight w:val="none"/>
              </w:rPr>
              <w:t>。（计算分值时，百分比按四舍五入原则，保留小数点后二位数）</w:t>
            </w:r>
          </w:p>
        </w:tc>
      </w:tr>
      <w:tr w14:paraId="01C6FAB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72E257E6">
            <w:pPr>
              <w:pStyle w:val="83"/>
              <w:jc w:val="center"/>
              <w:rPr>
                <w:rFonts w:hint="eastAsia"/>
                <w:sz w:val="24"/>
                <w:szCs w:val="24"/>
                <w:highlight w:val="none"/>
              </w:rPr>
            </w:pPr>
            <w:r>
              <w:rPr>
                <w:rFonts w:hint="eastAsia"/>
                <w:sz w:val="24"/>
                <w:szCs w:val="24"/>
                <w:highlight w:val="none"/>
              </w:rPr>
              <w:t>2</w:t>
            </w:r>
          </w:p>
        </w:tc>
        <w:tc>
          <w:tcPr>
            <w:tcW w:w="1425" w:type="dxa"/>
            <w:vAlign w:val="center"/>
          </w:tcPr>
          <w:p w14:paraId="70530365">
            <w:pPr>
              <w:pStyle w:val="95"/>
              <w:spacing w:before="0" w:after="0" w:line="240" w:lineRule="auto"/>
              <w:ind w:firstLine="0"/>
              <w:rPr>
                <w:rFonts w:hint="eastAsia" w:ascii="宋体" w:hAnsi="宋体"/>
                <w:szCs w:val="24"/>
                <w:highlight w:val="none"/>
              </w:rPr>
            </w:pPr>
            <w:r>
              <w:rPr>
                <w:rFonts w:hint="eastAsia" w:ascii="宋体" w:hAnsi="宋体"/>
                <w:szCs w:val="24"/>
                <w:highlight w:val="none"/>
              </w:rPr>
              <w:t>配套产品配置及性能指标</w:t>
            </w:r>
          </w:p>
        </w:tc>
        <w:tc>
          <w:tcPr>
            <w:tcW w:w="1517" w:type="dxa"/>
            <w:vAlign w:val="center"/>
          </w:tcPr>
          <w:p w14:paraId="3BB628D0">
            <w:pPr>
              <w:pStyle w:val="95"/>
              <w:spacing w:before="0" w:after="0" w:line="240" w:lineRule="auto"/>
              <w:ind w:firstLine="0"/>
              <w:rPr>
                <w:rFonts w:hint="eastAsia" w:ascii="宋体" w:hAnsi="宋体"/>
                <w:szCs w:val="24"/>
                <w:highlight w:val="none"/>
              </w:rPr>
            </w:pPr>
            <w:r>
              <w:rPr>
                <w:rFonts w:hint="eastAsia" w:ascii="宋体" w:hAnsi="宋体"/>
                <w:szCs w:val="24"/>
                <w:highlight w:val="none"/>
              </w:rPr>
              <w:t>配置及性能指标</w:t>
            </w:r>
            <w:r>
              <w:rPr>
                <w:rFonts w:ascii="宋体" w:hAnsi="宋体"/>
                <w:szCs w:val="24"/>
                <w:highlight w:val="none"/>
              </w:rPr>
              <w:t>40</w:t>
            </w:r>
            <w:r>
              <w:rPr>
                <w:rFonts w:hint="eastAsia" w:ascii="宋体" w:hAnsi="宋体"/>
                <w:szCs w:val="24"/>
                <w:highlight w:val="none"/>
              </w:rPr>
              <w:t>分</w:t>
            </w:r>
            <w:bookmarkStart w:id="272" w:name="_GoBack"/>
            <w:bookmarkEnd w:id="272"/>
          </w:p>
        </w:tc>
        <w:tc>
          <w:tcPr>
            <w:tcW w:w="6410" w:type="dxa"/>
            <w:vAlign w:val="center"/>
          </w:tcPr>
          <w:p w14:paraId="5648756C">
            <w:pPr>
              <w:pStyle w:val="95"/>
              <w:spacing w:before="0" w:after="0" w:line="240" w:lineRule="auto"/>
              <w:ind w:firstLine="0"/>
              <w:rPr>
                <w:rFonts w:hint="eastAsia" w:ascii="宋体" w:hAnsi="宋体"/>
                <w:szCs w:val="24"/>
                <w:highlight w:val="none"/>
              </w:rPr>
            </w:pPr>
            <w:bookmarkStart w:id="25" w:name="OLE_LINK14"/>
            <w:r>
              <w:rPr>
                <w:rFonts w:hint="eastAsia" w:ascii="宋体" w:hAnsi="宋体"/>
                <w:szCs w:val="24"/>
                <w:highlight w:val="none"/>
              </w:rPr>
              <w:t>根据投标文件对采购文件产品详细技术参数和性能指标的响应程度：优于或完全符合采购文件要求的得</w:t>
            </w:r>
            <w:r>
              <w:rPr>
                <w:rFonts w:ascii="宋体" w:hAnsi="宋体"/>
                <w:szCs w:val="24"/>
                <w:highlight w:val="none"/>
              </w:rPr>
              <w:t>40</w:t>
            </w:r>
            <w:r>
              <w:rPr>
                <w:rFonts w:hint="eastAsia" w:ascii="宋体" w:hAnsi="宋体"/>
                <w:szCs w:val="24"/>
                <w:highlight w:val="none"/>
              </w:rPr>
              <w:t>分。</w:t>
            </w:r>
            <w:r>
              <w:rPr>
                <w:rFonts w:hint="eastAsia"/>
                <w:szCs w:val="24"/>
                <w:highlight w:val="none"/>
              </w:rPr>
              <w:t>▲项参数</w:t>
            </w:r>
            <w:r>
              <w:rPr>
                <w:rFonts w:hint="eastAsia" w:ascii="宋体" w:hAnsi="宋体"/>
                <w:szCs w:val="24"/>
                <w:highlight w:val="none"/>
              </w:rPr>
              <w:t>为重要技术要求，一项不符合扣</w:t>
            </w:r>
            <w:r>
              <w:rPr>
                <w:rFonts w:ascii="宋体" w:hAnsi="宋体"/>
                <w:szCs w:val="24"/>
                <w:highlight w:val="none"/>
              </w:rPr>
              <w:t>2</w:t>
            </w:r>
            <w:r>
              <w:rPr>
                <w:rFonts w:hint="eastAsia" w:ascii="宋体" w:hAnsi="宋体"/>
                <w:szCs w:val="24"/>
                <w:highlight w:val="none"/>
              </w:rPr>
              <w:t>分；其他无▲项参数为一般技术要求，一项不符合扣0.5分，扣完为止。</w:t>
            </w:r>
          </w:p>
          <w:bookmarkEnd w:id="25"/>
          <w:p w14:paraId="34CDA37A">
            <w:pPr>
              <w:pStyle w:val="95"/>
              <w:spacing w:before="0" w:after="0" w:line="240" w:lineRule="auto"/>
              <w:ind w:firstLine="0"/>
              <w:rPr>
                <w:rFonts w:hint="eastAsia" w:ascii="宋体" w:hAnsi="宋体"/>
                <w:szCs w:val="24"/>
                <w:highlight w:val="none"/>
              </w:rPr>
            </w:pPr>
            <w:r>
              <w:rPr>
                <w:rFonts w:hint="eastAsia" w:ascii="宋体" w:hAnsi="宋体"/>
                <w:szCs w:val="24"/>
                <w:highlight w:val="none"/>
              </w:rPr>
              <w:t>注：</w:t>
            </w:r>
          </w:p>
          <w:p w14:paraId="500540BB">
            <w:pPr>
              <w:pStyle w:val="95"/>
              <w:spacing w:before="0" w:after="0" w:line="240" w:lineRule="auto"/>
              <w:ind w:firstLine="0"/>
              <w:rPr>
                <w:rFonts w:hint="eastAsia" w:ascii="宋体" w:hAnsi="宋体"/>
                <w:szCs w:val="24"/>
                <w:highlight w:val="none"/>
              </w:rPr>
            </w:pPr>
            <w:r>
              <w:rPr>
                <w:rFonts w:hint="eastAsia" w:ascii="宋体" w:hAnsi="宋体"/>
                <w:szCs w:val="24"/>
                <w:highlight w:val="none"/>
              </w:rPr>
              <w:t>1.投标人须对本采购文件技术要求在技术偏离表中进行点对点应答，必须根据本采购文件的要求,结合所投产品的实际参数值，进行逐条逐项答复、说明和解释。</w:t>
            </w:r>
          </w:p>
          <w:p w14:paraId="749135B9">
            <w:pPr>
              <w:pStyle w:val="95"/>
              <w:spacing w:before="0" w:after="0" w:line="240" w:lineRule="auto"/>
              <w:ind w:firstLine="0"/>
              <w:rPr>
                <w:rFonts w:hint="eastAsia" w:ascii="宋体" w:hAnsi="宋体"/>
                <w:szCs w:val="24"/>
                <w:highlight w:val="none"/>
              </w:rPr>
            </w:pPr>
            <w:r>
              <w:rPr>
                <w:rFonts w:hint="eastAsia" w:ascii="宋体" w:hAnsi="宋体"/>
                <w:szCs w:val="24"/>
                <w:highlight w:val="none"/>
              </w:rPr>
              <w:t>2.技术参数中参数要求提供相关证明材料，未提供或不符合要求的，视为不响应技术参数。</w:t>
            </w:r>
          </w:p>
        </w:tc>
      </w:tr>
      <w:tr w14:paraId="657FC3A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restart"/>
            <w:vAlign w:val="center"/>
          </w:tcPr>
          <w:p w14:paraId="498CDF60">
            <w:pPr>
              <w:pStyle w:val="95"/>
              <w:spacing w:line="240" w:lineRule="auto"/>
              <w:ind w:firstLine="0"/>
              <w:jc w:val="center"/>
              <w:rPr>
                <w:rFonts w:hint="eastAsia" w:ascii="宋体" w:hAnsi="宋体"/>
                <w:szCs w:val="24"/>
                <w:highlight w:val="none"/>
              </w:rPr>
            </w:pPr>
            <w:r>
              <w:rPr>
                <w:rFonts w:hint="eastAsia" w:ascii="宋体" w:hAnsi="宋体"/>
                <w:szCs w:val="24"/>
                <w:highlight w:val="none"/>
              </w:rPr>
              <w:t>3</w:t>
            </w:r>
          </w:p>
        </w:tc>
        <w:tc>
          <w:tcPr>
            <w:tcW w:w="1425" w:type="dxa"/>
            <w:vMerge w:val="restart"/>
            <w:vAlign w:val="center"/>
          </w:tcPr>
          <w:p w14:paraId="3C6235C0">
            <w:pPr>
              <w:rPr>
                <w:rFonts w:hint="eastAsia" w:ascii="宋体" w:hAnsi="宋体"/>
                <w:sz w:val="24"/>
                <w:szCs w:val="24"/>
                <w:highlight w:val="none"/>
              </w:rPr>
            </w:pPr>
            <w:r>
              <w:rPr>
                <w:rFonts w:hint="eastAsia" w:ascii="宋体" w:hAnsi="宋体"/>
                <w:sz w:val="24"/>
                <w:szCs w:val="24"/>
                <w:highlight w:val="none"/>
              </w:rPr>
              <w:t>质保承诺、售后服务体系及服务情况</w:t>
            </w:r>
          </w:p>
        </w:tc>
        <w:tc>
          <w:tcPr>
            <w:tcW w:w="1517" w:type="dxa"/>
            <w:tcBorders>
              <w:top w:val="single" w:color="auto" w:sz="4" w:space="0"/>
              <w:bottom w:val="single" w:color="auto" w:sz="4" w:space="0"/>
            </w:tcBorders>
            <w:vAlign w:val="center"/>
          </w:tcPr>
          <w:p w14:paraId="1EB4E95C">
            <w:pPr>
              <w:rPr>
                <w:rFonts w:hint="eastAsia" w:ascii="宋体" w:hAnsi="宋体"/>
                <w:sz w:val="24"/>
                <w:szCs w:val="24"/>
                <w:highlight w:val="none"/>
              </w:rPr>
            </w:pPr>
            <w:r>
              <w:rPr>
                <w:rFonts w:ascii="宋体" w:hAnsi="宋体" w:cs="宋体"/>
                <w:sz w:val="24"/>
                <w:szCs w:val="24"/>
                <w:highlight w:val="none"/>
              </w:rPr>
              <w:t>售后服务人员保障</w:t>
            </w: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分）</w:t>
            </w:r>
          </w:p>
        </w:tc>
        <w:tc>
          <w:tcPr>
            <w:tcW w:w="6410" w:type="dxa"/>
            <w:tcBorders>
              <w:top w:val="single" w:color="auto" w:sz="4" w:space="0"/>
              <w:bottom w:val="single" w:color="auto" w:sz="4" w:space="0"/>
            </w:tcBorders>
            <w:vAlign w:val="center"/>
          </w:tcPr>
          <w:p w14:paraId="1D692366">
            <w:pPr>
              <w:rPr>
                <w:rFonts w:hint="eastAsia" w:ascii="宋体" w:hAnsi="宋体"/>
                <w:sz w:val="24"/>
                <w:szCs w:val="24"/>
                <w:highlight w:val="none"/>
              </w:rPr>
            </w:pPr>
            <w:r>
              <w:rPr>
                <w:rFonts w:hint="eastAsia" w:ascii="宋体" w:hAnsi="宋体"/>
                <w:sz w:val="24"/>
                <w:szCs w:val="24"/>
                <w:highlight w:val="none"/>
              </w:rPr>
              <w:t>投标人拟投入本项目配备稳定、充足的售后服务人员，具备对应岗位专业能力，技术支撑体系完备；提供不少于3名相关人员证明材料的，得2分，未提供不得分。</w:t>
            </w:r>
          </w:p>
        </w:tc>
      </w:tr>
      <w:tr w14:paraId="5B226B7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71813E45">
            <w:pPr>
              <w:pStyle w:val="95"/>
              <w:spacing w:line="240" w:lineRule="auto"/>
              <w:rPr>
                <w:rFonts w:hint="eastAsia" w:ascii="宋体" w:hAnsi="宋体"/>
                <w:szCs w:val="24"/>
                <w:highlight w:val="none"/>
              </w:rPr>
            </w:pPr>
          </w:p>
        </w:tc>
        <w:tc>
          <w:tcPr>
            <w:tcW w:w="1425" w:type="dxa"/>
            <w:vMerge w:val="continue"/>
            <w:vAlign w:val="center"/>
          </w:tcPr>
          <w:p w14:paraId="063ED927">
            <w:pPr>
              <w:rPr>
                <w:rFonts w:hint="eastAsia" w:ascii="宋体" w:hAnsi="宋体"/>
                <w:sz w:val="24"/>
                <w:szCs w:val="24"/>
                <w:highlight w:val="none"/>
              </w:rPr>
            </w:pPr>
          </w:p>
        </w:tc>
        <w:tc>
          <w:tcPr>
            <w:tcW w:w="1517" w:type="dxa"/>
            <w:tcBorders>
              <w:top w:val="single" w:color="auto" w:sz="4" w:space="0"/>
              <w:bottom w:val="single" w:color="auto" w:sz="4" w:space="0"/>
            </w:tcBorders>
            <w:vAlign w:val="center"/>
          </w:tcPr>
          <w:p w14:paraId="341D58DA">
            <w:pPr>
              <w:rPr>
                <w:rFonts w:hint="eastAsia" w:ascii="宋体" w:hAnsi="宋体"/>
                <w:sz w:val="24"/>
                <w:szCs w:val="24"/>
                <w:highlight w:val="none"/>
              </w:rPr>
            </w:pPr>
            <w:r>
              <w:rPr>
                <w:rFonts w:ascii="宋体" w:hAnsi="宋体" w:cs="宋体"/>
                <w:sz w:val="24"/>
                <w:szCs w:val="24"/>
                <w:highlight w:val="none"/>
              </w:rPr>
              <w:t>售后服务响应时效</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分）</w:t>
            </w:r>
          </w:p>
        </w:tc>
        <w:tc>
          <w:tcPr>
            <w:tcW w:w="6410" w:type="dxa"/>
            <w:tcBorders>
              <w:top w:val="single" w:color="auto" w:sz="4" w:space="0"/>
              <w:bottom w:val="single" w:color="auto" w:sz="4" w:space="0"/>
            </w:tcBorders>
            <w:vAlign w:val="center"/>
          </w:tcPr>
          <w:p w14:paraId="64E67910">
            <w:pPr>
              <w:rPr>
                <w:rFonts w:hint="eastAsia" w:ascii="宋体" w:hAnsi="宋体"/>
                <w:sz w:val="24"/>
                <w:szCs w:val="24"/>
                <w:highlight w:val="none"/>
              </w:rPr>
            </w:pPr>
            <w:r>
              <w:rPr>
                <w:rFonts w:hint="eastAsia" w:ascii="宋体" w:hAnsi="宋体"/>
                <w:sz w:val="24"/>
                <w:szCs w:val="24"/>
                <w:highlight w:val="none"/>
              </w:rPr>
              <w:t>投标人承诺售后服务故障响应时间：</w:t>
            </w:r>
          </w:p>
          <w:p w14:paraId="78BF3ACB">
            <w:pPr>
              <w:rPr>
                <w:rFonts w:hint="eastAsia" w:ascii="宋体" w:hAnsi="宋体"/>
                <w:sz w:val="24"/>
                <w:szCs w:val="24"/>
                <w:highlight w:val="none"/>
              </w:rPr>
            </w:pPr>
            <w:r>
              <w:rPr>
                <w:rFonts w:hint="eastAsia" w:ascii="宋体" w:hAnsi="宋体"/>
                <w:sz w:val="24"/>
                <w:szCs w:val="24"/>
                <w:highlight w:val="none"/>
              </w:rPr>
              <w:t>承诺接到报修后24 小时内响应并到场处置，得 4分；</w:t>
            </w:r>
          </w:p>
          <w:p w14:paraId="5B3F71BC">
            <w:pPr>
              <w:rPr>
                <w:rFonts w:hint="eastAsia" w:ascii="宋体" w:hAnsi="宋体"/>
                <w:sz w:val="24"/>
                <w:szCs w:val="24"/>
                <w:highlight w:val="none"/>
              </w:rPr>
            </w:pPr>
            <w:r>
              <w:rPr>
                <w:rFonts w:hint="eastAsia" w:ascii="宋体" w:hAnsi="宋体"/>
                <w:sz w:val="24"/>
                <w:szCs w:val="24"/>
                <w:highlight w:val="none"/>
              </w:rPr>
              <w:t>承诺接到报修后36 小时内响应并到场处置，得 2 分；</w:t>
            </w:r>
          </w:p>
          <w:p w14:paraId="2BFB1A08">
            <w:pPr>
              <w:rPr>
                <w:rFonts w:hint="eastAsia" w:ascii="宋体" w:hAnsi="宋体"/>
                <w:sz w:val="24"/>
                <w:szCs w:val="24"/>
                <w:highlight w:val="none"/>
              </w:rPr>
            </w:pPr>
            <w:r>
              <w:rPr>
                <w:rFonts w:hint="eastAsia" w:ascii="宋体" w:hAnsi="宋体"/>
                <w:sz w:val="24"/>
                <w:szCs w:val="24"/>
                <w:highlight w:val="none"/>
              </w:rPr>
              <w:t>响应时间超过 36 小时，不得分。</w:t>
            </w:r>
          </w:p>
        </w:tc>
      </w:tr>
      <w:tr w14:paraId="17F13B0B">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5282784B">
            <w:pPr>
              <w:pStyle w:val="79"/>
              <w:ind w:firstLine="72"/>
              <w:rPr>
                <w:rFonts w:hint="eastAsia" w:ascii="宋体" w:hAnsi="宋体"/>
                <w:szCs w:val="24"/>
                <w:highlight w:val="none"/>
              </w:rPr>
            </w:pPr>
          </w:p>
        </w:tc>
        <w:tc>
          <w:tcPr>
            <w:tcW w:w="1425" w:type="dxa"/>
            <w:vMerge w:val="continue"/>
            <w:vAlign w:val="center"/>
          </w:tcPr>
          <w:p w14:paraId="724DC5EF">
            <w:pPr>
              <w:rPr>
                <w:rFonts w:hint="eastAsia" w:ascii="宋体" w:hAnsi="宋体"/>
                <w:sz w:val="24"/>
                <w:szCs w:val="24"/>
                <w:highlight w:val="none"/>
              </w:rPr>
            </w:pPr>
          </w:p>
        </w:tc>
        <w:tc>
          <w:tcPr>
            <w:tcW w:w="1517" w:type="dxa"/>
            <w:tcBorders>
              <w:top w:val="single" w:color="auto" w:sz="4" w:space="0"/>
              <w:bottom w:val="single" w:color="auto" w:sz="4" w:space="0"/>
            </w:tcBorders>
            <w:vAlign w:val="center"/>
          </w:tcPr>
          <w:p w14:paraId="2CAF6939">
            <w:pPr>
              <w:rPr>
                <w:rFonts w:hint="eastAsia" w:ascii="宋体" w:hAnsi="宋体"/>
                <w:sz w:val="24"/>
                <w:szCs w:val="24"/>
                <w:highlight w:val="none"/>
              </w:rPr>
            </w:pPr>
            <w:bookmarkStart w:id="26" w:name="OLE_LINK7"/>
            <w:r>
              <w:rPr>
                <w:rFonts w:ascii="宋体" w:hAnsi="宋体" w:cs="宋体"/>
                <w:sz w:val="24"/>
                <w:szCs w:val="24"/>
                <w:highlight w:val="none"/>
              </w:rPr>
              <w:t>售后</w:t>
            </w:r>
            <w:bookmarkEnd w:id="26"/>
            <w:r>
              <w:rPr>
                <w:rFonts w:ascii="宋体" w:hAnsi="宋体" w:cs="宋体"/>
                <w:sz w:val="24"/>
                <w:szCs w:val="24"/>
                <w:highlight w:val="none"/>
              </w:rPr>
              <w:t>服务保障体系</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分）</w:t>
            </w:r>
          </w:p>
        </w:tc>
        <w:tc>
          <w:tcPr>
            <w:tcW w:w="6410" w:type="dxa"/>
            <w:tcBorders>
              <w:top w:val="single" w:color="auto" w:sz="4" w:space="0"/>
              <w:bottom w:val="single" w:color="auto" w:sz="4" w:space="0"/>
            </w:tcBorders>
            <w:vAlign w:val="center"/>
          </w:tcPr>
          <w:p w14:paraId="60646BDF">
            <w:pPr>
              <w:rPr>
                <w:rFonts w:hint="eastAsia" w:ascii="宋体" w:hAnsi="宋体"/>
                <w:sz w:val="24"/>
                <w:szCs w:val="24"/>
                <w:highlight w:val="none"/>
              </w:rPr>
            </w:pPr>
            <w:r>
              <w:rPr>
                <w:rFonts w:hint="eastAsia" w:ascii="宋体" w:hAnsi="宋体"/>
                <w:sz w:val="24"/>
                <w:szCs w:val="24"/>
                <w:highlight w:val="none"/>
              </w:rPr>
              <w:t>1、投标人具备健全、完善的售后服务网络体系、充足的备品备件库存保障能力、成熟的服务团队，可为本项目提供长期稳定维修、备件更换、技术保障服务，提供完整售后服务方案、备件保障方案，得 4 分；</w:t>
            </w:r>
          </w:p>
          <w:p w14:paraId="078B44BF">
            <w:pPr>
              <w:rPr>
                <w:rFonts w:hint="eastAsia" w:ascii="宋体" w:hAnsi="宋体"/>
                <w:sz w:val="24"/>
                <w:szCs w:val="24"/>
                <w:highlight w:val="none"/>
              </w:rPr>
            </w:pPr>
            <w:r>
              <w:rPr>
                <w:rFonts w:hint="eastAsia" w:ascii="宋体" w:hAnsi="宋体"/>
                <w:sz w:val="24"/>
                <w:szCs w:val="24"/>
                <w:highlight w:val="none"/>
              </w:rPr>
              <w:t>2、具备基本售后服务体系，可满足项目基础售后保障需求，得 2 分；</w:t>
            </w:r>
          </w:p>
          <w:p w14:paraId="04D91B19">
            <w:pPr>
              <w:rPr>
                <w:rFonts w:hint="eastAsia" w:ascii="宋体" w:hAnsi="宋体"/>
                <w:sz w:val="24"/>
                <w:szCs w:val="24"/>
                <w:highlight w:val="none"/>
              </w:rPr>
            </w:pPr>
            <w:r>
              <w:rPr>
                <w:rFonts w:hint="eastAsia" w:ascii="宋体" w:hAnsi="宋体"/>
                <w:sz w:val="24"/>
                <w:szCs w:val="24"/>
                <w:highlight w:val="none"/>
              </w:rPr>
              <w:t>3、未提供售后服务相关体系方案，得 0 分。</w:t>
            </w:r>
          </w:p>
        </w:tc>
      </w:tr>
      <w:tr w14:paraId="66DE462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1C72C7E0">
            <w:pPr>
              <w:pStyle w:val="79"/>
              <w:ind w:firstLine="72"/>
              <w:rPr>
                <w:rFonts w:hint="eastAsia" w:ascii="宋体" w:hAnsi="宋体"/>
                <w:szCs w:val="24"/>
                <w:highlight w:val="none"/>
              </w:rPr>
            </w:pPr>
          </w:p>
        </w:tc>
        <w:tc>
          <w:tcPr>
            <w:tcW w:w="1425" w:type="dxa"/>
            <w:vMerge w:val="continue"/>
            <w:vAlign w:val="center"/>
          </w:tcPr>
          <w:p w14:paraId="7A6A9CA9">
            <w:pPr>
              <w:rPr>
                <w:rFonts w:hint="eastAsia" w:ascii="宋体" w:hAnsi="宋体"/>
                <w:sz w:val="24"/>
                <w:szCs w:val="24"/>
                <w:highlight w:val="none"/>
              </w:rPr>
            </w:pPr>
          </w:p>
        </w:tc>
        <w:tc>
          <w:tcPr>
            <w:tcW w:w="1517" w:type="dxa"/>
            <w:tcBorders>
              <w:top w:val="single" w:color="auto" w:sz="4" w:space="0"/>
              <w:bottom w:val="single" w:color="auto" w:sz="4" w:space="0"/>
            </w:tcBorders>
            <w:vAlign w:val="center"/>
          </w:tcPr>
          <w:p w14:paraId="6708F9C0">
            <w:pPr>
              <w:rPr>
                <w:rFonts w:hint="eastAsia" w:ascii="宋体" w:hAnsi="宋体"/>
                <w:sz w:val="24"/>
                <w:szCs w:val="24"/>
                <w:highlight w:val="none"/>
              </w:rPr>
            </w:pPr>
            <w:r>
              <w:rPr>
                <w:rFonts w:ascii="宋体" w:hAnsi="宋体" w:cs="宋体"/>
                <w:sz w:val="24"/>
                <w:szCs w:val="24"/>
                <w:highlight w:val="none"/>
              </w:rPr>
              <w:t>配送及安装实施方案</w:t>
            </w:r>
            <w:r>
              <w:rPr>
                <w:rFonts w:hint="eastAsia" w:ascii="宋体" w:hAnsi="宋体"/>
                <w:sz w:val="24"/>
                <w:szCs w:val="24"/>
                <w:highlight w:val="none"/>
              </w:rPr>
              <w:t>（</w:t>
            </w:r>
            <w:r>
              <w:rPr>
                <w:rFonts w:ascii="宋体" w:hAnsi="宋体"/>
                <w:sz w:val="24"/>
                <w:szCs w:val="24"/>
                <w:highlight w:val="none"/>
              </w:rPr>
              <w:t>6</w:t>
            </w:r>
            <w:r>
              <w:rPr>
                <w:rFonts w:hint="eastAsia" w:ascii="宋体" w:hAnsi="宋体"/>
                <w:sz w:val="24"/>
                <w:szCs w:val="24"/>
                <w:highlight w:val="none"/>
              </w:rPr>
              <w:t>分）</w:t>
            </w:r>
          </w:p>
        </w:tc>
        <w:tc>
          <w:tcPr>
            <w:tcW w:w="6410" w:type="dxa"/>
            <w:tcBorders>
              <w:top w:val="single" w:color="auto" w:sz="4" w:space="0"/>
              <w:bottom w:val="single" w:color="auto" w:sz="4" w:space="0"/>
            </w:tcBorders>
            <w:vAlign w:val="center"/>
          </w:tcPr>
          <w:p w14:paraId="5E622C6A">
            <w:pPr>
              <w:rPr>
                <w:rFonts w:hint="eastAsia" w:ascii="宋体" w:hAnsi="宋体"/>
                <w:sz w:val="24"/>
                <w:szCs w:val="24"/>
                <w:highlight w:val="none"/>
              </w:rPr>
            </w:pPr>
            <w:r>
              <w:rPr>
                <w:rFonts w:hint="eastAsia" w:ascii="宋体" w:hAnsi="宋体"/>
                <w:sz w:val="24"/>
                <w:szCs w:val="24"/>
                <w:highlight w:val="none"/>
              </w:rPr>
              <w:t>从配送组织计划、安装调试专项方案、测试与试运行保障、工期保障、质量保障、安全保障等维度综合评价：</w:t>
            </w:r>
          </w:p>
          <w:p w14:paraId="774ECD66">
            <w:pPr>
              <w:rPr>
                <w:rFonts w:hint="eastAsia" w:ascii="宋体" w:hAnsi="宋体"/>
                <w:sz w:val="24"/>
                <w:szCs w:val="24"/>
                <w:highlight w:val="none"/>
              </w:rPr>
            </w:pPr>
            <w:r>
              <w:rPr>
                <w:rFonts w:hint="eastAsia" w:ascii="宋体" w:hAnsi="宋体"/>
                <w:sz w:val="24"/>
                <w:szCs w:val="24"/>
                <w:highlight w:val="none"/>
              </w:rPr>
              <w:t xml:space="preserve">1、方案内容完整全面、贴合本项目实际需求、科学合理、针对性强、保障措施完善，得 </w:t>
            </w:r>
            <w:r>
              <w:rPr>
                <w:rFonts w:ascii="宋体" w:hAnsi="宋体"/>
                <w:sz w:val="24"/>
                <w:szCs w:val="24"/>
                <w:highlight w:val="none"/>
              </w:rPr>
              <w:t>6</w:t>
            </w:r>
            <w:r>
              <w:rPr>
                <w:rFonts w:hint="eastAsia" w:ascii="宋体" w:hAnsi="宋体"/>
                <w:sz w:val="24"/>
                <w:szCs w:val="24"/>
                <w:highlight w:val="none"/>
              </w:rPr>
              <w:t xml:space="preserve"> 分；</w:t>
            </w:r>
          </w:p>
          <w:p w14:paraId="252ABBAA">
            <w:pPr>
              <w:rPr>
                <w:rFonts w:hint="eastAsia" w:ascii="宋体" w:hAnsi="宋体"/>
                <w:sz w:val="24"/>
                <w:szCs w:val="24"/>
                <w:highlight w:val="none"/>
              </w:rPr>
            </w:pPr>
            <w:r>
              <w:rPr>
                <w:rFonts w:hint="eastAsia" w:ascii="宋体" w:hAnsi="宋体"/>
                <w:sz w:val="24"/>
                <w:szCs w:val="24"/>
                <w:highlight w:val="none"/>
              </w:rPr>
              <w:t>2、方案整体可行、基本满足项目需求、内容较为完善，得 3 分；</w:t>
            </w:r>
          </w:p>
          <w:p w14:paraId="736E3B1A">
            <w:pPr>
              <w:rPr>
                <w:rFonts w:hint="eastAsia" w:ascii="宋体" w:hAnsi="宋体"/>
                <w:sz w:val="24"/>
                <w:szCs w:val="24"/>
                <w:highlight w:val="none"/>
              </w:rPr>
            </w:pPr>
            <w:r>
              <w:rPr>
                <w:rFonts w:hint="eastAsia" w:ascii="宋体" w:hAnsi="宋体"/>
                <w:sz w:val="24"/>
                <w:szCs w:val="24"/>
                <w:highlight w:val="none"/>
              </w:rPr>
              <w:t>3、方案内容单薄、针对性不足、存在较多缺项，得 1 分；4、未提供本项方案，本项不得分。</w:t>
            </w:r>
          </w:p>
        </w:tc>
      </w:tr>
      <w:tr w14:paraId="5E2D56C2">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78376F15">
            <w:pPr>
              <w:pStyle w:val="79"/>
              <w:ind w:firstLine="72"/>
              <w:rPr>
                <w:rFonts w:hint="eastAsia" w:ascii="宋体" w:hAnsi="宋体"/>
                <w:szCs w:val="24"/>
                <w:highlight w:val="none"/>
              </w:rPr>
            </w:pPr>
          </w:p>
        </w:tc>
        <w:tc>
          <w:tcPr>
            <w:tcW w:w="1425" w:type="dxa"/>
            <w:vMerge w:val="continue"/>
            <w:vAlign w:val="center"/>
          </w:tcPr>
          <w:p w14:paraId="01AD7C0F">
            <w:pPr>
              <w:rPr>
                <w:rFonts w:hint="eastAsia" w:ascii="宋体" w:hAnsi="宋体"/>
                <w:sz w:val="24"/>
                <w:szCs w:val="24"/>
                <w:highlight w:val="none"/>
              </w:rPr>
            </w:pPr>
          </w:p>
        </w:tc>
        <w:tc>
          <w:tcPr>
            <w:tcW w:w="1517" w:type="dxa"/>
            <w:tcBorders>
              <w:top w:val="single" w:color="auto" w:sz="4" w:space="0"/>
              <w:bottom w:val="single" w:color="auto" w:sz="4" w:space="0"/>
            </w:tcBorders>
            <w:vAlign w:val="center"/>
          </w:tcPr>
          <w:p w14:paraId="777CEFA3">
            <w:pPr>
              <w:rPr>
                <w:rFonts w:hint="eastAsia" w:ascii="宋体" w:hAnsi="宋体"/>
                <w:sz w:val="24"/>
                <w:szCs w:val="24"/>
                <w:highlight w:val="none"/>
              </w:rPr>
            </w:pPr>
            <w:r>
              <w:rPr>
                <w:rFonts w:hint="eastAsia" w:ascii="宋体" w:hAnsi="宋体"/>
                <w:sz w:val="24"/>
                <w:szCs w:val="24"/>
                <w:highlight w:val="none"/>
              </w:rPr>
              <w:t>培训方案</w:t>
            </w:r>
          </w:p>
          <w:p w14:paraId="0F023628">
            <w:pPr>
              <w:rPr>
                <w:rFonts w:hint="eastAsia" w:ascii="宋体" w:hAnsi="宋体"/>
                <w:sz w:val="24"/>
                <w:szCs w:val="24"/>
                <w:highlight w:val="none"/>
              </w:rPr>
            </w:pPr>
            <w:r>
              <w:rPr>
                <w:rFonts w:hint="eastAsia" w:ascii="宋体" w:hAnsi="宋体"/>
                <w:sz w:val="24"/>
                <w:szCs w:val="24"/>
                <w:highlight w:val="none"/>
              </w:rPr>
              <w:t>（8分）</w:t>
            </w:r>
          </w:p>
        </w:tc>
        <w:tc>
          <w:tcPr>
            <w:tcW w:w="6410" w:type="dxa"/>
            <w:tcBorders>
              <w:top w:val="single" w:color="auto" w:sz="4" w:space="0"/>
              <w:bottom w:val="single" w:color="auto" w:sz="4" w:space="0"/>
            </w:tcBorders>
            <w:vAlign w:val="center"/>
          </w:tcPr>
          <w:p w14:paraId="62E46356">
            <w:pPr>
              <w:rPr>
                <w:rFonts w:hint="eastAsia" w:ascii="宋体" w:hAnsi="宋体"/>
                <w:sz w:val="24"/>
                <w:szCs w:val="24"/>
                <w:highlight w:val="none"/>
              </w:rPr>
            </w:pPr>
            <w:r>
              <w:rPr>
                <w:rFonts w:hint="eastAsia" w:ascii="宋体" w:hAnsi="宋体"/>
                <w:sz w:val="24"/>
                <w:szCs w:val="24"/>
                <w:highlight w:val="none"/>
              </w:rPr>
              <w:t>结合①培训内容设置、②培训组织与实施方式、③参训人员覆盖面、④培训考核与预期效果保障四大模块，对投标人培训方案综合评价：</w:t>
            </w:r>
          </w:p>
          <w:p w14:paraId="6EC3CD08">
            <w:pPr>
              <w:rPr>
                <w:rFonts w:hint="eastAsia" w:ascii="宋体" w:hAnsi="宋体"/>
                <w:sz w:val="24"/>
                <w:szCs w:val="24"/>
                <w:highlight w:val="none"/>
              </w:rPr>
            </w:pPr>
            <w:r>
              <w:rPr>
                <w:rFonts w:hint="eastAsia" w:ascii="宋体" w:hAnsi="宋体"/>
                <w:sz w:val="24"/>
                <w:szCs w:val="24"/>
                <w:highlight w:val="none"/>
              </w:rPr>
              <w:t>1、培训方案架构完整系统，培训内容贴合本项目实际业务场景与岗位需求；培训方式科学合理、易落地执行；人员全覆盖无遗漏；具备明确的培训考核、效果巩固与长效保障机制，整体针对性强、可行性高、完全满足项目全部培训要求，得6</w:t>
            </w:r>
            <w:r>
              <w:rPr>
                <w:rFonts w:ascii="宋体" w:hAnsi="宋体"/>
                <w:sz w:val="24"/>
                <w:szCs w:val="24"/>
                <w:highlight w:val="none"/>
              </w:rPr>
              <w:t>-</w:t>
            </w:r>
            <w:r>
              <w:rPr>
                <w:rFonts w:hint="eastAsia" w:ascii="宋体" w:hAnsi="宋体"/>
                <w:sz w:val="24"/>
                <w:szCs w:val="24"/>
                <w:highlight w:val="none"/>
              </w:rPr>
              <w:t>8分；</w:t>
            </w:r>
          </w:p>
          <w:p w14:paraId="689D903C">
            <w:pPr>
              <w:rPr>
                <w:rFonts w:hint="eastAsia" w:ascii="宋体" w:hAnsi="宋体"/>
                <w:sz w:val="24"/>
                <w:szCs w:val="24"/>
                <w:highlight w:val="none"/>
              </w:rPr>
            </w:pPr>
            <w:r>
              <w:rPr>
                <w:rFonts w:hint="eastAsia" w:ascii="宋体" w:hAnsi="宋体"/>
                <w:sz w:val="24"/>
                <w:szCs w:val="24"/>
                <w:highlight w:val="none"/>
              </w:rPr>
              <w:t>2、培训方案整体框架齐全，培训内容、培训方式、人员覆盖、效果目标基本合理，能够满足项目基础培训需要，但深度、针对性、细节完善度存在一般不足，得2</w:t>
            </w:r>
            <w:r>
              <w:rPr>
                <w:rFonts w:ascii="宋体" w:hAnsi="宋体"/>
                <w:sz w:val="24"/>
                <w:szCs w:val="24"/>
                <w:highlight w:val="none"/>
              </w:rPr>
              <w:t>-</w:t>
            </w:r>
            <w:r>
              <w:rPr>
                <w:rFonts w:hint="eastAsia" w:ascii="宋体" w:hAnsi="宋体"/>
                <w:sz w:val="24"/>
                <w:szCs w:val="24"/>
                <w:highlight w:val="none"/>
              </w:rPr>
              <w:t>5 分；</w:t>
            </w:r>
          </w:p>
          <w:p w14:paraId="7FB33006">
            <w:pPr>
              <w:rPr>
                <w:rFonts w:hint="eastAsia" w:ascii="宋体" w:hAnsi="宋体"/>
                <w:sz w:val="24"/>
                <w:szCs w:val="24"/>
                <w:highlight w:val="none"/>
              </w:rPr>
            </w:pPr>
            <w:r>
              <w:rPr>
                <w:rFonts w:hint="eastAsia" w:ascii="宋体" w:hAnsi="宋体"/>
                <w:sz w:val="24"/>
                <w:szCs w:val="24"/>
                <w:highlight w:val="none"/>
              </w:rPr>
              <w:t>3、培训方案内容缺项较多、表述笼统粗糙，培训安排不清晰、适配性不足，难以保障培训工作有效落地，得1 分；</w:t>
            </w:r>
          </w:p>
          <w:p w14:paraId="18465B68">
            <w:pPr>
              <w:rPr>
                <w:rFonts w:hint="eastAsia" w:ascii="宋体" w:hAnsi="宋体"/>
                <w:sz w:val="24"/>
                <w:szCs w:val="24"/>
                <w:highlight w:val="none"/>
              </w:rPr>
            </w:pPr>
            <w:r>
              <w:rPr>
                <w:rFonts w:hint="eastAsia" w:ascii="宋体" w:hAnsi="宋体"/>
                <w:sz w:val="24"/>
                <w:szCs w:val="24"/>
                <w:highlight w:val="none"/>
              </w:rPr>
              <w:t>4、未按要求提供完整专项培训方案的，本项不得分。</w:t>
            </w:r>
          </w:p>
        </w:tc>
      </w:tr>
      <w:tr w14:paraId="0AA1439B">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0C66303D">
            <w:pPr>
              <w:pStyle w:val="79"/>
              <w:ind w:firstLine="72"/>
              <w:rPr>
                <w:rFonts w:hint="eastAsia" w:ascii="宋体" w:hAnsi="宋体"/>
                <w:szCs w:val="24"/>
                <w:highlight w:val="none"/>
              </w:rPr>
            </w:pPr>
            <w:r>
              <w:rPr>
                <w:rFonts w:hint="eastAsia" w:ascii="宋体" w:hAnsi="宋体"/>
                <w:szCs w:val="24"/>
                <w:highlight w:val="none"/>
              </w:rPr>
              <w:t>4</w:t>
            </w:r>
          </w:p>
        </w:tc>
        <w:tc>
          <w:tcPr>
            <w:tcW w:w="1425" w:type="dxa"/>
            <w:vAlign w:val="center"/>
          </w:tcPr>
          <w:p w14:paraId="47554CE1">
            <w:pPr>
              <w:rPr>
                <w:rFonts w:hint="eastAsia" w:ascii="宋体" w:hAnsi="宋体"/>
                <w:sz w:val="24"/>
                <w:szCs w:val="24"/>
                <w:highlight w:val="none"/>
              </w:rPr>
            </w:pPr>
            <w:r>
              <w:rPr>
                <w:rFonts w:hint="eastAsia" w:ascii="宋体" w:hAnsi="宋体"/>
                <w:sz w:val="24"/>
                <w:szCs w:val="24"/>
                <w:highlight w:val="none"/>
              </w:rPr>
              <w:t>相关项目业绩</w:t>
            </w:r>
          </w:p>
        </w:tc>
        <w:tc>
          <w:tcPr>
            <w:tcW w:w="1517" w:type="dxa"/>
            <w:tcBorders>
              <w:top w:val="single" w:color="auto" w:sz="4" w:space="0"/>
              <w:bottom w:val="single" w:color="auto" w:sz="4" w:space="0"/>
            </w:tcBorders>
            <w:vAlign w:val="center"/>
          </w:tcPr>
          <w:p w14:paraId="2E7340D6">
            <w:pPr>
              <w:rPr>
                <w:rFonts w:hint="eastAsia" w:ascii="宋体" w:hAnsi="宋体"/>
                <w:sz w:val="24"/>
                <w:szCs w:val="24"/>
                <w:highlight w:val="none"/>
              </w:rPr>
            </w:pPr>
            <w:r>
              <w:rPr>
                <w:rFonts w:hint="eastAsia" w:ascii="宋体" w:hAnsi="宋体"/>
                <w:sz w:val="24"/>
                <w:szCs w:val="24"/>
                <w:highlight w:val="none"/>
              </w:rPr>
              <w:t>相关项目业绩（6分）</w:t>
            </w:r>
          </w:p>
        </w:tc>
        <w:tc>
          <w:tcPr>
            <w:tcW w:w="6410" w:type="dxa"/>
            <w:tcBorders>
              <w:top w:val="single" w:color="auto" w:sz="4" w:space="0"/>
              <w:bottom w:val="single" w:color="auto" w:sz="4" w:space="0"/>
            </w:tcBorders>
            <w:vAlign w:val="center"/>
          </w:tcPr>
          <w:p w14:paraId="168B1734">
            <w:pPr>
              <w:rPr>
                <w:rFonts w:hint="eastAsia" w:ascii="宋体" w:hAnsi="宋体"/>
                <w:sz w:val="24"/>
                <w:szCs w:val="24"/>
                <w:highlight w:val="none"/>
              </w:rPr>
            </w:pPr>
            <w:r>
              <w:rPr>
                <w:rFonts w:hint="eastAsia" w:ascii="宋体" w:hAnsi="宋体"/>
                <w:sz w:val="24"/>
                <w:szCs w:val="24"/>
                <w:highlight w:val="none"/>
              </w:rPr>
              <w:t>投标人或设备制造商提供近三年（响应截止日前三年）完成同类项目业绩情况，每提供一项得2分，满分6分。</w:t>
            </w:r>
          </w:p>
          <w:p w14:paraId="7105E7FA">
            <w:pPr>
              <w:rPr>
                <w:rFonts w:hint="eastAsia" w:ascii="宋体" w:hAnsi="宋体"/>
                <w:spacing w:val="-3"/>
                <w:sz w:val="24"/>
                <w:szCs w:val="24"/>
                <w:highlight w:val="none"/>
              </w:rPr>
            </w:pPr>
            <w:r>
              <w:rPr>
                <w:rFonts w:hint="eastAsia" w:ascii="宋体" w:hAnsi="宋体"/>
                <w:sz w:val="24"/>
                <w:szCs w:val="24"/>
                <w:highlight w:val="none"/>
                <w:lang w:eastAsia="zh-Hans"/>
              </w:rPr>
              <w:t>注：业绩证明材料需符合以下要求，否则不予计分：①提供合同复印件</w:t>
            </w:r>
            <w:r>
              <w:rPr>
                <w:rFonts w:hint="eastAsia" w:ascii="宋体" w:hAnsi="宋体"/>
                <w:sz w:val="24"/>
                <w:szCs w:val="24"/>
                <w:highlight w:val="none"/>
              </w:rPr>
              <w:t>/扫描件；②</w:t>
            </w:r>
            <w:r>
              <w:rPr>
                <w:rFonts w:hint="eastAsia" w:ascii="宋体" w:hAnsi="宋体"/>
                <w:sz w:val="24"/>
                <w:szCs w:val="24"/>
                <w:highlight w:val="none"/>
                <w:lang w:eastAsia="zh-Hans"/>
              </w:rPr>
              <w:t>业绩时间以合同签订日期为准；</w:t>
            </w:r>
            <w:r>
              <w:rPr>
                <w:rFonts w:hint="eastAsia" w:ascii="宋体" w:hAnsi="宋体"/>
                <w:sz w:val="24"/>
                <w:szCs w:val="24"/>
                <w:highlight w:val="none"/>
              </w:rPr>
              <w:t>③</w:t>
            </w:r>
            <w:r>
              <w:rPr>
                <w:rFonts w:hint="eastAsia" w:ascii="宋体" w:hAnsi="宋体"/>
                <w:sz w:val="24"/>
                <w:szCs w:val="24"/>
                <w:highlight w:val="none"/>
                <w:lang w:eastAsia="zh-Hans"/>
              </w:rPr>
              <w:t>合同需完整体现签订双方信息、签订时间、服务内容及双方盖章等核心要素，缺失任一要素均不计分；</w:t>
            </w:r>
            <w:r>
              <w:rPr>
                <w:rFonts w:hint="eastAsia" w:ascii="宋体" w:hAnsi="宋体"/>
                <w:sz w:val="24"/>
                <w:szCs w:val="24"/>
                <w:highlight w:val="none"/>
              </w:rPr>
              <w:t>④</w:t>
            </w:r>
            <w:r>
              <w:rPr>
                <w:rFonts w:hint="eastAsia" w:ascii="宋体" w:hAnsi="宋体"/>
                <w:sz w:val="24"/>
                <w:szCs w:val="24"/>
                <w:highlight w:val="none"/>
                <w:lang w:eastAsia="zh-Hans"/>
              </w:rPr>
              <w:t>业绩关键信息存在模糊不清、无法辨识情形的，该业绩不予认可。</w:t>
            </w:r>
          </w:p>
        </w:tc>
      </w:tr>
    </w:tbl>
    <w:p w14:paraId="67AB466E">
      <w:pPr>
        <w:spacing w:line="440" w:lineRule="exact"/>
        <w:ind w:firstLine="480" w:firstLineChars="200"/>
        <w:rPr>
          <w:rFonts w:hint="eastAsia" w:ascii="宋体" w:hAnsi="宋体"/>
          <w:sz w:val="24"/>
          <w:szCs w:val="24"/>
          <w:highlight w:val="none"/>
        </w:rPr>
      </w:pPr>
    </w:p>
    <w:p w14:paraId="30B9E1D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22. </w:t>
      </w:r>
      <w:r>
        <w:rPr>
          <w:rFonts w:hint="eastAsia" w:ascii="宋体" w:hAnsi="宋体"/>
          <w:sz w:val="24"/>
          <w:szCs w:val="24"/>
          <w:highlight w:val="none"/>
        </w:rPr>
        <w:t>详细评审</w:t>
      </w:r>
    </w:p>
    <w:p w14:paraId="661A0D48">
      <w:pPr>
        <w:spacing w:line="440" w:lineRule="exact"/>
        <w:ind w:firstLine="472" w:firstLineChars="200"/>
        <w:rPr>
          <w:rFonts w:hint="eastAsia" w:ascii="宋体" w:hAnsi="宋体"/>
          <w:sz w:val="24"/>
          <w:szCs w:val="24"/>
          <w:highlight w:val="none"/>
        </w:rPr>
      </w:pPr>
      <w:r>
        <w:rPr>
          <w:rFonts w:ascii="宋体" w:hAnsi="宋体"/>
          <w:spacing w:val="-2"/>
          <w:sz w:val="24"/>
          <w:szCs w:val="24"/>
          <w:highlight w:val="none"/>
        </w:rPr>
        <w:t>22.1</w:t>
      </w:r>
      <w:r>
        <w:rPr>
          <w:rFonts w:hint="eastAsia" w:ascii="宋体" w:hAnsi="宋体"/>
          <w:spacing w:val="-2"/>
          <w:sz w:val="24"/>
          <w:szCs w:val="24"/>
          <w:highlight w:val="none"/>
        </w:rPr>
        <w:t xml:space="preserve"> 经初步评审合格的投标文件，评标委员会应当根据招标文件确定的评标标准和方法，对</w:t>
      </w:r>
      <w:r>
        <w:rPr>
          <w:rFonts w:hint="eastAsia" w:ascii="宋体" w:hAnsi="宋体"/>
          <w:sz w:val="24"/>
          <w:szCs w:val="24"/>
          <w:highlight w:val="none"/>
        </w:rPr>
        <w:t>投标人所有投标产品的</w:t>
      </w:r>
      <w:r>
        <w:rPr>
          <w:rFonts w:hint="eastAsia" w:ascii="宋体" w:hAnsi="宋体"/>
          <w:spacing w:val="-2"/>
          <w:sz w:val="24"/>
          <w:szCs w:val="24"/>
          <w:highlight w:val="none"/>
        </w:rPr>
        <w:t>技术和商务部分进行详细评审</w:t>
      </w:r>
      <w:r>
        <w:rPr>
          <w:rFonts w:hint="eastAsia" w:ascii="宋体" w:hAnsi="宋体"/>
          <w:sz w:val="24"/>
          <w:szCs w:val="24"/>
          <w:highlight w:val="none"/>
        </w:rPr>
        <w:t>。</w:t>
      </w:r>
    </w:p>
    <w:p w14:paraId="107C7FFD">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22.</w:t>
      </w:r>
      <w:r>
        <w:rPr>
          <w:rFonts w:hint="eastAsia" w:ascii="宋体" w:hAnsi="宋体"/>
          <w:spacing w:val="-2"/>
          <w:sz w:val="24"/>
          <w:szCs w:val="24"/>
          <w:highlight w:val="none"/>
        </w:rPr>
        <w:t>2</w:t>
      </w:r>
      <w:r>
        <w:rPr>
          <w:rFonts w:ascii="宋体" w:hAnsi="宋体"/>
          <w:spacing w:val="-2"/>
          <w:sz w:val="24"/>
          <w:szCs w:val="24"/>
          <w:highlight w:val="none"/>
        </w:rPr>
        <w:t xml:space="preserve"> </w:t>
      </w:r>
      <w:r>
        <w:rPr>
          <w:rFonts w:hint="eastAsia" w:ascii="宋体" w:hAnsi="宋体"/>
          <w:spacing w:val="-2"/>
          <w:sz w:val="24"/>
          <w:szCs w:val="24"/>
          <w:highlight w:val="none"/>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1346D7EB">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22.</w:t>
      </w:r>
      <w:r>
        <w:rPr>
          <w:rFonts w:hint="eastAsia" w:ascii="宋体" w:hAnsi="宋体"/>
          <w:spacing w:val="-2"/>
          <w:sz w:val="24"/>
          <w:szCs w:val="24"/>
          <w:highlight w:val="none"/>
        </w:rPr>
        <w:t>3 采用综合评分法衡量投标文件在是否最大限度地满足招标文件实质性要求前提下，按照招标文件中规定的各项因素进行综合评审后，依据得分高低，依次确定为中标候选人。</w:t>
      </w:r>
    </w:p>
    <w:p w14:paraId="1FD5FF08">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FA5934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3E0FB53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w:t>
      </w:r>
      <w:r>
        <w:rPr>
          <w:rFonts w:ascii="宋体" w:hAnsi="宋体"/>
          <w:spacing w:val="-2"/>
          <w:sz w:val="24"/>
          <w:szCs w:val="24"/>
          <w:highlight w:val="none"/>
        </w:rPr>
        <w:t>2</w:t>
      </w:r>
      <w:r>
        <w:rPr>
          <w:rFonts w:hint="eastAsia" w:ascii="宋体" w:hAnsi="宋体"/>
          <w:spacing w:val="-2"/>
          <w:sz w:val="24"/>
          <w:szCs w:val="24"/>
          <w:highlight w:val="none"/>
        </w:rPr>
        <w:t>.3.1 当投标人总得分相同时，以投标价格低者排位在前。</w:t>
      </w:r>
    </w:p>
    <w:p w14:paraId="7BA75E89">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22.</w:t>
      </w:r>
      <w:r>
        <w:rPr>
          <w:rFonts w:hint="eastAsia" w:ascii="宋体" w:hAnsi="宋体"/>
          <w:spacing w:val="-2"/>
          <w:sz w:val="24"/>
          <w:szCs w:val="24"/>
          <w:highlight w:val="none"/>
        </w:rPr>
        <w:t>4 根据综合评分法完成评标后，评标委员会应当拟定一份书面评标报告提交招标方。</w:t>
      </w:r>
    </w:p>
    <w:p w14:paraId="5EE29505">
      <w:pPr>
        <w:spacing w:line="440" w:lineRule="exact"/>
        <w:jc w:val="center"/>
        <w:rPr>
          <w:rFonts w:hint="eastAsia" w:ascii="宋体" w:hAnsi="宋体"/>
          <w:spacing w:val="-2"/>
          <w:sz w:val="24"/>
          <w:szCs w:val="24"/>
          <w:highlight w:val="none"/>
        </w:rPr>
      </w:pPr>
    </w:p>
    <w:p w14:paraId="357BC658">
      <w:pPr>
        <w:spacing w:line="440" w:lineRule="exact"/>
        <w:rPr>
          <w:rFonts w:hint="eastAsia" w:ascii="宋体" w:hAnsi="宋体"/>
          <w:sz w:val="24"/>
          <w:szCs w:val="24"/>
          <w:highlight w:val="none"/>
        </w:rPr>
      </w:pPr>
    </w:p>
    <w:p w14:paraId="6874FC87">
      <w:pPr>
        <w:spacing w:line="440" w:lineRule="exact"/>
        <w:jc w:val="center"/>
        <w:outlineLvl w:val="1"/>
        <w:rPr>
          <w:rFonts w:hint="eastAsia" w:ascii="宋体" w:hAnsi="宋体"/>
          <w:sz w:val="24"/>
          <w:szCs w:val="24"/>
          <w:highlight w:val="none"/>
        </w:rPr>
      </w:pPr>
      <w:bookmarkStart w:id="27" w:name="_Toc10059"/>
      <w:bookmarkStart w:id="28" w:name="_Toc5430"/>
      <w:r>
        <w:rPr>
          <w:rFonts w:hint="eastAsia" w:ascii="宋体" w:hAnsi="宋体"/>
          <w:sz w:val="24"/>
          <w:szCs w:val="24"/>
          <w:highlight w:val="none"/>
        </w:rPr>
        <w:t>第七章 定　标</w:t>
      </w:r>
      <w:bookmarkEnd w:id="27"/>
      <w:bookmarkEnd w:id="28"/>
    </w:p>
    <w:p w14:paraId="6B08A9B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23. </w:t>
      </w:r>
      <w:r>
        <w:rPr>
          <w:rFonts w:hint="eastAsia" w:ascii="宋体" w:hAnsi="宋体"/>
          <w:sz w:val="24"/>
          <w:szCs w:val="24"/>
          <w:highlight w:val="none"/>
        </w:rPr>
        <w:t>定标标准</w:t>
      </w:r>
    </w:p>
    <w:p w14:paraId="46640083">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23.1</w:t>
      </w:r>
      <w:r>
        <w:rPr>
          <w:rFonts w:hint="eastAsia" w:ascii="宋体" w:hAnsi="宋体"/>
          <w:spacing w:val="-2"/>
          <w:sz w:val="24"/>
          <w:szCs w:val="24"/>
          <w:highlight w:val="none"/>
        </w:rPr>
        <w:t>　合同将授予被确定为实质性响应招标文件要求，经评定认为具备履行合同能力、报价合理、技术和商务条件都符合招标文件要求的，得分最高的投标人。</w:t>
      </w:r>
    </w:p>
    <w:p w14:paraId="0574876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23.</w:t>
      </w:r>
      <w:r>
        <w:rPr>
          <w:rFonts w:hint="eastAsia" w:ascii="宋体" w:hAnsi="宋体"/>
          <w:spacing w:val="-2"/>
          <w:sz w:val="24"/>
          <w:szCs w:val="24"/>
          <w:highlight w:val="none"/>
        </w:rPr>
        <w:t>2　如果确定中标人没有条件圆满履行合同，招标方有权按照投标人的得分高低把合同授予下一个中标候选人。</w:t>
      </w:r>
    </w:p>
    <w:p w14:paraId="627BE7F0">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24. </w:t>
      </w:r>
      <w:r>
        <w:rPr>
          <w:rFonts w:hint="eastAsia" w:ascii="宋体" w:hAnsi="宋体"/>
          <w:sz w:val="24"/>
          <w:szCs w:val="24"/>
          <w:highlight w:val="none"/>
        </w:rPr>
        <w:t>接受和拒绝任何或所有投标的权力</w:t>
      </w:r>
    </w:p>
    <w:p w14:paraId="467DDABF">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24.1</w:t>
      </w:r>
      <w:r>
        <w:rPr>
          <w:rFonts w:hint="eastAsia" w:ascii="宋体" w:hAnsi="宋体"/>
          <w:spacing w:val="-2"/>
          <w:sz w:val="24"/>
          <w:szCs w:val="24"/>
          <w:highlight w:val="none"/>
        </w:rPr>
        <w:t>　为维护国家利益，招标方在授予合同之前仍有选择或拒绝任何全部投标的权力。</w:t>
      </w:r>
    </w:p>
    <w:p w14:paraId="653DB530">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25. </w:t>
      </w:r>
      <w:r>
        <w:rPr>
          <w:rFonts w:hint="eastAsia" w:ascii="宋体" w:hAnsi="宋体"/>
          <w:sz w:val="24"/>
          <w:szCs w:val="24"/>
          <w:highlight w:val="none"/>
        </w:rPr>
        <w:t>中标通知书</w:t>
      </w:r>
    </w:p>
    <w:p w14:paraId="0B5CF08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25.1 </w:t>
      </w:r>
      <w:r>
        <w:rPr>
          <w:rFonts w:hint="eastAsia" w:ascii="宋体" w:hAnsi="宋体"/>
          <w:spacing w:val="-2"/>
          <w:sz w:val="24"/>
          <w:szCs w:val="24"/>
          <w:highlight w:val="none"/>
        </w:rPr>
        <w:t>中标结果确定后，招标方将以书面形式发出《中标通知书》，但发出时间不超过投标有效期，《中标通知书》一经发出即发生法律效力。</w:t>
      </w:r>
    </w:p>
    <w:p w14:paraId="0784D2E0">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25.2 </w:t>
      </w:r>
      <w:r>
        <w:rPr>
          <w:rFonts w:hint="eastAsia" w:ascii="宋体" w:hAnsi="宋体"/>
          <w:spacing w:val="-2"/>
          <w:sz w:val="24"/>
          <w:szCs w:val="24"/>
          <w:highlight w:val="none"/>
        </w:rPr>
        <w:t>《中标通知书》将作为签订合同的依据。</w:t>
      </w:r>
    </w:p>
    <w:p w14:paraId="0D9A8EB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25.3 </w:t>
      </w:r>
      <w:r>
        <w:rPr>
          <w:rFonts w:hint="eastAsia" w:ascii="宋体" w:hAnsi="宋体"/>
          <w:spacing w:val="-2"/>
          <w:sz w:val="24"/>
          <w:szCs w:val="24"/>
          <w:highlight w:val="none"/>
        </w:rPr>
        <w:t>中标人在领取《中标通知书》时，必须按招标文件规定向招标代理机构缴纳招标代理服务费。</w:t>
      </w:r>
    </w:p>
    <w:p w14:paraId="7D61531F">
      <w:pPr>
        <w:spacing w:line="440" w:lineRule="exact"/>
        <w:ind w:firstLine="424" w:firstLineChars="180"/>
        <w:rPr>
          <w:rFonts w:hint="eastAsia" w:ascii="宋体" w:hAnsi="宋体"/>
          <w:spacing w:val="-2"/>
          <w:sz w:val="24"/>
          <w:szCs w:val="24"/>
          <w:highlight w:val="none"/>
        </w:rPr>
      </w:pPr>
    </w:p>
    <w:p w14:paraId="19BED442">
      <w:pPr>
        <w:spacing w:line="440" w:lineRule="exact"/>
        <w:ind w:firstLine="562" w:firstLineChars="200"/>
        <w:jc w:val="center"/>
        <w:outlineLvl w:val="1"/>
        <w:rPr>
          <w:rFonts w:hint="eastAsia" w:ascii="宋体" w:hAnsi="宋体"/>
          <w:b/>
          <w:bCs/>
          <w:sz w:val="28"/>
          <w:szCs w:val="28"/>
          <w:highlight w:val="none"/>
        </w:rPr>
      </w:pPr>
      <w:bookmarkStart w:id="29" w:name="_Toc8597"/>
      <w:bookmarkStart w:id="30" w:name="_Toc507513106"/>
      <w:bookmarkStart w:id="31" w:name="_Toc26243"/>
      <w:r>
        <w:rPr>
          <w:rFonts w:hint="eastAsia" w:ascii="宋体" w:hAnsi="宋体"/>
          <w:b/>
          <w:bCs/>
          <w:sz w:val="28"/>
          <w:szCs w:val="28"/>
          <w:highlight w:val="none"/>
        </w:rPr>
        <w:t>第八章 授予合同</w:t>
      </w:r>
      <w:bookmarkEnd w:id="29"/>
      <w:bookmarkEnd w:id="30"/>
      <w:bookmarkEnd w:id="31"/>
    </w:p>
    <w:p w14:paraId="48E1B587">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26. </w:t>
      </w:r>
      <w:r>
        <w:rPr>
          <w:rFonts w:hint="eastAsia" w:ascii="宋体" w:hAnsi="宋体"/>
          <w:sz w:val="24"/>
          <w:szCs w:val="24"/>
          <w:highlight w:val="none"/>
        </w:rPr>
        <w:t>签订合同</w:t>
      </w:r>
    </w:p>
    <w:p w14:paraId="15FDD5CF">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26.1  </w:t>
      </w:r>
      <w:r>
        <w:rPr>
          <w:rFonts w:hint="eastAsia" w:ascii="宋体" w:hAnsi="宋体"/>
          <w:spacing w:val="-2"/>
          <w:sz w:val="24"/>
          <w:szCs w:val="24"/>
          <w:highlight w:val="none"/>
        </w:rPr>
        <w:t>中标人收到招标方的《中标通知书》后三十日内，按照招标文件和中标人投标文件中的约定与采购人签订书面合同，所签订的合同不得对招标文件和中标人的投标文件作实质性修改。</w:t>
      </w:r>
    </w:p>
    <w:p w14:paraId="460030E7">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26.2  </w:t>
      </w:r>
      <w:r>
        <w:rPr>
          <w:rFonts w:hint="eastAsia" w:ascii="宋体" w:hAnsi="宋体"/>
          <w:spacing w:val="-2"/>
          <w:sz w:val="24"/>
          <w:szCs w:val="24"/>
          <w:highlight w:val="none"/>
        </w:rPr>
        <w:t>招标方在授予合同时，有权对招标文件中规定的货物和服务的数量在</w:t>
      </w:r>
      <w:r>
        <w:rPr>
          <w:rFonts w:ascii="宋体" w:hAnsi="宋体"/>
          <w:spacing w:val="-2"/>
          <w:sz w:val="24"/>
          <w:szCs w:val="24"/>
          <w:highlight w:val="none"/>
        </w:rPr>
        <w:t>10%</w:t>
      </w:r>
      <w:r>
        <w:rPr>
          <w:rFonts w:hint="eastAsia" w:ascii="宋体" w:hAnsi="宋体"/>
          <w:spacing w:val="-2"/>
          <w:sz w:val="24"/>
          <w:szCs w:val="24"/>
          <w:highlight w:val="none"/>
        </w:rPr>
        <w:t>的幅度内予以增加。</w:t>
      </w:r>
    </w:p>
    <w:p w14:paraId="1060EB6F">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26.3  </w:t>
      </w:r>
      <w:r>
        <w:rPr>
          <w:rFonts w:hint="eastAsia" w:ascii="宋体" w:hAnsi="宋体"/>
          <w:spacing w:val="-2"/>
          <w:sz w:val="24"/>
          <w:szCs w:val="24"/>
          <w:highlight w:val="none"/>
        </w:rPr>
        <w:t>如中标人拒签合同，则按违约处理。</w:t>
      </w:r>
    </w:p>
    <w:p w14:paraId="7134A8CF">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26.4  </w:t>
      </w:r>
      <w:r>
        <w:rPr>
          <w:rFonts w:hint="eastAsia" w:ascii="宋体" w:hAnsi="宋体"/>
          <w:spacing w:val="-2"/>
          <w:sz w:val="24"/>
          <w:szCs w:val="24"/>
          <w:highlight w:val="none"/>
        </w:rPr>
        <w:t>招标文件、中标人的投标文件及其澄清文件等，均为签订合同的依据。</w:t>
      </w:r>
    </w:p>
    <w:p w14:paraId="0C3D02D7">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26.5  </w:t>
      </w:r>
      <w:r>
        <w:rPr>
          <w:rFonts w:hint="eastAsia" w:ascii="宋体" w:hAnsi="宋体"/>
          <w:spacing w:val="-2"/>
          <w:sz w:val="24"/>
          <w:szCs w:val="24"/>
          <w:highlight w:val="none"/>
        </w:rPr>
        <w:t>不允许中标人将中标项目分包或转交他人承担。</w:t>
      </w:r>
    </w:p>
    <w:p w14:paraId="1BA2AC7A">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w:t>
      </w:r>
      <w:r>
        <w:rPr>
          <w:rFonts w:ascii="宋体" w:hAnsi="宋体"/>
          <w:spacing w:val="-2"/>
          <w:sz w:val="24"/>
          <w:szCs w:val="24"/>
          <w:highlight w:val="none"/>
        </w:rPr>
        <w:t>7</w:t>
      </w:r>
      <w:r>
        <w:rPr>
          <w:rFonts w:hint="eastAsia" w:ascii="宋体" w:hAnsi="宋体"/>
          <w:spacing w:val="-2"/>
          <w:sz w:val="24"/>
          <w:szCs w:val="24"/>
          <w:highlight w:val="none"/>
        </w:rPr>
        <w:t xml:space="preserve"> 投标人低价恶意中标不能按要求供货的，五年内禁止参加新疆农业大学的任何招标活动。</w:t>
      </w:r>
    </w:p>
    <w:p w14:paraId="4ABF8AE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28  合同签订、货物（服务）交付采购人使用后，采购人将依据采购文件中采购需求及中标（成交）人投标（响应）文件中的响应内容组织项目履约验收。</w:t>
      </w:r>
    </w:p>
    <w:p w14:paraId="31409DCE">
      <w:pPr>
        <w:spacing w:line="440" w:lineRule="exact"/>
        <w:ind w:firstLine="472" w:firstLineChars="200"/>
        <w:rPr>
          <w:rFonts w:hint="eastAsia" w:ascii="宋体" w:hAnsi="宋体"/>
          <w:spacing w:val="-2"/>
          <w:sz w:val="24"/>
          <w:szCs w:val="24"/>
          <w:highlight w:val="none"/>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spacing w:val="-2"/>
          <w:sz w:val="24"/>
          <w:szCs w:val="24"/>
          <w:highlight w:val="none"/>
        </w:rPr>
        <w:t>29  中标人与采购人签订合同时，必须提供产品合法来源证明材料。</w:t>
      </w:r>
    </w:p>
    <w:p w14:paraId="16F2B22B">
      <w:pPr>
        <w:pStyle w:val="46"/>
        <w:rPr>
          <w:rFonts w:hint="eastAsia"/>
          <w:highlight w:val="none"/>
        </w:rPr>
      </w:pPr>
    </w:p>
    <w:p w14:paraId="77A9D649">
      <w:pPr>
        <w:spacing w:line="440" w:lineRule="exact"/>
        <w:jc w:val="center"/>
        <w:outlineLvl w:val="0"/>
        <w:rPr>
          <w:rFonts w:hint="eastAsia" w:ascii="宋体" w:hAnsi="宋体"/>
          <w:b/>
          <w:sz w:val="32"/>
          <w:highlight w:val="none"/>
        </w:rPr>
      </w:pPr>
      <w:bookmarkStart w:id="32" w:name="_Toc89792138"/>
      <w:bookmarkStart w:id="33" w:name="_Toc12723"/>
      <w:r>
        <w:rPr>
          <w:rFonts w:hint="eastAsia" w:ascii="宋体" w:hAnsi="宋体"/>
          <w:b/>
          <w:sz w:val="32"/>
          <w:szCs w:val="32"/>
          <w:highlight w:val="none"/>
        </w:rPr>
        <w:t xml:space="preserve">第四部分 </w:t>
      </w:r>
      <w:r>
        <w:rPr>
          <w:rFonts w:hint="eastAsia" w:ascii="宋体" w:hAnsi="宋体"/>
          <w:b/>
          <w:sz w:val="32"/>
          <w:highlight w:val="none"/>
        </w:rPr>
        <w:t>采购需求</w:t>
      </w:r>
      <w:bookmarkEnd w:id="32"/>
      <w:bookmarkEnd w:id="33"/>
    </w:p>
    <w:p w14:paraId="498EB757">
      <w:pPr>
        <w:rPr>
          <w:b/>
          <w:bCs/>
          <w:sz w:val="24"/>
          <w:szCs w:val="24"/>
          <w:highlight w:val="none"/>
        </w:rPr>
      </w:pPr>
      <w:r>
        <w:rPr>
          <w:rFonts w:hint="eastAsia"/>
          <w:b/>
          <w:bCs/>
          <w:sz w:val="24"/>
          <w:szCs w:val="24"/>
          <w:highlight w:val="none"/>
        </w:rPr>
        <w:t>一、采购清单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2746"/>
        <w:gridCol w:w="697"/>
        <w:gridCol w:w="976"/>
        <w:gridCol w:w="1353"/>
        <w:gridCol w:w="1470"/>
        <w:gridCol w:w="1755"/>
      </w:tblGrid>
      <w:tr w14:paraId="3440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857" w:type="dxa"/>
            <w:vAlign w:val="center"/>
          </w:tcPr>
          <w:p w14:paraId="031C5229">
            <w:pPr>
              <w:jc w:val="center"/>
              <w:rPr>
                <w:sz w:val="24"/>
                <w:szCs w:val="24"/>
                <w:highlight w:val="none"/>
              </w:rPr>
            </w:pPr>
            <w:r>
              <w:rPr>
                <w:rFonts w:hint="eastAsia"/>
                <w:sz w:val="24"/>
                <w:szCs w:val="24"/>
                <w:highlight w:val="none"/>
              </w:rPr>
              <w:t>序号</w:t>
            </w:r>
          </w:p>
        </w:tc>
        <w:tc>
          <w:tcPr>
            <w:tcW w:w="2746" w:type="dxa"/>
            <w:vAlign w:val="center"/>
          </w:tcPr>
          <w:p w14:paraId="7088A24B">
            <w:pPr>
              <w:jc w:val="center"/>
              <w:rPr>
                <w:sz w:val="24"/>
                <w:szCs w:val="24"/>
                <w:highlight w:val="none"/>
              </w:rPr>
            </w:pPr>
            <w:r>
              <w:rPr>
                <w:rFonts w:hint="eastAsia"/>
                <w:sz w:val="24"/>
                <w:szCs w:val="24"/>
                <w:highlight w:val="none"/>
              </w:rPr>
              <w:t>品名</w:t>
            </w:r>
          </w:p>
        </w:tc>
        <w:tc>
          <w:tcPr>
            <w:tcW w:w="697" w:type="dxa"/>
            <w:vAlign w:val="center"/>
          </w:tcPr>
          <w:p w14:paraId="44C70851">
            <w:pPr>
              <w:jc w:val="center"/>
              <w:rPr>
                <w:sz w:val="24"/>
                <w:szCs w:val="24"/>
                <w:highlight w:val="none"/>
              </w:rPr>
            </w:pPr>
            <w:r>
              <w:rPr>
                <w:rFonts w:hint="eastAsia"/>
                <w:sz w:val="24"/>
                <w:szCs w:val="24"/>
                <w:highlight w:val="none"/>
              </w:rPr>
              <w:t>单位</w:t>
            </w:r>
          </w:p>
        </w:tc>
        <w:tc>
          <w:tcPr>
            <w:tcW w:w="976" w:type="dxa"/>
            <w:vAlign w:val="center"/>
          </w:tcPr>
          <w:p w14:paraId="2296D994">
            <w:pPr>
              <w:jc w:val="center"/>
              <w:rPr>
                <w:sz w:val="24"/>
                <w:szCs w:val="24"/>
                <w:highlight w:val="none"/>
              </w:rPr>
            </w:pPr>
            <w:r>
              <w:rPr>
                <w:rFonts w:hint="eastAsia"/>
                <w:sz w:val="24"/>
                <w:szCs w:val="24"/>
                <w:highlight w:val="none"/>
              </w:rPr>
              <w:t>数量</w:t>
            </w:r>
          </w:p>
        </w:tc>
        <w:tc>
          <w:tcPr>
            <w:tcW w:w="1353" w:type="dxa"/>
            <w:vAlign w:val="center"/>
          </w:tcPr>
          <w:p w14:paraId="1025C78E">
            <w:pPr>
              <w:jc w:val="center"/>
              <w:rPr>
                <w:sz w:val="24"/>
                <w:szCs w:val="24"/>
                <w:highlight w:val="none"/>
              </w:rPr>
            </w:pPr>
            <w:r>
              <w:rPr>
                <w:rFonts w:hint="eastAsia"/>
                <w:sz w:val="24"/>
                <w:szCs w:val="24"/>
                <w:highlight w:val="none"/>
              </w:rPr>
              <w:t>单价限价（万元）</w:t>
            </w:r>
          </w:p>
        </w:tc>
        <w:tc>
          <w:tcPr>
            <w:tcW w:w="1470" w:type="dxa"/>
            <w:vAlign w:val="center"/>
          </w:tcPr>
          <w:p w14:paraId="14653C53">
            <w:pPr>
              <w:jc w:val="center"/>
              <w:rPr>
                <w:sz w:val="24"/>
                <w:szCs w:val="24"/>
                <w:highlight w:val="none"/>
              </w:rPr>
            </w:pPr>
            <w:r>
              <w:rPr>
                <w:rFonts w:hint="eastAsia"/>
                <w:sz w:val="24"/>
                <w:szCs w:val="24"/>
                <w:highlight w:val="none"/>
              </w:rPr>
              <w:t>交货工期</w:t>
            </w:r>
          </w:p>
        </w:tc>
        <w:tc>
          <w:tcPr>
            <w:tcW w:w="1755" w:type="dxa"/>
            <w:vAlign w:val="center"/>
          </w:tcPr>
          <w:p w14:paraId="0AC7F64D">
            <w:pPr>
              <w:jc w:val="center"/>
              <w:rPr>
                <w:sz w:val="24"/>
                <w:szCs w:val="24"/>
                <w:highlight w:val="none"/>
              </w:rPr>
            </w:pPr>
            <w:r>
              <w:rPr>
                <w:rFonts w:hint="eastAsia"/>
                <w:sz w:val="24"/>
                <w:szCs w:val="24"/>
                <w:highlight w:val="none"/>
              </w:rPr>
              <w:t>质保年限</w:t>
            </w:r>
          </w:p>
        </w:tc>
      </w:tr>
      <w:tr w14:paraId="7D1B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 w:type="dxa"/>
            <w:vAlign w:val="center"/>
          </w:tcPr>
          <w:p w14:paraId="2D535F8E">
            <w:pPr>
              <w:jc w:val="center"/>
              <w:rPr>
                <w:sz w:val="24"/>
                <w:szCs w:val="24"/>
                <w:highlight w:val="none"/>
              </w:rPr>
            </w:pPr>
            <w:r>
              <w:rPr>
                <w:rFonts w:hint="eastAsia"/>
                <w:sz w:val="24"/>
                <w:szCs w:val="24"/>
                <w:highlight w:val="none"/>
              </w:rPr>
              <w:t>1</w:t>
            </w:r>
          </w:p>
        </w:tc>
        <w:tc>
          <w:tcPr>
            <w:tcW w:w="2746" w:type="dxa"/>
            <w:vAlign w:val="center"/>
          </w:tcPr>
          <w:p w14:paraId="728593CA">
            <w:pPr>
              <w:jc w:val="center"/>
              <w:rPr>
                <w:sz w:val="24"/>
                <w:szCs w:val="24"/>
                <w:highlight w:val="none"/>
              </w:rPr>
            </w:pPr>
            <w:r>
              <w:rPr>
                <w:rFonts w:hint="eastAsia" w:ascii="宋体" w:hAnsi="宋体" w:cs="Arial"/>
                <w:kern w:val="0"/>
                <w:sz w:val="24"/>
                <w:szCs w:val="24"/>
                <w:highlight w:val="none"/>
              </w:rPr>
              <w:t>超分辨率激光共聚焦显微镜</w:t>
            </w:r>
          </w:p>
        </w:tc>
        <w:tc>
          <w:tcPr>
            <w:tcW w:w="697" w:type="dxa"/>
            <w:vAlign w:val="center"/>
          </w:tcPr>
          <w:p w14:paraId="098397FC">
            <w:pPr>
              <w:jc w:val="center"/>
              <w:rPr>
                <w:sz w:val="24"/>
                <w:szCs w:val="24"/>
                <w:highlight w:val="none"/>
              </w:rPr>
            </w:pPr>
            <w:r>
              <w:rPr>
                <w:rFonts w:hint="eastAsia"/>
                <w:sz w:val="24"/>
                <w:szCs w:val="24"/>
                <w:highlight w:val="none"/>
              </w:rPr>
              <w:t>套</w:t>
            </w:r>
          </w:p>
        </w:tc>
        <w:tc>
          <w:tcPr>
            <w:tcW w:w="976" w:type="dxa"/>
            <w:vAlign w:val="center"/>
          </w:tcPr>
          <w:p w14:paraId="186A4BBB">
            <w:pPr>
              <w:jc w:val="center"/>
              <w:rPr>
                <w:sz w:val="24"/>
                <w:szCs w:val="24"/>
                <w:highlight w:val="none"/>
              </w:rPr>
            </w:pPr>
            <w:r>
              <w:rPr>
                <w:rFonts w:hint="eastAsia"/>
                <w:sz w:val="24"/>
                <w:szCs w:val="24"/>
                <w:highlight w:val="none"/>
              </w:rPr>
              <w:t>1</w:t>
            </w:r>
          </w:p>
        </w:tc>
        <w:tc>
          <w:tcPr>
            <w:tcW w:w="1353" w:type="dxa"/>
            <w:vAlign w:val="center"/>
          </w:tcPr>
          <w:p w14:paraId="40E80CB7">
            <w:pPr>
              <w:jc w:val="center"/>
              <w:rPr>
                <w:sz w:val="24"/>
                <w:szCs w:val="24"/>
                <w:highlight w:val="none"/>
              </w:rPr>
            </w:pPr>
            <w:r>
              <w:rPr>
                <w:rFonts w:hint="eastAsia"/>
                <w:sz w:val="24"/>
                <w:szCs w:val="24"/>
                <w:highlight w:val="none"/>
              </w:rPr>
              <w:t>3</w:t>
            </w:r>
            <w:r>
              <w:rPr>
                <w:sz w:val="24"/>
                <w:szCs w:val="24"/>
                <w:highlight w:val="none"/>
              </w:rPr>
              <w:t>50</w:t>
            </w:r>
          </w:p>
        </w:tc>
        <w:tc>
          <w:tcPr>
            <w:tcW w:w="1470" w:type="dxa"/>
            <w:vAlign w:val="center"/>
          </w:tcPr>
          <w:p w14:paraId="213CA2C5">
            <w:pPr>
              <w:jc w:val="center"/>
              <w:rPr>
                <w:sz w:val="24"/>
                <w:szCs w:val="24"/>
                <w:highlight w:val="none"/>
              </w:rPr>
            </w:pPr>
            <w:bookmarkStart w:id="34" w:name="OLE_LINK2"/>
            <w:r>
              <w:rPr>
                <w:rFonts w:hint="eastAsia"/>
                <w:sz w:val="24"/>
                <w:szCs w:val="24"/>
                <w:highlight w:val="none"/>
              </w:rPr>
              <w:t>9</w:t>
            </w:r>
            <w:r>
              <w:rPr>
                <w:sz w:val="24"/>
                <w:szCs w:val="24"/>
                <w:highlight w:val="none"/>
              </w:rPr>
              <w:t>0</w:t>
            </w:r>
            <w:r>
              <w:rPr>
                <w:rFonts w:hint="eastAsia"/>
                <w:sz w:val="24"/>
                <w:szCs w:val="24"/>
                <w:highlight w:val="none"/>
              </w:rPr>
              <w:t>天</w:t>
            </w:r>
            <w:bookmarkEnd w:id="34"/>
          </w:p>
        </w:tc>
        <w:tc>
          <w:tcPr>
            <w:tcW w:w="1755" w:type="dxa"/>
            <w:vAlign w:val="center"/>
          </w:tcPr>
          <w:p w14:paraId="2E3D34B0">
            <w:pPr>
              <w:jc w:val="center"/>
              <w:rPr>
                <w:sz w:val="24"/>
                <w:szCs w:val="24"/>
                <w:highlight w:val="none"/>
              </w:rPr>
            </w:pPr>
            <w:r>
              <w:rPr>
                <w:rFonts w:hint="eastAsia"/>
                <w:sz w:val="24"/>
                <w:szCs w:val="24"/>
                <w:highlight w:val="none"/>
              </w:rPr>
              <w:t>两年</w:t>
            </w:r>
          </w:p>
        </w:tc>
      </w:tr>
      <w:tr w14:paraId="3855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857" w:type="dxa"/>
            <w:vAlign w:val="center"/>
          </w:tcPr>
          <w:p w14:paraId="108C586C">
            <w:pPr>
              <w:jc w:val="center"/>
              <w:rPr>
                <w:sz w:val="24"/>
                <w:szCs w:val="24"/>
                <w:highlight w:val="none"/>
              </w:rPr>
            </w:pPr>
            <w:r>
              <w:rPr>
                <w:rFonts w:hint="eastAsia"/>
                <w:sz w:val="24"/>
                <w:szCs w:val="24"/>
                <w:highlight w:val="none"/>
              </w:rPr>
              <w:t>2</w:t>
            </w:r>
          </w:p>
        </w:tc>
        <w:tc>
          <w:tcPr>
            <w:tcW w:w="2746" w:type="dxa"/>
            <w:vAlign w:val="center"/>
          </w:tcPr>
          <w:p w14:paraId="7328DE01">
            <w:pPr>
              <w:jc w:val="center"/>
              <w:rPr>
                <w:sz w:val="24"/>
                <w:szCs w:val="24"/>
                <w:highlight w:val="none"/>
              </w:rPr>
            </w:pPr>
            <w:r>
              <w:rPr>
                <w:rFonts w:hint="eastAsia" w:ascii="宋体" w:hAnsi="宋体" w:cs="Arial"/>
                <w:kern w:val="0"/>
                <w:sz w:val="24"/>
                <w:szCs w:val="24"/>
                <w:highlight w:val="none"/>
              </w:rPr>
              <w:t>超高分辨率扫描透射电子显微镜</w:t>
            </w:r>
          </w:p>
        </w:tc>
        <w:tc>
          <w:tcPr>
            <w:tcW w:w="697" w:type="dxa"/>
            <w:vAlign w:val="center"/>
          </w:tcPr>
          <w:p w14:paraId="01D9C41A">
            <w:pPr>
              <w:jc w:val="center"/>
              <w:rPr>
                <w:sz w:val="24"/>
                <w:szCs w:val="24"/>
                <w:highlight w:val="none"/>
              </w:rPr>
            </w:pPr>
            <w:r>
              <w:rPr>
                <w:rFonts w:hint="eastAsia"/>
                <w:sz w:val="24"/>
                <w:szCs w:val="24"/>
                <w:highlight w:val="none"/>
              </w:rPr>
              <w:t>套</w:t>
            </w:r>
          </w:p>
        </w:tc>
        <w:tc>
          <w:tcPr>
            <w:tcW w:w="976" w:type="dxa"/>
            <w:vAlign w:val="center"/>
          </w:tcPr>
          <w:p w14:paraId="1A44D71D">
            <w:pPr>
              <w:jc w:val="center"/>
              <w:rPr>
                <w:sz w:val="24"/>
                <w:szCs w:val="24"/>
                <w:highlight w:val="none"/>
              </w:rPr>
            </w:pPr>
            <w:r>
              <w:rPr>
                <w:rFonts w:hint="eastAsia"/>
                <w:sz w:val="24"/>
                <w:szCs w:val="24"/>
                <w:highlight w:val="none"/>
              </w:rPr>
              <w:t>1</w:t>
            </w:r>
          </w:p>
        </w:tc>
        <w:tc>
          <w:tcPr>
            <w:tcW w:w="1353" w:type="dxa"/>
            <w:vAlign w:val="center"/>
          </w:tcPr>
          <w:p w14:paraId="5DFD39D2">
            <w:pPr>
              <w:jc w:val="center"/>
              <w:rPr>
                <w:sz w:val="24"/>
                <w:szCs w:val="24"/>
                <w:highlight w:val="none"/>
              </w:rPr>
            </w:pPr>
            <w:r>
              <w:rPr>
                <w:sz w:val="24"/>
                <w:szCs w:val="24"/>
                <w:highlight w:val="none"/>
              </w:rPr>
              <w:t>400</w:t>
            </w:r>
          </w:p>
        </w:tc>
        <w:tc>
          <w:tcPr>
            <w:tcW w:w="1470" w:type="dxa"/>
            <w:vAlign w:val="center"/>
          </w:tcPr>
          <w:p w14:paraId="56A0064E">
            <w:pPr>
              <w:jc w:val="center"/>
              <w:rPr>
                <w:sz w:val="24"/>
                <w:szCs w:val="24"/>
                <w:highlight w:val="none"/>
              </w:rPr>
            </w:pPr>
            <w:r>
              <w:rPr>
                <w:rFonts w:hint="eastAsia"/>
                <w:sz w:val="24"/>
                <w:szCs w:val="24"/>
                <w:highlight w:val="none"/>
              </w:rPr>
              <w:t>1</w:t>
            </w:r>
            <w:r>
              <w:rPr>
                <w:sz w:val="24"/>
                <w:szCs w:val="24"/>
                <w:highlight w:val="none"/>
              </w:rPr>
              <w:t>50</w:t>
            </w:r>
            <w:r>
              <w:rPr>
                <w:rFonts w:hint="eastAsia"/>
                <w:sz w:val="24"/>
                <w:szCs w:val="24"/>
                <w:highlight w:val="none"/>
              </w:rPr>
              <w:t>天</w:t>
            </w:r>
          </w:p>
        </w:tc>
        <w:tc>
          <w:tcPr>
            <w:tcW w:w="1755" w:type="dxa"/>
            <w:vAlign w:val="center"/>
          </w:tcPr>
          <w:p w14:paraId="541EB015">
            <w:pPr>
              <w:jc w:val="center"/>
              <w:rPr>
                <w:sz w:val="24"/>
                <w:szCs w:val="24"/>
                <w:highlight w:val="none"/>
              </w:rPr>
            </w:pPr>
            <w:r>
              <w:rPr>
                <w:rFonts w:hint="eastAsia"/>
                <w:sz w:val="24"/>
                <w:szCs w:val="24"/>
                <w:highlight w:val="none"/>
              </w:rPr>
              <w:t>一年</w:t>
            </w:r>
          </w:p>
        </w:tc>
      </w:tr>
      <w:tr w14:paraId="7511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 w:type="dxa"/>
            <w:vAlign w:val="center"/>
          </w:tcPr>
          <w:p w14:paraId="54CAB503">
            <w:pPr>
              <w:jc w:val="center"/>
              <w:rPr>
                <w:sz w:val="24"/>
                <w:szCs w:val="24"/>
                <w:highlight w:val="none"/>
              </w:rPr>
            </w:pPr>
            <w:r>
              <w:rPr>
                <w:rFonts w:hint="eastAsia"/>
                <w:sz w:val="24"/>
                <w:szCs w:val="24"/>
                <w:highlight w:val="none"/>
              </w:rPr>
              <w:t>3</w:t>
            </w:r>
          </w:p>
        </w:tc>
        <w:tc>
          <w:tcPr>
            <w:tcW w:w="2746" w:type="dxa"/>
            <w:vAlign w:val="center"/>
          </w:tcPr>
          <w:p w14:paraId="7F8F2694">
            <w:pPr>
              <w:jc w:val="center"/>
              <w:rPr>
                <w:rFonts w:hint="eastAsia" w:ascii="宋体" w:hAnsi="宋体"/>
                <w:sz w:val="24"/>
                <w:szCs w:val="24"/>
                <w:highlight w:val="none"/>
              </w:rPr>
            </w:pPr>
            <w:bookmarkStart w:id="35" w:name="OLE_LINK5"/>
            <w:r>
              <w:rPr>
                <w:rFonts w:hint="eastAsia" w:ascii="宋体" w:hAnsi="宋体" w:cs="Arial"/>
                <w:kern w:val="0"/>
                <w:sz w:val="24"/>
                <w:szCs w:val="24"/>
                <w:highlight w:val="none"/>
              </w:rPr>
              <w:t>高效液相色谱仪</w:t>
            </w:r>
            <w:bookmarkEnd w:id="35"/>
          </w:p>
        </w:tc>
        <w:tc>
          <w:tcPr>
            <w:tcW w:w="697" w:type="dxa"/>
            <w:vAlign w:val="center"/>
          </w:tcPr>
          <w:p w14:paraId="31C7EA96">
            <w:pPr>
              <w:jc w:val="center"/>
              <w:rPr>
                <w:sz w:val="24"/>
                <w:szCs w:val="24"/>
                <w:highlight w:val="none"/>
              </w:rPr>
            </w:pPr>
            <w:r>
              <w:rPr>
                <w:rFonts w:hint="eastAsia"/>
                <w:sz w:val="24"/>
                <w:szCs w:val="24"/>
                <w:highlight w:val="none"/>
              </w:rPr>
              <w:t>套</w:t>
            </w:r>
          </w:p>
        </w:tc>
        <w:tc>
          <w:tcPr>
            <w:tcW w:w="976" w:type="dxa"/>
            <w:vAlign w:val="center"/>
          </w:tcPr>
          <w:p w14:paraId="5D7F48D8">
            <w:pPr>
              <w:jc w:val="center"/>
              <w:rPr>
                <w:sz w:val="24"/>
                <w:szCs w:val="24"/>
                <w:highlight w:val="none"/>
              </w:rPr>
            </w:pPr>
            <w:r>
              <w:rPr>
                <w:rFonts w:hint="eastAsia"/>
                <w:sz w:val="24"/>
                <w:szCs w:val="24"/>
                <w:highlight w:val="none"/>
              </w:rPr>
              <w:t>1</w:t>
            </w:r>
          </w:p>
        </w:tc>
        <w:tc>
          <w:tcPr>
            <w:tcW w:w="1353" w:type="dxa"/>
            <w:vAlign w:val="center"/>
          </w:tcPr>
          <w:p w14:paraId="771A63D4">
            <w:pPr>
              <w:jc w:val="center"/>
              <w:rPr>
                <w:sz w:val="24"/>
                <w:szCs w:val="24"/>
                <w:highlight w:val="none"/>
              </w:rPr>
            </w:pPr>
            <w:r>
              <w:rPr>
                <w:rFonts w:hint="eastAsia"/>
                <w:sz w:val="24"/>
                <w:szCs w:val="24"/>
                <w:highlight w:val="none"/>
              </w:rPr>
              <w:t>5</w:t>
            </w:r>
            <w:r>
              <w:rPr>
                <w:sz w:val="24"/>
                <w:szCs w:val="24"/>
                <w:highlight w:val="none"/>
              </w:rPr>
              <w:t>2</w:t>
            </w:r>
          </w:p>
        </w:tc>
        <w:tc>
          <w:tcPr>
            <w:tcW w:w="1470" w:type="dxa"/>
            <w:vAlign w:val="center"/>
          </w:tcPr>
          <w:p w14:paraId="4A74A24B">
            <w:pPr>
              <w:jc w:val="center"/>
              <w:rPr>
                <w:sz w:val="24"/>
                <w:szCs w:val="24"/>
                <w:highlight w:val="none"/>
              </w:rPr>
            </w:pPr>
            <w:r>
              <w:rPr>
                <w:rFonts w:hint="eastAsia"/>
                <w:sz w:val="24"/>
                <w:szCs w:val="24"/>
                <w:highlight w:val="none"/>
              </w:rPr>
              <w:t>9</w:t>
            </w:r>
            <w:r>
              <w:rPr>
                <w:sz w:val="24"/>
                <w:szCs w:val="24"/>
                <w:highlight w:val="none"/>
              </w:rPr>
              <w:t>0</w:t>
            </w:r>
            <w:r>
              <w:rPr>
                <w:rFonts w:hint="eastAsia"/>
                <w:sz w:val="24"/>
                <w:szCs w:val="24"/>
                <w:highlight w:val="none"/>
              </w:rPr>
              <w:t>天</w:t>
            </w:r>
          </w:p>
        </w:tc>
        <w:tc>
          <w:tcPr>
            <w:tcW w:w="1755" w:type="dxa"/>
            <w:vAlign w:val="center"/>
          </w:tcPr>
          <w:p w14:paraId="7782EED6">
            <w:pPr>
              <w:jc w:val="center"/>
              <w:rPr>
                <w:sz w:val="24"/>
                <w:szCs w:val="24"/>
                <w:highlight w:val="none"/>
              </w:rPr>
            </w:pPr>
            <w:r>
              <w:rPr>
                <w:rFonts w:hint="eastAsia"/>
                <w:sz w:val="24"/>
                <w:szCs w:val="24"/>
                <w:highlight w:val="none"/>
              </w:rPr>
              <w:t>一年</w:t>
            </w:r>
          </w:p>
        </w:tc>
      </w:tr>
      <w:tr w14:paraId="21F7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 w:type="dxa"/>
            <w:vAlign w:val="center"/>
          </w:tcPr>
          <w:p w14:paraId="38CAAC6E">
            <w:pPr>
              <w:jc w:val="center"/>
              <w:rPr>
                <w:sz w:val="24"/>
                <w:szCs w:val="24"/>
                <w:highlight w:val="none"/>
              </w:rPr>
            </w:pPr>
            <w:r>
              <w:rPr>
                <w:rFonts w:hint="eastAsia"/>
                <w:sz w:val="24"/>
                <w:szCs w:val="24"/>
                <w:highlight w:val="none"/>
              </w:rPr>
              <w:t>4</w:t>
            </w:r>
          </w:p>
        </w:tc>
        <w:tc>
          <w:tcPr>
            <w:tcW w:w="2746" w:type="dxa"/>
            <w:vAlign w:val="center"/>
          </w:tcPr>
          <w:p w14:paraId="5245BB05">
            <w:pPr>
              <w:jc w:val="center"/>
              <w:rPr>
                <w:rFonts w:hint="eastAsia" w:ascii="宋体" w:hAnsi="宋体"/>
                <w:sz w:val="24"/>
                <w:szCs w:val="24"/>
                <w:highlight w:val="none"/>
              </w:rPr>
            </w:pPr>
            <w:bookmarkStart w:id="36" w:name="OLE_LINK24"/>
            <w:r>
              <w:rPr>
                <w:rFonts w:hint="eastAsia" w:ascii="宋体" w:hAnsi="宋体" w:cs="Arial"/>
                <w:kern w:val="0"/>
                <w:sz w:val="24"/>
                <w:szCs w:val="24"/>
                <w:highlight w:val="none"/>
              </w:rPr>
              <w:t>超高效液相色谱-三重四级杆质谱联用仪</w:t>
            </w:r>
            <w:bookmarkEnd w:id="36"/>
            <w:r>
              <w:rPr>
                <w:rFonts w:hint="eastAsia" w:ascii="宋体" w:hAnsi="宋体" w:cs="Arial"/>
                <w:kern w:val="0"/>
                <w:sz w:val="24"/>
                <w:szCs w:val="24"/>
                <w:highlight w:val="none"/>
              </w:rPr>
              <w:t>【核心产品】</w:t>
            </w:r>
          </w:p>
        </w:tc>
        <w:tc>
          <w:tcPr>
            <w:tcW w:w="697" w:type="dxa"/>
            <w:vAlign w:val="center"/>
          </w:tcPr>
          <w:p w14:paraId="58249E75">
            <w:pPr>
              <w:jc w:val="center"/>
              <w:rPr>
                <w:sz w:val="24"/>
                <w:szCs w:val="24"/>
                <w:highlight w:val="none"/>
              </w:rPr>
            </w:pPr>
            <w:r>
              <w:rPr>
                <w:rFonts w:hint="eastAsia"/>
                <w:sz w:val="24"/>
                <w:szCs w:val="24"/>
                <w:highlight w:val="none"/>
              </w:rPr>
              <w:t>套</w:t>
            </w:r>
          </w:p>
        </w:tc>
        <w:tc>
          <w:tcPr>
            <w:tcW w:w="976" w:type="dxa"/>
            <w:vAlign w:val="center"/>
          </w:tcPr>
          <w:p w14:paraId="0FDFE113">
            <w:pPr>
              <w:jc w:val="center"/>
              <w:rPr>
                <w:sz w:val="24"/>
                <w:szCs w:val="24"/>
                <w:highlight w:val="none"/>
              </w:rPr>
            </w:pPr>
            <w:r>
              <w:rPr>
                <w:rFonts w:hint="eastAsia"/>
                <w:sz w:val="24"/>
                <w:szCs w:val="24"/>
                <w:highlight w:val="none"/>
              </w:rPr>
              <w:t>1</w:t>
            </w:r>
          </w:p>
        </w:tc>
        <w:tc>
          <w:tcPr>
            <w:tcW w:w="1353" w:type="dxa"/>
            <w:vAlign w:val="center"/>
          </w:tcPr>
          <w:p w14:paraId="1ACA3EF7">
            <w:pPr>
              <w:jc w:val="center"/>
              <w:rPr>
                <w:sz w:val="24"/>
                <w:szCs w:val="24"/>
                <w:highlight w:val="none"/>
              </w:rPr>
            </w:pPr>
            <w:r>
              <w:rPr>
                <w:rFonts w:hint="eastAsia"/>
                <w:sz w:val="24"/>
                <w:szCs w:val="24"/>
                <w:highlight w:val="none"/>
              </w:rPr>
              <w:t>2</w:t>
            </w:r>
            <w:r>
              <w:rPr>
                <w:sz w:val="24"/>
                <w:szCs w:val="24"/>
                <w:highlight w:val="none"/>
              </w:rPr>
              <w:t>80</w:t>
            </w:r>
          </w:p>
        </w:tc>
        <w:tc>
          <w:tcPr>
            <w:tcW w:w="1470" w:type="dxa"/>
            <w:vAlign w:val="center"/>
          </w:tcPr>
          <w:p w14:paraId="5BDE51E3">
            <w:pPr>
              <w:jc w:val="center"/>
              <w:rPr>
                <w:sz w:val="24"/>
                <w:szCs w:val="24"/>
                <w:highlight w:val="none"/>
              </w:rPr>
            </w:pPr>
            <w:r>
              <w:rPr>
                <w:rFonts w:hint="eastAsia"/>
                <w:sz w:val="24"/>
                <w:szCs w:val="24"/>
                <w:highlight w:val="none"/>
              </w:rPr>
              <w:t>9</w:t>
            </w:r>
            <w:r>
              <w:rPr>
                <w:sz w:val="24"/>
                <w:szCs w:val="24"/>
                <w:highlight w:val="none"/>
              </w:rPr>
              <w:t>0</w:t>
            </w:r>
            <w:r>
              <w:rPr>
                <w:rFonts w:hint="eastAsia"/>
                <w:sz w:val="24"/>
                <w:szCs w:val="24"/>
                <w:highlight w:val="none"/>
              </w:rPr>
              <w:t>天</w:t>
            </w:r>
          </w:p>
        </w:tc>
        <w:tc>
          <w:tcPr>
            <w:tcW w:w="1755" w:type="dxa"/>
            <w:vAlign w:val="center"/>
          </w:tcPr>
          <w:p w14:paraId="7AF8483B">
            <w:pPr>
              <w:jc w:val="center"/>
              <w:rPr>
                <w:sz w:val="24"/>
                <w:szCs w:val="24"/>
                <w:highlight w:val="none"/>
              </w:rPr>
            </w:pPr>
            <w:r>
              <w:rPr>
                <w:rFonts w:hint="eastAsia"/>
                <w:sz w:val="24"/>
                <w:szCs w:val="24"/>
                <w:highlight w:val="none"/>
              </w:rPr>
              <w:t>两年</w:t>
            </w:r>
          </w:p>
        </w:tc>
      </w:tr>
      <w:tr w14:paraId="360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57" w:type="dxa"/>
            <w:vAlign w:val="center"/>
          </w:tcPr>
          <w:p w14:paraId="3E4B4DAD">
            <w:pPr>
              <w:jc w:val="center"/>
              <w:rPr>
                <w:sz w:val="24"/>
                <w:szCs w:val="24"/>
                <w:highlight w:val="none"/>
              </w:rPr>
            </w:pPr>
            <w:r>
              <w:rPr>
                <w:rFonts w:hint="eastAsia"/>
                <w:sz w:val="24"/>
                <w:szCs w:val="24"/>
                <w:highlight w:val="none"/>
              </w:rPr>
              <w:t>5</w:t>
            </w:r>
          </w:p>
        </w:tc>
        <w:tc>
          <w:tcPr>
            <w:tcW w:w="2746" w:type="dxa"/>
            <w:vAlign w:val="center"/>
          </w:tcPr>
          <w:p w14:paraId="69EFABAE">
            <w:pPr>
              <w:jc w:val="center"/>
              <w:rPr>
                <w:sz w:val="24"/>
                <w:szCs w:val="24"/>
                <w:highlight w:val="none"/>
              </w:rPr>
            </w:pPr>
            <w:bookmarkStart w:id="37" w:name="OLE_LINK40"/>
            <w:bookmarkStart w:id="38" w:name="OLE_LINK8"/>
            <w:r>
              <w:rPr>
                <w:rFonts w:hint="eastAsia" w:ascii="宋体" w:hAnsi="宋体" w:cs="Arial"/>
                <w:kern w:val="0"/>
                <w:sz w:val="24"/>
                <w:szCs w:val="24"/>
                <w:highlight w:val="none"/>
              </w:rPr>
              <w:t>显微数码互动教学设</w:t>
            </w:r>
            <w:bookmarkEnd w:id="37"/>
            <w:r>
              <w:rPr>
                <w:rFonts w:hint="eastAsia" w:ascii="宋体" w:hAnsi="宋体" w:cs="Arial"/>
                <w:kern w:val="0"/>
                <w:sz w:val="24"/>
                <w:szCs w:val="24"/>
                <w:highlight w:val="none"/>
              </w:rPr>
              <w:t>备</w:t>
            </w:r>
            <w:bookmarkEnd w:id="38"/>
          </w:p>
        </w:tc>
        <w:tc>
          <w:tcPr>
            <w:tcW w:w="697" w:type="dxa"/>
            <w:vAlign w:val="center"/>
          </w:tcPr>
          <w:p w14:paraId="2A9A1724">
            <w:pPr>
              <w:jc w:val="center"/>
              <w:rPr>
                <w:sz w:val="24"/>
                <w:szCs w:val="24"/>
                <w:highlight w:val="none"/>
              </w:rPr>
            </w:pPr>
            <w:r>
              <w:rPr>
                <w:rFonts w:hint="eastAsia"/>
                <w:sz w:val="24"/>
                <w:szCs w:val="24"/>
                <w:highlight w:val="none"/>
              </w:rPr>
              <w:t>套</w:t>
            </w:r>
          </w:p>
        </w:tc>
        <w:tc>
          <w:tcPr>
            <w:tcW w:w="976" w:type="dxa"/>
            <w:vAlign w:val="center"/>
          </w:tcPr>
          <w:p w14:paraId="74768D40">
            <w:pPr>
              <w:jc w:val="center"/>
              <w:rPr>
                <w:sz w:val="24"/>
                <w:szCs w:val="24"/>
                <w:highlight w:val="none"/>
              </w:rPr>
            </w:pPr>
            <w:r>
              <w:rPr>
                <w:rFonts w:hint="eastAsia"/>
                <w:sz w:val="24"/>
                <w:szCs w:val="24"/>
                <w:highlight w:val="none"/>
              </w:rPr>
              <w:t>1</w:t>
            </w:r>
          </w:p>
        </w:tc>
        <w:tc>
          <w:tcPr>
            <w:tcW w:w="1353" w:type="dxa"/>
            <w:vAlign w:val="center"/>
          </w:tcPr>
          <w:p w14:paraId="0315D3E7">
            <w:pPr>
              <w:jc w:val="center"/>
              <w:rPr>
                <w:sz w:val="24"/>
                <w:szCs w:val="24"/>
                <w:highlight w:val="none"/>
              </w:rPr>
            </w:pPr>
            <w:r>
              <w:rPr>
                <w:rFonts w:hint="eastAsia"/>
                <w:sz w:val="24"/>
                <w:szCs w:val="24"/>
                <w:highlight w:val="none"/>
              </w:rPr>
              <w:t>8</w:t>
            </w:r>
            <w:r>
              <w:rPr>
                <w:sz w:val="24"/>
                <w:szCs w:val="24"/>
                <w:highlight w:val="none"/>
              </w:rPr>
              <w:t>5</w:t>
            </w:r>
          </w:p>
        </w:tc>
        <w:tc>
          <w:tcPr>
            <w:tcW w:w="1470" w:type="dxa"/>
            <w:vAlign w:val="center"/>
          </w:tcPr>
          <w:p w14:paraId="776EFDEF">
            <w:pPr>
              <w:jc w:val="center"/>
              <w:rPr>
                <w:sz w:val="24"/>
                <w:szCs w:val="24"/>
                <w:highlight w:val="none"/>
              </w:rPr>
            </w:pPr>
            <w:r>
              <w:rPr>
                <w:sz w:val="24"/>
                <w:szCs w:val="24"/>
                <w:highlight w:val="none"/>
              </w:rPr>
              <w:t>30</w:t>
            </w:r>
            <w:r>
              <w:rPr>
                <w:rFonts w:hint="eastAsia"/>
                <w:sz w:val="24"/>
                <w:szCs w:val="24"/>
                <w:highlight w:val="none"/>
              </w:rPr>
              <w:t>天</w:t>
            </w:r>
          </w:p>
        </w:tc>
        <w:tc>
          <w:tcPr>
            <w:tcW w:w="1755" w:type="dxa"/>
            <w:vAlign w:val="center"/>
          </w:tcPr>
          <w:p w14:paraId="7810C2CB">
            <w:pPr>
              <w:jc w:val="center"/>
              <w:rPr>
                <w:sz w:val="24"/>
                <w:szCs w:val="24"/>
                <w:highlight w:val="none"/>
              </w:rPr>
            </w:pPr>
            <w:r>
              <w:rPr>
                <w:rFonts w:hint="eastAsia"/>
                <w:sz w:val="24"/>
                <w:szCs w:val="24"/>
                <w:highlight w:val="none"/>
              </w:rPr>
              <w:t>一年</w:t>
            </w:r>
          </w:p>
        </w:tc>
      </w:tr>
      <w:tr w14:paraId="4D92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57" w:type="dxa"/>
            <w:vAlign w:val="center"/>
          </w:tcPr>
          <w:p w14:paraId="4C2A84D2">
            <w:pPr>
              <w:jc w:val="center"/>
              <w:rPr>
                <w:sz w:val="24"/>
                <w:szCs w:val="24"/>
                <w:highlight w:val="none"/>
              </w:rPr>
            </w:pPr>
            <w:r>
              <w:rPr>
                <w:rFonts w:hint="eastAsia"/>
                <w:sz w:val="24"/>
                <w:szCs w:val="24"/>
                <w:highlight w:val="none"/>
              </w:rPr>
              <w:t>6</w:t>
            </w:r>
          </w:p>
        </w:tc>
        <w:tc>
          <w:tcPr>
            <w:tcW w:w="2746" w:type="dxa"/>
            <w:vAlign w:val="center"/>
          </w:tcPr>
          <w:p w14:paraId="163643A9">
            <w:pPr>
              <w:jc w:val="center"/>
              <w:rPr>
                <w:sz w:val="24"/>
                <w:szCs w:val="24"/>
                <w:highlight w:val="none"/>
              </w:rPr>
            </w:pPr>
            <w:r>
              <w:rPr>
                <w:rFonts w:hint="eastAsia" w:ascii="宋体" w:hAnsi="宋体" w:cs="Arial"/>
                <w:kern w:val="0"/>
                <w:sz w:val="24"/>
                <w:szCs w:val="24"/>
                <w:highlight w:val="none"/>
              </w:rPr>
              <w:t>大动物影像设备</w:t>
            </w:r>
          </w:p>
        </w:tc>
        <w:tc>
          <w:tcPr>
            <w:tcW w:w="697" w:type="dxa"/>
            <w:vAlign w:val="center"/>
          </w:tcPr>
          <w:p w14:paraId="3ACE55EE">
            <w:pPr>
              <w:jc w:val="center"/>
              <w:rPr>
                <w:sz w:val="24"/>
                <w:szCs w:val="24"/>
                <w:highlight w:val="none"/>
              </w:rPr>
            </w:pPr>
            <w:r>
              <w:rPr>
                <w:rFonts w:hint="eastAsia"/>
                <w:sz w:val="24"/>
                <w:szCs w:val="24"/>
                <w:highlight w:val="none"/>
              </w:rPr>
              <w:t>套</w:t>
            </w:r>
          </w:p>
        </w:tc>
        <w:tc>
          <w:tcPr>
            <w:tcW w:w="976" w:type="dxa"/>
            <w:vAlign w:val="center"/>
          </w:tcPr>
          <w:p w14:paraId="18C35365">
            <w:pPr>
              <w:jc w:val="center"/>
              <w:rPr>
                <w:sz w:val="24"/>
                <w:szCs w:val="24"/>
                <w:highlight w:val="none"/>
              </w:rPr>
            </w:pPr>
            <w:r>
              <w:rPr>
                <w:rFonts w:hint="eastAsia"/>
                <w:sz w:val="24"/>
                <w:szCs w:val="24"/>
                <w:highlight w:val="none"/>
              </w:rPr>
              <w:t>1</w:t>
            </w:r>
          </w:p>
        </w:tc>
        <w:tc>
          <w:tcPr>
            <w:tcW w:w="1353" w:type="dxa"/>
            <w:vAlign w:val="center"/>
          </w:tcPr>
          <w:p w14:paraId="18630B8E">
            <w:pPr>
              <w:jc w:val="center"/>
              <w:rPr>
                <w:sz w:val="24"/>
                <w:szCs w:val="24"/>
                <w:highlight w:val="none"/>
              </w:rPr>
            </w:pPr>
            <w:r>
              <w:rPr>
                <w:rFonts w:hint="eastAsia"/>
                <w:sz w:val="24"/>
                <w:szCs w:val="24"/>
                <w:highlight w:val="none"/>
              </w:rPr>
              <w:t>3</w:t>
            </w:r>
            <w:r>
              <w:rPr>
                <w:sz w:val="24"/>
                <w:szCs w:val="24"/>
                <w:highlight w:val="none"/>
              </w:rPr>
              <w:t>01</w:t>
            </w:r>
          </w:p>
        </w:tc>
        <w:tc>
          <w:tcPr>
            <w:tcW w:w="1470" w:type="dxa"/>
            <w:vAlign w:val="center"/>
          </w:tcPr>
          <w:p w14:paraId="2ABF1377">
            <w:pPr>
              <w:jc w:val="center"/>
              <w:rPr>
                <w:sz w:val="24"/>
                <w:szCs w:val="24"/>
                <w:highlight w:val="none"/>
              </w:rPr>
            </w:pPr>
            <w:r>
              <w:rPr>
                <w:sz w:val="24"/>
                <w:szCs w:val="24"/>
                <w:highlight w:val="none"/>
              </w:rPr>
              <w:t>30</w:t>
            </w:r>
            <w:r>
              <w:rPr>
                <w:rFonts w:hint="eastAsia"/>
                <w:sz w:val="24"/>
                <w:szCs w:val="24"/>
                <w:highlight w:val="none"/>
              </w:rPr>
              <w:t>天</w:t>
            </w:r>
          </w:p>
        </w:tc>
        <w:tc>
          <w:tcPr>
            <w:tcW w:w="1755" w:type="dxa"/>
            <w:vAlign w:val="center"/>
          </w:tcPr>
          <w:p w14:paraId="7F5A7DA4">
            <w:pPr>
              <w:jc w:val="center"/>
              <w:rPr>
                <w:sz w:val="24"/>
                <w:szCs w:val="24"/>
                <w:highlight w:val="none"/>
              </w:rPr>
            </w:pPr>
            <w:r>
              <w:rPr>
                <w:rFonts w:hint="eastAsia"/>
                <w:sz w:val="24"/>
                <w:szCs w:val="24"/>
                <w:highlight w:val="none"/>
              </w:rPr>
              <w:t>一年</w:t>
            </w:r>
          </w:p>
        </w:tc>
      </w:tr>
    </w:tbl>
    <w:p w14:paraId="1882D2A7">
      <w:pPr>
        <w:rPr>
          <w:b/>
          <w:bCs/>
          <w:sz w:val="24"/>
          <w:szCs w:val="24"/>
          <w:highlight w:val="none"/>
        </w:rPr>
      </w:pPr>
      <w:r>
        <w:rPr>
          <w:rFonts w:hint="eastAsia"/>
          <w:b/>
          <w:bCs/>
          <w:sz w:val="24"/>
          <w:szCs w:val="24"/>
          <w:highlight w:val="none"/>
        </w:rPr>
        <w:t>二、技术要求</w:t>
      </w:r>
    </w:p>
    <w:p w14:paraId="6DD817D9">
      <w:pP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品名1</w:t>
      </w:r>
      <w:r>
        <w:rPr>
          <w:rFonts w:asciiTheme="minorEastAsia" w:hAnsiTheme="minorEastAsia" w:eastAsiaTheme="minorEastAsia"/>
          <w:b/>
          <w:bCs/>
          <w:sz w:val="24"/>
          <w:szCs w:val="24"/>
          <w:highlight w:val="none"/>
        </w:rPr>
        <w:t xml:space="preserve"> </w:t>
      </w:r>
      <w:r>
        <w:rPr>
          <w:rFonts w:hint="eastAsia" w:cs="Arial" w:asciiTheme="minorEastAsia" w:hAnsiTheme="minorEastAsia" w:eastAsiaTheme="minorEastAsia"/>
          <w:kern w:val="0"/>
          <w:sz w:val="24"/>
          <w:szCs w:val="24"/>
          <w:highlight w:val="none"/>
        </w:rPr>
        <w:t>超分辨率激光共聚焦显微镜</w:t>
      </w:r>
    </w:p>
    <w:p w14:paraId="1617CF1A">
      <w:pPr>
        <w:spacing w:line="360" w:lineRule="auto"/>
        <w:rPr>
          <w:rFonts w:hint="eastAsia" w:ascii="宋体" w:hAnsi="宋体"/>
          <w:sz w:val="24"/>
          <w:szCs w:val="24"/>
          <w:highlight w:val="none"/>
        </w:rPr>
      </w:pPr>
      <w:bookmarkStart w:id="39" w:name="OLE_LINK3"/>
      <w:r>
        <w:rPr>
          <w:rFonts w:hint="eastAsia" w:ascii="宋体" w:hAnsi="宋体"/>
          <w:sz w:val="24"/>
          <w:szCs w:val="24"/>
          <w:highlight w:val="none"/>
        </w:rPr>
        <w:t>（一）全自动倒置荧光显微镜</w:t>
      </w:r>
    </w:p>
    <w:p w14:paraId="2A70E83F">
      <w:pPr>
        <w:spacing w:line="360" w:lineRule="auto"/>
        <w:rPr>
          <w:rFonts w:hint="eastAsia" w:ascii="宋体" w:hAnsi="宋体"/>
          <w:sz w:val="24"/>
          <w:szCs w:val="24"/>
          <w:highlight w:val="none"/>
        </w:rPr>
      </w:pPr>
      <w:r>
        <w:rPr>
          <w:rFonts w:hint="eastAsia" w:ascii="宋体" w:hAnsi="宋体"/>
          <w:sz w:val="24"/>
          <w:szCs w:val="24"/>
          <w:highlight w:val="none"/>
        </w:rPr>
        <w:t>1、主机：</w:t>
      </w:r>
    </w:p>
    <w:p w14:paraId="488A7D85">
      <w:pPr>
        <w:spacing w:line="360" w:lineRule="auto"/>
        <w:rPr>
          <w:rFonts w:hint="eastAsia" w:ascii="宋体" w:hAnsi="宋体"/>
          <w:sz w:val="24"/>
          <w:szCs w:val="24"/>
          <w:highlight w:val="none"/>
        </w:rPr>
      </w:pPr>
      <w:r>
        <w:rPr>
          <w:rFonts w:hint="eastAsia" w:ascii="宋体" w:hAnsi="宋体"/>
          <w:sz w:val="24"/>
          <w:szCs w:val="24"/>
          <w:highlight w:val="none"/>
        </w:rPr>
        <w:t>1.1光学系统：无限远光学系统；</w:t>
      </w:r>
    </w:p>
    <w:p w14:paraId="03FE3FD8">
      <w:pPr>
        <w:spacing w:line="360" w:lineRule="auto"/>
        <w:rPr>
          <w:rFonts w:hint="eastAsia" w:ascii="宋体" w:hAnsi="宋体"/>
          <w:sz w:val="24"/>
          <w:szCs w:val="24"/>
          <w:highlight w:val="none"/>
        </w:rPr>
      </w:pPr>
      <w:r>
        <w:rPr>
          <w:rFonts w:hint="eastAsia" w:ascii="宋体" w:hAnsi="宋体"/>
          <w:sz w:val="24"/>
          <w:szCs w:val="24"/>
          <w:highlight w:val="none"/>
        </w:rPr>
        <w:t>1.2照相视野：≥25mm；</w:t>
      </w:r>
    </w:p>
    <w:p w14:paraId="4BE403DB">
      <w:pPr>
        <w:spacing w:line="360" w:lineRule="auto"/>
        <w:rPr>
          <w:rFonts w:hint="eastAsia" w:ascii="宋体" w:hAnsi="宋体"/>
          <w:sz w:val="24"/>
          <w:szCs w:val="24"/>
          <w:highlight w:val="none"/>
        </w:rPr>
      </w:pPr>
      <w:r>
        <w:rPr>
          <w:rFonts w:hint="eastAsia" w:ascii="宋体" w:hAnsi="宋体"/>
          <w:sz w:val="24"/>
          <w:szCs w:val="24"/>
          <w:highlight w:val="none"/>
        </w:rPr>
        <w:t>1.3辅助放大倍率：1X/1.5X；</w:t>
      </w:r>
    </w:p>
    <w:p w14:paraId="0574BFDB">
      <w:pPr>
        <w:spacing w:line="360" w:lineRule="auto"/>
        <w:rPr>
          <w:rFonts w:hint="eastAsia" w:ascii="宋体" w:hAnsi="宋体"/>
          <w:sz w:val="24"/>
          <w:szCs w:val="24"/>
          <w:highlight w:val="none"/>
        </w:rPr>
      </w:pPr>
      <w:r>
        <w:rPr>
          <w:rFonts w:hint="eastAsia" w:ascii="宋体" w:hAnsi="宋体"/>
          <w:sz w:val="24"/>
          <w:szCs w:val="24"/>
          <w:highlight w:val="none"/>
        </w:rPr>
        <w:t>1.4内置辅助透镜，可移出/入光路；</w:t>
      </w:r>
    </w:p>
    <w:p w14:paraId="6AF0D91F">
      <w:pPr>
        <w:spacing w:line="360" w:lineRule="auto"/>
        <w:rPr>
          <w:rFonts w:hint="eastAsia" w:ascii="宋体" w:hAnsi="宋体"/>
          <w:sz w:val="24"/>
          <w:szCs w:val="24"/>
          <w:highlight w:val="none"/>
        </w:rPr>
      </w:pPr>
      <w:r>
        <w:rPr>
          <w:rFonts w:hint="eastAsia" w:ascii="宋体" w:hAnsi="宋体"/>
          <w:sz w:val="24"/>
          <w:szCs w:val="24"/>
          <w:highlight w:val="none"/>
        </w:rPr>
        <w:t>1.5成像光路：100%左端照相；100%右端照相；80%左端照相，三种模式电动切换；</w:t>
      </w:r>
    </w:p>
    <w:p w14:paraId="34C66CAE">
      <w:pPr>
        <w:spacing w:line="360" w:lineRule="auto"/>
        <w:rPr>
          <w:rFonts w:hint="eastAsia" w:ascii="宋体" w:hAnsi="宋体"/>
          <w:sz w:val="24"/>
          <w:szCs w:val="24"/>
          <w:highlight w:val="none"/>
        </w:rPr>
      </w:pPr>
      <w:r>
        <w:rPr>
          <w:rFonts w:hint="eastAsia" w:ascii="宋体" w:hAnsi="宋体"/>
          <w:sz w:val="24"/>
          <w:szCs w:val="24"/>
          <w:highlight w:val="none"/>
        </w:rPr>
        <w:t>1.6聚焦机构：凸轮连杆传动，电动聚焦，粗微调可分三档精度切换；</w:t>
      </w:r>
    </w:p>
    <w:p w14:paraId="3B4410C6">
      <w:pPr>
        <w:spacing w:line="360" w:lineRule="auto"/>
        <w:rPr>
          <w:rFonts w:hint="eastAsia" w:ascii="宋体" w:hAnsi="宋体"/>
          <w:sz w:val="24"/>
          <w:szCs w:val="24"/>
          <w:highlight w:val="none"/>
        </w:rPr>
      </w:pPr>
      <w:r>
        <w:rPr>
          <w:rFonts w:hint="eastAsia" w:ascii="宋体" w:hAnsi="宋体"/>
          <w:sz w:val="24"/>
          <w:szCs w:val="24"/>
          <w:highlight w:val="none"/>
        </w:rPr>
        <w:t>1.7电动操作设计：电动物镜转换控制、光亮度控制、聚光器控制、荧光滤色镜控制、荧光通道光闸控制、光路转换控制、完美对焦控制、扫描平台控制；</w:t>
      </w:r>
    </w:p>
    <w:p w14:paraId="3D44534C">
      <w:pPr>
        <w:spacing w:line="360" w:lineRule="auto"/>
        <w:rPr>
          <w:rFonts w:hint="eastAsia" w:ascii="宋体" w:hAnsi="宋体"/>
          <w:sz w:val="24"/>
          <w:szCs w:val="24"/>
          <w:highlight w:val="none"/>
        </w:rPr>
      </w:pPr>
      <w:r>
        <w:rPr>
          <w:rFonts w:hint="eastAsia" w:ascii="宋体" w:hAnsi="宋体"/>
          <w:sz w:val="24"/>
          <w:szCs w:val="24"/>
          <w:highlight w:val="none"/>
        </w:rPr>
        <w:t>1.8双层光路设计：支持双层荧光照明光路扩展；</w:t>
      </w:r>
    </w:p>
    <w:p w14:paraId="013C5C83">
      <w:pPr>
        <w:spacing w:line="360" w:lineRule="auto"/>
        <w:rPr>
          <w:rFonts w:hint="eastAsia" w:ascii="宋体" w:hAnsi="宋体"/>
          <w:sz w:val="24"/>
          <w:szCs w:val="24"/>
          <w:highlight w:val="none"/>
        </w:rPr>
      </w:pPr>
      <w:r>
        <w:rPr>
          <w:rFonts w:hint="eastAsia" w:ascii="宋体" w:hAnsi="宋体"/>
          <w:sz w:val="24"/>
          <w:szCs w:val="24"/>
          <w:highlight w:val="none"/>
        </w:rPr>
        <w:t>2、明场成像系统：</w:t>
      </w:r>
    </w:p>
    <w:p w14:paraId="03B5AF29">
      <w:pPr>
        <w:spacing w:line="360" w:lineRule="auto"/>
        <w:rPr>
          <w:rFonts w:hint="eastAsia" w:ascii="宋体" w:hAnsi="宋体"/>
          <w:sz w:val="24"/>
          <w:szCs w:val="24"/>
          <w:highlight w:val="none"/>
        </w:rPr>
      </w:pPr>
      <w:r>
        <w:rPr>
          <w:rFonts w:hint="eastAsia" w:ascii="宋体" w:hAnsi="宋体"/>
          <w:sz w:val="24"/>
          <w:szCs w:val="24"/>
          <w:highlight w:val="none"/>
        </w:rPr>
        <w:t>2.1透射照明装置：可后仰≥25度的照明立杆，高亮度LED照明光源；</w:t>
      </w:r>
    </w:p>
    <w:p w14:paraId="6C0D79C1">
      <w:pPr>
        <w:spacing w:line="360" w:lineRule="auto"/>
        <w:rPr>
          <w:rFonts w:hint="eastAsia" w:ascii="宋体" w:hAnsi="宋体"/>
          <w:sz w:val="24"/>
          <w:szCs w:val="24"/>
          <w:highlight w:val="none"/>
        </w:rPr>
      </w:pPr>
      <w:r>
        <w:rPr>
          <w:rFonts w:hint="eastAsia" w:ascii="宋体" w:hAnsi="宋体"/>
          <w:sz w:val="24"/>
          <w:szCs w:val="24"/>
          <w:highlight w:val="none"/>
        </w:rPr>
        <w:t>2.2聚光器：高度位置可调、可限位，七工位电动聚光器转盘，聚光镜NA值≥0.52，工作距离≥30mm；</w:t>
      </w:r>
    </w:p>
    <w:p w14:paraId="5C04DFD9">
      <w:pPr>
        <w:spacing w:line="360" w:lineRule="auto"/>
        <w:rPr>
          <w:rFonts w:hint="eastAsia" w:ascii="宋体" w:hAnsi="宋体"/>
          <w:sz w:val="24"/>
          <w:szCs w:val="24"/>
          <w:highlight w:val="none"/>
        </w:rPr>
      </w:pPr>
      <w:r>
        <w:rPr>
          <w:rFonts w:hint="eastAsia" w:ascii="宋体" w:hAnsi="宋体"/>
          <w:sz w:val="24"/>
          <w:szCs w:val="24"/>
          <w:highlight w:val="none"/>
        </w:rPr>
        <w:t>2.3明场微分干涉组件：包括电动切换的偏振光照明组件，物镜与聚光器一一对应的微分干涉棱镜；</w:t>
      </w:r>
    </w:p>
    <w:p w14:paraId="420C76A7">
      <w:pPr>
        <w:spacing w:line="360" w:lineRule="auto"/>
        <w:rPr>
          <w:rFonts w:hint="eastAsia" w:ascii="宋体" w:hAnsi="宋体"/>
          <w:sz w:val="24"/>
          <w:szCs w:val="24"/>
          <w:highlight w:val="none"/>
        </w:rPr>
      </w:pPr>
      <w:r>
        <w:rPr>
          <w:rFonts w:hint="eastAsia" w:ascii="宋体" w:hAnsi="宋体"/>
          <w:sz w:val="24"/>
          <w:szCs w:val="24"/>
          <w:highlight w:val="none"/>
        </w:rPr>
        <w:t>3、荧光成像组件：</w:t>
      </w:r>
    </w:p>
    <w:p w14:paraId="7330B0F1">
      <w:pPr>
        <w:spacing w:line="360" w:lineRule="auto"/>
        <w:rPr>
          <w:rFonts w:hint="eastAsia" w:ascii="宋体" w:hAnsi="宋体"/>
          <w:sz w:val="24"/>
          <w:szCs w:val="24"/>
          <w:highlight w:val="none"/>
        </w:rPr>
      </w:pPr>
      <w:r>
        <w:rPr>
          <w:rFonts w:hint="eastAsia" w:ascii="宋体" w:hAnsi="宋体"/>
          <w:sz w:val="24"/>
          <w:szCs w:val="24"/>
          <w:highlight w:val="none"/>
        </w:rPr>
        <w:t>3.1荧光转盘：电动六工位双向转换控制；内置电动光闸控制，开关时间≤12ms；</w:t>
      </w:r>
    </w:p>
    <w:p w14:paraId="2E010A4F">
      <w:pPr>
        <w:spacing w:line="360" w:lineRule="auto"/>
        <w:rPr>
          <w:rFonts w:hint="eastAsia" w:ascii="宋体" w:hAnsi="宋体"/>
          <w:sz w:val="24"/>
          <w:szCs w:val="24"/>
          <w:highlight w:val="none"/>
        </w:rPr>
      </w:pPr>
      <w:r>
        <w:rPr>
          <w:rFonts w:hint="eastAsia" w:ascii="宋体" w:hAnsi="宋体"/>
          <w:sz w:val="24"/>
          <w:szCs w:val="24"/>
          <w:highlight w:val="none"/>
        </w:rPr>
        <w:t>3.2荧光照明光路：支持双层光路重叠结构，支持多达5个荧光输入口；</w:t>
      </w:r>
    </w:p>
    <w:p w14:paraId="78F53CCE">
      <w:pPr>
        <w:spacing w:line="360" w:lineRule="auto"/>
        <w:rPr>
          <w:rFonts w:hint="eastAsia" w:ascii="宋体" w:hAnsi="宋体"/>
          <w:sz w:val="24"/>
          <w:szCs w:val="24"/>
          <w:highlight w:val="none"/>
        </w:rPr>
      </w:pPr>
      <w:r>
        <w:rPr>
          <w:rFonts w:hint="eastAsia" w:ascii="宋体" w:hAnsi="宋体"/>
          <w:sz w:val="24"/>
          <w:szCs w:val="24"/>
          <w:highlight w:val="none"/>
        </w:rPr>
        <w:t>3.3荧光照明光源：LED荧光照明波段，寿命≥20000h；光强调节可通过软件及遥控器调节，调节精度0-100，步进≤1%；</w:t>
      </w:r>
    </w:p>
    <w:p w14:paraId="732AAF4E">
      <w:pPr>
        <w:spacing w:line="360" w:lineRule="auto"/>
        <w:rPr>
          <w:rFonts w:hint="eastAsia" w:ascii="宋体" w:hAnsi="宋体"/>
          <w:sz w:val="24"/>
          <w:szCs w:val="24"/>
          <w:highlight w:val="none"/>
        </w:rPr>
      </w:pPr>
      <w:r>
        <w:rPr>
          <w:rFonts w:hint="eastAsia" w:ascii="宋体" w:hAnsi="宋体"/>
          <w:sz w:val="24"/>
          <w:szCs w:val="24"/>
          <w:highlight w:val="none"/>
        </w:rPr>
        <w:t>3.4荧光滤光块：包括紫色、蓝色、绿色三种激发光的荧光滤色镜；</w:t>
      </w:r>
    </w:p>
    <w:p w14:paraId="479448EF">
      <w:pPr>
        <w:spacing w:line="360" w:lineRule="auto"/>
        <w:rPr>
          <w:rFonts w:hint="eastAsia" w:ascii="宋体" w:hAnsi="宋体"/>
          <w:sz w:val="24"/>
          <w:szCs w:val="24"/>
          <w:highlight w:val="none"/>
        </w:rPr>
      </w:pPr>
      <w:r>
        <w:rPr>
          <w:rFonts w:hint="eastAsia" w:ascii="宋体" w:hAnsi="宋体"/>
          <w:sz w:val="24"/>
          <w:szCs w:val="24"/>
          <w:highlight w:val="none"/>
        </w:rPr>
        <w:t>4、电动扫描台：行程X: ≥±57mm，Y: ≥±36.5mm, 最快移动速≥25mm/sec样品适配器磁性接口；一体式XYZ操作手柄/旋钮；</w:t>
      </w:r>
    </w:p>
    <w:p w14:paraId="1EBECD92">
      <w:pPr>
        <w:spacing w:line="360" w:lineRule="auto"/>
        <w:rPr>
          <w:rFonts w:hint="eastAsia" w:ascii="宋体" w:hAnsi="宋体"/>
          <w:sz w:val="24"/>
          <w:szCs w:val="24"/>
          <w:highlight w:val="none"/>
        </w:rPr>
      </w:pPr>
      <w:r>
        <w:rPr>
          <w:rFonts w:hint="eastAsia" w:ascii="宋体" w:hAnsi="宋体"/>
          <w:sz w:val="24"/>
          <w:szCs w:val="24"/>
          <w:highlight w:val="none"/>
        </w:rPr>
        <w:t>▲5、完美对焦机构：≥855nm近红外光源线阵检测器，可实时驱动物镜聚焦校正，确保长时间聚焦精准；电动六位物镜转换设计，带防水装置；</w:t>
      </w:r>
    </w:p>
    <w:p w14:paraId="18E11E3A">
      <w:pPr>
        <w:spacing w:line="360" w:lineRule="auto"/>
        <w:rPr>
          <w:rFonts w:hint="eastAsia" w:ascii="宋体" w:hAnsi="宋体"/>
          <w:sz w:val="24"/>
          <w:szCs w:val="24"/>
          <w:highlight w:val="none"/>
        </w:rPr>
      </w:pPr>
      <w:r>
        <w:rPr>
          <w:rFonts w:hint="eastAsia" w:ascii="宋体" w:hAnsi="宋体"/>
          <w:sz w:val="24"/>
          <w:szCs w:val="24"/>
          <w:highlight w:val="none"/>
        </w:rPr>
        <w:t>6、物镜：</w:t>
      </w:r>
    </w:p>
    <w:p w14:paraId="0F5155CA">
      <w:pPr>
        <w:spacing w:line="360" w:lineRule="auto"/>
        <w:rPr>
          <w:rFonts w:hint="eastAsia" w:ascii="宋体" w:hAnsi="宋体"/>
          <w:sz w:val="24"/>
          <w:szCs w:val="24"/>
          <w:highlight w:val="none"/>
        </w:rPr>
      </w:pPr>
      <w:r>
        <w:rPr>
          <w:rFonts w:hint="eastAsia" w:ascii="宋体" w:hAnsi="宋体"/>
          <w:sz w:val="24"/>
          <w:szCs w:val="24"/>
          <w:highlight w:val="none"/>
        </w:rPr>
        <w:t>4X平场复消色差物镜 N.A. ≥0.2，W.D. ≥ 20.0 mm；</w:t>
      </w:r>
    </w:p>
    <w:p w14:paraId="3E54DB22">
      <w:pPr>
        <w:spacing w:line="360" w:lineRule="auto"/>
        <w:rPr>
          <w:rFonts w:hint="eastAsia" w:ascii="宋体" w:hAnsi="宋体"/>
          <w:sz w:val="24"/>
          <w:szCs w:val="24"/>
          <w:highlight w:val="none"/>
        </w:rPr>
      </w:pPr>
      <w:r>
        <w:rPr>
          <w:rFonts w:hint="eastAsia" w:ascii="宋体" w:hAnsi="宋体"/>
          <w:sz w:val="24"/>
          <w:szCs w:val="24"/>
          <w:highlight w:val="none"/>
        </w:rPr>
        <w:t>10X平场复消色差物镜 N.A. ≥ 0.45，W.D. ≥ 4.0 mm；</w:t>
      </w:r>
    </w:p>
    <w:p w14:paraId="58677C65">
      <w:pPr>
        <w:spacing w:line="360" w:lineRule="auto"/>
        <w:rPr>
          <w:rFonts w:hint="eastAsia" w:ascii="宋体" w:hAnsi="宋体"/>
          <w:sz w:val="24"/>
          <w:szCs w:val="24"/>
          <w:highlight w:val="none"/>
        </w:rPr>
      </w:pPr>
      <w:r>
        <w:rPr>
          <w:rFonts w:hint="eastAsia" w:ascii="宋体" w:hAnsi="宋体"/>
          <w:sz w:val="24"/>
          <w:szCs w:val="24"/>
          <w:highlight w:val="none"/>
        </w:rPr>
        <w:t>20X平场复消色差物镜 N.A. ≥0.8，W.D. ≥0.8 mm；</w:t>
      </w:r>
    </w:p>
    <w:p w14:paraId="151C0EC1">
      <w:pPr>
        <w:spacing w:line="360" w:lineRule="auto"/>
        <w:rPr>
          <w:rFonts w:hint="eastAsia" w:ascii="宋体" w:hAnsi="宋体"/>
          <w:sz w:val="24"/>
          <w:szCs w:val="24"/>
          <w:highlight w:val="none"/>
        </w:rPr>
      </w:pPr>
      <w:r>
        <w:rPr>
          <w:rFonts w:hint="eastAsia" w:ascii="宋体" w:hAnsi="宋体"/>
          <w:sz w:val="24"/>
          <w:szCs w:val="24"/>
          <w:highlight w:val="none"/>
        </w:rPr>
        <w:t>40X平场复消色差物镜 N.A. ≥0.95，W.D. ≥0.21 mm；</w:t>
      </w:r>
    </w:p>
    <w:p w14:paraId="706EB057">
      <w:pPr>
        <w:spacing w:line="360" w:lineRule="auto"/>
        <w:rPr>
          <w:rFonts w:hint="eastAsia" w:ascii="宋体" w:hAnsi="宋体"/>
          <w:sz w:val="24"/>
          <w:szCs w:val="24"/>
          <w:highlight w:val="none"/>
        </w:rPr>
      </w:pPr>
      <w:r>
        <w:rPr>
          <w:rFonts w:hint="eastAsia" w:ascii="宋体" w:hAnsi="宋体"/>
          <w:sz w:val="24"/>
          <w:szCs w:val="24"/>
          <w:highlight w:val="none"/>
        </w:rPr>
        <w:t>▲60X平场复消色差油镜 N.A. ≥1.42，W.D.≥0.15</w:t>
      </w:r>
    </w:p>
    <w:p w14:paraId="616FFC94">
      <w:pPr>
        <w:spacing w:line="360" w:lineRule="auto"/>
        <w:rPr>
          <w:rFonts w:hint="eastAsia" w:ascii="宋体" w:hAnsi="宋体"/>
          <w:sz w:val="24"/>
          <w:szCs w:val="24"/>
          <w:highlight w:val="none"/>
        </w:rPr>
      </w:pPr>
      <w:r>
        <w:rPr>
          <w:rFonts w:hint="eastAsia" w:ascii="宋体" w:hAnsi="宋体"/>
          <w:sz w:val="24"/>
          <w:szCs w:val="24"/>
          <w:highlight w:val="none"/>
        </w:rPr>
        <w:t>▲100x平场复消色差物镜： N.A.≥1.4</w:t>
      </w:r>
      <w:r>
        <w:rPr>
          <w:rFonts w:ascii="宋体" w:hAnsi="宋体"/>
          <w:sz w:val="24"/>
          <w:szCs w:val="24"/>
          <w:highlight w:val="none"/>
        </w:rPr>
        <w:t>5</w:t>
      </w:r>
      <w:r>
        <w:rPr>
          <w:rFonts w:hint="eastAsia" w:ascii="宋体" w:hAnsi="宋体"/>
          <w:sz w:val="24"/>
          <w:szCs w:val="24"/>
          <w:highlight w:val="none"/>
        </w:rPr>
        <w:t>,油介质，工作距离≥0.12mm；</w:t>
      </w:r>
    </w:p>
    <w:p w14:paraId="2039A717">
      <w:pPr>
        <w:spacing w:line="360" w:lineRule="auto"/>
        <w:rPr>
          <w:rFonts w:hint="eastAsia" w:ascii="宋体" w:hAnsi="宋体"/>
          <w:sz w:val="24"/>
          <w:szCs w:val="24"/>
          <w:highlight w:val="none"/>
        </w:rPr>
      </w:pPr>
      <w:bookmarkStart w:id="40" w:name="OLE_LINK15"/>
      <w:r>
        <w:rPr>
          <w:rFonts w:hint="eastAsia" w:ascii="宋体" w:hAnsi="宋体"/>
          <w:sz w:val="24"/>
          <w:szCs w:val="24"/>
          <w:highlight w:val="none"/>
        </w:rPr>
        <w:t>（二）共聚焦激光系统</w:t>
      </w:r>
    </w:p>
    <w:p w14:paraId="5ECBD15B">
      <w:pPr>
        <w:spacing w:line="360" w:lineRule="auto"/>
        <w:rPr>
          <w:rFonts w:hint="eastAsia" w:ascii="宋体" w:hAnsi="宋体"/>
          <w:sz w:val="24"/>
          <w:szCs w:val="24"/>
          <w:highlight w:val="none"/>
        </w:rPr>
      </w:pPr>
      <w:r>
        <w:rPr>
          <w:rFonts w:hint="eastAsia" w:ascii="宋体" w:hAnsi="宋体"/>
          <w:sz w:val="24"/>
          <w:szCs w:val="24"/>
          <w:highlight w:val="none"/>
        </w:rPr>
        <w:t>1、激光选择及光强控制：每个激光器具有独立的开关按钮，内置电动光闸控制，采用声光调制器选择激光波长及激光功率，每种激光的光纤输出端强度不低于15mW；</w:t>
      </w:r>
    </w:p>
    <w:p w14:paraId="4C2B6C25">
      <w:pPr>
        <w:spacing w:line="360" w:lineRule="auto"/>
        <w:rPr>
          <w:rFonts w:hint="eastAsia"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、激光器：固体激光器不少于五个，必须包含405nm、488nm、561nm、594nm、640nm激光波长；</w:t>
      </w:r>
    </w:p>
    <w:p w14:paraId="38E0AA59">
      <w:pPr>
        <w:spacing w:line="360" w:lineRule="auto"/>
        <w:rPr>
          <w:rFonts w:hint="eastAsia" w:ascii="宋体" w:hAnsi="宋体"/>
          <w:sz w:val="24"/>
          <w:szCs w:val="24"/>
          <w:highlight w:val="none"/>
        </w:rPr>
      </w:pPr>
      <w:r>
        <w:rPr>
          <w:rFonts w:hint="eastAsia" w:ascii="宋体" w:hAnsi="宋体"/>
          <w:sz w:val="24"/>
          <w:szCs w:val="24"/>
          <w:highlight w:val="none"/>
        </w:rPr>
        <w:t>（三）共聚焦扫描成像系统</w:t>
      </w:r>
    </w:p>
    <w:p w14:paraId="1DF3E92F">
      <w:pPr>
        <w:spacing w:line="360" w:lineRule="auto"/>
        <w:rPr>
          <w:rFonts w:hint="eastAsia" w:ascii="宋体" w:hAnsi="宋体"/>
          <w:sz w:val="24"/>
          <w:szCs w:val="24"/>
          <w:highlight w:val="none"/>
        </w:rPr>
      </w:pPr>
      <w:r>
        <w:rPr>
          <w:rFonts w:hint="eastAsia" w:ascii="宋体" w:hAnsi="宋体"/>
          <w:sz w:val="24"/>
          <w:szCs w:val="24"/>
          <w:highlight w:val="none"/>
        </w:rPr>
        <w:t>1、输入/输出接口：包括两个单模光纤激光输入接口和两个多模光纤荧光信号输出接口；</w:t>
      </w:r>
    </w:p>
    <w:p w14:paraId="3145632D">
      <w:pPr>
        <w:spacing w:line="360" w:lineRule="auto"/>
        <w:rPr>
          <w:rFonts w:hint="eastAsia" w:ascii="宋体" w:hAnsi="宋体"/>
          <w:sz w:val="24"/>
          <w:szCs w:val="24"/>
          <w:highlight w:val="none"/>
        </w:rPr>
      </w:pPr>
      <w:r>
        <w:rPr>
          <w:rFonts w:hint="eastAsia" w:ascii="宋体" w:hAnsi="宋体"/>
          <w:sz w:val="24"/>
          <w:szCs w:val="24"/>
          <w:highlight w:val="none"/>
        </w:rPr>
        <w:t>2、针孔：六边形连续针孔，最小针孔≤6um；</w:t>
      </w:r>
    </w:p>
    <w:p w14:paraId="4DFA8A8A">
      <w:pPr>
        <w:spacing w:line="360" w:lineRule="auto"/>
        <w:rPr>
          <w:rFonts w:hint="eastAsia" w:ascii="宋体" w:hAnsi="宋体"/>
          <w:sz w:val="24"/>
          <w:szCs w:val="24"/>
          <w:highlight w:val="none"/>
        </w:rPr>
      </w:pPr>
      <w:r>
        <w:rPr>
          <w:rFonts w:hint="eastAsia" w:ascii="宋体" w:hAnsi="宋体"/>
          <w:sz w:val="24"/>
          <w:szCs w:val="24"/>
          <w:highlight w:val="none"/>
        </w:rPr>
        <w:t>3、荧光图像检测器：检测单元：内置≥4个高灵敏度荧光光谱检测器；</w:t>
      </w:r>
    </w:p>
    <w:p w14:paraId="1FA1BE21">
      <w:pPr>
        <w:spacing w:line="360" w:lineRule="auto"/>
        <w:rPr>
          <w:rFonts w:hint="eastAsia" w:ascii="宋体" w:hAnsi="宋体"/>
          <w:sz w:val="24"/>
          <w:szCs w:val="24"/>
          <w:highlight w:val="none"/>
        </w:rPr>
      </w:pPr>
      <w:r>
        <w:rPr>
          <w:rFonts w:hint="eastAsia" w:ascii="宋体" w:hAnsi="宋体"/>
          <w:sz w:val="24"/>
          <w:szCs w:val="24"/>
          <w:highlight w:val="none"/>
        </w:rPr>
        <w:t>4、明场检测系统：包含1个Mini 型多碱PMT，用于明场及DIC图像检测</w:t>
      </w:r>
    </w:p>
    <w:p w14:paraId="1B07C458">
      <w:pPr>
        <w:spacing w:line="360" w:lineRule="auto"/>
        <w:rPr>
          <w:rFonts w:hint="eastAsia" w:ascii="宋体" w:hAnsi="宋体"/>
          <w:sz w:val="24"/>
          <w:szCs w:val="24"/>
          <w:highlight w:val="none"/>
        </w:rPr>
      </w:pPr>
      <w:r>
        <w:rPr>
          <w:rFonts w:hint="eastAsia" w:ascii="宋体" w:hAnsi="宋体"/>
          <w:sz w:val="24"/>
          <w:szCs w:val="24"/>
          <w:highlight w:val="none"/>
        </w:rPr>
        <w:t xml:space="preserve">5、双检流计扫描系统： </w:t>
      </w:r>
    </w:p>
    <w:p w14:paraId="14041AF8">
      <w:pPr>
        <w:spacing w:line="360" w:lineRule="auto"/>
        <w:rPr>
          <w:rFonts w:hint="eastAsia" w:ascii="宋体" w:hAnsi="宋体"/>
          <w:sz w:val="24"/>
          <w:szCs w:val="24"/>
          <w:highlight w:val="none"/>
        </w:rPr>
      </w:pPr>
      <w:r>
        <w:rPr>
          <w:rFonts w:hint="eastAsia" w:ascii="宋体" w:hAnsi="宋体"/>
          <w:sz w:val="24"/>
          <w:szCs w:val="24"/>
          <w:highlight w:val="none"/>
        </w:rPr>
        <w:t>5.1、扫描分辨率：≥8000X8000像素；</w:t>
      </w:r>
    </w:p>
    <w:p w14:paraId="7C8B5C01">
      <w:pPr>
        <w:spacing w:line="360" w:lineRule="auto"/>
        <w:rPr>
          <w:rFonts w:hint="eastAsia" w:ascii="宋体" w:hAnsi="宋体"/>
          <w:sz w:val="24"/>
          <w:szCs w:val="24"/>
          <w:highlight w:val="none"/>
        </w:rPr>
      </w:pPr>
      <w:r>
        <w:rPr>
          <w:rFonts w:hint="eastAsia" w:ascii="宋体" w:hAnsi="宋体"/>
          <w:sz w:val="24"/>
          <w:szCs w:val="24"/>
          <w:highlight w:val="none"/>
        </w:rPr>
        <w:t xml:space="preserve">▲5.2、扫描视野：≥25mm； </w:t>
      </w:r>
    </w:p>
    <w:p w14:paraId="0955903F">
      <w:pPr>
        <w:spacing w:line="360" w:lineRule="auto"/>
        <w:rPr>
          <w:rFonts w:hint="eastAsia" w:ascii="宋体" w:hAnsi="宋体"/>
          <w:sz w:val="24"/>
          <w:szCs w:val="24"/>
          <w:highlight w:val="none"/>
        </w:rPr>
      </w:pPr>
      <w:r>
        <w:rPr>
          <w:rFonts w:hint="eastAsia" w:ascii="宋体" w:hAnsi="宋体"/>
          <w:sz w:val="24"/>
          <w:szCs w:val="24"/>
          <w:highlight w:val="none"/>
        </w:rPr>
        <w:t>5.3、线扫描速度：≥5200线/秒@512像素；</w:t>
      </w:r>
    </w:p>
    <w:p w14:paraId="328B7A5C">
      <w:pPr>
        <w:spacing w:line="360" w:lineRule="auto"/>
        <w:rPr>
          <w:rFonts w:hint="eastAsia" w:ascii="宋体" w:hAnsi="宋体"/>
          <w:sz w:val="24"/>
          <w:szCs w:val="24"/>
          <w:highlight w:val="none"/>
        </w:rPr>
      </w:pPr>
      <w:r>
        <w:rPr>
          <w:rFonts w:hint="eastAsia" w:ascii="宋体" w:hAnsi="宋体"/>
          <w:sz w:val="24"/>
          <w:szCs w:val="24"/>
          <w:highlight w:val="none"/>
        </w:rPr>
        <w:t>5.4、XY矩阵扫描速度：≥10帧/秒@512X512像素</w:t>
      </w:r>
    </w:p>
    <w:p w14:paraId="2BE1DB1D">
      <w:pPr>
        <w:spacing w:line="360" w:lineRule="auto"/>
        <w:rPr>
          <w:rFonts w:hint="eastAsia" w:ascii="宋体" w:hAnsi="宋体"/>
          <w:sz w:val="24"/>
          <w:szCs w:val="24"/>
          <w:highlight w:val="none"/>
        </w:rPr>
      </w:pPr>
      <w:r>
        <w:rPr>
          <w:rFonts w:hint="eastAsia" w:ascii="宋体" w:hAnsi="宋体"/>
          <w:sz w:val="24"/>
          <w:szCs w:val="24"/>
          <w:highlight w:val="none"/>
        </w:rPr>
        <w:t>5.5、ROI扫描：X/Y扫描振镜可单独控制，支持自由感兴趣区域扫描、旋转扫描、剪切扫描；</w:t>
      </w:r>
    </w:p>
    <w:p w14:paraId="129FAA26">
      <w:pPr>
        <w:spacing w:line="360" w:lineRule="auto"/>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rPr>
        <w:t>5.6、旋转扫描：360°旋转扫描；</w:t>
      </w:r>
    </w:p>
    <w:p w14:paraId="124F39A4">
      <w:pPr>
        <w:spacing w:line="360" w:lineRule="auto"/>
        <w:rPr>
          <w:rFonts w:hint="eastAsia" w:ascii="宋体" w:hAnsi="宋体"/>
          <w:sz w:val="24"/>
          <w:szCs w:val="24"/>
          <w:highlight w:val="none"/>
        </w:rPr>
      </w:pPr>
      <w:r>
        <w:rPr>
          <w:rFonts w:hint="eastAsia" w:ascii="宋体" w:hAnsi="宋体"/>
          <w:sz w:val="24"/>
          <w:szCs w:val="24"/>
          <w:highlight w:val="none"/>
        </w:rPr>
        <w:t>▲6、高速共振扫描系统：扫描分辨率：128X16~1024X1024像素；扫描速度：≥30帧/秒@1024X512像素；≥15帧/秒@1024X1024像素；≥720帧/秒@512X16像素；不同扫描像素下最大扫描视野≥</w:t>
      </w:r>
      <w:r>
        <w:rPr>
          <w:rFonts w:ascii="宋体" w:hAnsi="宋体"/>
          <w:sz w:val="24"/>
          <w:szCs w:val="24"/>
          <w:highlight w:val="none"/>
        </w:rPr>
        <w:t>25</w:t>
      </w:r>
      <w:r>
        <w:rPr>
          <w:rFonts w:hint="eastAsia" w:ascii="宋体" w:hAnsi="宋体"/>
          <w:sz w:val="24"/>
          <w:szCs w:val="24"/>
          <w:highlight w:val="none"/>
        </w:rPr>
        <w:t>mm；</w:t>
      </w:r>
    </w:p>
    <w:p w14:paraId="04630726">
      <w:pPr>
        <w:spacing w:line="360" w:lineRule="auto"/>
        <w:rPr>
          <w:rFonts w:hint="eastAsia" w:ascii="宋体" w:hAnsi="宋体"/>
          <w:sz w:val="24"/>
          <w:szCs w:val="24"/>
          <w:highlight w:val="none"/>
        </w:rPr>
      </w:pPr>
      <w:r>
        <w:rPr>
          <w:rFonts w:hint="eastAsia" w:ascii="宋体" w:hAnsi="宋体"/>
          <w:sz w:val="24"/>
          <w:szCs w:val="24"/>
          <w:highlight w:val="none"/>
        </w:rPr>
        <w:t>（四）超分辨系统：</w:t>
      </w:r>
    </w:p>
    <w:p w14:paraId="6615E39E">
      <w:pPr>
        <w:spacing w:line="360" w:lineRule="auto"/>
        <w:rPr>
          <w:rFonts w:hint="eastAsia" w:ascii="宋体" w:hAnsi="宋体"/>
          <w:sz w:val="24"/>
          <w:szCs w:val="24"/>
          <w:highlight w:val="none"/>
        </w:rPr>
      </w:pPr>
      <w:r>
        <w:rPr>
          <w:rFonts w:hint="eastAsia" w:ascii="宋体" w:hAnsi="宋体"/>
          <w:sz w:val="24"/>
          <w:szCs w:val="24"/>
          <w:highlight w:val="none"/>
        </w:rPr>
        <w:t>▲1、超分辨系统必须为：NSPARC、</w:t>
      </w:r>
      <w:r>
        <w:rPr>
          <w:rFonts w:ascii="宋体" w:hAnsi="宋体"/>
          <w:sz w:val="24"/>
          <w:szCs w:val="24"/>
          <w:highlight w:val="none"/>
        </w:rPr>
        <w:t>AIRYSCAN</w:t>
      </w:r>
      <w:r>
        <w:rPr>
          <w:rFonts w:hint="eastAsia" w:ascii="宋体" w:hAnsi="宋体"/>
          <w:sz w:val="24"/>
          <w:szCs w:val="24"/>
          <w:highlight w:val="none"/>
        </w:rPr>
        <w:t>、STED、SIM、STORM中的一种；</w:t>
      </w:r>
    </w:p>
    <w:p w14:paraId="70CA01AE">
      <w:pPr>
        <w:spacing w:line="360" w:lineRule="auto"/>
        <w:rPr>
          <w:rFonts w:hint="eastAsia" w:ascii="宋体" w:hAnsi="宋体"/>
          <w:sz w:val="24"/>
          <w:szCs w:val="24"/>
          <w:highlight w:val="none"/>
        </w:rPr>
      </w:pPr>
      <w:r>
        <w:rPr>
          <w:rFonts w:hint="eastAsia" w:ascii="宋体" w:hAnsi="宋体"/>
          <w:sz w:val="24"/>
          <w:szCs w:val="24"/>
          <w:highlight w:val="none"/>
        </w:rPr>
        <w:t>▲2、分辨率：XY方向 ≤100nm，Z方向 ≤300nm；</w:t>
      </w:r>
    </w:p>
    <w:p w14:paraId="10AF75E3">
      <w:pPr>
        <w:spacing w:line="360" w:lineRule="auto"/>
        <w:rPr>
          <w:rFonts w:hint="eastAsia" w:ascii="宋体" w:hAnsi="宋体"/>
          <w:sz w:val="24"/>
          <w:szCs w:val="24"/>
          <w:highlight w:val="none"/>
        </w:rPr>
      </w:pPr>
      <w:r>
        <w:rPr>
          <w:rFonts w:hint="eastAsia" w:ascii="宋体" w:hAnsi="宋体"/>
          <w:sz w:val="24"/>
          <w:szCs w:val="24"/>
          <w:highlight w:val="none"/>
        </w:rPr>
        <w:t>▲3、超分辨检测器：阵列式单像素光子计数器检测器，检测器数量≥25个；</w:t>
      </w:r>
    </w:p>
    <w:p w14:paraId="364A3ABD">
      <w:pPr>
        <w:spacing w:line="360" w:lineRule="auto"/>
        <w:rPr>
          <w:rFonts w:hint="eastAsia" w:ascii="宋体" w:hAnsi="宋体"/>
          <w:sz w:val="24"/>
          <w:szCs w:val="24"/>
          <w:highlight w:val="none"/>
        </w:rPr>
      </w:pPr>
      <w:r>
        <w:rPr>
          <w:rFonts w:hint="eastAsia" w:ascii="宋体" w:hAnsi="宋体"/>
          <w:sz w:val="24"/>
          <w:szCs w:val="24"/>
          <w:highlight w:val="none"/>
        </w:rPr>
        <w:t>4、可适配的激发波长不低于7个，405 nm、 445 nm、488 nm、 514 nm、 561 nm、 594 nm和 640 nm；</w:t>
      </w:r>
    </w:p>
    <w:p w14:paraId="58BC441E">
      <w:pPr>
        <w:spacing w:line="360" w:lineRule="auto"/>
        <w:rPr>
          <w:rFonts w:hint="eastAsia" w:ascii="宋体" w:hAnsi="宋体"/>
          <w:sz w:val="24"/>
          <w:szCs w:val="24"/>
          <w:highlight w:val="none"/>
        </w:rPr>
      </w:pPr>
      <w:r>
        <w:rPr>
          <w:rFonts w:hint="eastAsia" w:ascii="宋体" w:hAnsi="宋体"/>
          <w:sz w:val="24"/>
          <w:szCs w:val="24"/>
          <w:highlight w:val="none"/>
        </w:rPr>
        <w:t>▲（五）活细胞工作站</w:t>
      </w:r>
    </w:p>
    <w:p w14:paraId="498E1C79">
      <w:pPr>
        <w:spacing w:line="360" w:lineRule="auto"/>
        <w:rPr>
          <w:rFonts w:hint="eastAsia" w:ascii="宋体" w:hAnsi="宋体"/>
          <w:sz w:val="24"/>
          <w:szCs w:val="24"/>
          <w:highlight w:val="none"/>
        </w:rPr>
      </w:pPr>
      <w:r>
        <w:rPr>
          <w:rFonts w:hint="eastAsia" w:ascii="宋体" w:hAnsi="宋体"/>
          <w:sz w:val="24"/>
          <w:szCs w:val="24"/>
          <w:highlight w:val="none"/>
        </w:rPr>
        <w:t>配备载物台式活细胞培养箱，可软件控制温湿度以及二氧化碳浓度，保证活细胞稳定成像。温度控制精度：≤0.1℃；范围：室温至60℃；二氧化碳控制精度：≤0.1%，浓度5-20%。</w:t>
      </w:r>
    </w:p>
    <w:p w14:paraId="6BE7252C">
      <w:pPr>
        <w:spacing w:line="360" w:lineRule="auto"/>
        <w:rPr>
          <w:rFonts w:hint="eastAsia" w:ascii="宋体" w:hAnsi="宋体"/>
          <w:sz w:val="24"/>
          <w:szCs w:val="24"/>
          <w:highlight w:val="none"/>
        </w:rPr>
      </w:pPr>
      <w:r>
        <w:rPr>
          <w:rFonts w:hint="eastAsia" w:ascii="宋体" w:hAnsi="宋体"/>
          <w:sz w:val="24"/>
          <w:szCs w:val="24"/>
          <w:highlight w:val="none"/>
        </w:rPr>
        <w:t>（六）工作站及软件系统</w:t>
      </w:r>
    </w:p>
    <w:p w14:paraId="1D89F34F">
      <w:pPr>
        <w:spacing w:line="360" w:lineRule="auto"/>
        <w:rPr>
          <w:rFonts w:hint="eastAsia" w:ascii="宋体" w:hAnsi="宋体"/>
          <w:sz w:val="24"/>
          <w:szCs w:val="24"/>
          <w:highlight w:val="none"/>
        </w:rPr>
      </w:pPr>
      <w:r>
        <w:rPr>
          <w:rFonts w:hint="eastAsia" w:ascii="宋体" w:hAnsi="宋体"/>
          <w:sz w:val="24"/>
          <w:szCs w:val="24"/>
          <w:highlight w:val="none"/>
        </w:rPr>
        <w:t>1、工作站：不低于以下配置</w:t>
      </w:r>
    </w:p>
    <w:p w14:paraId="5047EDF2">
      <w:pPr>
        <w:spacing w:line="360" w:lineRule="auto"/>
        <w:rPr>
          <w:rFonts w:hint="eastAsia" w:ascii="宋体" w:hAnsi="宋体"/>
          <w:sz w:val="24"/>
          <w:szCs w:val="24"/>
          <w:highlight w:val="none"/>
        </w:rPr>
      </w:pPr>
      <w:r>
        <w:rPr>
          <w:rFonts w:hint="eastAsia" w:ascii="宋体" w:hAnsi="宋体"/>
          <w:sz w:val="24"/>
          <w:szCs w:val="24"/>
          <w:highlight w:val="none"/>
        </w:rPr>
        <w:t>OS:Windows 11 Pro 64bit</w:t>
      </w:r>
    </w:p>
    <w:p w14:paraId="72804B5B">
      <w:pPr>
        <w:spacing w:line="360" w:lineRule="auto"/>
        <w:rPr>
          <w:rFonts w:hint="eastAsia" w:ascii="宋体" w:hAnsi="宋体"/>
          <w:sz w:val="24"/>
          <w:szCs w:val="24"/>
          <w:highlight w:val="none"/>
        </w:rPr>
      </w:pPr>
      <w:r>
        <w:rPr>
          <w:rFonts w:hint="eastAsia" w:ascii="宋体" w:hAnsi="宋体"/>
          <w:sz w:val="24"/>
          <w:szCs w:val="24"/>
          <w:highlight w:val="none"/>
        </w:rPr>
        <w:t>CPU:Xeon W-2225 (4.0GHz, 4Cores)</w:t>
      </w:r>
    </w:p>
    <w:p w14:paraId="3ED7D839">
      <w:pPr>
        <w:spacing w:line="360" w:lineRule="auto"/>
        <w:rPr>
          <w:rFonts w:hint="eastAsia" w:ascii="宋体" w:hAnsi="宋体"/>
          <w:sz w:val="24"/>
          <w:szCs w:val="24"/>
          <w:highlight w:val="none"/>
        </w:rPr>
      </w:pPr>
      <w:r>
        <w:rPr>
          <w:rFonts w:hint="eastAsia" w:ascii="宋体" w:hAnsi="宋体"/>
          <w:sz w:val="24"/>
          <w:szCs w:val="24"/>
          <w:highlight w:val="none"/>
        </w:rPr>
        <w:t>Memory:128GB</w:t>
      </w:r>
    </w:p>
    <w:p w14:paraId="798EC76A">
      <w:pPr>
        <w:spacing w:line="360" w:lineRule="auto"/>
        <w:rPr>
          <w:rFonts w:hint="eastAsia" w:ascii="宋体" w:hAnsi="宋体"/>
          <w:sz w:val="24"/>
          <w:szCs w:val="24"/>
          <w:highlight w:val="none"/>
        </w:rPr>
      </w:pPr>
      <w:r>
        <w:rPr>
          <w:rFonts w:hint="eastAsia" w:ascii="宋体" w:hAnsi="宋体"/>
          <w:sz w:val="24"/>
          <w:szCs w:val="24"/>
          <w:highlight w:val="none"/>
        </w:rPr>
        <w:t>Strage:1st: HP Z Turbo G2 512GB PCIe M.2 SSD</w:t>
      </w:r>
    </w:p>
    <w:p w14:paraId="75851D00">
      <w:pPr>
        <w:spacing w:line="360" w:lineRule="auto"/>
        <w:rPr>
          <w:rFonts w:hint="eastAsia" w:ascii="宋体" w:hAnsi="宋体"/>
          <w:sz w:val="24"/>
          <w:szCs w:val="24"/>
          <w:highlight w:val="none"/>
        </w:rPr>
      </w:pPr>
      <w:r>
        <w:rPr>
          <w:rFonts w:hint="eastAsia" w:ascii="宋体" w:hAnsi="宋体"/>
          <w:sz w:val="24"/>
          <w:szCs w:val="24"/>
          <w:highlight w:val="none"/>
        </w:rPr>
        <w:t>2nd: SATA HDD 8TB</w:t>
      </w:r>
    </w:p>
    <w:p w14:paraId="0EB66DA2">
      <w:pPr>
        <w:spacing w:line="360" w:lineRule="auto"/>
        <w:rPr>
          <w:rFonts w:hint="eastAsia" w:ascii="宋体" w:hAnsi="宋体"/>
          <w:sz w:val="24"/>
          <w:szCs w:val="24"/>
          <w:highlight w:val="none"/>
        </w:rPr>
      </w:pPr>
      <w:r>
        <w:rPr>
          <w:rFonts w:hint="eastAsia" w:ascii="宋体" w:hAnsi="宋体"/>
          <w:sz w:val="24"/>
          <w:szCs w:val="24"/>
          <w:highlight w:val="none"/>
        </w:rPr>
        <w:t>LAN:"10/100/1000 Network Interface"</w:t>
      </w:r>
    </w:p>
    <w:p w14:paraId="0798913C">
      <w:pPr>
        <w:spacing w:line="360" w:lineRule="auto"/>
        <w:rPr>
          <w:rFonts w:hint="eastAsia" w:ascii="宋体" w:hAnsi="宋体"/>
          <w:sz w:val="24"/>
          <w:szCs w:val="24"/>
          <w:highlight w:val="none"/>
        </w:rPr>
      </w:pPr>
      <w:r>
        <w:rPr>
          <w:rFonts w:hint="eastAsia" w:ascii="宋体" w:hAnsi="宋体"/>
          <w:sz w:val="24"/>
          <w:szCs w:val="24"/>
          <w:highlight w:val="none"/>
        </w:rPr>
        <w:t>Graphics:NVIDIA Quadro RTX A4000</w:t>
      </w:r>
    </w:p>
    <w:p w14:paraId="030852D0">
      <w:pPr>
        <w:spacing w:line="360" w:lineRule="auto"/>
        <w:rPr>
          <w:rFonts w:hint="eastAsia" w:ascii="宋体" w:hAnsi="宋体"/>
          <w:sz w:val="24"/>
          <w:szCs w:val="24"/>
          <w:highlight w:val="none"/>
        </w:rPr>
      </w:pPr>
      <w:r>
        <w:rPr>
          <w:rFonts w:hint="eastAsia" w:ascii="宋体" w:hAnsi="宋体"/>
          <w:sz w:val="24"/>
          <w:szCs w:val="24"/>
          <w:highlight w:val="none"/>
        </w:rPr>
        <w:t>不低于37英寸4K高清显示器</w:t>
      </w:r>
    </w:p>
    <w:p w14:paraId="715DA8E3">
      <w:pPr>
        <w:spacing w:line="360" w:lineRule="auto"/>
        <w:rPr>
          <w:rFonts w:hint="eastAsia" w:ascii="宋体" w:hAnsi="宋体"/>
          <w:sz w:val="24"/>
          <w:szCs w:val="24"/>
          <w:highlight w:val="none"/>
        </w:rPr>
      </w:pPr>
      <w:r>
        <w:rPr>
          <w:rFonts w:hint="eastAsia" w:ascii="宋体" w:hAnsi="宋体"/>
          <w:sz w:val="24"/>
          <w:szCs w:val="24"/>
          <w:highlight w:val="none"/>
        </w:rPr>
        <w:t>2、软件系统：</w:t>
      </w:r>
    </w:p>
    <w:p w14:paraId="3124F691">
      <w:pPr>
        <w:spacing w:line="360" w:lineRule="auto"/>
        <w:rPr>
          <w:rFonts w:hint="eastAsia" w:ascii="宋体" w:hAnsi="宋体"/>
          <w:sz w:val="24"/>
          <w:szCs w:val="24"/>
          <w:highlight w:val="none"/>
        </w:rPr>
      </w:pPr>
      <w:r>
        <w:rPr>
          <w:rFonts w:hint="eastAsia" w:ascii="宋体" w:hAnsi="宋体"/>
          <w:sz w:val="24"/>
          <w:szCs w:val="24"/>
          <w:highlight w:val="none"/>
        </w:rPr>
        <w:t>2.1硬件控制：支持显微镜、激光器、扫描系统控制，显微镜观察与共聚焦图像采集可实现一键切换；所有状态参数均可实现记忆和灵活调用；</w:t>
      </w:r>
    </w:p>
    <w:p w14:paraId="7213EB05">
      <w:pPr>
        <w:spacing w:line="360" w:lineRule="auto"/>
        <w:rPr>
          <w:rFonts w:hint="eastAsia" w:ascii="宋体" w:hAnsi="宋体"/>
          <w:sz w:val="24"/>
          <w:szCs w:val="24"/>
          <w:highlight w:val="none"/>
        </w:rPr>
      </w:pPr>
      <w:r>
        <w:rPr>
          <w:rFonts w:hint="eastAsia" w:ascii="宋体" w:hAnsi="宋体"/>
          <w:sz w:val="24"/>
          <w:szCs w:val="24"/>
          <w:highlight w:val="none"/>
        </w:rPr>
        <w:t>2.2图像及数据采集：</w:t>
      </w:r>
    </w:p>
    <w:p w14:paraId="012C1090">
      <w:pPr>
        <w:spacing w:line="360" w:lineRule="auto"/>
        <w:rPr>
          <w:rFonts w:hint="eastAsia" w:ascii="宋体" w:hAnsi="宋体"/>
          <w:sz w:val="24"/>
          <w:szCs w:val="24"/>
          <w:highlight w:val="none"/>
        </w:rPr>
      </w:pPr>
      <w:r>
        <w:rPr>
          <w:rFonts w:hint="eastAsia" w:ascii="宋体" w:hAnsi="宋体"/>
          <w:sz w:val="24"/>
          <w:szCs w:val="24"/>
          <w:highlight w:val="none"/>
        </w:rPr>
        <w:t>2.2.1多通道图像采集：支持快速预览，可实时调节针孔尺寸、激光强度、PMT灵敏度，可一键采集多通道高分辨率荧光图像，XY分辨率120nm；</w:t>
      </w:r>
    </w:p>
    <w:p w14:paraId="12840D9A">
      <w:pPr>
        <w:spacing w:line="360" w:lineRule="auto"/>
        <w:rPr>
          <w:rFonts w:hint="eastAsia" w:ascii="宋体" w:hAnsi="宋体"/>
          <w:sz w:val="24"/>
          <w:szCs w:val="24"/>
          <w:highlight w:val="none"/>
        </w:rPr>
      </w:pPr>
      <w:r>
        <w:rPr>
          <w:rFonts w:hint="eastAsia" w:ascii="宋体" w:hAnsi="宋体"/>
          <w:sz w:val="24"/>
          <w:szCs w:val="24"/>
          <w:highlight w:val="none"/>
        </w:rPr>
        <w:t>2.2.2Z序列图像采集：可灵活设定Z轴采图范围和采图步距，并支持深度图像亮校正，高效采集Z序列荧光图像；</w:t>
      </w:r>
    </w:p>
    <w:p w14:paraId="6F0A83A4">
      <w:pPr>
        <w:spacing w:line="360" w:lineRule="auto"/>
        <w:rPr>
          <w:rFonts w:hint="eastAsia" w:ascii="宋体" w:hAnsi="宋体"/>
          <w:sz w:val="24"/>
          <w:szCs w:val="24"/>
          <w:highlight w:val="none"/>
        </w:rPr>
      </w:pPr>
      <w:r>
        <w:rPr>
          <w:rFonts w:hint="eastAsia" w:ascii="宋体" w:hAnsi="宋体"/>
          <w:sz w:val="24"/>
          <w:szCs w:val="24"/>
          <w:highlight w:val="none"/>
        </w:rPr>
        <w:t>2.2.3时间序列图像采集：可灵活设定持续采图时间和时间间隔，一键自动采集时间序列图像，并可实时显示样品强度变化信息；</w:t>
      </w:r>
    </w:p>
    <w:p w14:paraId="016926DA">
      <w:pPr>
        <w:spacing w:line="360" w:lineRule="auto"/>
        <w:rPr>
          <w:rFonts w:hint="eastAsia" w:ascii="宋体" w:hAnsi="宋体"/>
          <w:sz w:val="24"/>
          <w:szCs w:val="24"/>
          <w:highlight w:val="none"/>
        </w:rPr>
      </w:pPr>
      <w:r>
        <w:rPr>
          <w:rFonts w:hint="eastAsia" w:ascii="宋体" w:hAnsi="宋体"/>
          <w:sz w:val="24"/>
          <w:szCs w:val="24"/>
          <w:highlight w:val="none"/>
        </w:rPr>
        <w:t>2.2.4多点序列图像采集：可灵活设置和记忆图像采集位置，实现一键式自动图像采集任务；支持多视野拼图功能，并支持表面不平整样品采图时自动校正；</w:t>
      </w:r>
    </w:p>
    <w:p w14:paraId="3A04233B">
      <w:pPr>
        <w:spacing w:line="360" w:lineRule="auto"/>
        <w:rPr>
          <w:rFonts w:hint="eastAsia" w:ascii="宋体" w:hAnsi="宋体"/>
          <w:sz w:val="24"/>
          <w:szCs w:val="24"/>
          <w:highlight w:val="none"/>
        </w:rPr>
      </w:pPr>
      <w:r>
        <w:rPr>
          <w:rFonts w:hint="eastAsia" w:ascii="宋体" w:hAnsi="宋体"/>
          <w:sz w:val="24"/>
          <w:szCs w:val="24"/>
          <w:highlight w:val="none"/>
        </w:rPr>
        <w:t>2.2.5光谱序列图像采集：可自动连续采集可见光范围内各波段的光谱序列图像，解决图像串色问题；</w:t>
      </w:r>
    </w:p>
    <w:p w14:paraId="4BC86474">
      <w:pPr>
        <w:spacing w:line="360" w:lineRule="auto"/>
        <w:rPr>
          <w:rFonts w:hint="eastAsia" w:ascii="宋体" w:hAnsi="宋体"/>
          <w:sz w:val="24"/>
          <w:szCs w:val="24"/>
          <w:highlight w:val="none"/>
        </w:rPr>
      </w:pPr>
      <w:r>
        <w:rPr>
          <w:rFonts w:hint="eastAsia" w:ascii="宋体" w:hAnsi="宋体"/>
          <w:sz w:val="24"/>
          <w:szCs w:val="24"/>
          <w:highlight w:val="none"/>
        </w:rPr>
        <w:t>2.2.6多维图像采集：支持XY、Z、T、P（位点）、λ等六维组合图像采集任务，获取样品的整体数据包；</w:t>
      </w:r>
    </w:p>
    <w:p w14:paraId="61C28929">
      <w:pPr>
        <w:spacing w:line="360" w:lineRule="auto"/>
        <w:rPr>
          <w:rFonts w:hint="eastAsia" w:ascii="宋体" w:hAnsi="宋体"/>
          <w:sz w:val="24"/>
          <w:szCs w:val="24"/>
          <w:highlight w:val="none"/>
        </w:rPr>
      </w:pPr>
      <w:r>
        <w:rPr>
          <w:rFonts w:hint="eastAsia" w:ascii="宋体" w:hAnsi="宋体"/>
          <w:sz w:val="24"/>
          <w:szCs w:val="24"/>
          <w:highlight w:val="none"/>
        </w:rPr>
        <w:t>2.2.7支持FRET、FRAP、光刺激等特殊荧光数据采集任务；</w:t>
      </w:r>
    </w:p>
    <w:p w14:paraId="7F14CD9F">
      <w:pPr>
        <w:spacing w:line="360" w:lineRule="auto"/>
        <w:rPr>
          <w:rFonts w:hint="eastAsia" w:ascii="宋体" w:hAnsi="宋体"/>
          <w:sz w:val="24"/>
          <w:szCs w:val="24"/>
          <w:highlight w:val="none"/>
        </w:rPr>
      </w:pPr>
      <w:r>
        <w:rPr>
          <w:rFonts w:hint="eastAsia" w:ascii="宋体" w:hAnsi="宋体"/>
          <w:sz w:val="24"/>
          <w:szCs w:val="24"/>
          <w:highlight w:val="none"/>
        </w:rPr>
        <w:t>2.3数据处理、分析、报告：</w:t>
      </w:r>
    </w:p>
    <w:p w14:paraId="5C2143E5">
      <w:pPr>
        <w:spacing w:line="360" w:lineRule="auto"/>
        <w:rPr>
          <w:rFonts w:hint="eastAsia" w:ascii="宋体" w:hAnsi="宋体"/>
          <w:sz w:val="24"/>
          <w:szCs w:val="24"/>
          <w:highlight w:val="none"/>
        </w:rPr>
      </w:pPr>
      <w:r>
        <w:rPr>
          <w:rFonts w:hint="eastAsia" w:ascii="宋体" w:hAnsi="宋体"/>
          <w:sz w:val="24"/>
          <w:szCs w:val="24"/>
          <w:highlight w:val="none"/>
        </w:rPr>
        <w:t>2.3.1图像处理：可灵活调节各个图像通道的亮度，并可无损保持；多维图像可灵活组合和拆分；</w:t>
      </w:r>
    </w:p>
    <w:p w14:paraId="0336A134">
      <w:pPr>
        <w:spacing w:line="360" w:lineRule="auto"/>
        <w:rPr>
          <w:rFonts w:hint="eastAsia" w:ascii="宋体" w:hAnsi="宋体"/>
          <w:sz w:val="24"/>
          <w:szCs w:val="24"/>
          <w:highlight w:val="none"/>
        </w:rPr>
      </w:pPr>
      <w:r>
        <w:rPr>
          <w:rFonts w:hint="eastAsia" w:ascii="宋体" w:hAnsi="宋体"/>
          <w:sz w:val="24"/>
          <w:szCs w:val="24"/>
          <w:highlight w:val="none"/>
        </w:rPr>
        <w:t>2.3.2 2D/3D图像去卷积：可对宽场或共聚焦荧光图像进行深度处理，实现去模糊、提高图像分辨率的效果；</w:t>
      </w:r>
    </w:p>
    <w:p w14:paraId="61D308C7">
      <w:pPr>
        <w:spacing w:line="360" w:lineRule="auto"/>
        <w:rPr>
          <w:rFonts w:hint="eastAsia" w:ascii="宋体" w:hAnsi="宋体"/>
          <w:sz w:val="24"/>
          <w:szCs w:val="24"/>
          <w:highlight w:val="none"/>
        </w:rPr>
      </w:pPr>
      <w:r>
        <w:rPr>
          <w:rFonts w:hint="eastAsia" w:ascii="宋体" w:hAnsi="宋体"/>
          <w:sz w:val="24"/>
          <w:szCs w:val="24"/>
          <w:highlight w:val="none"/>
        </w:rPr>
        <w:t>2.3.3包括Z序列图像投影和3D重构、荧光共定位分析、荧光强度时间分析、时间序列多通道图像比率图转换等专业模块；</w:t>
      </w:r>
    </w:p>
    <w:p w14:paraId="78049FAC">
      <w:pPr>
        <w:spacing w:line="360" w:lineRule="auto"/>
        <w:rPr>
          <w:rFonts w:hint="eastAsia" w:ascii="宋体" w:hAnsi="宋体"/>
          <w:sz w:val="24"/>
          <w:szCs w:val="24"/>
          <w:highlight w:val="none"/>
        </w:rPr>
      </w:pPr>
      <w:r>
        <w:rPr>
          <w:rFonts w:hint="eastAsia" w:ascii="宋体" w:hAnsi="宋体"/>
          <w:sz w:val="24"/>
          <w:szCs w:val="24"/>
          <w:highlight w:val="none"/>
        </w:rPr>
        <w:t>2.3.4光谱序列图像拆分：应用参考光谱数据，可进行光谱拆分，将光谱序列图像分解成常规的多通道荧光图像；具有ROI区域光谱数据采样功能，该采样数据可以作为光谱拆分的参考光谱，实现高精度的光谱图像拆分功能；</w:t>
      </w:r>
    </w:p>
    <w:p w14:paraId="646E711C">
      <w:pPr>
        <w:spacing w:line="360" w:lineRule="auto"/>
        <w:rPr>
          <w:rFonts w:hint="eastAsia" w:ascii="宋体" w:hAnsi="宋体"/>
          <w:sz w:val="24"/>
          <w:szCs w:val="24"/>
          <w:highlight w:val="none"/>
        </w:rPr>
      </w:pPr>
      <w:r>
        <w:rPr>
          <w:rFonts w:hint="eastAsia" w:ascii="宋体" w:hAnsi="宋体"/>
          <w:sz w:val="24"/>
          <w:szCs w:val="24"/>
          <w:highlight w:val="none"/>
        </w:rPr>
        <w:t>2.3.5支持图像的自动分割，对目标对像可进行自动的形态学、光密度参数自动测量，测量数据可进行规纳、统计、过滤等分析；</w:t>
      </w:r>
    </w:p>
    <w:p w14:paraId="7BF6211A">
      <w:pPr>
        <w:spacing w:line="360" w:lineRule="auto"/>
        <w:rPr>
          <w:rFonts w:hint="eastAsia" w:ascii="宋体" w:hAnsi="宋体"/>
          <w:sz w:val="24"/>
          <w:szCs w:val="24"/>
          <w:highlight w:val="none"/>
        </w:rPr>
      </w:pPr>
      <w:r>
        <w:rPr>
          <w:rFonts w:hint="eastAsia" w:ascii="宋体" w:hAnsi="宋体"/>
          <w:sz w:val="24"/>
          <w:szCs w:val="24"/>
          <w:highlight w:val="none"/>
        </w:rPr>
        <w:t>2.3.6支持图文报告制作功能，包括静态报告和AVI电影文件；</w:t>
      </w:r>
    </w:p>
    <w:p w14:paraId="2C60CBCC">
      <w:pPr>
        <w:spacing w:line="360" w:lineRule="auto"/>
        <w:rPr>
          <w:rFonts w:hint="eastAsia" w:ascii="宋体" w:hAnsi="宋体"/>
          <w:sz w:val="24"/>
          <w:szCs w:val="24"/>
          <w:highlight w:val="none"/>
        </w:rPr>
      </w:pPr>
      <w:r>
        <w:rPr>
          <w:rFonts w:hint="eastAsia" w:ascii="宋体" w:hAnsi="宋体"/>
          <w:sz w:val="24"/>
          <w:szCs w:val="24"/>
          <w:highlight w:val="none"/>
        </w:rPr>
        <w:t>2.3.7具备光刺激、光活化、光漂白、光损伤等功能；</w:t>
      </w:r>
    </w:p>
    <w:p w14:paraId="18771393">
      <w:pPr>
        <w:spacing w:line="360" w:lineRule="auto"/>
        <w:rPr>
          <w:rFonts w:hint="eastAsia" w:ascii="宋体" w:hAnsi="宋体"/>
          <w:sz w:val="24"/>
          <w:szCs w:val="24"/>
          <w:highlight w:val="none"/>
        </w:rPr>
      </w:pPr>
      <w:r>
        <w:rPr>
          <w:rFonts w:hint="eastAsia" w:ascii="宋体" w:hAnsi="宋体"/>
          <w:sz w:val="24"/>
          <w:szCs w:val="24"/>
          <w:highlight w:val="none"/>
        </w:rPr>
        <w:t>▲（七）人工智能模块</w:t>
      </w:r>
    </w:p>
    <w:p w14:paraId="2B36A64D">
      <w:pPr>
        <w:spacing w:line="360" w:lineRule="auto"/>
        <w:rPr>
          <w:rFonts w:hint="eastAsia" w:ascii="宋体" w:hAnsi="宋体"/>
          <w:sz w:val="24"/>
          <w:szCs w:val="24"/>
          <w:highlight w:val="none"/>
        </w:rPr>
      </w:pPr>
      <w:r>
        <w:rPr>
          <w:rFonts w:hint="eastAsia" w:ascii="宋体" w:hAnsi="宋体"/>
          <w:sz w:val="24"/>
          <w:szCs w:val="24"/>
          <w:highlight w:val="none"/>
        </w:rPr>
        <w:t>1、图像清晰化AI：可使用人工智能自动消除荧光图像的模糊。利用图形处理单元（GPU）执行新AI技术来处理通常由于散焦光线而模糊损坏的图像，可快速有效的获得更清晰的图像。</w:t>
      </w:r>
    </w:p>
    <w:p w14:paraId="6A969EC7">
      <w:pPr>
        <w:spacing w:line="360" w:lineRule="auto"/>
        <w:rPr>
          <w:rFonts w:hint="eastAsia" w:ascii="宋体" w:hAnsi="宋体"/>
          <w:sz w:val="24"/>
          <w:szCs w:val="24"/>
          <w:highlight w:val="none"/>
        </w:rPr>
      </w:pPr>
      <w:r>
        <w:rPr>
          <w:rFonts w:hint="eastAsia" w:ascii="宋体" w:hAnsi="宋体"/>
          <w:sz w:val="24"/>
          <w:szCs w:val="24"/>
          <w:highlight w:val="none"/>
        </w:rPr>
        <w:t>2、图像变换AI：可以用于无荧光标记活细胞实验，具备处理和分析的AI模块，专用于改善和提高数据采集效率并简化以前复杂或困难的分析例程。图像变换Ai算法通过识别存在于两个不同成像通道中的模式，通过训练可以预测采集第一个通道时第二个通道的外观。一旦神经网络学习到两个通道共有的模式，在随后的实验中，不再需要获取第二个染色通道，可保持样品活力。</w:t>
      </w:r>
    </w:p>
    <w:p w14:paraId="2F562B16">
      <w:pPr>
        <w:spacing w:line="360" w:lineRule="auto"/>
        <w:rPr>
          <w:rFonts w:hint="eastAsia" w:ascii="宋体" w:hAnsi="宋体"/>
          <w:sz w:val="24"/>
          <w:szCs w:val="24"/>
          <w:highlight w:val="none"/>
        </w:rPr>
      </w:pPr>
      <w:r>
        <w:rPr>
          <w:rFonts w:hint="eastAsia" w:ascii="宋体" w:hAnsi="宋体"/>
          <w:sz w:val="24"/>
          <w:szCs w:val="24"/>
          <w:highlight w:val="none"/>
        </w:rPr>
        <w:t>3、图像增强AI：一些荧光样本表达的信号非常低，很难将其可视化或提取细节进行分割，另外，这些样本对光漂白非常敏感，因此需要尽快成像。图像增强Ai算法通过训练网络正确曝光的图像的外观来恢复细节。 通过训练并应用于曝光不足的图像，可以还原可用于进一步分析的细节。</w:t>
      </w:r>
    </w:p>
    <w:p w14:paraId="17BFA8F6">
      <w:pPr>
        <w:spacing w:line="360" w:lineRule="auto"/>
        <w:rPr>
          <w:rFonts w:hint="eastAsia" w:ascii="宋体" w:hAnsi="宋体"/>
          <w:sz w:val="24"/>
          <w:szCs w:val="24"/>
          <w:highlight w:val="none"/>
        </w:rPr>
      </w:pPr>
      <w:r>
        <w:rPr>
          <w:rFonts w:hint="eastAsia" w:ascii="宋体" w:hAnsi="宋体"/>
          <w:sz w:val="24"/>
          <w:szCs w:val="24"/>
          <w:highlight w:val="none"/>
        </w:rPr>
        <w:t>4、快速减噪AI：所有图像均包含散粒噪声，快速减噪Ai算法可以识别并消除图像的散粒噪声成分，从而提高分辨率，并在保持活力的同时减少样品的照射时间或增加样品的曝光量 。</w:t>
      </w:r>
    </w:p>
    <w:p w14:paraId="2EC1A129">
      <w:pPr>
        <w:spacing w:line="360" w:lineRule="auto"/>
        <w:rPr>
          <w:rFonts w:hint="eastAsia" w:ascii="宋体" w:hAnsi="宋体"/>
          <w:sz w:val="24"/>
          <w:szCs w:val="24"/>
          <w:highlight w:val="none"/>
        </w:rPr>
      </w:pPr>
      <w:r>
        <w:rPr>
          <w:rFonts w:hint="eastAsia" w:ascii="宋体" w:hAnsi="宋体"/>
          <w:sz w:val="24"/>
          <w:szCs w:val="24"/>
          <w:highlight w:val="none"/>
        </w:rPr>
        <w:t>5、图像分割Ai：结合软件通过强度分水岭自动对目标进行的识别以及通过人工干预校正对目标进行的识别，通过图像分割Ai算法全面提高目标识别效率，提高图像分析的准确率。</w:t>
      </w:r>
    </w:p>
    <w:p w14:paraId="555079C9">
      <w:pPr>
        <w:spacing w:line="360" w:lineRule="auto"/>
        <w:rPr>
          <w:rFonts w:hint="eastAsia" w:ascii="宋体" w:hAnsi="宋体"/>
          <w:sz w:val="24"/>
          <w:szCs w:val="24"/>
          <w:highlight w:val="none"/>
        </w:rPr>
      </w:pPr>
      <w:r>
        <w:rPr>
          <w:rFonts w:hint="eastAsia" w:ascii="宋体" w:hAnsi="宋体"/>
          <w:sz w:val="24"/>
          <w:szCs w:val="24"/>
          <w:highlight w:val="none"/>
        </w:rPr>
        <w:t>（八）配套设备</w:t>
      </w:r>
    </w:p>
    <w:p w14:paraId="0B5CF056">
      <w:pPr>
        <w:spacing w:line="360" w:lineRule="auto"/>
        <w:rPr>
          <w:rFonts w:hint="eastAsia" w:ascii="宋体" w:hAnsi="宋体"/>
          <w:sz w:val="24"/>
          <w:szCs w:val="24"/>
          <w:highlight w:val="none"/>
        </w:rPr>
      </w:pPr>
      <w:r>
        <w:rPr>
          <w:rFonts w:hint="eastAsia" w:ascii="宋体" w:hAnsi="宋体"/>
          <w:sz w:val="24"/>
          <w:szCs w:val="24"/>
          <w:highlight w:val="none"/>
        </w:rPr>
        <w:t>1、防震平台</w:t>
      </w:r>
    </w:p>
    <w:p w14:paraId="077CBE54">
      <w:pPr>
        <w:spacing w:line="360" w:lineRule="auto"/>
        <w:rPr>
          <w:rFonts w:hint="eastAsia" w:ascii="宋体" w:hAnsi="宋体"/>
          <w:sz w:val="24"/>
          <w:szCs w:val="24"/>
          <w:highlight w:val="none"/>
        </w:rPr>
      </w:pPr>
      <w:r>
        <w:rPr>
          <w:rFonts w:hint="eastAsia" w:ascii="宋体" w:hAnsi="宋体"/>
          <w:sz w:val="24"/>
          <w:szCs w:val="24"/>
          <w:highlight w:val="none"/>
        </w:rPr>
        <w:t>2、稳压电源</w:t>
      </w:r>
    </w:p>
    <w:p w14:paraId="579E6100">
      <w:pPr>
        <w:spacing w:line="360" w:lineRule="auto"/>
        <w:rPr>
          <w:rFonts w:hint="eastAsia" w:ascii="宋体" w:hAnsi="宋体"/>
          <w:sz w:val="24"/>
          <w:szCs w:val="24"/>
          <w:highlight w:val="none"/>
        </w:rPr>
      </w:pPr>
      <w:r>
        <w:rPr>
          <w:rFonts w:hint="eastAsia" w:ascii="宋体" w:hAnsi="宋体"/>
          <w:sz w:val="24"/>
          <w:szCs w:val="24"/>
          <w:highlight w:val="none"/>
        </w:rPr>
        <w:t>3、配置电脑桌椅</w:t>
      </w:r>
      <w:bookmarkEnd w:id="40"/>
    </w:p>
    <w:p w14:paraId="71FC1796">
      <w:pPr>
        <w:spacing w:line="360" w:lineRule="auto"/>
        <w:rPr>
          <w:rFonts w:hint="eastAsia" w:asciiTheme="minorEastAsia" w:hAnsiTheme="minorEastAsia" w:eastAsiaTheme="minorEastAsia"/>
          <w:sz w:val="24"/>
          <w:szCs w:val="24"/>
          <w:highlight w:val="none"/>
        </w:rPr>
      </w:pPr>
    </w:p>
    <w:bookmarkEnd w:id="39"/>
    <w:p w14:paraId="6F21C67B">
      <w:pPr>
        <w:tabs>
          <w:tab w:val="left" w:pos="378"/>
        </w:tabs>
        <w:spacing w:line="360" w:lineRule="auto"/>
        <w:ind w:left="-1" w:leftChars="-6" w:hanging="12" w:hangingChars="5"/>
        <w:rPr>
          <w:rFonts w:hint="eastAsia" w:asciiTheme="minorEastAsia" w:hAnsiTheme="minorEastAsia" w:eastAsiaTheme="minorEastAsia"/>
          <w:b/>
          <w:bCs/>
          <w:sz w:val="24"/>
          <w:szCs w:val="24"/>
          <w:highlight w:val="none"/>
        </w:rPr>
      </w:pPr>
      <w:bookmarkStart w:id="41" w:name="OLE_LINK1"/>
      <w:r>
        <w:rPr>
          <w:rFonts w:hint="eastAsia" w:asciiTheme="minorEastAsia" w:hAnsiTheme="minorEastAsia" w:eastAsiaTheme="minorEastAsia"/>
          <w:b/>
          <w:bCs/>
          <w:sz w:val="24"/>
          <w:szCs w:val="24"/>
          <w:highlight w:val="none"/>
        </w:rPr>
        <w:t>品名2</w:t>
      </w:r>
      <w:r>
        <w:rPr>
          <w:rFonts w:asciiTheme="minorEastAsia" w:hAnsiTheme="minorEastAsia" w:eastAsiaTheme="minorEastAsia"/>
          <w:b/>
          <w:bCs/>
          <w:sz w:val="24"/>
          <w:szCs w:val="24"/>
          <w:highlight w:val="none"/>
        </w:rPr>
        <w:t xml:space="preserve"> </w:t>
      </w:r>
      <w:r>
        <w:rPr>
          <w:rFonts w:hint="eastAsia" w:cs="Arial" w:asciiTheme="minorEastAsia" w:hAnsiTheme="minorEastAsia" w:eastAsiaTheme="minorEastAsia"/>
          <w:kern w:val="0"/>
          <w:sz w:val="24"/>
          <w:szCs w:val="24"/>
          <w:highlight w:val="none"/>
        </w:rPr>
        <w:t>超高分辨率扫描透射电子显微镜</w:t>
      </w:r>
    </w:p>
    <w:bookmarkEnd w:id="41"/>
    <w:p w14:paraId="7DC85996">
      <w:pPr>
        <w:numPr>
          <w:ilvl w:val="0"/>
          <w:numId w:val="3"/>
        </w:numPr>
        <w:tabs>
          <w:tab w:val="left" w:pos="378"/>
          <w:tab w:val="clear" w:pos="360"/>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仪器设备如需特殊工作条件（如：水、电源、磁场强度、特殊温度、湿度、振动强度等），已在以下文件中加以说明。</w:t>
      </w:r>
    </w:p>
    <w:p w14:paraId="0A21C7E8">
      <w:pPr>
        <w:numPr>
          <w:ilvl w:val="0"/>
          <w:numId w:val="4"/>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环境条件：</w:t>
      </w:r>
    </w:p>
    <w:p w14:paraId="4CFEBEDC">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除该品目在技术要求中另有说明外，所有仪器、设备和装置，均应适合以下条件：</w:t>
      </w:r>
    </w:p>
    <w:p w14:paraId="63ECE4DF">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电源：</w:t>
      </w:r>
      <w:r>
        <w:rPr>
          <w:rFonts w:asciiTheme="minorEastAsia" w:hAnsiTheme="minorEastAsia" w:eastAsiaTheme="minorEastAsia"/>
          <w:sz w:val="24"/>
          <w:szCs w:val="24"/>
          <w:highlight w:val="none"/>
        </w:rPr>
        <w:t>100V(±10%)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50Hz</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4kVA</w:t>
      </w:r>
    </w:p>
    <w:p w14:paraId="12152EE2">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工作环境温度：</w:t>
      </w:r>
      <w:r>
        <w:rPr>
          <w:rFonts w:asciiTheme="minorEastAsia" w:hAnsiTheme="minorEastAsia" w:eastAsiaTheme="minorEastAsia"/>
          <w:sz w:val="24"/>
          <w:szCs w:val="24"/>
          <w:highlight w:val="none"/>
        </w:rPr>
        <w:t>18</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25</w:t>
      </w:r>
      <w:r>
        <w:rPr>
          <w:rFonts w:hint="eastAsia" w:asciiTheme="minorEastAsia" w:hAnsiTheme="minorEastAsia" w:eastAsiaTheme="minorEastAsia"/>
          <w:sz w:val="24"/>
          <w:szCs w:val="24"/>
          <w:highlight w:val="none"/>
        </w:rPr>
        <w:t>度</w:t>
      </w:r>
    </w:p>
    <w:p w14:paraId="51B44ED8">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工作环境湿度：</w:t>
      </w:r>
      <w:r>
        <w:rPr>
          <w:rFonts w:asciiTheme="minorEastAsia" w:hAnsiTheme="minorEastAsia" w:eastAsiaTheme="minorEastAsia"/>
          <w:sz w:val="24"/>
          <w:szCs w:val="24"/>
          <w:highlight w:val="none"/>
        </w:rPr>
        <w:t>30%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60%</w:t>
      </w:r>
    </w:p>
    <w:p w14:paraId="0D419DE5">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运行持久性：连续使用</w:t>
      </w:r>
    </w:p>
    <w:p w14:paraId="29532379">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安装条件：地线接地电阻不小于</w:t>
      </w:r>
      <w:r>
        <w:rPr>
          <w:rFonts w:asciiTheme="minorEastAsia" w:hAnsiTheme="minorEastAsia" w:eastAsiaTheme="minorEastAsia"/>
          <w:sz w:val="24"/>
          <w:szCs w:val="24"/>
          <w:highlight w:val="none"/>
        </w:rPr>
        <w:t>100</w:t>
      </w:r>
      <w:r>
        <w:rPr>
          <w:rFonts w:hint="eastAsia" w:asciiTheme="minorEastAsia" w:hAnsiTheme="minorEastAsia" w:eastAsiaTheme="minorEastAsia"/>
          <w:sz w:val="24"/>
          <w:szCs w:val="24"/>
          <w:highlight w:val="none"/>
        </w:rPr>
        <w:t>欧姆</w:t>
      </w:r>
    </w:p>
    <w:p w14:paraId="7584A528">
      <w:pPr>
        <w:numPr>
          <w:ilvl w:val="1"/>
          <w:numId w:val="5"/>
        </w:num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冷却水：流量</w:t>
      </w:r>
      <w:r>
        <w:rPr>
          <w:rFonts w:asciiTheme="minorEastAsia" w:hAnsiTheme="minorEastAsia" w:eastAsiaTheme="minorEastAsia"/>
          <w:sz w:val="24"/>
          <w:szCs w:val="24"/>
          <w:highlight w:val="none"/>
        </w:rPr>
        <w:t>1.8-2.2 L/min</w:t>
      </w:r>
      <w:r>
        <w:rPr>
          <w:rFonts w:hint="eastAsia" w:asciiTheme="minorEastAsia" w:hAnsiTheme="minorEastAsia" w:eastAsiaTheme="minorEastAsia"/>
          <w:sz w:val="24"/>
          <w:szCs w:val="24"/>
          <w:highlight w:val="none"/>
        </w:rPr>
        <w:t>，压力</w:t>
      </w:r>
      <w:r>
        <w:rPr>
          <w:rFonts w:asciiTheme="minorEastAsia" w:hAnsiTheme="minorEastAsia" w:eastAsiaTheme="minorEastAsia"/>
          <w:sz w:val="24"/>
          <w:szCs w:val="24"/>
          <w:highlight w:val="none"/>
        </w:rPr>
        <w:t>0.05 to 0.15 MPa</w:t>
      </w:r>
      <w:r>
        <w:rPr>
          <w:rFonts w:hint="eastAsia" w:asciiTheme="minorEastAsia" w:hAnsiTheme="minorEastAsia" w:eastAsiaTheme="minorEastAsia"/>
          <w:sz w:val="24"/>
          <w:szCs w:val="24"/>
          <w:highlight w:val="none"/>
        </w:rPr>
        <w:t>，温度</w:t>
      </w:r>
      <w:r>
        <w:rPr>
          <w:rFonts w:asciiTheme="minorEastAsia" w:hAnsiTheme="minorEastAsia" w:eastAsiaTheme="minorEastAsia"/>
          <w:sz w:val="24"/>
          <w:szCs w:val="24"/>
          <w:highlight w:val="none"/>
        </w:rPr>
        <w:t xml:space="preserve">15 </w:t>
      </w:r>
      <w:r>
        <w:rPr>
          <w:rFonts w:hint="eastAsia" w:asciiTheme="minorEastAsia" w:hAnsiTheme="minorEastAsia" w:eastAsiaTheme="minorEastAsia"/>
          <w:sz w:val="24"/>
          <w:szCs w:val="24"/>
          <w:highlight w:val="none"/>
        </w:rPr>
        <w:t>至</w:t>
      </w:r>
      <w:r>
        <w:rPr>
          <w:rFonts w:asciiTheme="minorEastAsia" w:hAnsiTheme="minorEastAsia" w:eastAsiaTheme="minorEastAsia"/>
          <w:sz w:val="24"/>
          <w:szCs w:val="24"/>
          <w:highlight w:val="none"/>
        </w:rPr>
        <w:t xml:space="preserve"> 20 </w:t>
      </w:r>
      <w:r>
        <w:rPr>
          <w:rFonts w:asciiTheme="minorEastAsia" w:hAnsiTheme="minorEastAsia" w:eastAsiaTheme="minorEastAsia"/>
          <w:sz w:val="24"/>
          <w:szCs w:val="24"/>
          <w:highlight w:val="none"/>
        </w:rPr>
        <w:sym w:font="Symbol" w:char="F0B0"/>
      </w:r>
      <w:r>
        <w:rPr>
          <w:rFonts w:asciiTheme="minorEastAsia" w:hAnsiTheme="minorEastAsia" w:eastAsiaTheme="minorEastAsia"/>
          <w:sz w:val="24"/>
          <w:szCs w:val="24"/>
          <w:highlight w:val="none"/>
        </w:rPr>
        <w:t>C</w:t>
      </w:r>
    </w:p>
    <w:p w14:paraId="7CC0E55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 </w:t>
      </w:r>
      <w:r>
        <w:rPr>
          <w:rFonts w:hint="eastAsia" w:asciiTheme="minorEastAsia" w:hAnsiTheme="minorEastAsia" w:eastAsiaTheme="minorEastAsia"/>
          <w:sz w:val="24"/>
          <w:szCs w:val="24"/>
          <w:highlight w:val="none"/>
        </w:rPr>
        <w:t>技术要求：</w:t>
      </w:r>
    </w:p>
    <w:p w14:paraId="0F2A42F3">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分辨率：≤</w:t>
      </w:r>
      <w:r>
        <w:rPr>
          <w:rFonts w:asciiTheme="minorEastAsia" w:hAnsiTheme="minorEastAsia" w:eastAsiaTheme="minorEastAsia"/>
          <w:sz w:val="24"/>
          <w:szCs w:val="24"/>
          <w:highlight w:val="none"/>
        </w:rPr>
        <w:t>0.2nm</w:t>
      </w:r>
    </w:p>
    <w:p w14:paraId="635714C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加速电压：</w:t>
      </w:r>
      <w:r>
        <w:rPr>
          <w:rFonts w:asciiTheme="minorEastAsia" w:hAnsiTheme="minorEastAsia" w:eastAsiaTheme="minorEastAsia"/>
          <w:sz w:val="24"/>
          <w:szCs w:val="24"/>
          <w:highlight w:val="none"/>
        </w:rPr>
        <w:t>20-120KV(</w:t>
      </w:r>
      <w:r>
        <w:rPr>
          <w:rFonts w:hint="eastAsia" w:asciiTheme="minorEastAsia" w:hAnsiTheme="minorEastAsia" w:eastAsiaTheme="minorEastAsia"/>
          <w:sz w:val="24"/>
          <w:szCs w:val="24"/>
          <w:highlight w:val="none"/>
        </w:rPr>
        <w:t>以</w:t>
      </w:r>
      <w:r>
        <w:rPr>
          <w:rFonts w:asciiTheme="minorEastAsia" w:hAnsiTheme="minorEastAsia" w:eastAsiaTheme="minorEastAsia"/>
          <w:sz w:val="24"/>
          <w:szCs w:val="24"/>
          <w:highlight w:val="none"/>
        </w:rPr>
        <w:t>100V</w:t>
      </w:r>
      <w:r>
        <w:rPr>
          <w:rFonts w:hint="eastAsia" w:asciiTheme="minorEastAsia" w:hAnsiTheme="minorEastAsia" w:eastAsiaTheme="minorEastAsia"/>
          <w:sz w:val="24"/>
          <w:szCs w:val="24"/>
          <w:highlight w:val="none"/>
        </w:rPr>
        <w:t>为步长调节</w:t>
      </w:r>
      <w:r>
        <w:rPr>
          <w:rFonts w:asciiTheme="minorEastAsia" w:hAnsiTheme="minorEastAsia" w:eastAsiaTheme="minorEastAsia"/>
          <w:sz w:val="24"/>
          <w:szCs w:val="24"/>
          <w:highlight w:val="none"/>
        </w:rPr>
        <w:t>)</w:t>
      </w:r>
    </w:p>
    <w:p w14:paraId="1EC41DF6">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观察模式：</w:t>
      </w:r>
    </w:p>
    <w:p w14:paraId="64BE24C8">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同时具备高分辨系统（</w:t>
      </w:r>
      <w:r>
        <w:rPr>
          <w:rFonts w:asciiTheme="minorEastAsia" w:hAnsiTheme="minorEastAsia" w:eastAsiaTheme="minorEastAsia"/>
          <w:sz w:val="24"/>
          <w:szCs w:val="24"/>
          <w:highlight w:val="none"/>
        </w:rPr>
        <w:t>HR</w:t>
      </w:r>
      <w:r>
        <w:rPr>
          <w:rFonts w:hint="eastAsia" w:asciiTheme="minorEastAsia" w:hAnsiTheme="minorEastAsia" w:eastAsiaTheme="minorEastAsia"/>
          <w:sz w:val="24"/>
          <w:szCs w:val="24"/>
          <w:highlight w:val="none"/>
        </w:rPr>
        <w:t>）和高反差系统</w:t>
      </w:r>
      <w:r>
        <w:rPr>
          <w:rFonts w:asciiTheme="minorEastAsia" w:hAnsiTheme="minorEastAsia" w:eastAsiaTheme="minorEastAsia"/>
          <w:sz w:val="24"/>
          <w:szCs w:val="24"/>
          <w:highlight w:val="none"/>
        </w:rPr>
        <w:t>(HC)</w:t>
      </w:r>
      <w:r>
        <w:rPr>
          <w:rFonts w:hint="eastAsia" w:asciiTheme="minorEastAsia" w:hAnsiTheme="minorEastAsia" w:eastAsiaTheme="minorEastAsia"/>
          <w:sz w:val="24"/>
          <w:szCs w:val="24"/>
          <w:highlight w:val="none"/>
        </w:rPr>
        <w:t>。不更换硬件的前提下，可在同一台仪器上实现物镜的高分辨和高反差模式的一键切换，无需等待。</w:t>
      </w:r>
    </w:p>
    <w:p w14:paraId="6D95F24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放大倍数：高反差模式：</w:t>
      </w:r>
      <w:r>
        <w:rPr>
          <w:rFonts w:asciiTheme="minorEastAsia" w:hAnsiTheme="minorEastAsia" w:eastAsiaTheme="minorEastAsia"/>
          <w:sz w:val="24"/>
          <w:szCs w:val="24"/>
          <w:highlight w:val="none"/>
        </w:rPr>
        <w:t>X200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X200,000</w:t>
      </w:r>
      <w:r>
        <w:rPr>
          <w:rFonts w:hint="eastAsia" w:asciiTheme="minorEastAsia" w:hAnsiTheme="minorEastAsia" w:eastAsiaTheme="minorEastAsia"/>
          <w:sz w:val="24"/>
          <w:szCs w:val="24"/>
          <w:highlight w:val="none"/>
        </w:rPr>
        <w:t>，高分辨模式：</w:t>
      </w:r>
      <w:r>
        <w:rPr>
          <w:rFonts w:asciiTheme="minorEastAsia" w:hAnsiTheme="minorEastAsia" w:eastAsiaTheme="minorEastAsia"/>
          <w:sz w:val="24"/>
          <w:szCs w:val="24"/>
          <w:highlight w:val="none"/>
        </w:rPr>
        <w:t>X4,000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X600,000</w:t>
      </w:r>
    </w:p>
    <w:p w14:paraId="2C7BB38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低倍模式：</w:t>
      </w:r>
      <w:r>
        <w:rPr>
          <w:rFonts w:asciiTheme="minorEastAsia" w:hAnsiTheme="minorEastAsia" w:eastAsiaTheme="minorEastAsia"/>
          <w:sz w:val="24"/>
          <w:szCs w:val="24"/>
          <w:highlight w:val="none"/>
        </w:rPr>
        <w:t>X50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X1,000</w:t>
      </w:r>
    </w:p>
    <w:p w14:paraId="20A23A8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图像旋转：</w:t>
      </w:r>
    </w:p>
    <w:p w14:paraId="0AAB03C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最大范围</w:t>
      </w:r>
      <w:r>
        <w:rPr>
          <w:rFonts w:asciiTheme="minorEastAsia" w:hAnsiTheme="minorEastAsia" w:eastAsiaTheme="minorEastAsia"/>
          <w:sz w:val="24"/>
          <w:szCs w:val="24"/>
          <w:highlight w:val="none"/>
        </w:rPr>
        <w:t>X1,000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X40,000</w:t>
      </w:r>
      <w:r>
        <w:rPr>
          <w:rFonts w:hint="eastAsia" w:asciiTheme="minorEastAsia" w:hAnsiTheme="minorEastAsia" w:eastAsiaTheme="minorEastAsia"/>
          <w:sz w:val="24"/>
          <w:szCs w:val="24"/>
          <w:highlight w:val="none"/>
        </w:rPr>
        <w:t>，旋转角度：</w:t>
      </w:r>
      <w:r>
        <w:rPr>
          <w:rFonts w:asciiTheme="minorEastAsia" w:hAnsiTheme="minorEastAsia" w:eastAsiaTheme="minorEastAsia"/>
          <w:sz w:val="24"/>
          <w:szCs w:val="24"/>
          <w:highlight w:val="none"/>
        </w:rPr>
        <w:t>±90</w:t>
      </w:r>
      <w:r>
        <w:rPr>
          <w:rFonts w:hint="eastAsia" w:asciiTheme="minorEastAsia" w:hAnsiTheme="minorEastAsia" w:eastAsiaTheme="minorEastAsia"/>
          <w:sz w:val="24"/>
          <w:szCs w:val="24"/>
          <w:highlight w:val="none"/>
        </w:rPr>
        <w:t>度（</w:t>
      </w:r>
      <w:r>
        <w:rPr>
          <w:rFonts w:asciiTheme="minorEastAsia" w:hAnsiTheme="minorEastAsia" w:eastAsiaTheme="minorEastAsia"/>
          <w:sz w:val="24"/>
          <w:szCs w:val="24"/>
          <w:highlight w:val="none"/>
        </w:rPr>
        <w:t>15</w:t>
      </w:r>
      <w:r>
        <w:rPr>
          <w:rFonts w:hint="eastAsia" w:asciiTheme="minorEastAsia" w:hAnsiTheme="minorEastAsia" w:eastAsiaTheme="minorEastAsia"/>
          <w:sz w:val="24"/>
          <w:szCs w:val="24"/>
          <w:highlight w:val="none"/>
        </w:rPr>
        <w:t>度</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步）</w:t>
      </w:r>
    </w:p>
    <w:p w14:paraId="5DBD1434">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衍射长度：高反差方式</w:t>
      </w:r>
      <w:r>
        <w:rPr>
          <w:rFonts w:asciiTheme="minorEastAsia" w:hAnsiTheme="minorEastAsia" w:eastAsiaTheme="minorEastAsia"/>
          <w:sz w:val="24"/>
          <w:szCs w:val="24"/>
          <w:highlight w:val="none"/>
        </w:rPr>
        <w:t xml:space="preserve"> 0.2</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5.0m </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步）</w:t>
      </w:r>
    </w:p>
    <w:p w14:paraId="39BCF518">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高分辨方式</w:t>
      </w:r>
      <w:r>
        <w:rPr>
          <w:rFonts w:asciiTheme="minorEastAsia" w:hAnsiTheme="minorEastAsia" w:eastAsiaTheme="minorEastAsia"/>
          <w:sz w:val="24"/>
          <w:szCs w:val="24"/>
          <w:highlight w:val="none"/>
        </w:rPr>
        <w:t xml:space="preserve"> 0.2</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2.0 m </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步）</w:t>
      </w:r>
    </w:p>
    <w:p w14:paraId="21136A45">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电子枪：钨灯丝，具有电流自动控制，灯丝计时，气压式自动升枪等功能，可选配</w:t>
      </w:r>
      <w:r>
        <w:rPr>
          <w:rFonts w:asciiTheme="minorEastAsia" w:hAnsiTheme="minorEastAsia" w:eastAsiaTheme="minorEastAsia"/>
          <w:sz w:val="24"/>
          <w:szCs w:val="24"/>
          <w:highlight w:val="none"/>
        </w:rPr>
        <w:t>LaB</w:t>
      </w:r>
      <w:r>
        <w:rPr>
          <w:rFonts w:asciiTheme="minorEastAsia" w:hAnsiTheme="minorEastAsia" w:eastAsiaTheme="minorEastAsia"/>
          <w:sz w:val="24"/>
          <w:szCs w:val="24"/>
          <w:highlight w:val="none"/>
          <w:vertAlign w:val="subscript"/>
        </w:rPr>
        <w:t>6</w:t>
      </w:r>
      <w:r>
        <w:rPr>
          <w:rFonts w:hint="eastAsia" w:asciiTheme="minorEastAsia" w:hAnsiTheme="minorEastAsia" w:eastAsiaTheme="minorEastAsia"/>
          <w:sz w:val="24"/>
          <w:szCs w:val="24"/>
          <w:highlight w:val="none"/>
        </w:rPr>
        <w:t>灯丝。</w:t>
      </w:r>
    </w:p>
    <w:p w14:paraId="00E096A9">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8</w:t>
      </w:r>
      <w:r>
        <w:rPr>
          <w:rFonts w:hint="eastAsia" w:asciiTheme="minorEastAsia" w:hAnsiTheme="minorEastAsia" w:eastAsiaTheme="minorEastAsia"/>
          <w:sz w:val="24"/>
          <w:szCs w:val="24"/>
          <w:highlight w:val="none"/>
        </w:rPr>
        <w:t>使用高速、高灵敏的</w:t>
      </w:r>
      <w:r>
        <w:rPr>
          <w:rFonts w:asciiTheme="minorEastAsia" w:hAnsiTheme="minorEastAsia" w:eastAsiaTheme="minorEastAsia"/>
          <w:sz w:val="24"/>
          <w:szCs w:val="24"/>
          <w:highlight w:val="none"/>
        </w:rPr>
        <w:t>COMS</w:t>
      </w:r>
      <w:r>
        <w:rPr>
          <w:rFonts w:hint="eastAsia" w:asciiTheme="minorEastAsia" w:hAnsiTheme="minorEastAsia" w:eastAsiaTheme="minorEastAsia"/>
          <w:sz w:val="24"/>
          <w:szCs w:val="24"/>
          <w:highlight w:val="none"/>
        </w:rPr>
        <w:t>荧光屏相机取代了传统的荧光屏，将</w:t>
      </w:r>
      <w:r>
        <w:rPr>
          <w:rFonts w:asciiTheme="minorEastAsia" w:hAnsiTheme="minorEastAsia" w:eastAsiaTheme="minorEastAsia"/>
          <w:sz w:val="24"/>
          <w:szCs w:val="24"/>
          <w:highlight w:val="none"/>
        </w:rPr>
        <w:t>TEM</w:t>
      </w:r>
      <w:r>
        <w:rPr>
          <w:rFonts w:hint="eastAsia" w:asciiTheme="minorEastAsia" w:hAnsiTheme="minorEastAsia" w:eastAsiaTheme="minorEastAsia"/>
          <w:sz w:val="24"/>
          <w:szCs w:val="24"/>
          <w:highlight w:val="none"/>
        </w:rPr>
        <w:t>操作统一于显示器上。</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像素：不小于</w:t>
      </w:r>
      <w:r>
        <w:rPr>
          <w:rFonts w:asciiTheme="minorEastAsia" w:hAnsiTheme="minorEastAsia" w:eastAsiaTheme="minorEastAsia"/>
          <w:sz w:val="24"/>
          <w:szCs w:val="24"/>
          <w:highlight w:val="none"/>
        </w:rPr>
        <w:t>1024×1024</w:t>
      </w:r>
      <w:r>
        <w:rPr>
          <w:rFonts w:hint="eastAsia" w:asciiTheme="minorEastAsia" w:hAnsiTheme="minorEastAsia" w:eastAsiaTheme="minorEastAsia"/>
          <w:sz w:val="24"/>
          <w:szCs w:val="24"/>
          <w:highlight w:val="none"/>
        </w:rPr>
        <w:t>，帧率不小于</w:t>
      </w:r>
      <w:r>
        <w:rPr>
          <w:rFonts w:asciiTheme="minorEastAsia" w:hAnsiTheme="minorEastAsia" w:eastAsiaTheme="minorEastAsia"/>
          <w:sz w:val="24"/>
          <w:szCs w:val="24"/>
          <w:highlight w:val="none"/>
        </w:rPr>
        <w:t>160fps</w:t>
      </w:r>
      <w:r>
        <w:rPr>
          <w:rFonts w:hint="eastAsia" w:asciiTheme="minorEastAsia" w:hAnsiTheme="minorEastAsia" w:eastAsiaTheme="minorEastAsia"/>
          <w:sz w:val="24"/>
          <w:szCs w:val="24"/>
          <w:highlight w:val="none"/>
        </w:rPr>
        <w:t>。</w:t>
      </w:r>
    </w:p>
    <w:p w14:paraId="430090B6">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两端支撑式高稳定样品杆，有效防止样品漂移、抖动。</w:t>
      </w:r>
      <w:r>
        <w:rPr>
          <w:rFonts w:asciiTheme="minorEastAsia" w:hAnsiTheme="minorEastAsia" w:eastAsiaTheme="minorEastAsia"/>
          <w:sz w:val="24"/>
          <w:szCs w:val="24"/>
          <w:highlight w:val="none"/>
        </w:rPr>
        <w:t xml:space="preserve"> </w:t>
      </w:r>
    </w:p>
    <w:p w14:paraId="07BC5C4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10</w:t>
      </w:r>
      <w:r>
        <w:rPr>
          <w:rFonts w:hint="eastAsia" w:asciiTheme="minorEastAsia" w:hAnsiTheme="minorEastAsia" w:eastAsiaTheme="minorEastAsia"/>
          <w:sz w:val="24"/>
          <w:szCs w:val="24"/>
          <w:highlight w:val="none"/>
        </w:rPr>
        <w:t>样品台：</w:t>
      </w:r>
    </w:p>
    <w:p w14:paraId="602BE927">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优中心侧插式测角台，轨迹追踪功能，位置记忆功能，回溯功能</w:t>
      </w:r>
    </w:p>
    <w:p w14:paraId="0F9C5836">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样品承载网：</w:t>
      </w:r>
      <w:r>
        <w:rPr>
          <w:rFonts w:asciiTheme="minorEastAsia" w:hAnsiTheme="minorEastAsia" w:eastAsiaTheme="minorEastAsia"/>
          <w:sz w:val="24"/>
          <w:szCs w:val="24"/>
          <w:highlight w:val="none"/>
        </w:rPr>
        <w:t>3mm</w:t>
      </w:r>
    </w:p>
    <w:p w14:paraId="7BF0B753">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样品台行程：</w:t>
      </w:r>
      <w:r>
        <w:rPr>
          <w:rFonts w:asciiTheme="minorEastAsia" w:hAnsiTheme="minorEastAsia" w:eastAsiaTheme="minorEastAsia"/>
          <w:sz w:val="24"/>
          <w:szCs w:val="24"/>
          <w:highlight w:val="none"/>
        </w:rPr>
        <w:t xml:space="preserve">X/Y ±1mm </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Z ±0.3mm</w:t>
      </w:r>
    </w:p>
    <w:p w14:paraId="5CB5F5B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单样品杆：最大倾斜角：</w:t>
      </w:r>
      <w:r>
        <w:rPr>
          <w:rFonts w:asciiTheme="minorEastAsia" w:hAnsiTheme="minorEastAsia" w:eastAsiaTheme="minorEastAsia"/>
          <w:sz w:val="24"/>
          <w:szCs w:val="24"/>
          <w:highlight w:val="none"/>
        </w:rPr>
        <w:t>±70</w:t>
      </w:r>
      <w:r>
        <w:rPr>
          <w:rFonts w:hint="eastAsia" w:asciiTheme="minorEastAsia" w:hAnsiTheme="minorEastAsia" w:eastAsiaTheme="minorEastAsia"/>
          <w:sz w:val="24"/>
          <w:szCs w:val="24"/>
          <w:highlight w:val="none"/>
        </w:rPr>
        <w:t>度</w:t>
      </w:r>
    </w:p>
    <w:p w14:paraId="4B9F81F5">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三样品杆：最大倾斜角：±</w:t>
      </w:r>
      <w:r>
        <w:rPr>
          <w:rFonts w:asciiTheme="minorEastAsia" w:hAnsiTheme="minorEastAsia" w:eastAsiaTheme="minorEastAsia"/>
          <w:sz w:val="24"/>
          <w:szCs w:val="24"/>
          <w:highlight w:val="none"/>
        </w:rPr>
        <w:t>40</w:t>
      </w:r>
      <w:r>
        <w:rPr>
          <w:rFonts w:hint="eastAsia" w:asciiTheme="minorEastAsia" w:hAnsiTheme="minorEastAsia" w:eastAsiaTheme="minorEastAsia"/>
          <w:sz w:val="24"/>
          <w:szCs w:val="24"/>
          <w:highlight w:val="none"/>
        </w:rPr>
        <w:t>度</w:t>
      </w:r>
    </w:p>
    <w:p w14:paraId="41497B1B">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11</w:t>
      </w:r>
      <w:r>
        <w:rPr>
          <w:rFonts w:hint="eastAsia" w:asciiTheme="minorEastAsia" w:hAnsiTheme="minorEastAsia" w:eastAsiaTheme="minorEastAsia"/>
          <w:sz w:val="24"/>
          <w:szCs w:val="24"/>
          <w:highlight w:val="none"/>
        </w:rPr>
        <w:t>照明系统：</w:t>
      </w:r>
    </w:p>
    <w:p w14:paraId="3B04924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级聚光镜（带能谱时</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级）</w:t>
      </w:r>
    </w:p>
    <w:p w14:paraId="396B7A1E">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sym w:font="Symbol" w:char="F0B0"/>
      </w:r>
      <w:r>
        <w:rPr>
          <w:rFonts w:hint="eastAsia" w:asciiTheme="minorEastAsia" w:hAnsiTheme="minorEastAsia" w:eastAsiaTheme="minorEastAsia"/>
          <w:sz w:val="24"/>
          <w:szCs w:val="24"/>
          <w:highlight w:val="none"/>
        </w:rPr>
        <w:t>束偏转</w:t>
      </w:r>
    </w:p>
    <w:p w14:paraId="6B3894B5">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孔可动光阑（</w:t>
      </w:r>
      <w:r>
        <w:rPr>
          <w:rFonts w:asciiTheme="minorEastAsia" w:hAnsiTheme="minorEastAsia" w:eastAsiaTheme="minorEastAsia"/>
          <w:sz w:val="24"/>
          <w:szCs w:val="24"/>
          <w:highlight w:val="none"/>
        </w:rPr>
        <w:t xml:space="preserve">20, 50, 100, 200 </w:t>
      </w:r>
      <w:r>
        <w:rPr>
          <w:rFonts w:cs="Calibri" w:asciiTheme="minorEastAsia" w:hAnsiTheme="minorEastAsia" w:eastAsiaTheme="minorEastAsia"/>
          <w:sz w:val="24"/>
          <w:szCs w:val="24"/>
          <w:highlight w:val="none"/>
        </w:rPr>
        <w:t>µ</w:t>
      </w:r>
      <w:r>
        <w:rPr>
          <w:rFonts w:asciiTheme="minorEastAsia" w:hAnsiTheme="minorEastAsia" w:eastAsiaTheme="minorEastAsia"/>
          <w:sz w:val="24"/>
          <w:szCs w:val="24"/>
          <w:highlight w:val="none"/>
        </w:rPr>
        <w:t>m</w:t>
      </w:r>
      <w:r>
        <w:rPr>
          <w:rFonts w:hint="eastAsia" w:asciiTheme="minorEastAsia" w:hAnsiTheme="minorEastAsia" w:eastAsiaTheme="minorEastAsia"/>
          <w:sz w:val="24"/>
          <w:szCs w:val="24"/>
          <w:highlight w:val="none"/>
        </w:rPr>
        <w:t>）</w:t>
      </w:r>
    </w:p>
    <w:p w14:paraId="74ADCC5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12</w:t>
      </w:r>
      <w:r>
        <w:rPr>
          <w:rFonts w:hint="eastAsia" w:asciiTheme="minorEastAsia" w:hAnsiTheme="minorEastAsia" w:eastAsiaTheme="minorEastAsia"/>
          <w:sz w:val="24"/>
          <w:szCs w:val="24"/>
          <w:highlight w:val="none"/>
        </w:rPr>
        <w:t>成像系统：</w:t>
      </w:r>
    </w:p>
    <w:p w14:paraId="4A85886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级透镜：</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级物镜、</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级中间镜、</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级投影镜。</w:t>
      </w:r>
    </w:p>
    <w:p w14:paraId="7FCF1DC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双隙物镜，焦距可变</w:t>
      </w:r>
    </w:p>
    <w:p w14:paraId="47B5476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直接显示散焦度</w:t>
      </w:r>
    </w:p>
    <w:p w14:paraId="10806587">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内置对各加速电压的像散修正，修正范围</w:t>
      </w:r>
      <w:r>
        <w:rPr>
          <w:rFonts w:asciiTheme="minorEastAsia" w:hAnsiTheme="minorEastAsia" w:eastAsiaTheme="minorEastAsia"/>
          <w:sz w:val="24"/>
          <w:szCs w:val="24"/>
          <w:highlight w:val="none"/>
        </w:rPr>
        <w:t>±3</w:t>
      </w:r>
      <w:r>
        <w:rPr>
          <w:rFonts w:cs="Calibri" w:asciiTheme="minorEastAsia" w:hAnsiTheme="minorEastAsia" w:eastAsiaTheme="minorEastAsia"/>
          <w:sz w:val="24"/>
          <w:szCs w:val="24"/>
          <w:highlight w:val="none"/>
        </w:rPr>
        <w:t>µ</w:t>
      </w:r>
      <w:r>
        <w:rPr>
          <w:rFonts w:asciiTheme="minorEastAsia" w:hAnsiTheme="minorEastAsia" w:eastAsiaTheme="minorEastAsia"/>
          <w:sz w:val="24"/>
          <w:szCs w:val="24"/>
          <w:highlight w:val="none"/>
        </w:rPr>
        <w:t>m</w:t>
      </w:r>
    </w:p>
    <w:p w14:paraId="28C3A73D">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孔物镜可动光阑（</w:t>
      </w:r>
      <w:r>
        <w:rPr>
          <w:rFonts w:asciiTheme="minorEastAsia" w:hAnsiTheme="minorEastAsia" w:eastAsiaTheme="minorEastAsia"/>
          <w:sz w:val="24"/>
          <w:szCs w:val="24"/>
          <w:highlight w:val="none"/>
        </w:rPr>
        <w:t xml:space="preserve">15, 25, 90, 150 </w:t>
      </w:r>
      <w:r>
        <w:rPr>
          <w:rFonts w:cs="Calibri" w:asciiTheme="minorEastAsia" w:hAnsiTheme="minorEastAsia" w:eastAsiaTheme="minorEastAsia"/>
          <w:sz w:val="24"/>
          <w:szCs w:val="24"/>
          <w:highlight w:val="none"/>
        </w:rPr>
        <w:t>µ</w:t>
      </w:r>
      <w:r>
        <w:rPr>
          <w:rFonts w:asciiTheme="minorEastAsia" w:hAnsiTheme="minorEastAsia" w:eastAsiaTheme="minorEastAsia"/>
          <w:sz w:val="24"/>
          <w:szCs w:val="24"/>
          <w:highlight w:val="none"/>
        </w:rPr>
        <w:t>m</w:t>
      </w:r>
      <w:r>
        <w:rPr>
          <w:rFonts w:hint="eastAsia" w:asciiTheme="minorEastAsia" w:hAnsiTheme="minorEastAsia" w:eastAsiaTheme="minorEastAsia"/>
          <w:sz w:val="24"/>
          <w:szCs w:val="24"/>
          <w:highlight w:val="none"/>
        </w:rPr>
        <w:t>）</w:t>
      </w:r>
    </w:p>
    <w:p w14:paraId="74F395A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13 </w:t>
      </w:r>
      <w:r>
        <w:rPr>
          <w:rFonts w:hint="eastAsia" w:asciiTheme="minorEastAsia" w:hAnsiTheme="minorEastAsia" w:eastAsiaTheme="minorEastAsia"/>
          <w:sz w:val="24"/>
          <w:szCs w:val="24"/>
          <w:highlight w:val="none"/>
        </w:rPr>
        <w:t>物镜焦长：高反差模式焦长：≥</w:t>
      </w:r>
      <w:r>
        <w:rPr>
          <w:rFonts w:asciiTheme="minorEastAsia" w:hAnsiTheme="minorEastAsia" w:eastAsiaTheme="minorEastAsia"/>
          <w:sz w:val="24"/>
          <w:szCs w:val="24"/>
          <w:highlight w:val="none"/>
        </w:rPr>
        <w:t>8.8mm</w:t>
      </w:r>
      <w:r>
        <w:rPr>
          <w:rFonts w:hint="eastAsia" w:asciiTheme="minorEastAsia" w:hAnsiTheme="minorEastAsia" w:eastAsiaTheme="minorEastAsia"/>
          <w:sz w:val="24"/>
          <w:szCs w:val="24"/>
          <w:highlight w:val="none"/>
        </w:rPr>
        <w:t>。</w:t>
      </w:r>
    </w:p>
    <w:p w14:paraId="3FC1980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14</w:t>
      </w:r>
      <w:r>
        <w:rPr>
          <w:rFonts w:hint="eastAsia" w:asciiTheme="minorEastAsia" w:hAnsiTheme="minorEastAsia" w:eastAsiaTheme="minorEastAsia"/>
          <w:sz w:val="24"/>
          <w:szCs w:val="24"/>
          <w:highlight w:val="none"/>
        </w:rPr>
        <w:t>图像观察和记录系统：</w:t>
      </w:r>
      <w:r>
        <w:rPr>
          <w:rFonts w:asciiTheme="minorEastAsia" w:hAnsiTheme="minorEastAsia" w:eastAsiaTheme="minorEastAsia"/>
          <w:sz w:val="24"/>
          <w:szCs w:val="24"/>
          <w:highlight w:val="none"/>
        </w:rPr>
        <w:t xml:space="preserve"> </w:t>
      </w:r>
    </w:p>
    <w:p w14:paraId="00F28616">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双相机系统，配备</w:t>
      </w:r>
      <w:r>
        <w:rPr>
          <w:rFonts w:asciiTheme="minorEastAsia" w:hAnsiTheme="minorEastAsia" w:eastAsiaTheme="minorEastAsia"/>
          <w:sz w:val="24"/>
          <w:szCs w:val="24"/>
          <w:highlight w:val="none"/>
        </w:rPr>
        <w:t>CMOS</w:t>
      </w:r>
      <w:r>
        <w:rPr>
          <w:rFonts w:hint="eastAsia" w:asciiTheme="minorEastAsia" w:hAnsiTheme="minorEastAsia" w:eastAsiaTheme="minorEastAsia"/>
          <w:sz w:val="24"/>
          <w:szCs w:val="24"/>
          <w:highlight w:val="none"/>
        </w:rPr>
        <w:t>荧光屏相机和直插</w:t>
      </w:r>
      <w:r>
        <w:rPr>
          <w:rFonts w:asciiTheme="minorEastAsia" w:hAnsiTheme="minorEastAsia" w:eastAsiaTheme="minorEastAsia"/>
          <w:sz w:val="24"/>
          <w:szCs w:val="24"/>
          <w:highlight w:val="none"/>
        </w:rPr>
        <w:t>CMOS</w:t>
      </w:r>
      <w:r>
        <w:rPr>
          <w:rFonts w:hint="eastAsia" w:asciiTheme="minorEastAsia" w:hAnsiTheme="minorEastAsia" w:eastAsiaTheme="minorEastAsia"/>
          <w:sz w:val="24"/>
          <w:szCs w:val="24"/>
          <w:highlight w:val="none"/>
        </w:rPr>
        <w:t>主相机；</w:t>
      </w:r>
    </w:p>
    <w:p w14:paraId="730EB449">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荧光屏相机刷新速度：≥</w:t>
      </w:r>
      <w:r>
        <w:rPr>
          <w:rFonts w:asciiTheme="minorEastAsia" w:hAnsiTheme="minorEastAsia" w:eastAsiaTheme="minorEastAsia"/>
          <w:sz w:val="24"/>
          <w:szCs w:val="24"/>
          <w:highlight w:val="none"/>
        </w:rPr>
        <w:t>160</w:t>
      </w:r>
      <w:r>
        <w:rPr>
          <w:rFonts w:hint="eastAsia" w:asciiTheme="minorEastAsia" w:hAnsiTheme="minorEastAsia" w:eastAsiaTheme="minorEastAsia"/>
          <w:sz w:val="24"/>
          <w:szCs w:val="24"/>
          <w:highlight w:val="none"/>
        </w:rPr>
        <w:t>帧</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秒</w:t>
      </w:r>
    </w:p>
    <w:p w14:paraId="16273A8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主相机分辨率：不小于</w:t>
      </w:r>
      <w:r>
        <w:rPr>
          <w:rFonts w:asciiTheme="minorEastAsia" w:hAnsiTheme="minorEastAsia" w:eastAsiaTheme="minorEastAsia"/>
          <w:sz w:val="24"/>
          <w:szCs w:val="24"/>
          <w:highlight w:val="none"/>
        </w:rPr>
        <w:t>16M Pixels</w:t>
      </w:r>
    </w:p>
    <w:p w14:paraId="79FC07C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电镜与相机实现一体化控制，无需单独配置电脑；</w:t>
      </w:r>
    </w:p>
    <w:p w14:paraId="54C26D59">
      <w:pPr>
        <w:tabs>
          <w:tab w:val="left" w:pos="378"/>
        </w:tabs>
        <w:spacing w:line="360" w:lineRule="auto"/>
        <w:ind w:left="-1" w:leftChars="-6" w:hanging="12" w:hangingChars="5"/>
        <w:rPr>
          <w:rFonts w:hint="eastAsia" w:asciiTheme="minorEastAsia" w:hAnsiTheme="minorEastAsia" w:eastAsiaTheme="minorEastAsia"/>
          <w:b/>
          <w:bCs/>
          <w:sz w:val="24"/>
          <w:szCs w:val="24"/>
          <w:highlight w:val="none"/>
        </w:rPr>
      </w:pPr>
      <w:r>
        <w:rPr>
          <w:rFonts w:hint="eastAsia" w:asciiTheme="minorEastAsia" w:hAnsiTheme="minorEastAsia" w:eastAsiaTheme="minorEastAsia"/>
          <w:sz w:val="24"/>
          <w:szCs w:val="24"/>
          <w:highlight w:val="none"/>
        </w:rPr>
        <w:t>双相机都能实现自动聚焦和尺度测量功能。</w:t>
      </w:r>
    </w:p>
    <w:p w14:paraId="41E9E173">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主相机具有自动保护功能，防止电子束过强对闪烁体的损伤（配合一体化相机）。</w:t>
      </w:r>
    </w:p>
    <w:p w14:paraId="447AC4C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3. 15</w:t>
      </w:r>
      <w:r>
        <w:rPr>
          <w:rFonts w:hint="eastAsia" w:asciiTheme="minorEastAsia" w:hAnsiTheme="minorEastAsia" w:eastAsiaTheme="minorEastAsia"/>
          <w:sz w:val="24"/>
          <w:szCs w:val="24"/>
          <w:highlight w:val="none"/>
        </w:rPr>
        <w:t>具有自动聚焦功能，适用范围：</w:t>
      </w:r>
      <w:r>
        <w:rPr>
          <w:rFonts w:asciiTheme="minorEastAsia" w:hAnsiTheme="minorEastAsia" w:eastAsiaTheme="minorEastAsia"/>
          <w:sz w:val="24"/>
          <w:szCs w:val="24"/>
          <w:highlight w:val="none"/>
        </w:rPr>
        <w:t>×1,000~×20,000</w:t>
      </w:r>
      <w:r>
        <w:rPr>
          <w:rFonts w:hint="eastAsia" w:asciiTheme="minorEastAsia" w:hAnsiTheme="minorEastAsia" w:eastAsiaTheme="minorEastAsia"/>
          <w:sz w:val="24"/>
          <w:szCs w:val="24"/>
          <w:highlight w:val="none"/>
        </w:rPr>
        <w:t>，误差：＜</w:t>
      </w:r>
      <w:r>
        <w:rPr>
          <w:rFonts w:asciiTheme="minorEastAsia" w:hAnsiTheme="minorEastAsia" w:eastAsiaTheme="minorEastAsia"/>
          <w:sz w:val="24"/>
          <w:szCs w:val="24"/>
          <w:highlight w:val="none"/>
        </w:rPr>
        <w:t>7um</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×10,000</w:t>
      </w:r>
      <w:r>
        <w:rPr>
          <w:rFonts w:hint="eastAsia" w:asciiTheme="minorEastAsia" w:hAnsiTheme="minorEastAsia" w:eastAsiaTheme="minorEastAsia"/>
          <w:sz w:val="24"/>
          <w:szCs w:val="24"/>
          <w:highlight w:val="none"/>
        </w:rPr>
        <w:t>），可设定自动欠焦量。</w:t>
      </w:r>
    </w:p>
    <w:p w14:paraId="34DB00F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3. 16</w:t>
      </w:r>
      <w:r>
        <w:rPr>
          <w:rFonts w:hint="eastAsia" w:asciiTheme="minorEastAsia" w:hAnsiTheme="minorEastAsia" w:eastAsiaTheme="minorEastAsia"/>
          <w:sz w:val="24"/>
          <w:szCs w:val="24"/>
          <w:highlight w:val="none"/>
        </w:rPr>
        <w:t>具有自动消像散功能，适用范围：</w:t>
      </w:r>
      <w:r>
        <w:rPr>
          <w:rFonts w:asciiTheme="minorEastAsia" w:hAnsiTheme="minorEastAsia" w:eastAsiaTheme="minorEastAsia"/>
          <w:sz w:val="24"/>
          <w:szCs w:val="24"/>
          <w:highlight w:val="none"/>
        </w:rPr>
        <w:t>×3,000~×20,000</w:t>
      </w:r>
      <w:r>
        <w:rPr>
          <w:rFonts w:hint="eastAsia" w:asciiTheme="minorEastAsia" w:hAnsiTheme="minorEastAsia" w:eastAsiaTheme="minorEastAsia"/>
          <w:sz w:val="24"/>
          <w:szCs w:val="24"/>
          <w:highlight w:val="none"/>
        </w:rPr>
        <w:t>，误差：＜</w:t>
      </w:r>
      <w:r>
        <w:rPr>
          <w:rFonts w:asciiTheme="minorEastAsia" w:hAnsiTheme="minorEastAsia" w:eastAsiaTheme="minorEastAsia"/>
          <w:sz w:val="24"/>
          <w:szCs w:val="24"/>
          <w:highlight w:val="none"/>
        </w:rPr>
        <w:t>1.2um</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×20,000</w:t>
      </w:r>
      <w:r>
        <w:rPr>
          <w:rFonts w:hint="eastAsia" w:asciiTheme="minorEastAsia" w:hAnsiTheme="minorEastAsia" w:eastAsiaTheme="minorEastAsia"/>
          <w:sz w:val="24"/>
          <w:szCs w:val="24"/>
          <w:highlight w:val="none"/>
        </w:rPr>
        <w:t>）</w:t>
      </w:r>
    </w:p>
    <w:p w14:paraId="50C20B28">
      <w:pPr>
        <w:pStyle w:val="134"/>
        <w:tabs>
          <w:tab w:val="left" w:pos="378"/>
          <w:tab w:val="left" w:leader="dot" w:pos="3969"/>
        </w:tabs>
        <w:spacing w:line="360" w:lineRule="auto"/>
        <w:ind w:left="-1" w:leftChars="-6" w:hanging="12" w:hangingChars="5"/>
        <w:rPr>
          <w:rFonts w:hint="eastAsia" w:asciiTheme="minorEastAsia" w:hAnsiTheme="minorEastAsia" w:eastAsiaTheme="minorEastAsia"/>
          <w:b w:val="0"/>
          <w:kern w:val="2"/>
          <w:szCs w:val="24"/>
          <w:highlight w:val="none"/>
          <w:lang w:eastAsia="zh-CN"/>
        </w:rPr>
      </w:pPr>
      <w:r>
        <w:rPr>
          <w:rFonts w:hint="eastAsia" w:asciiTheme="minorEastAsia" w:hAnsiTheme="minorEastAsia" w:eastAsiaTheme="minorEastAsia"/>
          <w:b w:val="0"/>
          <w:kern w:val="2"/>
          <w:szCs w:val="24"/>
          <w:highlight w:val="none"/>
          <w:lang w:eastAsia="zh-CN"/>
        </w:rPr>
        <w:t>▲</w:t>
      </w:r>
      <w:r>
        <w:rPr>
          <w:rFonts w:asciiTheme="minorEastAsia" w:hAnsiTheme="minorEastAsia" w:eastAsiaTheme="minorEastAsia"/>
          <w:b w:val="0"/>
          <w:kern w:val="2"/>
          <w:szCs w:val="24"/>
          <w:highlight w:val="none"/>
          <w:lang w:eastAsia="zh-CN"/>
        </w:rPr>
        <w:t>3.17</w:t>
      </w:r>
      <w:r>
        <w:rPr>
          <w:rFonts w:hint="eastAsia" w:asciiTheme="minorEastAsia" w:hAnsiTheme="minorEastAsia" w:eastAsiaTheme="minorEastAsia"/>
          <w:b w:val="0"/>
          <w:szCs w:val="24"/>
          <w:highlight w:val="none"/>
          <w:lang w:eastAsia="zh-CN"/>
        </w:rPr>
        <w:t>配备自动倾斜图像捕捉系统及</w:t>
      </w:r>
      <w:r>
        <w:rPr>
          <w:rFonts w:asciiTheme="minorEastAsia" w:hAnsiTheme="minorEastAsia" w:eastAsiaTheme="minorEastAsia"/>
          <w:b w:val="0"/>
          <w:szCs w:val="24"/>
          <w:highlight w:val="none"/>
          <w:lang w:eastAsia="zh-CN"/>
        </w:rPr>
        <w:t>3D</w:t>
      </w:r>
      <w:r>
        <w:rPr>
          <w:rFonts w:hint="eastAsia" w:asciiTheme="minorEastAsia" w:hAnsiTheme="minorEastAsia" w:eastAsiaTheme="minorEastAsia"/>
          <w:b w:val="0"/>
          <w:szCs w:val="24"/>
          <w:highlight w:val="none"/>
          <w:lang w:eastAsia="zh-CN"/>
        </w:rPr>
        <w:t>重构软件系统，能够实现无人值守的自动倾转样品台、马达自动对中样品、自动拍照全过程。</w:t>
      </w:r>
    </w:p>
    <w:p w14:paraId="3F32D32D">
      <w:pPr>
        <w:pStyle w:val="134"/>
        <w:tabs>
          <w:tab w:val="left" w:pos="378"/>
          <w:tab w:val="left" w:leader="dot" w:pos="3969"/>
        </w:tabs>
        <w:spacing w:line="360" w:lineRule="auto"/>
        <w:ind w:left="-1" w:leftChars="-6" w:hanging="12" w:hangingChars="5"/>
        <w:rPr>
          <w:rFonts w:hint="eastAsia" w:asciiTheme="minorEastAsia" w:hAnsiTheme="minorEastAsia" w:eastAsiaTheme="minorEastAsia"/>
          <w:b w:val="0"/>
          <w:kern w:val="2"/>
          <w:szCs w:val="24"/>
          <w:highlight w:val="none"/>
          <w:lang w:eastAsia="zh-CN"/>
        </w:rPr>
      </w:pPr>
      <w:r>
        <w:rPr>
          <w:rFonts w:hint="eastAsia" w:asciiTheme="minorEastAsia" w:hAnsiTheme="minorEastAsia" w:eastAsiaTheme="minorEastAsia"/>
          <w:b w:val="0"/>
          <w:kern w:val="2"/>
          <w:szCs w:val="24"/>
          <w:highlight w:val="none"/>
          <w:lang w:eastAsia="zh-CN"/>
        </w:rPr>
        <w:t>▲</w:t>
      </w:r>
      <w:r>
        <w:rPr>
          <w:rFonts w:asciiTheme="minorEastAsia" w:hAnsiTheme="minorEastAsia" w:eastAsiaTheme="minorEastAsia"/>
          <w:b w:val="0"/>
          <w:kern w:val="2"/>
          <w:szCs w:val="24"/>
          <w:highlight w:val="none"/>
          <w:lang w:eastAsia="zh-CN"/>
        </w:rPr>
        <w:t>3.19</w:t>
      </w:r>
      <w:r>
        <w:rPr>
          <w:rFonts w:hint="eastAsia" w:asciiTheme="minorEastAsia" w:hAnsiTheme="minorEastAsia" w:eastAsiaTheme="minorEastAsia"/>
          <w:b w:val="0"/>
          <w:kern w:val="2"/>
          <w:szCs w:val="24"/>
          <w:highlight w:val="none"/>
          <w:lang w:eastAsia="zh-CN"/>
        </w:rPr>
        <w:t>自动图像导航</w:t>
      </w:r>
    </w:p>
    <w:p w14:paraId="1BDC306E">
      <w:pPr>
        <w:pStyle w:val="134"/>
        <w:tabs>
          <w:tab w:val="left" w:pos="378"/>
          <w:tab w:val="left" w:leader="dot" w:pos="3969"/>
        </w:tabs>
        <w:spacing w:line="360" w:lineRule="auto"/>
        <w:ind w:left="-1" w:leftChars="-6" w:hanging="12" w:hangingChars="5"/>
        <w:rPr>
          <w:rFonts w:hint="eastAsia" w:asciiTheme="minorEastAsia" w:hAnsiTheme="minorEastAsia" w:eastAsiaTheme="minorEastAsia"/>
          <w:b w:val="0"/>
          <w:kern w:val="2"/>
          <w:szCs w:val="24"/>
          <w:highlight w:val="none"/>
          <w:lang w:eastAsia="zh-CN"/>
        </w:rPr>
      </w:pPr>
      <w:r>
        <w:rPr>
          <w:rFonts w:hint="eastAsia" w:asciiTheme="minorEastAsia" w:hAnsiTheme="minorEastAsia" w:eastAsiaTheme="minorEastAsia"/>
          <w:b w:val="0"/>
          <w:kern w:val="2"/>
          <w:szCs w:val="24"/>
          <w:highlight w:val="none"/>
          <w:lang w:eastAsia="zh-CN"/>
        </w:rPr>
        <w:t>超低倍观察，观察范围</w:t>
      </w:r>
      <w:r>
        <w:rPr>
          <w:rFonts w:asciiTheme="minorEastAsia" w:hAnsiTheme="minorEastAsia" w:eastAsiaTheme="minorEastAsia"/>
          <w:b w:val="0"/>
          <w:kern w:val="2"/>
          <w:szCs w:val="24"/>
          <w:highlight w:val="none"/>
          <w:lang w:eastAsia="zh-CN"/>
        </w:rPr>
        <w:t>φ2mm</w:t>
      </w:r>
      <w:r>
        <w:rPr>
          <w:rFonts w:hint="eastAsia" w:asciiTheme="minorEastAsia" w:hAnsiTheme="minorEastAsia" w:eastAsiaTheme="minorEastAsia"/>
          <w:b w:val="0"/>
          <w:kern w:val="2"/>
          <w:szCs w:val="24"/>
          <w:highlight w:val="none"/>
          <w:lang w:eastAsia="zh-CN"/>
        </w:rPr>
        <w:t>。</w:t>
      </w:r>
    </w:p>
    <w:p w14:paraId="693A9F96">
      <w:pPr>
        <w:pStyle w:val="134"/>
        <w:tabs>
          <w:tab w:val="left" w:pos="378"/>
          <w:tab w:val="left" w:leader="dot" w:pos="3969"/>
        </w:tabs>
        <w:spacing w:line="360" w:lineRule="auto"/>
        <w:ind w:left="-1" w:leftChars="-6" w:hanging="12" w:hangingChars="5"/>
        <w:rPr>
          <w:rFonts w:hint="eastAsia" w:asciiTheme="minorEastAsia" w:hAnsiTheme="minorEastAsia" w:eastAsiaTheme="minorEastAsia"/>
          <w:b w:val="0"/>
          <w:kern w:val="2"/>
          <w:szCs w:val="24"/>
          <w:highlight w:val="none"/>
          <w:lang w:eastAsia="zh-CN"/>
        </w:rPr>
      </w:pPr>
      <w:r>
        <w:rPr>
          <w:rFonts w:hint="eastAsia" w:asciiTheme="minorEastAsia" w:hAnsiTheme="minorEastAsia" w:eastAsiaTheme="minorEastAsia"/>
          <w:b w:val="0"/>
          <w:kern w:val="2"/>
          <w:szCs w:val="24"/>
          <w:highlight w:val="none"/>
          <w:lang w:eastAsia="zh-CN"/>
        </w:rPr>
        <w:t>在设定倍率下自动拍照，并利用所得图片进行导航，可在此导航图像上显示样品台移动轨迹，同时保留坐标导航和图片回溯功能。</w:t>
      </w:r>
    </w:p>
    <w:p w14:paraId="09091D1B">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20 </w:t>
      </w:r>
      <w:r>
        <w:rPr>
          <w:rFonts w:hint="eastAsia" w:asciiTheme="minorEastAsia" w:hAnsiTheme="minorEastAsia" w:eastAsiaTheme="minorEastAsia"/>
          <w:sz w:val="24"/>
          <w:szCs w:val="24"/>
          <w:highlight w:val="none"/>
        </w:rPr>
        <w:t>自动拼图功能（</w:t>
      </w:r>
      <w:r>
        <w:rPr>
          <w:rFonts w:asciiTheme="minorEastAsia" w:hAnsiTheme="minorEastAsia" w:eastAsiaTheme="minorEastAsia"/>
          <w:sz w:val="24"/>
          <w:szCs w:val="24"/>
          <w:highlight w:val="none"/>
        </w:rPr>
        <w:t>AMF</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TEM</w:t>
      </w:r>
      <w:r>
        <w:rPr>
          <w:rFonts w:hint="eastAsia" w:asciiTheme="minorEastAsia" w:hAnsiTheme="minorEastAsia" w:eastAsiaTheme="minorEastAsia"/>
          <w:sz w:val="24"/>
          <w:szCs w:val="24"/>
          <w:highlight w:val="none"/>
        </w:rPr>
        <w:t>软件可自动、无人值守的完成拍摄和拼接，</w:t>
      </w:r>
    </w:p>
    <w:p w14:paraId="3DAE3F98">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具有两种拼图方式：</w:t>
      </w:r>
    </w:p>
    <w:p w14:paraId="60CA793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移动样品台拼图：无像素损失的条件下最大拼图数量≥</w:t>
      </w:r>
      <w:r>
        <w:rPr>
          <w:rFonts w:asciiTheme="minorEastAsia" w:hAnsiTheme="minorEastAsia" w:eastAsiaTheme="minorEastAsia"/>
          <w:sz w:val="24"/>
          <w:szCs w:val="24"/>
          <w:highlight w:val="none"/>
        </w:rPr>
        <w:t>10000</w:t>
      </w:r>
      <w:r>
        <w:rPr>
          <w:rFonts w:hint="eastAsia" w:asciiTheme="minorEastAsia" w:hAnsiTheme="minorEastAsia" w:eastAsiaTheme="minorEastAsia"/>
          <w:sz w:val="24"/>
          <w:szCs w:val="24"/>
          <w:highlight w:val="none"/>
        </w:rPr>
        <w:t>幅</w:t>
      </w:r>
    </w:p>
    <w:p w14:paraId="529837D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电子束偏移拼图：样品台不动，通过电子束偏移拍摄多个位置的图像，拍摄的同时自动拼接图像。拼图精确度和成功率远好于样品台拼图。无像素损失的条件下最大可获得像素尺寸</w:t>
      </w:r>
      <w:r>
        <w:rPr>
          <w:rFonts w:asciiTheme="minorEastAsia" w:hAnsiTheme="minorEastAsia" w:eastAsiaTheme="minorEastAsia"/>
          <w:sz w:val="24"/>
          <w:szCs w:val="24"/>
          <w:highlight w:val="none"/>
        </w:rPr>
        <w:t>18k×13k</w:t>
      </w:r>
      <w:r>
        <w:rPr>
          <w:rFonts w:hint="eastAsia" w:asciiTheme="minorEastAsia" w:hAnsiTheme="minorEastAsia" w:eastAsiaTheme="minorEastAsia"/>
          <w:sz w:val="24"/>
          <w:szCs w:val="24"/>
          <w:highlight w:val="none"/>
        </w:rPr>
        <w:t>的图片。（</w:t>
      </w:r>
    </w:p>
    <w:p w14:paraId="34A4558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3.21</w:t>
      </w:r>
      <w:r>
        <w:rPr>
          <w:rFonts w:hint="eastAsia" w:asciiTheme="minorEastAsia" w:hAnsiTheme="minorEastAsia" w:eastAsiaTheme="minorEastAsia"/>
          <w:sz w:val="24"/>
          <w:szCs w:val="24"/>
          <w:highlight w:val="none"/>
        </w:rPr>
        <w:t>具有自动聚焦、自动定位可无人值守拍摄多张图片的功能，准确定位并自动拍摄数量≥</w:t>
      </w:r>
      <w:r>
        <w:rPr>
          <w:rFonts w:asciiTheme="minorEastAsia" w:hAnsiTheme="minorEastAsia" w:eastAsiaTheme="minorEastAsia"/>
          <w:sz w:val="24"/>
          <w:szCs w:val="24"/>
          <w:highlight w:val="none"/>
        </w:rPr>
        <w:t>10000</w:t>
      </w:r>
      <w:r>
        <w:rPr>
          <w:rFonts w:hint="eastAsia" w:asciiTheme="minorEastAsia" w:hAnsiTheme="minorEastAsia" w:eastAsiaTheme="minorEastAsia"/>
          <w:sz w:val="24"/>
          <w:szCs w:val="24"/>
          <w:highlight w:val="none"/>
        </w:rPr>
        <w:t>幅。加速电压适用范围：</w:t>
      </w:r>
      <w:r>
        <w:rPr>
          <w:rFonts w:asciiTheme="minorEastAsia" w:hAnsiTheme="minorEastAsia" w:eastAsiaTheme="minorEastAsia"/>
          <w:sz w:val="24"/>
          <w:szCs w:val="24"/>
          <w:highlight w:val="none"/>
        </w:rPr>
        <w:t>20~120kV</w:t>
      </w:r>
    </w:p>
    <w:p w14:paraId="1F711A7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22 </w:t>
      </w:r>
      <w:r>
        <w:rPr>
          <w:rFonts w:hint="eastAsia" w:asciiTheme="minorEastAsia" w:hAnsiTheme="minorEastAsia" w:eastAsiaTheme="minorEastAsia"/>
          <w:sz w:val="24"/>
          <w:szCs w:val="24"/>
          <w:highlight w:val="none"/>
        </w:rPr>
        <w:t>辅助功能</w:t>
      </w:r>
    </w:p>
    <w:p w14:paraId="51122B7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实时测量：可对活图像和衍射活图像进行测量，荧光屏相机和主相机都支持此功能。</w:t>
      </w:r>
    </w:p>
    <w:p w14:paraId="41195575">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漂移校正：对漂移图像进行校正</w:t>
      </w:r>
    </w:p>
    <w:p w14:paraId="03F0475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可用鼠标点击待测区域的方式操作样品台移动，荧光屏相机和主相机都支持此功能。</w:t>
      </w:r>
    </w:p>
    <w:p w14:paraId="33ECB1C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3.23</w:t>
      </w:r>
      <w:r>
        <w:rPr>
          <w:rFonts w:hint="eastAsia" w:asciiTheme="minorEastAsia" w:hAnsiTheme="minorEastAsia" w:eastAsiaTheme="minorEastAsia"/>
          <w:sz w:val="24"/>
          <w:szCs w:val="24"/>
          <w:highlight w:val="none"/>
        </w:rPr>
        <w:t>样品低损伤观察</w:t>
      </w:r>
    </w:p>
    <w:p w14:paraId="1A6D512D">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低剂量电子束观察，软件界面上电子束剂量实时显示</w:t>
      </w:r>
    </w:p>
    <w:p w14:paraId="6ECFE71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自动预辐照功能（</w:t>
      </w:r>
      <w:r>
        <w:rPr>
          <w:rFonts w:asciiTheme="minorEastAsia" w:hAnsiTheme="minorEastAsia" w:eastAsiaTheme="minorEastAsia"/>
          <w:sz w:val="24"/>
          <w:szCs w:val="24"/>
          <w:highlight w:val="none"/>
        </w:rPr>
        <w:t>APIS</w:t>
      </w:r>
      <w:r>
        <w:rPr>
          <w:rFonts w:hint="eastAsia" w:asciiTheme="minorEastAsia" w:hAnsiTheme="minorEastAsia" w:eastAsiaTheme="minorEastAsia"/>
          <w:sz w:val="24"/>
          <w:szCs w:val="24"/>
          <w:highlight w:val="none"/>
        </w:rPr>
        <w:t>）</w:t>
      </w:r>
    </w:p>
    <w:p w14:paraId="38E04819">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3.24</w:t>
      </w:r>
      <w:r>
        <w:rPr>
          <w:rFonts w:hint="eastAsia" w:asciiTheme="minorEastAsia" w:hAnsiTheme="minorEastAsia" w:eastAsiaTheme="minorEastAsia"/>
          <w:sz w:val="24"/>
          <w:szCs w:val="24"/>
          <w:highlight w:val="none"/>
        </w:rPr>
        <w:t>真空系统：</w:t>
      </w:r>
    </w:p>
    <w:p w14:paraId="0F3AC785">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真空交换仓实时探测真空度，真空逻辑由测量值控制；</w:t>
      </w:r>
    </w:p>
    <w:p w14:paraId="5D04E406">
      <w:pPr>
        <w:tabs>
          <w:tab w:val="left" w:pos="378"/>
        </w:tabs>
        <w:spacing w:line="360" w:lineRule="auto"/>
        <w:ind w:left="-1" w:leftChars="-6" w:hanging="12" w:hangingChars="5"/>
        <w:rPr>
          <w:rFonts w:hint="eastAsia" w:asciiTheme="minorEastAsia" w:hAnsiTheme="minorEastAsia" w:eastAsiaTheme="minorEastAsia"/>
          <w:b/>
          <w:bCs/>
          <w:sz w:val="24"/>
          <w:szCs w:val="24"/>
          <w:highlight w:val="none"/>
        </w:rPr>
      </w:pPr>
      <w:r>
        <w:rPr>
          <w:rFonts w:hint="eastAsia" w:asciiTheme="minorEastAsia" w:hAnsiTheme="minorEastAsia" w:eastAsiaTheme="minorEastAsia"/>
          <w:sz w:val="24"/>
          <w:szCs w:val="24"/>
          <w:highlight w:val="none"/>
        </w:rPr>
        <w:t>真空交换仓预抽时间≤</w:t>
      </w:r>
      <w:r>
        <w:rPr>
          <w:rFonts w:asciiTheme="minorEastAsia" w:hAnsiTheme="minorEastAsia" w:eastAsiaTheme="minorEastAsia"/>
          <w:sz w:val="24"/>
          <w:szCs w:val="24"/>
          <w:highlight w:val="none"/>
        </w:rPr>
        <w:t>15s</w:t>
      </w:r>
      <w:r>
        <w:rPr>
          <w:rFonts w:hint="eastAsia" w:asciiTheme="minorEastAsia" w:hAnsiTheme="minorEastAsia" w:eastAsiaTheme="minorEastAsia"/>
          <w:sz w:val="24"/>
          <w:szCs w:val="24"/>
          <w:highlight w:val="none"/>
        </w:rPr>
        <w:t>；</w:t>
      </w:r>
    </w:p>
    <w:p w14:paraId="1FACA88D">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电子枪附近配有全量程规，最高可测量</w:t>
      </w:r>
      <w:r>
        <w:rPr>
          <w:rFonts w:asciiTheme="minorEastAsia" w:hAnsiTheme="minorEastAsia" w:eastAsiaTheme="minorEastAsia"/>
          <w:sz w:val="24"/>
          <w:szCs w:val="24"/>
          <w:highlight w:val="none"/>
        </w:rPr>
        <w:t>10</w:t>
      </w:r>
      <w:r>
        <w:rPr>
          <w:rFonts w:asciiTheme="minorEastAsia" w:hAnsiTheme="minorEastAsia" w:eastAsiaTheme="minorEastAsia"/>
          <w:sz w:val="24"/>
          <w:szCs w:val="24"/>
          <w:highlight w:val="none"/>
          <w:vertAlign w:val="superscript"/>
        </w:rPr>
        <w:t>-7</w:t>
      </w:r>
      <w:r>
        <w:rPr>
          <w:rFonts w:asciiTheme="minorEastAsia" w:hAnsiTheme="minorEastAsia" w:eastAsiaTheme="minorEastAsia"/>
          <w:sz w:val="24"/>
          <w:szCs w:val="24"/>
          <w:highlight w:val="none"/>
        </w:rPr>
        <w:t>Pa</w:t>
      </w:r>
      <w:r>
        <w:rPr>
          <w:rFonts w:hint="eastAsia" w:asciiTheme="minorEastAsia" w:hAnsiTheme="minorEastAsia" w:eastAsiaTheme="minorEastAsia"/>
          <w:sz w:val="24"/>
          <w:szCs w:val="24"/>
          <w:highlight w:val="none"/>
        </w:rPr>
        <w:t>的真空度，操作界面上实时监测镜桶内真空的变化；</w:t>
      </w:r>
    </w:p>
    <w:p w14:paraId="3DCAF20E">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不使用扩散泵，配置分子泵，抽速不低于</w:t>
      </w:r>
      <w:r>
        <w:rPr>
          <w:rFonts w:asciiTheme="minorEastAsia" w:hAnsiTheme="minorEastAsia" w:eastAsiaTheme="minorEastAsia"/>
          <w:sz w:val="24"/>
          <w:szCs w:val="24"/>
          <w:highlight w:val="none"/>
        </w:rPr>
        <w:t>300L/s</w:t>
      </w:r>
      <w:r>
        <w:rPr>
          <w:rFonts w:hint="eastAsia" w:asciiTheme="minorEastAsia" w:hAnsiTheme="minorEastAsia" w:eastAsiaTheme="minorEastAsia"/>
          <w:sz w:val="24"/>
          <w:szCs w:val="24"/>
          <w:highlight w:val="none"/>
        </w:rPr>
        <w:t>，旋转泵，抽速不低于</w:t>
      </w:r>
      <w:r>
        <w:rPr>
          <w:rFonts w:asciiTheme="minorEastAsia" w:hAnsiTheme="minorEastAsia" w:eastAsiaTheme="minorEastAsia"/>
          <w:sz w:val="24"/>
          <w:szCs w:val="24"/>
          <w:highlight w:val="none"/>
        </w:rPr>
        <w:t>135L/min</w:t>
      </w:r>
      <w:r>
        <w:rPr>
          <w:rFonts w:hint="eastAsia" w:asciiTheme="minorEastAsia" w:hAnsiTheme="minorEastAsia" w:eastAsiaTheme="minorEastAsia"/>
          <w:sz w:val="24"/>
          <w:szCs w:val="24"/>
          <w:highlight w:val="none"/>
        </w:rPr>
        <w:t>。</w:t>
      </w:r>
    </w:p>
    <w:p w14:paraId="2DB4CBD8">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 </w:t>
      </w:r>
      <w:r>
        <w:rPr>
          <w:rFonts w:hint="eastAsia" w:asciiTheme="minorEastAsia" w:hAnsiTheme="minorEastAsia" w:eastAsiaTheme="minorEastAsia"/>
          <w:sz w:val="24"/>
          <w:szCs w:val="24"/>
          <w:highlight w:val="none"/>
        </w:rPr>
        <w:t>必要配置：</w:t>
      </w:r>
    </w:p>
    <w:p w14:paraId="0BFCDF4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4.1透射电子显微镜主机一套，包含：</w:t>
      </w:r>
    </w:p>
    <w:p w14:paraId="7F0DACE2">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4.1.1高压油箱一套</w:t>
      </w:r>
    </w:p>
    <w:p w14:paraId="4AAE45F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4.1.2</w:t>
      </w:r>
      <w:r>
        <w:rPr>
          <w:rFonts w:hint="eastAsia" w:asciiTheme="minorEastAsia" w:hAnsiTheme="minorEastAsia" w:eastAsiaTheme="minorEastAsia"/>
          <w:sz w:val="24"/>
          <w:szCs w:val="24"/>
          <w:highlight w:val="none"/>
        </w:rPr>
        <w:t>高分辨系统（</w:t>
      </w:r>
      <w:r>
        <w:rPr>
          <w:rFonts w:asciiTheme="minorEastAsia" w:hAnsiTheme="minorEastAsia" w:eastAsiaTheme="minorEastAsia"/>
          <w:sz w:val="24"/>
          <w:szCs w:val="24"/>
          <w:highlight w:val="none"/>
        </w:rPr>
        <w:t>HR</w:t>
      </w:r>
      <w:r>
        <w:rPr>
          <w:rFonts w:hint="eastAsia" w:asciiTheme="minorEastAsia" w:hAnsiTheme="minorEastAsia" w:eastAsiaTheme="minorEastAsia"/>
          <w:sz w:val="24"/>
          <w:szCs w:val="24"/>
          <w:highlight w:val="none"/>
        </w:rPr>
        <w:t>）和高反差系统</w:t>
      </w:r>
      <w:r>
        <w:rPr>
          <w:rFonts w:asciiTheme="minorEastAsia" w:hAnsiTheme="minorEastAsia" w:eastAsiaTheme="minorEastAsia"/>
          <w:sz w:val="24"/>
          <w:szCs w:val="24"/>
          <w:highlight w:val="none"/>
        </w:rPr>
        <w:t>(HC)</w:t>
      </w:r>
    </w:p>
    <w:p w14:paraId="1AC0370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4.1.3双相机图像观察和记录系统（不低于160Hz刷新速度的荧光屏相机和不少于1600万像素直插主相机）</w:t>
      </w:r>
    </w:p>
    <w:p w14:paraId="5B0CF1B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4.1.4优中心测角样品台</w:t>
      </w:r>
    </w:p>
    <w:p w14:paraId="1AA3082D">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4.1.5自动倾斜图像捕捉系统及3D重构软件系统</w:t>
      </w:r>
    </w:p>
    <w:p w14:paraId="7B7D6D6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4.1.6 </w:t>
      </w:r>
      <w:r>
        <w:rPr>
          <w:rFonts w:hint="eastAsia" w:asciiTheme="minorEastAsia" w:hAnsiTheme="minorEastAsia" w:eastAsiaTheme="minorEastAsia"/>
          <w:sz w:val="24"/>
          <w:szCs w:val="24"/>
          <w:highlight w:val="none"/>
        </w:rPr>
        <w:t>分子泵</w:t>
      </w:r>
      <w:r>
        <w:rPr>
          <w:rFonts w:asciiTheme="minorEastAsia" w:hAnsiTheme="minorEastAsia" w:eastAsiaTheme="minorEastAsia"/>
          <w:sz w:val="24"/>
          <w:szCs w:val="24"/>
          <w:highlight w:val="none"/>
        </w:rPr>
        <w:t xml:space="preserve"> 1台，抽速不小于300L/s</w:t>
      </w:r>
    </w:p>
    <w:p w14:paraId="15DA0393">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4.1.7控制单元，包括电脑主机、键盘、鼠标、旋钮板</w:t>
      </w:r>
    </w:p>
    <w:p w14:paraId="67C7D014">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4.1.8高稳定样品杆一套</w:t>
      </w:r>
    </w:p>
    <w:p w14:paraId="77867983">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 </w:t>
      </w:r>
      <w:r>
        <w:rPr>
          <w:rFonts w:hint="eastAsia" w:asciiTheme="minorEastAsia" w:hAnsiTheme="minorEastAsia" w:eastAsiaTheme="minorEastAsia"/>
          <w:sz w:val="24"/>
          <w:szCs w:val="24"/>
          <w:highlight w:val="none"/>
        </w:rPr>
        <w:t>透射电镜配套变压器</w:t>
      </w:r>
      <w:r>
        <w:rPr>
          <w:rFonts w:asciiTheme="minorEastAsia" w:hAnsiTheme="minorEastAsia" w:eastAsiaTheme="minorEastAsia"/>
          <w:sz w:val="24"/>
          <w:szCs w:val="24"/>
          <w:highlight w:val="none"/>
        </w:rPr>
        <w:t>1套</w:t>
      </w:r>
    </w:p>
    <w:p w14:paraId="7CF08628">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4.3空气压缩机1台</w:t>
      </w:r>
    </w:p>
    <w:p w14:paraId="32579834">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4.4冷却水机装置1套</w:t>
      </w:r>
    </w:p>
    <w:p w14:paraId="6576DD7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4.5 24寸液晶显示器1台</w:t>
      </w:r>
    </w:p>
    <w:p w14:paraId="1C1B8251">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4.6 </w:t>
      </w:r>
      <w:r>
        <w:rPr>
          <w:rFonts w:hint="eastAsia" w:asciiTheme="minorEastAsia" w:hAnsiTheme="minorEastAsia" w:eastAsiaTheme="minorEastAsia"/>
          <w:sz w:val="24"/>
          <w:szCs w:val="24"/>
          <w:highlight w:val="none"/>
        </w:rPr>
        <w:t>机械泵</w:t>
      </w:r>
      <w:r>
        <w:rPr>
          <w:rFonts w:asciiTheme="minorEastAsia" w:hAnsiTheme="minorEastAsia" w:eastAsiaTheme="minorEastAsia"/>
          <w:sz w:val="24"/>
          <w:szCs w:val="24"/>
          <w:highlight w:val="none"/>
        </w:rPr>
        <w:t>1套</w:t>
      </w:r>
    </w:p>
    <w:p w14:paraId="66630D9A">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4.7 </w:t>
      </w:r>
      <w:r>
        <w:rPr>
          <w:rFonts w:hint="eastAsia" w:asciiTheme="minorEastAsia" w:hAnsiTheme="minorEastAsia" w:eastAsiaTheme="minorEastAsia"/>
          <w:sz w:val="24"/>
          <w:szCs w:val="24"/>
          <w:highlight w:val="none"/>
        </w:rPr>
        <w:t>透射电镜用灯丝</w:t>
      </w:r>
      <w:r>
        <w:rPr>
          <w:rFonts w:asciiTheme="minorEastAsia" w:hAnsiTheme="minorEastAsia" w:eastAsiaTheme="minorEastAsia"/>
          <w:sz w:val="24"/>
          <w:szCs w:val="24"/>
          <w:highlight w:val="none"/>
        </w:rPr>
        <w:t>30根</w:t>
      </w:r>
    </w:p>
    <w:p w14:paraId="010DC549">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技术服务：</w:t>
      </w:r>
    </w:p>
    <w:p w14:paraId="08562A0F">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为用户培训使用仪器的工作人员。其培训内容指的是仪器设备的基本原理、安装、调试、操作使用和日常保养维修等。</w:t>
      </w:r>
    </w:p>
    <w:p w14:paraId="6C983F30">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性能试验与质量保证：</w:t>
      </w:r>
    </w:p>
    <w:p w14:paraId="27BD138E">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应对仪器设备的质量、规格、性能、数量进行详细和全面的检查，并出具检验证明，如有缺失，应负责赔偿。</w:t>
      </w:r>
    </w:p>
    <w:p w14:paraId="1BA3FB3D">
      <w:pPr>
        <w:tabs>
          <w:tab w:val="left" w:pos="378"/>
        </w:tabs>
        <w:spacing w:line="360" w:lineRule="auto"/>
        <w:ind w:left="-1" w:leftChars="-6" w:hanging="12" w:hangingChars="5"/>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仪器设备的保修期为一年。</w:t>
      </w:r>
    </w:p>
    <w:p w14:paraId="7CEA2607">
      <w:pPr>
        <w:tabs>
          <w:tab w:val="left" w:pos="378"/>
        </w:tabs>
        <w:spacing w:line="360" w:lineRule="auto"/>
        <w:ind w:left="-1" w:leftChars="-6" w:hanging="12" w:hangingChars="5"/>
        <w:rPr>
          <w:rFonts w:hint="eastAsia" w:asciiTheme="minorEastAsia" w:hAnsiTheme="minorEastAsia" w:eastAsiaTheme="minorEastAsia"/>
          <w:b/>
          <w:bCs/>
          <w:sz w:val="24"/>
          <w:szCs w:val="24"/>
          <w:highlight w:val="none"/>
        </w:rPr>
      </w:pP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技术文件：提供仪器设备的操作手册。</w:t>
      </w:r>
    </w:p>
    <w:p w14:paraId="3DC1D6B3">
      <w:pPr>
        <w:spacing w:line="360" w:lineRule="auto"/>
        <w:rPr>
          <w:rFonts w:hint="eastAsia" w:asciiTheme="minorEastAsia" w:hAnsiTheme="minorEastAsia" w:eastAsiaTheme="minorEastAsia"/>
          <w:b/>
          <w:bCs/>
          <w:sz w:val="24"/>
          <w:szCs w:val="24"/>
          <w:highlight w:val="none"/>
        </w:rPr>
      </w:pPr>
    </w:p>
    <w:p w14:paraId="50566A1E">
      <w:pP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品名</w:t>
      </w:r>
      <w:r>
        <w:rPr>
          <w:rFonts w:asciiTheme="minorEastAsia" w:hAnsiTheme="minorEastAsia" w:eastAsiaTheme="minorEastAsia"/>
          <w:b/>
          <w:bCs/>
          <w:sz w:val="24"/>
          <w:szCs w:val="24"/>
          <w:highlight w:val="none"/>
        </w:rPr>
        <w:t xml:space="preserve">3 </w:t>
      </w:r>
      <w:bookmarkStart w:id="42" w:name="OLE_LINK20"/>
      <w:r>
        <w:rPr>
          <w:rFonts w:hint="eastAsia" w:cs="Arial" w:asciiTheme="minorEastAsia" w:hAnsiTheme="minorEastAsia" w:eastAsiaTheme="minorEastAsia"/>
          <w:kern w:val="0"/>
          <w:sz w:val="24"/>
          <w:szCs w:val="24"/>
          <w:highlight w:val="none"/>
        </w:rPr>
        <w:t>高效液相色谱仪</w:t>
      </w:r>
    </w:p>
    <w:p w14:paraId="1E31D99E">
      <w:pPr>
        <w:widowControl/>
        <w:numPr>
          <w:ilvl w:val="1"/>
          <w:numId w:val="6"/>
        </w:numPr>
        <w:tabs>
          <w:tab w:val="left" w:pos="709"/>
          <w:tab w:val="left" w:pos="851"/>
          <w:tab w:val="clear" w:pos="420"/>
        </w:tabs>
        <w:adjustRightInd w:val="0"/>
        <w:snapToGrid w:val="0"/>
        <w:spacing w:line="360" w:lineRule="auto"/>
        <w:ind w:left="-13" w:leftChars="-13" w:hanging="14" w:hangingChars="6"/>
        <w:jc w:val="left"/>
        <w:rPr>
          <w:rFonts w:hint="eastAsia" w:asciiTheme="minorEastAsia" w:hAnsiTheme="minorEastAsia" w:eastAsiaTheme="minorEastAsia"/>
          <w:b/>
          <w:sz w:val="24"/>
          <w:szCs w:val="24"/>
          <w:highlight w:val="none"/>
        </w:rPr>
      </w:pPr>
      <w:bookmarkStart w:id="43" w:name="_Hlk497857001"/>
      <w:r>
        <w:rPr>
          <w:rFonts w:hint="eastAsia" w:asciiTheme="minorEastAsia" w:hAnsiTheme="minorEastAsia" w:eastAsiaTheme="minorEastAsia"/>
          <w:b/>
          <w:sz w:val="24"/>
          <w:szCs w:val="24"/>
          <w:highlight w:val="none"/>
        </w:rPr>
        <w:t>四元梯度泵</w:t>
      </w:r>
    </w:p>
    <w:p w14:paraId="79763845">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1.1.1</w:t>
      </w:r>
      <w:r>
        <w:rPr>
          <w:rFonts w:hint="eastAsia" w:asciiTheme="minorEastAsia" w:hAnsiTheme="minorEastAsia" w:eastAsiaTheme="minorEastAsia"/>
          <w:sz w:val="24"/>
          <w:szCs w:val="24"/>
          <w:highlight w:val="none"/>
        </w:rPr>
        <w:t>串联泵，标配主动入口阀，泵的冲程可连续自动或者手动调整，可变冲程范围应包括</w:t>
      </w:r>
      <w:r>
        <w:rPr>
          <w:rFonts w:asciiTheme="minorEastAsia" w:hAnsiTheme="minorEastAsia" w:eastAsiaTheme="minorEastAsia"/>
          <w:sz w:val="24"/>
          <w:szCs w:val="24"/>
          <w:highlight w:val="none"/>
        </w:rPr>
        <w:t xml:space="preserve">30μL </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95μL</w:t>
      </w:r>
      <w:bookmarkStart w:id="44" w:name="_Hlk204698341"/>
      <w:r>
        <w:rPr>
          <w:rFonts w:hint="eastAsia" w:asciiTheme="minorEastAsia" w:hAnsiTheme="minorEastAsia" w:eastAsiaTheme="minorEastAsia"/>
          <w:sz w:val="24"/>
          <w:szCs w:val="24"/>
          <w:highlight w:val="none"/>
        </w:rPr>
        <w:t>（需提供软件说明证明材料包含图片）</w:t>
      </w:r>
      <w:bookmarkEnd w:id="44"/>
      <w:r>
        <w:rPr>
          <w:rFonts w:hint="eastAsia" w:asciiTheme="minorEastAsia" w:hAnsiTheme="minorEastAsia" w:eastAsiaTheme="minorEastAsia"/>
          <w:sz w:val="24"/>
          <w:szCs w:val="24"/>
          <w:highlight w:val="none"/>
        </w:rPr>
        <w:t>；标配泵柱塞自动清洗装置，有效防止高盐浓度流动相对柱塞的磨损，实时维护泵的使用性能（需提供该部分产品说明书并附软件截图证明材料）。</w:t>
      </w:r>
    </w:p>
    <w:p w14:paraId="47599FE9">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1.1.2</w:t>
      </w:r>
      <w:r>
        <w:rPr>
          <w:rFonts w:hint="eastAsia" w:asciiTheme="minorEastAsia" w:hAnsiTheme="minorEastAsia" w:eastAsiaTheme="minorEastAsia"/>
          <w:sz w:val="24"/>
          <w:szCs w:val="24"/>
          <w:highlight w:val="none"/>
        </w:rPr>
        <w:t>流量范围：</w:t>
      </w:r>
      <w:r>
        <w:rPr>
          <w:rFonts w:asciiTheme="minorEastAsia" w:hAnsiTheme="minorEastAsia" w:eastAsiaTheme="minorEastAsia"/>
          <w:sz w:val="24"/>
          <w:szCs w:val="24"/>
          <w:highlight w:val="none"/>
        </w:rPr>
        <w:t>0.001~10ml/min</w:t>
      </w:r>
      <w:r>
        <w:rPr>
          <w:rFonts w:hint="eastAsia" w:asciiTheme="minorEastAsia" w:hAnsiTheme="minorEastAsia" w:eastAsiaTheme="minorEastAsia"/>
          <w:sz w:val="24"/>
          <w:szCs w:val="24"/>
          <w:highlight w:val="none"/>
        </w:rPr>
        <w:t>，递增率</w:t>
      </w:r>
      <w:r>
        <w:rPr>
          <w:rFonts w:hint="eastAsia" w:cs="Arial"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0.001ml/min</w:t>
      </w:r>
    </w:p>
    <w:p w14:paraId="54587666">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1.1.3</w:t>
      </w:r>
      <w:r>
        <w:rPr>
          <w:rFonts w:hint="eastAsia" w:asciiTheme="minorEastAsia" w:hAnsiTheme="minorEastAsia" w:eastAsiaTheme="minorEastAsia"/>
          <w:sz w:val="24"/>
          <w:szCs w:val="24"/>
          <w:highlight w:val="none"/>
        </w:rPr>
        <w:t>流量精度：</w:t>
      </w:r>
      <w:r>
        <w:rPr>
          <w:rFonts w:asciiTheme="minorEastAsia" w:hAnsiTheme="minorEastAsia" w:eastAsiaTheme="minorEastAsia"/>
          <w:sz w:val="24"/>
          <w:szCs w:val="24"/>
          <w:highlight w:val="none"/>
        </w:rPr>
        <w:t>&lt;0.075%RSD</w:t>
      </w:r>
    </w:p>
    <w:p w14:paraId="60C30F34">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1.1.4</w:t>
      </w:r>
      <w:r>
        <w:rPr>
          <w:rFonts w:hint="eastAsia" w:asciiTheme="minorEastAsia" w:hAnsiTheme="minorEastAsia" w:eastAsiaTheme="minorEastAsia"/>
          <w:sz w:val="24"/>
          <w:szCs w:val="24"/>
          <w:highlight w:val="none"/>
        </w:rPr>
        <w:t>流速准确度</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w:t>
      </w:r>
      <w:r>
        <w:rPr>
          <w:rFonts w:hint="eastAsia" w:cs="Arial"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 ±1%</w:t>
      </w:r>
    </w:p>
    <w:p w14:paraId="362B2A2A">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1.1.5</w:t>
      </w:r>
      <w:r>
        <w:rPr>
          <w:rFonts w:hint="eastAsia" w:asciiTheme="minorEastAsia" w:hAnsiTheme="minorEastAsia" w:eastAsiaTheme="minorEastAsia"/>
          <w:sz w:val="24"/>
          <w:szCs w:val="24"/>
          <w:highlight w:val="none"/>
        </w:rPr>
        <w:t>梯度精度：</w:t>
      </w:r>
      <w:r>
        <w:rPr>
          <w:rFonts w:asciiTheme="minorEastAsia" w:hAnsiTheme="minorEastAsia" w:eastAsiaTheme="minorEastAsia"/>
          <w:sz w:val="24"/>
          <w:szCs w:val="24"/>
          <w:highlight w:val="none"/>
        </w:rPr>
        <w:t>&lt; 0.2 % RSD</w:t>
      </w:r>
    </w:p>
    <w:p w14:paraId="30FD52CB">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1.1.6</w:t>
      </w:r>
      <w:r>
        <w:rPr>
          <w:rFonts w:hint="eastAsia" w:ascii="宋体" w:hAnsi="宋体" w:eastAsiaTheme="minorEastAsia"/>
          <w:sz w:val="24"/>
          <w:szCs w:val="24"/>
          <w:highlight w:val="none"/>
          <w:lang w:val="de-DE"/>
        </w:rPr>
        <w:t>★</w:t>
      </w:r>
      <w:r>
        <w:rPr>
          <w:rFonts w:hint="eastAsia" w:asciiTheme="minorEastAsia" w:hAnsiTheme="minorEastAsia" w:eastAsiaTheme="minorEastAsia"/>
          <w:sz w:val="24"/>
          <w:szCs w:val="24"/>
          <w:highlight w:val="none"/>
        </w:rPr>
        <w:t>最大操作压力：</w:t>
      </w:r>
      <w:r>
        <w:rPr>
          <w:rFonts w:hint="eastAsia" w:cs="Arial"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600bar</w:t>
      </w:r>
      <w:r>
        <w:rPr>
          <w:rFonts w:hint="eastAsia" w:asciiTheme="minorEastAsia" w:hAnsiTheme="minorEastAsia" w:eastAsiaTheme="minorEastAsia"/>
          <w:sz w:val="24"/>
          <w:szCs w:val="24"/>
          <w:highlight w:val="none"/>
        </w:rPr>
        <w:t>。</w:t>
      </w:r>
    </w:p>
    <w:bookmarkEnd w:id="43"/>
    <w:p w14:paraId="015DFECE">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1.1.7</w:t>
      </w:r>
      <w:r>
        <w:rPr>
          <w:rFonts w:hint="eastAsia" w:asciiTheme="minorEastAsia" w:hAnsiTheme="minorEastAsia" w:eastAsiaTheme="minorEastAsia"/>
          <w:sz w:val="24"/>
          <w:szCs w:val="24"/>
          <w:highlight w:val="none"/>
        </w:rPr>
        <w:t>泵模块内置四通路真空脱气机，具有压力传感器，实时监控真空腔压力变化，保证及时高效的脱气操作。</w:t>
      </w:r>
    </w:p>
    <w:p w14:paraId="0E04DC23">
      <w:pPr>
        <w:widowControl/>
        <w:numPr>
          <w:ilvl w:val="1"/>
          <w:numId w:val="6"/>
        </w:numPr>
        <w:tabs>
          <w:tab w:val="left" w:pos="709"/>
          <w:tab w:val="left" w:pos="851"/>
          <w:tab w:val="clear" w:pos="420"/>
        </w:tabs>
        <w:adjustRightInd w:val="0"/>
        <w:snapToGrid w:val="0"/>
        <w:spacing w:line="360" w:lineRule="auto"/>
        <w:ind w:left="-13" w:leftChars="-13" w:hanging="14" w:hangingChars="6"/>
        <w:jc w:val="left"/>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自动进样器</w:t>
      </w:r>
      <w:r>
        <w:rPr>
          <w:rFonts w:asciiTheme="minorEastAsia" w:hAnsiTheme="minorEastAsia" w:eastAsiaTheme="minorEastAsia"/>
          <w:b/>
          <w:sz w:val="24"/>
          <w:szCs w:val="24"/>
          <w:highlight w:val="none"/>
        </w:rPr>
        <w:t xml:space="preserve"> </w:t>
      </w:r>
    </w:p>
    <w:p w14:paraId="6B7DE023">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1.2.1</w:t>
      </w:r>
      <w:r>
        <w:rPr>
          <w:rFonts w:hint="eastAsia" w:asciiTheme="minorEastAsia" w:hAnsiTheme="minorEastAsia" w:eastAsiaTheme="minorEastAsia"/>
          <w:sz w:val="24"/>
          <w:szCs w:val="24"/>
          <w:highlight w:val="none"/>
        </w:rPr>
        <w:t>自动进样器可进行编程进样，用于柱前衍生，柱前样品自动稀释，自动混合等复杂进样方式（需提供软件说明证明材料包含图片）。</w:t>
      </w:r>
    </w:p>
    <w:p w14:paraId="570C979C">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1.2.2</w:t>
      </w:r>
      <w:r>
        <w:rPr>
          <w:rFonts w:hint="eastAsia" w:asciiTheme="minorEastAsia" w:hAnsiTheme="minorEastAsia" w:eastAsiaTheme="minorEastAsia"/>
          <w:sz w:val="24"/>
          <w:szCs w:val="24"/>
          <w:highlight w:val="none"/>
        </w:rPr>
        <w:t>进样范围：</w:t>
      </w:r>
      <w:r>
        <w:rPr>
          <w:rFonts w:asciiTheme="minorEastAsia" w:hAnsiTheme="minorEastAsia" w:eastAsiaTheme="minorEastAsia"/>
          <w:sz w:val="24"/>
          <w:szCs w:val="24"/>
          <w:highlight w:val="none"/>
        </w:rPr>
        <w:t>0.1~100</w:t>
      </w:r>
      <w:r>
        <w:rPr>
          <w:rFonts w:asciiTheme="minorEastAsia" w:hAnsiTheme="minorEastAsia" w:eastAsiaTheme="minorEastAsia"/>
          <w:sz w:val="24"/>
          <w:szCs w:val="24"/>
          <w:highlight w:val="none"/>
        </w:rPr>
        <w:sym w:font="Symbol" w:char="F06D"/>
      </w:r>
      <w:r>
        <w:rPr>
          <w:rFonts w:asciiTheme="minorEastAsia" w:hAnsiTheme="minorEastAsia" w:eastAsiaTheme="minorEastAsia"/>
          <w:sz w:val="24"/>
          <w:szCs w:val="24"/>
          <w:highlight w:val="none"/>
        </w:rPr>
        <w:t>L</w:t>
      </w:r>
      <w:r>
        <w:rPr>
          <w:rFonts w:hint="eastAsia" w:asciiTheme="minorEastAsia" w:hAnsiTheme="minorEastAsia" w:eastAsiaTheme="minorEastAsia"/>
          <w:sz w:val="24"/>
          <w:szCs w:val="24"/>
          <w:highlight w:val="none"/>
        </w:rPr>
        <w:t>，步进</w:t>
      </w:r>
      <w:r>
        <w:rPr>
          <w:rFonts w:asciiTheme="minorEastAsia" w:hAnsiTheme="minorEastAsia" w:eastAsiaTheme="minorEastAsia"/>
          <w:sz w:val="24"/>
          <w:szCs w:val="24"/>
          <w:highlight w:val="none"/>
        </w:rPr>
        <w:t xml:space="preserve"> </w:t>
      </w:r>
      <w:r>
        <w:rPr>
          <w:rFonts w:hint="eastAsia" w:cs="Arial" w:asciiTheme="minorEastAsia" w:hAnsiTheme="minorEastAsia" w:eastAsiaTheme="minorEastAsia"/>
          <w:sz w:val="24"/>
          <w:szCs w:val="24"/>
          <w:highlight w:val="none"/>
        </w:rPr>
        <w:t>≤</w:t>
      </w:r>
      <w:r>
        <w:rPr>
          <w:rFonts w:cs="Arial" w:asciiTheme="minorEastAsia" w:hAnsiTheme="minorEastAsia" w:eastAsiaTheme="minorEastAsia"/>
          <w:sz w:val="24"/>
          <w:szCs w:val="24"/>
          <w:highlight w:val="none"/>
        </w:rPr>
        <w:t xml:space="preserve"> </w:t>
      </w:r>
      <w:r>
        <w:rPr>
          <w:rFonts w:asciiTheme="minorEastAsia" w:hAnsiTheme="minorEastAsia" w:eastAsiaTheme="minorEastAsia"/>
          <w:sz w:val="24"/>
          <w:szCs w:val="24"/>
          <w:highlight w:val="none"/>
        </w:rPr>
        <w:t>0.1</w:t>
      </w:r>
      <w:r>
        <w:rPr>
          <w:rFonts w:asciiTheme="minorEastAsia" w:hAnsiTheme="minorEastAsia" w:eastAsiaTheme="minorEastAsia"/>
          <w:sz w:val="24"/>
          <w:szCs w:val="24"/>
          <w:highlight w:val="none"/>
        </w:rPr>
        <w:sym w:font="Symbol" w:char="006D"/>
      </w:r>
      <w:r>
        <w:rPr>
          <w:rFonts w:asciiTheme="minorEastAsia" w:hAnsiTheme="minorEastAsia" w:eastAsiaTheme="minorEastAsia"/>
          <w:sz w:val="24"/>
          <w:szCs w:val="24"/>
          <w:highlight w:val="none"/>
        </w:rPr>
        <w:t>L</w:t>
      </w:r>
      <w:r>
        <w:rPr>
          <w:rFonts w:hint="eastAsia" w:asciiTheme="minorEastAsia" w:hAnsiTheme="minorEastAsia" w:eastAsiaTheme="minorEastAsia"/>
          <w:sz w:val="24"/>
          <w:szCs w:val="24"/>
          <w:highlight w:val="none"/>
        </w:rPr>
        <w:t>；进样体积可通过扩展定量环的方式增加到不低于</w:t>
      </w:r>
      <w:r>
        <w:rPr>
          <w:rFonts w:asciiTheme="minorEastAsia" w:hAnsiTheme="minorEastAsia" w:eastAsiaTheme="minorEastAsia"/>
          <w:sz w:val="24"/>
          <w:szCs w:val="24"/>
          <w:highlight w:val="none"/>
        </w:rPr>
        <w:t>800μL</w:t>
      </w:r>
      <w:r>
        <w:rPr>
          <w:rFonts w:hint="eastAsia" w:asciiTheme="minorEastAsia" w:hAnsiTheme="minorEastAsia" w:eastAsiaTheme="minorEastAsia"/>
          <w:sz w:val="24"/>
          <w:szCs w:val="24"/>
          <w:highlight w:val="none"/>
        </w:rPr>
        <w:t>。</w:t>
      </w:r>
    </w:p>
    <w:p w14:paraId="19212BB1">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1.2.3</w:t>
      </w:r>
      <w:r>
        <w:rPr>
          <w:rFonts w:hint="eastAsia" w:asciiTheme="minorEastAsia" w:hAnsiTheme="minorEastAsia" w:eastAsiaTheme="minorEastAsia"/>
          <w:sz w:val="24"/>
          <w:szCs w:val="24"/>
          <w:highlight w:val="none"/>
        </w:rPr>
        <w:t>进样精密度：</w:t>
      </w:r>
      <w:r>
        <w:rPr>
          <w:rFonts w:asciiTheme="minorEastAsia" w:hAnsiTheme="minorEastAsia" w:eastAsiaTheme="minorEastAsia"/>
          <w:sz w:val="24"/>
          <w:szCs w:val="24"/>
          <w:highlight w:val="none"/>
        </w:rPr>
        <w:t>&lt; 0.25% RSD</w:t>
      </w:r>
      <w:r>
        <w:rPr>
          <w:rFonts w:hint="eastAsia" w:asciiTheme="minorEastAsia" w:hAnsiTheme="minorEastAsia" w:eastAsiaTheme="minorEastAsia"/>
          <w:sz w:val="24"/>
          <w:szCs w:val="24"/>
          <w:highlight w:val="none"/>
        </w:rPr>
        <w:t>（进样体积</w:t>
      </w:r>
      <w:r>
        <w:rPr>
          <w:rFonts w:asciiTheme="minorEastAsia" w:hAnsiTheme="minorEastAsia" w:eastAsiaTheme="minorEastAsia"/>
          <w:sz w:val="24"/>
          <w:szCs w:val="24"/>
          <w:highlight w:val="none"/>
        </w:rPr>
        <w:t xml:space="preserve"> 5~100</w:t>
      </w:r>
      <w:r>
        <w:rPr>
          <w:rFonts w:asciiTheme="minorEastAsia" w:hAnsiTheme="minorEastAsia" w:eastAsiaTheme="minorEastAsia"/>
          <w:sz w:val="24"/>
          <w:szCs w:val="24"/>
          <w:highlight w:val="none"/>
        </w:rPr>
        <w:sym w:font="Symbol" w:char="006D"/>
      </w:r>
      <w:r>
        <w:rPr>
          <w:rFonts w:asciiTheme="minorEastAsia" w:hAnsiTheme="minorEastAsia" w:eastAsiaTheme="minorEastAsia"/>
          <w:sz w:val="24"/>
          <w:szCs w:val="24"/>
          <w:highlight w:val="none"/>
        </w:rPr>
        <w:t>L</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 </w:t>
      </w:r>
    </w:p>
    <w:p w14:paraId="2895EDFC">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1.2.4</w:t>
      </w:r>
      <w:r>
        <w:rPr>
          <w:rFonts w:hint="eastAsia" w:asciiTheme="minorEastAsia" w:hAnsiTheme="minorEastAsia" w:eastAsiaTheme="minorEastAsia"/>
          <w:sz w:val="24"/>
          <w:szCs w:val="24"/>
          <w:highlight w:val="none"/>
        </w:rPr>
        <w:t>最大操作压力：≥</w:t>
      </w:r>
      <w:r>
        <w:rPr>
          <w:rFonts w:asciiTheme="minorEastAsia" w:hAnsiTheme="minorEastAsia" w:eastAsiaTheme="minorEastAsia"/>
          <w:sz w:val="24"/>
          <w:szCs w:val="24"/>
          <w:highlight w:val="none"/>
        </w:rPr>
        <w:t xml:space="preserve"> 600bar</w:t>
      </w:r>
    </w:p>
    <w:p w14:paraId="1AD7975E">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1.2.5</w:t>
      </w:r>
      <w:r>
        <w:rPr>
          <w:rFonts w:hint="eastAsia" w:asciiTheme="minorEastAsia" w:hAnsiTheme="minorEastAsia" w:eastAsiaTheme="minorEastAsia"/>
          <w:sz w:val="24"/>
          <w:szCs w:val="24"/>
          <w:highlight w:val="none"/>
        </w:rPr>
        <w:t>重复进样次数：</w:t>
      </w:r>
      <w:r>
        <w:rPr>
          <w:rFonts w:asciiTheme="minorEastAsia" w:hAnsiTheme="minorEastAsia" w:eastAsiaTheme="minorEastAsia"/>
          <w:sz w:val="24"/>
          <w:szCs w:val="24"/>
          <w:highlight w:val="none"/>
        </w:rPr>
        <w:t>1~99</w:t>
      </w:r>
      <w:r>
        <w:rPr>
          <w:rFonts w:hint="eastAsia" w:asciiTheme="minorEastAsia" w:hAnsiTheme="minorEastAsia" w:eastAsiaTheme="minorEastAsia"/>
          <w:sz w:val="24"/>
          <w:szCs w:val="24"/>
          <w:highlight w:val="none"/>
        </w:rPr>
        <w:t>次</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样品</w:t>
      </w:r>
    </w:p>
    <w:p w14:paraId="5BD6BB2D">
      <w:pPr>
        <w:widowControl/>
        <w:tabs>
          <w:tab w:val="left" w:pos="709"/>
          <w:tab w:val="left" w:pos="851"/>
        </w:tabs>
        <w:adjustRightInd w:val="0"/>
        <w:snapToGrid w:val="0"/>
        <w:spacing w:line="360" w:lineRule="auto"/>
        <w:ind w:left="-13" w:leftChars="-13" w:hanging="14" w:hangingChars="6"/>
        <w:rPr>
          <w:rFonts w:hint="eastAsia" w:cs="Arial" w:asciiTheme="minorEastAsia" w:hAnsiTheme="minorEastAsia" w:eastAsiaTheme="minorEastAsia"/>
          <w:b/>
          <w:sz w:val="24"/>
          <w:szCs w:val="24"/>
          <w:highlight w:val="none"/>
        </w:rPr>
      </w:pPr>
      <w:bookmarkStart w:id="45" w:name="OLE_LINK39"/>
      <w:r>
        <w:rPr>
          <w:rFonts w:asciiTheme="minorEastAsia" w:hAnsiTheme="minorEastAsia" w:eastAsiaTheme="minorEastAsia"/>
          <w:sz w:val="24"/>
          <w:szCs w:val="24"/>
          <w:highlight w:val="none"/>
        </w:rPr>
        <w:t xml:space="preserve">1.2.6 </w:t>
      </w:r>
      <w:r>
        <w:rPr>
          <w:rFonts w:hint="eastAsia" w:ascii="宋体" w:hAnsi="宋体" w:eastAsiaTheme="minorEastAsia"/>
          <w:sz w:val="24"/>
          <w:szCs w:val="24"/>
          <w:highlight w:val="none"/>
          <w:lang w:val="de-DE"/>
        </w:rPr>
        <w:t>▲</w:t>
      </w:r>
      <w:r>
        <w:rPr>
          <w:rFonts w:asciiTheme="minorEastAsia" w:hAnsiTheme="minorEastAsia" w:eastAsiaTheme="minorEastAsia"/>
          <w:sz w:val="24"/>
          <w:szCs w:val="24"/>
          <w:highlight w:val="none"/>
        </w:rPr>
        <w:t>2ml</w:t>
      </w:r>
      <w:r>
        <w:rPr>
          <w:rFonts w:hint="eastAsia" w:asciiTheme="minorEastAsia" w:hAnsiTheme="minorEastAsia" w:eastAsiaTheme="minorEastAsia"/>
          <w:sz w:val="24"/>
          <w:szCs w:val="24"/>
          <w:highlight w:val="none"/>
        </w:rPr>
        <w:t>样品瓶</w:t>
      </w:r>
      <w:bookmarkEnd w:id="45"/>
      <w:r>
        <w:rPr>
          <w:rFonts w:hint="eastAsia" w:asciiTheme="minorEastAsia" w:hAnsiTheme="minorEastAsia" w:eastAsiaTheme="minorEastAsia"/>
          <w:sz w:val="24"/>
          <w:szCs w:val="24"/>
          <w:highlight w:val="none"/>
        </w:rPr>
        <w:t>样品容量：≥</w:t>
      </w:r>
      <w:r>
        <w:rPr>
          <w:rFonts w:asciiTheme="minorEastAsia" w:hAnsiTheme="minorEastAsia" w:eastAsiaTheme="minorEastAsia"/>
          <w:sz w:val="24"/>
          <w:szCs w:val="24"/>
          <w:highlight w:val="none"/>
        </w:rPr>
        <w:t>124</w:t>
      </w:r>
      <w:r>
        <w:rPr>
          <w:rFonts w:hint="eastAsia" w:asciiTheme="minorEastAsia" w:hAnsiTheme="minorEastAsia" w:eastAsiaTheme="minorEastAsia"/>
          <w:sz w:val="24"/>
          <w:szCs w:val="24"/>
          <w:highlight w:val="none"/>
        </w:rPr>
        <w:t>位</w:t>
      </w:r>
    </w:p>
    <w:p w14:paraId="57D798DE">
      <w:pPr>
        <w:widowControl/>
        <w:numPr>
          <w:ilvl w:val="1"/>
          <w:numId w:val="6"/>
        </w:numPr>
        <w:tabs>
          <w:tab w:val="left" w:pos="709"/>
          <w:tab w:val="left" w:pos="851"/>
          <w:tab w:val="clear" w:pos="420"/>
        </w:tabs>
        <w:adjustRightInd w:val="0"/>
        <w:snapToGrid w:val="0"/>
        <w:spacing w:line="360" w:lineRule="auto"/>
        <w:ind w:left="-13" w:leftChars="-13" w:hanging="14" w:hangingChars="6"/>
        <w:jc w:val="left"/>
        <w:rPr>
          <w:rFonts w:hint="eastAsia" w:cs="Arial" w:asciiTheme="minorEastAsia" w:hAnsiTheme="minorEastAsia" w:eastAsiaTheme="minorEastAsia"/>
          <w:b/>
          <w:sz w:val="24"/>
          <w:szCs w:val="24"/>
          <w:highlight w:val="none"/>
        </w:rPr>
      </w:pPr>
      <w:bookmarkStart w:id="46" w:name="_Hlk520365314"/>
      <w:r>
        <w:rPr>
          <w:rFonts w:hint="eastAsia" w:cs="Arial" w:asciiTheme="minorEastAsia" w:hAnsiTheme="minorEastAsia" w:eastAsiaTheme="minorEastAsia"/>
          <w:b/>
          <w:sz w:val="24"/>
          <w:szCs w:val="24"/>
          <w:highlight w:val="none"/>
        </w:rPr>
        <w:t>独立柱温箱</w:t>
      </w:r>
      <w:r>
        <w:rPr>
          <w:rFonts w:cs="Arial" w:asciiTheme="minorEastAsia" w:hAnsiTheme="minorEastAsia" w:eastAsiaTheme="minorEastAsia"/>
          <w:b/>
          <w:sz w:val="24"/>
          <w:szCs w:val="24"/>
          <w:highlight w:val="none"/>
        </w:rPr>
        <w:t xml:space="preserve"> </w:t>
      </w:r>
    </w:p>
    <w:p w14:paraId="05106F98">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1.3.1</w:t>
      </w:r>
      <w:r>
        <w:rPr>
          <w:rFonts w:hint="eastAsia" w:asciiTheme="minorEastAsia" w:hAnsiTheme="minorEastAsia" w:eastAsiaTheme="minorEastAsia"/>
          <w:sz w:val="24"/>
          <w:szCs w:val="24"/>
          <w:highlight w:val="none"/>
          <w:lang w:val="de-DE"/>
        </w:rPr>
        <w:t>柱温箱热量传递方式通过静态半导体主动加热和制冷进行，而非风扇气流扩散方式进行热风加热和冷风制冷</w:t>
      </w:r>
      <w:r>
        <w:rPr>
          <w:rFonts w:hint="eastAsia" w:asciiTheme="minorEastAsia" w:hAnsiTheme="minorEastAsia" w:eastAsiaTheme="minorEastAsia"/>
          <w:sz w:val="24"/>
          <w:szCs w:val="24"/>
          <w:highlight w:val="none"/>
        </w:rPr>
        <w:t>（需提供硬件照片和软件截图证明材料）。</w:t>
      </w:r>
    </w:p>
    <w:p w14:paraId="6295BFC2">
      <w:pPr>
        <w:tabs>
          <w:tab w:val="left" w:pos="709"/>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1.3.2</w:t>
      </w:r>
      <w:r>
        <w:rPr>
          <w:rFonts w:hint="eastAsia" w:asciiTheme="minorEastAsia" w:hAnsiTheme="minorEastAsia" w:eastAsiaTheme="minorEastAsia"/>
          <w:sz w:val="24"/>
          <w:szCs w:val="24"/>
          <w:highlight w:val="none"/>
        </w:rPr>
        <w:t>柱温范围：可应用的最低温度范围为室温以下</w:t>
      </w:r>
      <w:r>
        <w:rPr>
          <w:rFonts w:asciiTheme="minorEastAsia" w:hAnsiTheme="minorEastAsia" w:eastAsiaTheme="minorEastAsia"/>
          <w:sz w:val="24"/>
          <w:szCs w:val="24"/>
          <w:highlight w:val="none"/>
        </w:rPr>
        <w:t>15</w:t>
      </w:r>
      <w:r>
        <w:rPr>
          <w:rFonts w:hint="eastAsia" w:cs="Cambria Math"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，最高温度不低于</w:t>
      </w:r>
      <w:r>
        <w:rPr>
          <w:rFonts w:asciiTheme="minorEastAsia" w:hAnsiTheme="minorEastAsia" w:eastAsiaTheme="minorEastAsia"/>
          <w:sz w:val="24"/>
          <w:szCs w:val="24"/>
          <w:highlight w:val="none"/>
        </w:rPr>
        <w:t>80</w:t>
      </w:r>
      <w:r>
        <w:rPr>
          <w:rFonts w:hint="eastAsia" w:cs="Cambria Math"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；（需提供软件截图证明）</w:t>
      </w:r>
    </w:p>
    <w:p w14:paraId="25EA4F64">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1.3.3</w:t>
      </w:r>
      <w:r>
        <w:rPr>
          <w:rFonts w:hint="eastAsia" w:ascii="宋体" w:hAnsi="宋体" w:eastAsiaTheme="minorEastAsia"/>
          <w:sz w:val="24"/>
          <w:szCs w:val="24"/>
          <w:highlight w:val="none"/>
          <w:lang w:val="de-DE"/>
        </w:rPr>
        <w:t>★</w:t>
      </w:r>
      <w:r>
        <w:rPr>
          <w:rFonts w:hint="eastAsia" w:asciiTheme="minorEastAsia" w:hAnsiTheme="minorEastAsia" w:eastAsiaTheme="minorEastAsia"/>
          <w:sz w:val="24"/>
          <w:szCs w:val="24"/>
          <w:highlight w:val="none"/>
        </w:rPr>
        <w:t>温度稳定性：</w:t>
      </w:r>
      <w:r>
        <w:rPr>
          <w:rFonts w:hint="eastAsia" w:cs="Arial"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 ± 0.1</w:t>
      </w:r>
      <w:r>
        <w:rPr>
          <w:rFonts w:ascii="微软雅黑" w:hAnsi="微软雅黑" w:eastAsia="微软雅黑" w:cs="微软雅黑"/>
          <w:sz w:val="24"/>
          <w:szCs w:val="24"/>
          <w:highlight w:val="none"/>
        </w:rPr>
        <w:t>˚</w:t>
      </w:r>
      <w:r>
        <w:rPr>
          <w:rFonts w:asciiTheme="minorEastAsia" w:hAnsiTheme="minorEastAsia" w:eastAsiaTheme="minorEastAsia"/>
          <w:sz w:val="24"/>
          <w:szCs w:val="24"/>
          <w:highlight w:val="none"/>
        </w:rPr>
        <w:t>C</w:t>
      </w:r>
      <w:r>
        <w:rPr>
          <w:rFonts w:hint="eastAsia" w:asciiTheme="minorEastAsia" w:hAnsiTheme="minorEastAsia" w:eastAsiaTheme="minorEastAsia"/>
          <w:sz w:val="24"/>
          <w:szCs w:val="24"/>
          <w:highlight w:val="none"/>
        </w:rPr>
        <w:t>，温度准确度：≤±</w:t>
      </w:r>
      <w:r>
        <w:rPr>
          <w:rFonts w:asciiTheme="minorEastAsia" w:hAnsiTheme="minorEastAsia" w:eastAsiaTheme="minorEastAsia"/>
          <w:sz w:val="24"/>
          <w:szCs w:val="24"/>
          <w:highlight w:val="none"/>
        </w:rPr>
        <w:t xml:space="preserve"> 0.5 °C</w:t>
      </w:r>
      <w:r>
        <w:rPr>
          <w:rFonts w:hint="eastAsia" w:asciiTheme="minorEastAsia" w:hAnsiTheme="minorEastAsia" w:eastAsiaTheme="minorEastAsia"/>
          <w:sz w:val="24"/>
          <w:szCs w:val="24"/>
          <w:highlight w:val="none"/>
        </w:rPr>
        <w:t>。</w:t>
      </w:r>
    </w:p>
    <w:p w14:paraId="28F487F8">
      <w:pPr>
        <w:tabs>
          <w:tab w:val="left" w:pos="709"/>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1.3.4</w:t>
      </w:r>
      <w:r>
        <w:rPr>
          <w:rFonts w:hint="eastAsia" w:asciiTheme="minorEastAsia" w:hAnsiTheme="minorEastAsia" w:eastAsiaTheme="minorEastAsia"/>
          <w:sz w:val="24"/>
          <w:szCs w:val="24"/>
          <w:highlight w:val="none"/>
        </w:rPr>
        <w:t>柱容量：不少于</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根</w:t>
      </w:r>
      <w:r>
        <w:rPr>
          <w:rFonts w:asciiTheme="minorEastAsia" w:hAnsiTheme="minorEastAsia" w:eastAsiaTheme="minorEastAsia"/>
          <w:sz w:val="24"/>
          <w:szCs w:val="24"/>
          <w:highlight w:val="none"/>
        </w:rPr>
        <w:t>30cm</w:t>
      </w:r>
      <w:r>
        <w:rPr>
          <w:rFonts w:hint="eastAsia" w:asciiTheme="minorEastAsia" w:hAnsiTheme="minorEastAsia" w:eastAsiaTheme="minorEastAsia"/>
          <w:sz w:val="24"/>
          <w:szCs w:val="24"/>
          <w:highlight w:val="none"/>
        </w:rPr>
        <w:t>色谱柱，并不少于</w:t>
      </w: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根</w:t>
      </w:r>
      <w:r>
        <w:rPr>
          <w:rFonts w:asciiTheme="minorEastAsia" w:hAnsiTheme="minorEastAsia" w:eastAsiaTheme="minorEastAsia"/>
          <w:sz w:val="24"/>
          <w:szCs w:val="24"/>
          <w:highlight w:val="none"/>
        </w:rPr>
        <w:t>10cm</w:t>
      </w:r>
      <w:r>
        <w:rPr>
          <w:rFonts w:hint="eastAsia" w:asciiTheme="minorEastAsia" w:hAnsiTheme="minorEastAsia" w:eastAsiaTheme="minorEastAsia"/>
          <w:sz w:val="24"/>
          <w:szCs w:val="24"/>
          <w:highlight w:val="none"/>
        </w:rPr>
        <w:t>色谱柱（需提供软件说明证明材料包含图片）</w:t>
      </w:r>
    </w:p>
    <w:p w14:paraId="48110A5D">
      <w:pPr>
        <w:pStyle w:val="104"/>
        <w:widowControl w:val="0"/>
        <w:numPr>
          <w:ilvl w:val="1"/>
          <w:numId w:val="6"/>
        </w:numPr>
        <w:tabs>
          <w:tab w:val="left" w:pos="709"/>
          <w:tab w:val="left" w:pos="851"/>
          <w:tab w:val="clear" w:pos="420"/>
        </w:tabs>
        <w:adjustRightInd w:val="0"/>
        <w:snapToGrid w:val="0"/>
        <w:spacing w:line="360" w:lineRule="auto"/>
        <w:ind w:left="-13" w:leftChars="-13" w:hanging="14" w:hangingChars="6"/>
        <w:jc w:val="both"/>
        <w:rPr>
          <w:rFonts w:hint="eastAsia" w:asciiTheme="minorEastAsia" w:hAnsiTheme="minorEastAsia" w:eastAsiaTheme="minorEastAsia"/>
          <w:b/>
          <w:highlight w:val="none"/>
        </w:rPr>
      </w:pPr>
      <w:bookmarkStart w:id="47" w:name="_Hlk502314493"/>
      <w:r>
        <w:rPr>
          <w:rFonts w:hint="eastAsia" w:asciiTheme="minorEastAsia" w:hAnsiTheme="minorEastAsia" w:eastAsiaTheme="minorEastAsia"/>
          <w:b/>
          <w:highlight w:val="none"/>
        </w:rPr>
        <w:t>二极管阵列检测器</w:t>
      </w:r>
      <w:r>
        <w:rPr>
          <w:rFonts w:asciiTheme="minorEastAsia" w:hAnsiTheme="minorEastAsia" w:eastAsiaTheme="minorEastAsia"/>
          <w:b/>
          <w:highlight w:val="none"/>
        </w:rPr>
        <w:t xml:space="preserve"> </w:t>
      </w:r>
    </w:p>
    <w:p w14:paraId="50C76062">
      <w:pPr>
        <w:tabs>
          <w:tab w:val="left" w:pos="709"/>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光学元件数：不低于</w:t>
      </w:r>
      <w:r>
        <w:rPr>
          <w:rFonts w:asciiTheme="minorEastAsia" w:hAnsiTheme="minorEastAsia" w:eastAsiaTheme="minorEastAsia"/>
          <w:sz w:val="24"/>
          <w:szCs w:val="24"/>
          <w:highlight w:val="none"/>
        </w:rPr>
        <w:t>1024</w:t>
      </w:r>
      <w:r>
        <w:rPr>
          <w:rFonts w:hint="eastAsia" w:asciiTheme="minorEastAsia" w:hAnsiTheme="minorEastAsia" w:eastAsiaTheme="minorEastAsia"/>
          <w:sz w:val="24"/>
          <w:szCs w:val="24"/>
          <w:highlight w:val="none"/>
        </w:rPr>
        <w:t>；（需提供官网网址证明资料并附可查官方网址，与软件说明证明材料包含图片）</w:t>
      </w:r>
    </w:p>
    <w:p w14:paraId="0BC97E33">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光源：氘灯和钨灯；</w:t>
      </w:r>
    </w:p>
    <w:p w14:paraId="4BFB21E6">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检测通道：可同时输出不低于</w:t>
      </w: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个实时信号；</w:t>
      </w:r>
    </w:p>
    <w:p w14:paraId="7C50574F">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最大数据采集速率：≥</w:t>
      </w:r>
      <w:r>
        <w:rPr>
          <w:rFonts w:asciiTheme="minorEastAsia" w:hAnsiTheme="minorEastAsia" w:eastAsiaTheme="minorEastAsia"/>
          <w:sz w:val="24"/>
          <w:szCs w:val="24"/>
          <w:highlight w:val="none"/>
        </w:rPr>
        <w:t>110Hz</w:t>
      </w:r>
      <w:r>
        <w:rPr>
          <w:rFonts w:hint="eastAsia" w:asciiTheme="minorEastAsia" w:hAnsiTheme="minorEastAsia" w:eastAsiaTheme="minorEastAsia"/>
          <w:sz w:val="24"/>
          <w:szCs w:val="24"/>
          <w:highlight w:val="none"/>
        </w:rPr>
        <w:t>；</w:t>
      </w:r>
    </w:p>
    <w:p w14:paraId="31325AFA">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短期噪音：＜</w:t>
      </w:r>
      <w:r>
        <w:rPr>
          <w:rFonts w:asciiTheme="minorEastAsia" w:hAnsiTheme="minorEastAsia" w:eastAsiaTheme="minorEastAsia"/>
          <w:sz w:val="24"/>
          <w:szCs w:val="24"/>
          <w:highlight w:val="none"/>
        </w:rPr>
        <w:t>±7×10-6mAU/h</w:t>
      </w:r>
      <w:r>
        <w:rPr>
          <w:rFonts w:hint="eastAsia" w:asciiTheme="minorEastAsia" w:hAnsiTheme="minorEastAsia" w:eastAsiaTheme="minorEastAsia"/>
          <w:sz w:val="24"/>
          <w:szCs w:val="24"/>
          <w:highlight w:val="none"/>
        </w:rPr>
        <w:t>（在</w:t>
      </w:r>
      <w:r>
        <w:rPr>
          <w:rFonts w:asciiTheme="minorEastAsia" w:hAnsiTheme="minorEastAsia" w:eastAsiaTheme="minorEastAsia"/>
          <w:sz w:val="24"/>
          <w:szCs w:val="24"/>
          <w:highlight w:val="none"/>
        </w:rPr>
        <w:t xml:space="preserve"> 254 </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 xml:space="preserve"> 750 nm </w:t>
      </w:r>
      <w:r>
        <w:rPr>
          <w:rFonts w:hint="eastAsia" w:asciiTheme="minorEastAsia" w:hAnsiTheme="minorEastAsia" w:eastAsiaTheme="minorEastAsia"/>
          <w:sz w:val="24"/>
          <w:szCs w:val="24"/>
          <w:highlight w:val="none"/>
        </w:rPr>
        <w:t>时）；</w:t>
      </w:r>
    </w:p>
    <w:p w14:paraId="73D8E43C">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基线漂移：＜</w:t>
      </w:r>
      <w:r>
        <w:rPr>
          <w:rFonts w:asciiTheme="minorEastAsia" w:hAnsiTheme="minorEastAsia" w:eastAsiaTheme="minorEastAsia"/>
          <w:sz w:val="24"/>
          <w:szCs w:val="24"/>
          <w:highlight w:val="none"/>
        </w:rPr>
        <w:t>0.9×10-3mAU/h</w:t>
      </w:r>
      <w:r>
        <w:rPr>
          <w:rFonts w:hint="eastAsia" w:asciiTheme="minorEastAsia" w:hAnsiTheme="minorEastAsia" w:eastAsiaTheme="minorEastAsia"/>
          <w:sz w:val="24"/>
          <w:szCs w:val="24"/>
          <w:highlight w:val="none"/>
        </w:rPr>
        <w:t>（在</w:t>
      </w:r>
      <w:r>
        <w:rPr>
          <w:rFonts w:asciiTheme="minorEastAsia" w:hAnsiTheme="minorEastAsia" w:eastAsiaTheme="minorEastAsia"/>
          <w:sz w:val="24"/>
          <w:szCs w:val="24"/>
          <w:highlight w:val="none"/>
        </w:rPr>
        <w:t>254nm</w:t>
      </w:r>
      <w:r>
        <w:rPr>
          <w:rFonts w:hint="eastAsia" w:asciiTheme="minorEastAsia" w:hAnsiTheme="minorEastAsia" w:eastAsiaTheme="minorEastAsia"/>
          <w:sz w:val="24"/>
          <w:szCs w:val="24"/>
          <w:highlight w:val="none"/>
        </w:rPr>
        <w:t>条件下）；</w:t>
      </w:r>
    </w:p>
    <w:p w14:paraId="62B8D392">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吸光度线性范围：</w:t>
      </w:r>
      <w:r>
        <w:rPr>
          <w:rFonts w:asciiTheme="minorEastAsia" w:hAnsiTheme="minorEastAsia" w:eastAsiaTheme="minorEastAsia"/>
          <w:sz w:val="24"/>
          <w:szCs w:val="24"/>
          <w:highlight w:val="none"/>
        </w:rPr>
        <w:t>&gt;2AU (5%)</w:t>
      </w:r>
      <w:r>
        <w:rPr>
          <w:rFonts w:hint="eastAsia" w:asciiTheme="minorEastAsia" w:hAnsiTheme="minorEastAsia" w:eastAsiaTheme="minorEastAsia"/>
          <w:sz w:val="24"/>
          <w:szCs w:val="24"/>
          <w:highlight w:val="none"/>
        </w:rPr>
        <w:t>（在</w:t>
      </w:r>
      <w:r>
        <w:rPr>
          <w:rFonts w:asciiTheme="minorEastAsia" w:hAnsiTheme="minorEastAsia" w:eastAsiaTheme="minorEastAsia"/>
          <w:sz w:val="24"/>
          <w:szCs w:val="24"/>
          <w:highlight w:val="none"/>
        </w:rPr>
        <w:t>265nm</w:t>
      </w:r>
      <w:r>
        <w:rPr>
          <w:rFonts w:hint="eastAsia" w:asciiTheme="minorEastAsia" w:hAnsiTheme="minorEastAsia" w:eastAsiaTheme="minorEastAsia"/>
          <w:sz w:val="24"/>
          <w:szCs w:val="24"/>
          <w:highlight w:val="none"/>
        </w:rPr>
        <w:t>条件下）；</w:t>
      </w:r>
    </w:p>
    <w:p w14:paraId="679978F4">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波长范围：</w:t>
      </w:r>
      <w:r>
        <w:rPr>
          <w:rFonts w:asciiTheme="minorEastAsia" w:hAnsiTheme="minorEastAsia" w:eastAsiaTheme="minorEastAsia"/>
          <w:sz w:val="24"/>
          <w:szCs w:val="24"/>
          <w:highlight w:val="none"/>
        </w:rPr>
        <w:t>190-820nm</w:t>
      </w:r>
      <w:r>
        <w:rPr>
          <w:rFonts w:hint="eastAsia" w:asciiTheme="minorEastAsia" w:hAnsiTheme="minorEastAsia" w:eastAsiaTheme="minorEastAsia"/>
          <w:sz w:val="24"/>
          <w:szCs w:val="24"/>
          <w:highlight w:val="none"/>
        </w:rPr>
        <w:t>；</w:t>
      </w:r>
    </w:p>
    <w:p w14:paraId="05C21E95">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波长准确度：</w:t>
      </w:r>
      <w:r>
        <w:rPr>
          <w:rFonts w:hint="eastAsia" w:cs="Arial"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±1nm</w:t>
      </w:r>
      <w:r>
        <w:rPr>
          <w:rFonts w:hint="eastAsia" w:asciiTheme="minorEastAsia" w:hAnsiTheme="minorEastAsia" w:eastAsiaTheme="minorEastAsia"/>
          <w:sz w:val="24"/>
          <w:szCs w:val="24"/>
          <w:highlight w:val="none"/>
        </w:rPr>
        <w:t>；</w:t>
      </w:r>
    </w:p>
    <w:p w14:paraId="031BE9DD">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波长精度：＜</w:t>
      </w:r>
      <w:r>
        <w:rPr>
          <w:rFonts w:asciiTheme="minorEastAsia" w:hAnsiTheme="minorEastAsia" w:eastAsiaTheme="minorEastAsia"/>
          <w:sz w:val="24"/>
          <w:szCs w:val="24"/>
          <w:highlight w:val="none"/>
        </w:rPr>
        <w:t>±0.1nm</w:t>
      </w:r>
      <w:r>
        <w:rPr>
          <w:rFonts w:hint="eastAsia" w:asciiTheme="minorEastAsia" w:hAnsiTheme="minorEastAsia" w:eastAsiaTheme="minorEastAsia"/>
          <w:sz w:val="24"/>
          <w:szCs w:val="24"/>
          <w:highlight w:val="none"/>
        </w:rPr>
        <w:t>；</w:t>
      </w:r>
    </w:p>
    <w:p w14:paraId="60E76B72">
      <w:pPr>
        <w:widowControl/>
        <w:numPr>
          <w:ilvl w:val="2"/>
          <w:numId w:val="6"/>
        </w:numPr>
        <w:tabs>
          <w:tab w:val="left" w:pos="709"/>
          <w:tab w:val="left" w:pos="851"/>
          <w:tab w:val="clear" w:pos="720"/>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流通池：光程≤</w:t>
      </w:r>
      <w:r>
        <w:rPr>
          <w:rFonts w:asciiTheme="minorEastAsia" w:hAnsiTheme="minorEastAsia" w:eastAsiaTheme="minorEastAsia"/>
          <w:sz w:val="24"/>
          <w:szCs w:val="24"/>
          <w:highlight w:val="none"/>
        </w:rPr>
        <w:t>10 mm</w:t>
      </w:r>
      <w:r>
        <w:rPr>
          <w:rFonts w:hint="eastAsia" w:asciiTheme="minorEastAsia" w:hAnsiTheme="minorEastAsia" w:eastAsiaTheme="minorEastAsia"/>
          <w:sz w:val="24"/>
          <w:szCs w:val="24"/>
          <w:highlight w:val="none"/>
        </w:rPr>
        <w:t>。</w:t>
      </w:r>
      <w:bookmarkEnd w:id="46"/>
      <w:bookmarkEnd w:id="47"/>
    </w:p>
    <w:p w14:paraId="2911DC0B">
      <w:pPr>
        <w:tabs>
          <w:tab w:val="left" w:pos="709"/>
        </w:tabs>
        <w:spacing w:line="360" w:lineRule="auto"/>
        <w:ind w:left="-13" w:leftChars="-13" w:hanging="14" w:hangingChars="6"/>
        <w:rPr>
          <w:rFonts w:hint="eastAsia" w:cs="Arial" w:asciiTheme="minorEastAsia" w:hAnsiTheme="minorEastAsia" w:eastAsiaTheme="minorEastAsia"/>
          <w:b/>
          <w:sz w:val="24"/>
          <w:szCs w:val="24"/>
          <w:highlight w:val="none"/>
        </w:rPr>
      </w:pPr>
      <w:r>
        <w:rPr>
          <w:rFonts w:cs="Arial" w:asciiTheme="minorEastAsia" w:hAnsiTheme="minorEastAsia" w:eastAsiaTheme="minorEastAsia"/>
          <w:b/>
          <w:sz w:val="24"/>
          <w:szCs w:val="24"/>
          <w:highlight w:val="none"/>
        </w:rPr>
        <w:t>1.5</w:t>
      </w:r>
      <w:r>
        <w:rPr>
          <w:rFonts w:hint="eastAsia" w:cs="Arial" w:asciiTheme="minorEastAsia" w:hAnsiTheme="minorEastAsia" w:eastAsiaTheme="minorEastAsia"/>
          <w:b/>
          <w:sz w:val="24"/>
          <w:szCs w:val="24"/>
          <w:highlight w:val="none"/>
        </w:rPr>
        <w:t>示差折光检测器</w:t>
      </w:r>
    </w:p>
    <w:p w14:paraId="2D33647E">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1.5.1、示差折光范围 1.00–1.75 RIU，已校正</w:t>
      </w:r>
    </w:p>
    <w:p w14:paraId="27A30F17">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 xml:space="preserve">1.5.2、测量范围 </w:t>
      </w:r>
      <w:r>
        <w:rPr>
          <w:rFonts w:hint="eastAsia" w:cs="Arial" w:asciiTheme="minorEastAsia" w:hAnsiTheme="minorEastAsia" w:eastAsiaTheme="minorEastAsia"/>
          <w:snapToGrid w:val="0"/>
          <w:sz w:val="24"/>
          <w:szCs w:val="24"/>
          <w:highlight w:val="none"/>
        </w:rPr>
        <w:t>±</w:t>
      </w:r>
      <w:r>
        <w:rPr>
          <w:rFonts w:cs="Arial" w:asciiTheme="minorEastAsia" w:hAnsiTheme="minorEastAsia" w:eastAsiaTheme="minorEastAsia"/>
          <w:snapToGrid w:val="0"/>
          <w:sz w:val="24"/>
          <w:szCs w:val="24"/>
          <w:highlight w:val="none"/>
        </w:rPr>
        <w:t>600·10</w:t>
      </w:r>
      <w:r>
        <w:rPr>
          <w:rFonts w:cs="Arial" w:asciiTheme="minorEastAsia" w:hAnsiTheme="minorEastAsia" w:eastAsiaTheme="minorEastAsia"/>
          <w:snapToGrid w:val="0"/>
          <w:sz w:val="24"/>
          <w:szCs w:val="24"/>
          <w:highlight w:val="none"/>
          <w:vertAlign w:val="superscript"/>
        </w:rPr>
        <w:t>-6</w:t>
      </w:r>
      <w:r>
        <w:rPr>
          <w:rFonts w:cs="Arial" w:asciiTheme="minorEastAsia" w:hAnsiTheme="minorEastAsia" w:eastAsiaTheme="minorEastAsia"/>
          <w:snapToGrid w:val="0"/>
          <w:sz w:val="24"/>
          <w:szCs w:val="24"/>
          <w:highlight w:val="none"/>
        </w:rPr>
        <w:t xml:space="preserve"> RIU</w:t>
      </w:r>
    </w:p>
    <w:p w14:paraId="3586AC9D">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1.5.3、光学系统温度控制 5</w:t>
      </w:r>
      <w:r>
        <w:rPr>
          <w:rFonts w:ascii="微软雅黑" w:hAnsi="微软雅黑" w:eastAsia="微软雅黑" w:cs="微软雅黑"/>
          <w:snapToGrid w:val="0"/>
          <w:sz w:val="24"/>
          <w:szCs w:val="24"/>
          <w:highlight w:val="none"/>
        </w:rPr>
        <w:t>˚</w:t>
      </w:r>
      <w:r>
        <w:rPr>
          <w:rFonts w:cs="Arial" w:asciiTheme="minorEastAsia" w:hAnsiTheme="minorEastAsia" w:eastAsiaTheme="minorEastAsia"/>
          <w:snapToGrid w:val="0"/>
          <w:sz w:val="24"/>
          <w:szCs w:val="24"/>
          <w:highlight w:val="none"/>
        </w:rPr>
        <w:t>C高于环境温度至 55</w:t>
      </w:r>
      <w:r>
        <w:rPr>
          <w:rFonts w:ascii="微软雅黑" w:hAnsi="微软雅黑" w:eastAsia="微软雅黑" w:cs="微软雅黑"/>
          <w:snapToGrid w:val="0"/>
          <w:sz w:val="24"/>
          <w:szCs w:val="24"/>
          <w:highlight w:val="none"/>
        </w:rPr>
        <w:t>˚</w:t>
      </w:r>
      <w:r>
        <w:rPr>
          <w:rFonts w:cs="Arial" w:asciiTheme="minorEastAsia" w:hAnsiTheme="minorEastAsia" w:eastAsiaTheme="minorEastAsia"/>
          <w:snapToGrid w:val="0"/>
          <w:sz w:val="24"/>
          <w:szCs w:val="24"/>
          <w:highlight w:val="none"/>
        </w:rPr>
        <w:t>C</w:t>
      </w:r>
    </w:p>
    <w:p w14:paraId="0A98D2EA">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1.5.4、样品池体积：</w:t>
      </w:r>
      <w:r>
        <w:rPr>
          <w:rFonts w:hint="eastAsia" w:cs="Arial" w:asciiTheme="minorEastAsia" w:hAnsiTheme="minorEastAsia" w:eastAsiaTheme="minorEastAsia"/>
          <w:snapToGrid w:val="0"/>
          <w:sz w:val="24"/>
          <w:szCs w:val="24"/>
          <w:highlight w:val="none"/>
        </w:rPr>
        <w:t>≤</w:t>
      </w:r>
      <w:r>
        <w:rPr>
          <w:rFonts w:cs="Arial" w:asciiTheme="minorEastAsia" w:hAnsiTheme="minorEastAsia" w:eastAsiaTheme="minorEastAsia"/>
          <w:snapToGrid w:val="0"/>
          <w:sz w:val="24"/>
          <w:szCs w:val="24"/>
          <w:highlight w:val="none"/>
        </w:rPr>
        <w:t xml:space="preserve">8 </w:t>
      </w:r>
      <w:r>
        <w:rPr>
          <w:rFonts w:hint="eastAsia" w:cs="Calibri" w:asciiTheme="minorEastAsia" w:hAnsiTheme="minorEastAsia" w:eastAsiaTheme="minorEastAsia"/>
          <w:snapToGrid w:val="0"/>
          <w:sz w:val="24"/>
          <w:szCs w:val="24"/>
          <w:highlight w:val="none"/>
        </w:rPr>
        <w:t>µ</w:t>
      </w:r>
      <w:r>
        <w:rPr>
          <w:rFonts w:cs="Arial" w:asciiTheme="minorEastAsia" w:hAnsiTheme="minorEastAsia" w:eastAsiaTheme="minorEastAsia"/>
          <w:snapToGrid w:val="0"/>
          <w:sz w:val="24"/>
          <w:szCs w:val="24"/>
          <w:highlight w:val="none"/>
        </w:rPr>
        <w:t>L，最大压力：5 bar (0.5 MPa)，最大流速：5 mL/min</w:t>
      </w:r>
    </w:p>
    <w:p w14:paraId="23E00040">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1.5.5、阀：自动冲洗和自动溶剂回收</w:t>
      </w:r>
    </w:p>
    <w:p w14:paraId="6376554A">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 xml:space="preserve">1.5.6、性能指标 </w:t>
      </w:r>
      <w:r>
        <w:rPr>
          <w:rFonts w:hint="eastAsia" w:cs="Arial" w:asciiTheme="minorEastAsia" w:hAnsiTheme="minorEastAsia" w:eastAsiaTheme="minorEastAsia"/>
          <w:snapToGrid w:val="0"/>
          <w:sz w:val="24"/>
          <w:szCs w:val="24"/>
          <w:highlight w:val="none"/>
        </w:rPr>
        <w:t>短期噪音：</w:t>
      </w:r>
      <w:r>
        <w:rPr>
          <w:rFonts w:cs="Arial" w:asciiTheme="minorEastAsia" w:hAnsiTheme="minorEastAsia" w:eastAsiaTheme="minorEastAsia"/>
          <w:snapToGrid w:val="0"/>
          <w:sz w:val="24"/>
          <w:szCs w:val="24"/>
          <w:highlight w:val="none"/>
        </w:rPr>
        <w:t>&lt;±1.25·10</w:t>
      </w:r>
      <w:r>
        <w:rPr>
          <w:rFonts w:cs="Arial" w:asciiTheme="minorEastAsia" w:hAnsiTheme="minorEastAsia" w:eastAsiaTheme="minorEastAsia"/>
          <w:snapToGrid w:val="0"/>
          <w:sz w:val="24"/>
          <w:szCs w:val="24"/>
          <w:highlight w:val="none"/>
          <w:vertAlign w:val="superscript"/>
        </w:rPr>
        <w:t>-9</w:t>
      </w:r>
      <w:r>
        <w:rPr>
          <w:rFonts w:cs="Arial" w:asciiTheme="minorEastAsia" w:hAnsiTheme="minorEastAsia" w:eastAsiaTheme="minorEastAsia"/>
          <w:snapToGrid w:val="0"/>
          <w:sz w:val="24"/>
          <w:szCs w:val="24"/>
          <w:highlight w:val="none"/>
        </w:rPr>
        <w:t xml:space="preserve"> RIU，漂移：&lt;200·10</w:t>
      </w:r>
      <w:r>
        <w:rPr>
          <w:rFonts w:cs="Arial" w:asciiTheme="minorEastAsia" w:hAnsiTheme="minorEastAsia" w:eastAsiaTheme="minorEastAsia"/>
          <w:snapToGrid w:val="0"/>
          <w:sz w:val="24"/>
          <w:szCs w:val="24"/>
          <w:highlight w:val="none"/>
          <w:vertAlign w:val="superscript"/>
        </w:rPr>
        <w:t>-9</w:t>
      </w:r>
      <w:r>
        <w:rPr>
          <w:rFonts w:cs="Arial" w:asciiTheme="minorEastAsia" w:hAnsiTheme="minorEastAsia" w:eastAsiaTheme="minorEastAsia"/>
          <w:snapToGrid w:val="0"/>
          <w:sz w:val="24"/>
          <w:szCs w:val="24"/>
          <w:highlight w:val="none"/>
        </w:rPr>
        <w:t xml:space="preserve"> RIU/hr</w:t>
      </w:r>
    </w:p>
    <w:p w14:paraId="4DB2E102">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1.5.7、最大数据采集速率 74 Hz</w:t>
      </w:r>
    </w:p>
    <w:p w14:paraId="626EDD7F">
      <w:pPr>
        <w:tabs>
          <w:tab w:val="left" w:pos="709"/>
        </w:tabs>
        <w:adjustRightInd w:val="0"/>
        <w:snapToGrid w:val="0"/>
        <w:spacing w:line="360" w:lineRule="auto"/>
        <w:ind w:left="-13" w:leftChars="-13" w:hanging="14" w:hangingChars="6"/>
        <w:rPr>
          <w:rFonts w:hint="eastAsia" w:cs="Arial" w:asciiTheme="minorEastAsia" w:hAnsiTheme="minorEastAsia" w:eastAsiaTheme="minorEastAsia"/>
          <w:snapToGrid w:val="0"/>
          <w:sz w:val="24"/>
          <w:szCs w:val="24"/>
          <w:highlight w:val="none"/>
        </w:rPr>
      </w:pPr>
      <w:r>
        <w:rPr>
          <w:rFonts w:cs="Arial" w:asciiTheme="minorEastAsia" w:hAnsiTheme="minorEastAsia" w:eastAsiaTheme="minorEastAsia"/>
          <w:snapToGrid w:val="0"/>
          <w:sz w:val="24"/>
          <w:szCs w:val="24"/>
          <w:highlight w:val="none"/>
        </w:rPr>
        <w:t>1.5.8、检测器与主机同一品牌厂家。</w:t>
      </w:r>
    </w:p>
    <w:p w14:paraId="52342DD2">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t xml:space="preserve">1.6 </w:t>
      </w:r>
      <w:r>
        <w:rPr>
          <w:rFonts w:hint="eastAsia" w:asciiTheme="minorEastAsia" w:hAnsiTheme="minorEastAsia" w:eastAsiaTheme="minorEastAsia"/>
          <w:b/>
          <w:bCs/>
          <w:sz w:val="24"/>
          <w:szCs w:val="24"/>
          <w:highlight w:val="none"/>
        </w:rPr>
        <w:t>液相智能化功能</w:t>
      </w:r>
    </w:p>
    <w:p w14:paraId="36CEC594">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1.6.1 </w:t>
      </w:r>
      <w:r>
        <w:rPr>
          <w:rFonts w:hint="eastAsia" w:asciiTheme="minorEastAsia" w:hAnsiTheme="minorEastAsia" w:eastAsiaTheme="minorEastAsia"/>
          <w:sz w:val="24"/>
          <w:szCs w:val="24"/>
          <w:highlight w:val="none"/>
        </w:rPr>
        <w:t>液相色谱仪具备智能化功能，比如智能化助手或智能化屏幕。可以编辑并储存实验前的准备仪器的方法，至少包括流动相管路排气泡，色谱柱用流动相平衡等准备工作命令。方法可单独命名，可设定的方法数量不少于</w:t>
      </w:r>
      <w:r>
        <w:rPr>
          <w:rFonts w:asciiTheme="minorEastAsia" w:hAnsiTheme="minorEastAsia" w:eastAsiaTheme="minorEastAsia"/>
          <w:sz w:val="24"/>
          <w:szCs w:val="24"/>
          <w:highlight w:val="none"/>
        </w:rPr>
        <w:t>40</w:t>
      </w:r>
      <w:r>
        <w:rPr>
          <w:rFonts w:hint="eastAsia" w:asciiTheme="minorEastAsia" w:hAnsiTheme="minorEastAsia" w:eastAsiaTheme="minorEastAsia"/>
          <w:sz w:val="24"/>
          <w:szCs w:val="24"/>
          <w:highlight w:val="none"/>
        </w:rPr>
        <w:t>个（需提供该部分产品说明书并附硬件照片和软件截图证明材料）。</w:t>
      </w:r>
    </w:p>
    <w:p w14:paraId="357E9502">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1.6.2</w:t>
      </w:r>
      <w:r>
        <w:rPr>
          <w:rFonts w:hint="eastAsia" w:asciiTheme="minorEastAsia" w:hAnsiTheme="minorEastAsia" w:eastAsiaTheme="minorEastAsia"/>
          <w:sz w:val="24"/>
          <w:szCs w:val="24"/>
          <w:highlight w:val="none"/>
        </w:rPr>
        <w:t>智能操作界面上可提供不少于</w:t>
      </w:r>
      <w:r>
        <w:rPr>
          <w:rFonts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个用户角色登录，并具备不同操作权限；操作界面必须支持至少两种语言，包括中文和英文等。</w:t>
      </w:r>
    </w:p>
    <w:p w14:paraId="54274A30">
      <w:pPr>
        <w:widowControl/>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1.6.3</w:t>
      </w:r>
      <w:r>
        <w:rPr>
          <w:rFonts w:hint="eastAsia" w:asciiTheme="minorEastAsia" w:hAnsiTheme="minorEastAsia" w:eastAsiaTheme="minorEastAsia"/>
          <w:sz w:val="24"/>
          <w:szCs w:val="24"/>
          <w:highlight w:val="none"/>
        </w:rPr>
        <w:t>可以通过智能操作界面进行实时开启，预约定时开启，循环定时开启液相的操作。</w:t>
      </w:r>
    </w:p>
    <w:p w14:paraId="0255F2D3">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 </w:t>
      </w:r>
      <w:r>
        <w:rPr>
          <w:rFonts w:hint="eastAsia" w:asciiTheme="minorEastAsia" w:hAnsiTheme="minorEastAsia" w:eastAsiaTheme="minorEastAsia"/>
          <w:b/>
          <w:sz w:val="24"/>
          <w:szCs w:val="24"/>
          <w:highlight w:val="none"/>
        </w:rPr>
        <w:t>工作站软件</w:t>
      </w:r>
    </w:p>
    <w:p w14:paraId="365144E5">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2.1</w:t>
      </w:r>
      <w:r>
        <w:rPr>
          <w:rFonts w:hint="eastAsia" w:asciiTheme="minorEastAsia" w:hAnsiTheme="minorEastAsia" w:eastAsiaTheme="minorEastAsia"/>
          <w:sz w:val="24"/>
          <w:szCs w:val="24"/>
          <w:highlight w:val="none"/>
        </w:rPr>
        <w:t>符合</w:t>
      </w:r>
      <w:r>
        <w:rPr>
          <w:rFonts w:asciiTheme="minorEastAsia" w:hAnsiTheme="minorEastAsia" w:eastAsiaTheme="minorEastAsia"/>
          <w:sz w:val="24"/>
          <w:szCs w:val="24"/>
          <w:highlight w:val="none"/>
        </w:rPr>
        <w:t>FDA 21CFR</w:t>
      </w:r>
      <w:r>
        <w:rPr>
          <w:rFonts w:hint="eastAsia" w:asciiTheme="minorEastAsia" w:hAnsiTheme="minorEastAsia" w:eastAsiaTheme="minorEastAsia"/>
          <w:sz w:val="24"/>
          <w:szCs w:val="24"/>
          <w:highlight w:val="none"/>
        </w:rPr>
        <w:t>标准，可以处理如</w:t>
      </w:r>
      <w:r>
        <w:rPr>
          <w:rFonts w:asciiTheme="minorEastAsia" w:hAnsiTheme="minorEastAsia" w:eastAsiaTheme="minorEastAsia"/>
          <w:sz w:val="24"/>
          <w:szCs w:val="24"/>
          <w:highlight w:val="none"/>
        </w:rPr>
        <w:t>GC</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LC</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LC/MS</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GC/MS</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 xml:space="preserve">CE </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CE/MS</w:t>
      </w:r>
      <w:r>
        <w:rPr>
          <w:rFonts w:hint="eastAsia" w:asciiTheme="minorEastAsia" w:hAnsiTheme="minorEastAsia" w:eastAsiaTheme="minorEastAsia"/>
          <w:sz w:val="24"/>
          <w:szCs w:val="24"/>
          <w:highlight w:val="none"/>
        </w:rPr>
        <w:t>等各种分离技术。</w:t>
      </w:r>
    </w:p>
    <w:p w14:paraId="66CCE087">
      <w:pPr>
        <w:widowControl/>
        <w:tabs>
          <w:tab w:val="left" w:pos="709"/>
          <w:tab w:val="left" w:pos="851"/>
        </w:tabs>
        <w:adjustRightInd w:val="0"/>
        <w:snapToGrid w:val="0"/>
        <w:spacing w:line="360" w:lineRule="auto"/>
        <w:ind w:left="-13" w:leftChars="-13" w:hanging="14" w:hangingChars="6"/>
        <w:jc w:val="lef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w:t>
      </w:r>
      <w:r>
        <w:rPr>
          <w:rFonts w:hint="eastAsia" w:asciiTheme="minorEastAsia" w:hAnsiTheme="minorEastAsia" w:eastAsiaTheme="minorEastAsia"/>
          <w:sz w:val="24"/>
          <w:szCs w:val="24"/>
          <w:highlight w:val="none"/>
        </w:rPr>
        <w:t>可控制液相色谱仪所有参数和运行，可实施编辑功能，自动进行序列样品分析；实</w:t>
      </w:r>
    </w:p>
    <w:p w14:paraId="5CCE9BFE">
      <w:pPr>
        <w:pStyle w:val="104"/>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b/>
          <w:szCs w:val="21"/>
          <w:highlight w:val="none"/>
        </w:rPr>
      </w:pPr>
      <w:r>
        <w:rPr>
          <w:rFonts w:hint="eastAsia" w:asciiTheme="minorEastAsia" w:hAnsiTheme="minorEastAsia" w:eastAsiaTheme="minorEastAsia"/>
          <w:szCs w:val="21"/>
          <w:highlight w:val="none"/>
        </w:rPr>
        <w:t>时在线显示色谱图，积分并报告出分析结果，绘制标准曲线；具有自我诊断程序。</w:t>
      </w:r>
    </w:p>
    <w:p w14:paraId="7D435043">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b/>
          <w:sz w:val="24"/>
          <w:szCs w:val="24"/>
          <w:highlight w:val="none"/>
        </w:rPr>
      </w:pPr>
      <w:r>
        <w:rPr>
          <w:rFonts w:cs="宋体" w:asciiTheme="minorEastAsia" w:hAnsiTheme="minorEastAsia" w:eastAsiaTheme="minorEastAsia"/>
          <w:b/>
          <w:sz w:val="24"/>
          <w:szCs w:val="24"/>
          <w:highlight w:val="none"/>
        </w:rPr>
        <w:t>3</w:t>
      </w:r>
      <w:r>
        <w:rPr>
          <w:rFonts w:hint="eastAsia" w:cs="宋体" w:asciiTheme="minorEastAsia" w:hAnsiTheme="minorEastAsia" w:eastAsiaTheme="minorEastAsia"/>
          <w:b/>
          <w:sz w:val="24"/>
          <w:szCs w:val="24"/>
          <w:highlight w:val="none"/>
        </w:rPr>
        <w:t>配置清单</w:t>
      </w:r>
    </w:p>
    <w:p w14:paraId="1A6B173F">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3.1</w:t>
      </w:r>
      <w:r>
        <w:rPr>
          <w:rFonts w:hint="eastAsia" w:cs="宋体" w:asciiTheme="minorEastAsia" w:hAnsiTheme="minorEastAsia" w:eastAsiaTheme="minorEastAsia"/>
          <w:sz w:val="24"/>
          <w:szCs w:val="24"/>
          <w:highlight w:val="none"/>
        </w:rPr>
        <w:t>四元梯度泵</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19679DF0">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3.2</w:t>
      </w:r>
      <w:r>
        <w:rPr>
          <w:rFonts w:hint="eastAsia" w:cs="宋体" w:asciiTheme="minorEastAsia" w:hAnsiTheme="minorEastAsia" w:eastAsiaTheme="minorEastAsia"/>
          <w:sz w:val="24"/>
          <w:szCs w:val="24"/>
          <w:highlight w:val="none"/>
        </w:rPr>
        <w:t>在线脱气机</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3722AFB1">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3.3</w:t>
      </w:r>
      <w:r>
        <w:rPr>
          <w:rFonts w:hint="eastAsia" w:cs="宋体" w:asciiTheme="minorEastAsia" w:hAnsiTheme="minorEastAsia" w:eastAsiaTheme="minorEastAsia"/>
          <w:sz w:val="24"/>
          <w:szCs w:val="24"/>
          <w:highlight w:val="none"/>
        </w:rPr>
        <w:t>自动进样器</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48BAF949">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3.4</w:t>
      </w:r>
      <w:r>
        <w:rPr>
          <w:rFonts w:hint="eastAsia" w:cs="宋体" w:asciiTheme="minorEastAsia" w:hAnsiTheme="minorEastAsia" w:eastAsiaTheme="minorEastAsia"/>
          <w:sz w:val="24"/>
          <w:szCs w:val="24"/>
          <w:highlight w:val="none"/>
        </w:rPr>
        <w:t>柱温箱</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47FA3325">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3.5</w:t>
      </w:r>
      <w:r>
        <w:rPr>
          <w:rFonts w:hint="eastAsia" w:cs="宋体" w:asciiTheme="minorEastAsia" w:hAnsiTheme="minorEastAsia" w:eastAsiaTheme="minorEastAsia"/>
          <w:sz w:val="24"/>
          <w:szCs w:val="24"/>
          <w:highlight w:val="none"/>
        </w:rPr>
        <w:t>二极管阵列检测器</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6488F32C">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3.6</w:t>
      </w:r>
      <w:r>
        <w:rPr>
          <w:rFonts w:hint="eastAsia" w:cs="宋体" w:asciiTheme="minorEastAsia" w:hAnsiTheme="minorEastAsia" w:eastAsiaTheme="minorEastAsia"/>
          <w:sz w:val="24"/>
          <w:szCs w:val="24"/>
          <w:highlight w:val="none"/>
        </w:rPr>
        <w:t>液相色谱安装启动工具包</w:t>
      </w:r>
      <w:r>
        <w:rPr>
          <w:rFonts w:cs="宋体" w:asciiTheme="minorEastAsia" w:hAnsiTheme="minorEastAsia" w:eastAsiaTheme="minorEastAsia"/>
          <w:sz w:val="24"/>
          <w:szCs w:val="24"/>
          <w:highlight w:val="none"/>
        </w:rPr>
        <w:t>2</w:t>
      </w:r>
      <w:r>
        <w:rPr>
          <w:rFonts w:hint="eastAsia" w:cs="宋体" w:asciiTheme="minorEastAsia" w:hAnsiTheme="minorEastAsia" w:eastAsiaTheme="minorEastAsia"/>
          <w:sz w:val="24"/>
          <w:szCs w:val="24"/>
          <w:highlight w:val="none"/>
        </w:rPr>
        <w:t>套。</w:t>
      </w:r>
    </w:p>
    <w:p w14:paraId="74E5CBED">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3.7</w:t>
      </w:r>
      <w:r>
        <w:rPr>
          <w:rFonts w:hint="eastAsia" w:cs="宋体" w:asciiTheme="minorEastAsia" w:hAnsiTheme="minorEastAsia" w:eastAsiaTheme="minorEastAsia"/>
          <w:sz w:val="24"/>
          <w:szCs w:val="24"/>
          <w:highlight w:val="none"/>
        </w:rPr>
        <w:t>主动入口阀</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2ECD4759">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3.8</w:t>
      </w:r>
      <w:r>
        <w:rPr>
          <w:rFonts w:hint="eastAsia" w:cs="宋体" w:asciiTheme="minorEastAsia" w:hAnsiTheme="minorEastAsia" w:eastAsiaTheme="minorEastAsia"/>
          <w:sz w:val="24"/>
          <w:szCs w:val="24"/>
          <w:highlight w:val="none"/>
        </w:rPr>
        <w:t>自动柱塞杆清洗装置</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1436EBBD">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3.9</w:t>
      </w:r>
      <w:r>
        <w:rPr>
          <w:rFonts w:hint="eastAsia" w:cs="宋体" w:asciiTheme="minorEastAsia" w:hAnsiTheme="minorEastAsia" w:eastAsiaTheme="minorEastAsia"/>
          <w:sz w:val="24"/>
          <w:szCs w:val="24"/>
          <w:highlight w:val="none"/>
        </w:rPr>
        <w:t>色谱数据工作站软件</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19FE734D">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3.10</w:t>
      </w:r>
      <w:r>
        <w:rPr>
          <w:rFonts w:hint="eastAsia" w:cs="宋体" w:asciiTheme="minorEastAsia" w:hAnsiTheme="minorEastAsia" w:eastAsiaTheme="minorEastAsia"/>
          <w:sz w:val="24"/>
          <w:szCs w:val="24"/>
          <w:highlight w:val="none"/>
        </w:rPr>
        <w:t>备品备件包</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套。</w:t>
      </w:r>
    </w:p>
    <w:p w14:paraId="519A08F1">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（备品备件包，包含：溶剂过滤白头</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包（</w:t>
      </w:r>
      <w:r>
        <w:rPr>
          <w:rFonts w:cs="宋体" w:asciiTheme="minorEastAsia" w:hAnsiTheme="minorEastAsia" w:eastAsiaTheme="minorEastAsia"/>
          <w:sz w:val="24"/>
          <w:szCs w:val="24"/>
          <w:highlight w:val="none"/>
        </w:rPr>
        <w:t>5</w:t>
      </w:r>
      <w:r>
        <w:rPr>
          <w:rFonts w:hint="eastAsia" w:cs="宋体" w:asciiTheme="minorEastAsia" w:hAnsiTheme="minorEastAsia" w:eastAsiaTheme="minorEastAsia"/>
          <w:sz w:val="24"/>
          <w:szCs w:val="24"/>
          <w:highlight w:val="none"/>
        </w:rPr>
        <w:t>个）。透明螺纹口样品瓶</w:t>
      </w:r>
      <w:r>
        <w:rPr>
          <w:rFonts w:cs="宋体" w:asciiTheme="minorEastAsia" w:hAnsiTheme="minorEastAsia" w:eastAsiaTheme="minorEastAsia"/>
          <w:sz w:val="24"/>
          <w:szCs w:val="24"/>
          <w:highlight w:val="none"/>
        </w:rPr>
        <w:t>,</w:t>
      </w:r>
      <w:r>
        <w:rPr>
          <w:rFonts w:hint="eastAsia" w:cs="宋体" w:asciiTheme="minorEastAsia" w:hAnsiTheme="minorEastAsia" w:eastAsiaTheme="minorEastAsia"/>
          <w:sz w:val="24"/>
          <w:szCs w:val="24"/>
          <w:highlight w:val="none"/>
        </w:rPr>
        <w:t>盖及隔垫</w:t>
      </w:r>
      <w:r>
        <w:rPr>
          <w:rFonts w:cs="宋体" w:asciiTheme="minorEastAsia" w:hAnsiTheme="minorEastAsia" w:eastAsiaTheme="minorEastAsia"/>
          <w:sz w:val="24"/>
          <w:szCs w:val="24"/>
          <w:highlight w:val="none"/>
        </w:rPr>
        <w:t>2</w:t>
      </w:r>
      <w:r>
        <w:rPr>
          <w:rFonts w:hint="eastAsia" w:cs="宋体" w:asciiTheme="minorEastAsia" w:hAnsiTheme="minorEastAsia" w:eastAsiaTheme="minorEastAsia"/>
          <w:sz w:val="24"/>
          <w:szCs w:val="24"/>
          <w:highlight w:val="none"/>
        </w:rPr>
        <w:t>包（</w:t>
      </w:r>
      <w:r>
        <w:rPr>
          <w:rFonts w:cs="宋体" w:asciiTheme="minorEastAsia" w:hAnsiTheme="minorEastAsia" w:eastAsiaTheme="minorEastAsia"/>
          <w:sz w:val="24"/>
          <w:szCs w:val="24"/>
          <w:highlight w:val="none"/>
        </w:rPr>
        <w:t>200</w:t>
      </w:r>
      <w:r>
        <w:rPr>
          <w:rFonts w:hint="eastAsia" w:cs="宋体" w:asciiTheme="minorEastAsia" w:hAnsiTheme="minorEastAsia" w:eastAsiaTheme="minorEastAsia"/>
          <w:sz w:val="24"/>
          <w:szCs w:val="24"/>
          <w:highlight w:val="none"/>
        </w:rPr>
        <w:t>个）。棕色螺纹口样品瓶</w:t>
      </w:r>
      <w:r>
        <w:rPr>
          <w:rFonts w:cs="宋体" w:asciiTheme="minorEastAsia" w:hAnsiTheme="minorEastAsia" w:eastAsiaTheme="minorEastAsia"/>
          <w:sz w:val="24"/>
          <w:szCs w:val="24"/>
          <w:highlight w:val="none"/>
        </w:rPr>
        <w:t>,</w:t>
      </w:r>
      <w:r>
        <w:rPr>
          <w:rFonts w:hint="eastAsia" w:cs="宋体" w:asciiTheme="minorEastAsia" w:hAnsiTheme="minorEastAsia" w:eastAsiaTheme="minorEastAsia"/>
          <w:sz w:val="24"/>
          <w:szCs w:val="24"/>
          <w:highlight w:val="none"/>
        </w:rPr>
        <w:t>盖及隔垫</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包（</w:t>
      </w:r>
      <w:r>
        <w:rPr>
          <w:rFonts w:cs="宋体" w:asciiTheme="minorEastAsia" w:hAnsiTheme="minorEastAsia" w:eastAsiaTheme="minorEastAsia"/>
          <w:sz w:val="24"/>
          <w:szCs w:val="24"/>
          <w:highlight w:val="none"/>
        </w:rPr>
        <w:t>100</w:t>
      </w:r>
      <w:r>
        <w:rPr>
          <w:rFonts w:hint="eastAsia" w:cs="宋体" w:asciiTheme="minorEastAsia" w:hAnsiTheme="minorEastAsia" w:eastAsiaTheme="minorEastAsia"/>
          <w:sz w:val="24"/>
          <w:szCs w:val="24"/>
          <w:highlight w:val="none"/>
        </w:rPr>
        <w:t>个）。透明溶剂瓶</w:t>
      </w:r>
      <w:r>
        <w:rPr>
          <w:rFonts w:cs="宋体" w:asciiTheme="minorEastAsia" w:hAnsiTheme="minorEastAsia" w:eastAsiaTheme="minorEastAsia"/>
          <w:sz w:val="24"/>
          <w:szCs w:val="24"/>
          <w:highlight w:val="none"/>
        </w:rPr>
        <w:t>3</w:t>
      </w:r>
      <w:r>
        <w:rPr>
          <w:rFonts w:hint="eastAsia" w:cs="宋体" w:asciiTheme="minorEastAsia" w:hAnsiTheme="minorEastAsia" w:eastAsiaTheme="minorEastAsia"/>
          <w:sz w:val="24"/>
          <w:szCs w:val="24"/>
          <w:highlight w:val="none"/>
        </w:rPr>
        <w:t>个，深色溶剂瓶</w:t>
      </w:r>
      <w:r>
        <w:rPr>
          <w:rFonts w:cs="宋体" w:asciiTheme="minorEastAsia" w:hAnsiTheme="minorEastAsia" w:eastAsiaTheme="minorEastAsia"/>
          <w:sz w:val="24"/>
          <w:szCs w:val="24"/>
          <w:highlight w:val="none"/>
        </w:rPr>
        <w:t>1</w:t>
      </w:r>
      <w:r>
        <w:rPr>
          <w:rFonts w:hint="eastAsia" w:cs="宋体" w:asciiTheme="minorEastAsia" w:hAnsiTheme="minorEastAsia" w:eastAsiaTheme="minorEastAsia"/>
          <w:sz w:val="24"/>
          <w:szCs w:val="24"/>
          <w:highlight w:val="none"/>
        </w:rPr>
        <w:t>个，玻璃过滤头</w:t>
      </w:r>
      <w:r>
        <w:rPr>
          <w:rFonts w:cs="宋体" w:asciiTheme="minorEastAsia" w:hAnsiTheme="minorEastAsia" w:eastAsiaTheme="minorEastAsia"/>
          <w:sz w:val="24"/>
          <w:szCs w:val="24"/>
          <w:highlight w:val="none"/>
        </w:rPr>
        <w:t>4</w:t>
      </w:r>
      <w:r>
        <w:rPr>
          <w:rFonts w:hint="eastAsia" w:cs="宋体" w:asciiTheme="minorEastAsia" w:hAnsiTheme="minorEastAsia" w:eastAsiaTheme="minorEastAsia"/>
          <w:sz w:val="24"/>
          <w:szCs w:val="24"/>
          <w:highlight w:val="none"/>
        </w:rPr>
        <w:t>个。）</w:t>
      </w:r>
    </w:p>
    <w:p w14:paraId="1D55F9B1">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3.11</w:t>
      </w:r>
      <w:r>
        <w:rPr>
          <w:rFonts w:hint="eastAsia" w:cs="宋体" w:asciiTheme="minorEastAsia" w:hAnsiTheme="minorEastAsia" w:eastAsiaTheme="minorEastAsia"/>
          <w:sz w:val="24"/>
          <w:szCs w:val="24"/>
          <w:highlight w:val="none"/>
        </w:rPr>
        <w:t>色谱柱：</w:t>
      </w:r>
      <w:r>
        <w:rPr>
          <w:rFonts w:cs="宋体" w:asciiTheme="minorEastAsia" w:hAnsiTheme="minorEastAsia" w:eastAsiaTheme="minorEastAsia"/>
          <w:sz w:val="24"/>
          <w:szCs w:val="24"/>
          <w:highlight w:val="none"/>
        </w:rPr>
        <w:t xml:space="preserve"> 3</w:t>
      </w:r>
      <w:r>
        <w:rPr>
          <w:rFonts w:hint="eastAsia" w:cs="宋体" w:asciiTheme="minorEastAsia" w:hAnsiTheme="minorEastAsia" w:eastAsiaTheme="minorEastAsia"/>
          <w:sz w:val="24"/>
          <w:szCs w:val="24"/>
          <w:highlight w:val="none"/>
        </w:rPr>
        <w:t>根（按要求提供）</w:t>
      </w:r>
      <w:r>
        <w:rPr>
          <w:rFonts w:cs="宋体" w:asciiTheme="minorEastAsia" w:hAnsiTheme="minorEastAsia" w:eastAsiaTheme="minorEastAsia"/>
          <w:sz w:val="24"/>
          <w:szCs w:val="24"/>
          <w:highlight w:val="none"/>
        </w:rPr>
        <w:t xml:space="preserve"> </w:t>
      </w:r>
    </w:p>
    <w:p w14:paraId="0658C39C">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3.12设备工作站计算与显示系统及配套打印机1套。</w:t>
      </w:r>
    </w:p>
    <w:p w14:paraId="1654F604">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3.13紫外检测器氘灯 2只（1支装机，一支备用）</w:t>
      </w:r>
    </w:p>
    <w:p w14:paraId="546EAFB9">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3.14 色谱柱管路2套（1套装机，一套备用）</w:t>
      </w:r>
    </w:p>
    <w:p w14:paraId="355835DB">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3.15柱塞杆密封垫2套（1套装机，一套备用）</w:t>
      </w:r>
    </w:p>
    <w:p w14:paraId="1416F0BF">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3.15 色谱柱堵头 1套</w:t>
      </w:r>
    </w:p>
    <w:p w14:paraId="4F1E8F3A">
      <w:pPr>
        <w:tabs>
          <w:tab w:val="left" w:pos="709"/>
        </w:tabs>
        <w:adjustRightInd w:val="0"/>
        <w:snapToGrid w:val="0"/>
        <w:spacing w:line="360" w:lineRule="auto"/>
        <w:ind w:left="-13" w:leftChars="-13" w:hanging="14" w:hangingChars="6"/>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3.16溶剂过滤头 2套。</w:t>
      </w:r>
    </w:p>
    <w:bookmarkEnd w:id="42"/>
    <w:p w14:paraId="6269749E">
      <w:pPr>
        <w:tabs>
          <w:tab w:val="left" w:pos="709"/>
        </w:tabs>
        <w:adjustRightInd w:val="0"/>
        <w:snapToGrid w:val="0"/>
        <w:spacing w:line="360" w:lineRule="auto"/>
        <w:ind w:left="-14" w:leftChars="-13" w:hanging="13" w:hangingChars="6"/>
        <w:rPr>
          <w:rFonts w:hint="eastAsia" w:asciiTheme="minorEastAsia" w:hAnsiTheme="minorEastAsia" w:eastAsiaTheme="minorEastAsia"/>
          <w:b/>
          <w:szCs w:val="24"/>
          <w:highlight w:val="none"/>
        </w:rPr>
      </w:pPr>
    </w:p>
    <w:p w14:paraId="02ABB55B">
      <w:pPr>
        <w:pStyle w:val="104"/>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b/>
          <w:highlight w:val="none"/>
        </w:rPr>
      </w:pPr>
      <w:r>
        <w:rPr>
          <w:rFonts w:asciiTheme="minorEastAsia" w:hAnsiTheme="minorEastAsia" w:eastAsiaTheme="minorEastAsia"/>
          <w:b/>
          <w:highlight w:val="none"/>
        </w:rPr>
        <w:t>4</w:t>
      </w:r>
      <w:r>
        <w:rPr>
          <w:rFonts w:hint="eastAsia" w:asciiTheme="minorEastAsia" w:hAnsiTheme="minorEastAsia" w:eastAsiaTheme="minorEastAsia"/>
          <w:b/>
          <w:highlight w:val="none"/>
        </w:rPr>
        <w:t>售后服务</w:t>
      </w:r>
    </w:p>
    <w:p w14:paraId="10592360">
      <w:pPr>
        <w:pStyle w:val="104"/>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highlight w:val="none"/>
        </w:rPr>
      </w:pPr>
      <w:r>
        <w:rPr>
          <w:rFonts w:asciiTheme="minorEastAsia" w:hAnsiTheme="minorEastAsia" w:eastAsiaTheme="minorEastAsia"/>
          <w:highlight w:val="none"/>
        </w:rPr>
        <w:t>4.1</w:t>
      </w:r>
      <w:r>
        <w:rPr>
          <w:rFonts w:hint="eastAsia" w:asciiTheme="minorEastAsia" w:hAnsiTheme="minorEastAsia" w:eastAsiaTheme="minorEastAsia"/>
          <w:highlight w:val="none"/>
        </w:rPr>
        <w:t>安装：仪器到达后，在七个工作日内，工程师前往设备使用现场，免费安装调试设备。</w:t>
      </w:r>
      <w:r>
        <w:rPr>
          <w:rFonts w:asciiTheme="minorEastAsia" w:hAnsiTheme="minorEastAsia" w:eastAsiaTheme="minorEastAsia"/>
          <w:highlight w:val="none"/>
        </w:rPr>
        <w:t>4.2</w:t>
      </w:r>
      <w:r>
        <w:rPr>
          <w:rFonts w:hint="eastAsia" w:asciiTheme="minorEastAsia" w:hAnsiTheme="minorEastAsia" w:eastAsiaTheme="minorEastAsia"/>
          <w:highlight w:val="none"/>
        </w:rPr>
        <w:t>保修：厂家提供一年的免费保修服务。</w:t>
      </w:r>
    </w:p>
    <w:p w14:paraId="46AEE003">
      <w:pPr>
        <w:pStyle w:val="104"/>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highlight w:val="none"/>
        </w:rPr>
      </w:pPr>
      <w:r>
        <w:rPr>
          <w:rFonts w:asciiTheme="minorEastAsia" w:hAnsiTheme="minorEastAsia" w:eastAsiaTheme="minorEastAsia"/>
          <w:highlight w:val="none"/>
        </w:rPr>
        <w:t>4.3</w:t>
      </w:r>
      <w:r>
        <w:rPr>
          <w:rFonts w:hint="eastAsia" w:asciiTheme="minorEastAsia" w:hAnsiTheme="minorEastAsia" w:eastAsiaTheme="minorEastAsia"/>
          <w:highlight w:val="none"/>
        </w:rPr>
        <w:t>现场培训：负责对操作人员进行仪器基本操作和维护知识的培训，保证相关人员能独立上机进行基本操作和数据处理。</w:t>
      </w:r>
    </w:p>
    <w:p w14:paraId="3DD49E2B">
      <w:pPr>
        <w:pStyle w:val="104"/>
        <w:tabs>
          <w:tab w:val="left" w:pos="709"/>
          <w:tab w:val="left" w:pos="851"/>
        </w:tabs>
        <w:adjustRightInd w:val="0"/>
        <w:snapToGrid w:val="0"/>
        <w:spacing w:line="360" w:lineRule="auto"/>
        <w:ind w:left="-13" w:leftChars="-13" w:hanging="14" w:hangingChars="6"/>
        <w:rPr>
          <w:rFonts w:hint="eastAsia" w:asciiTheme="minorEastAsia" w:hAnsiTheme="minorEastAsia" w:eastAsiaTheme="minorEastAsia"/>
          <w:highlight w:val="none"/>
        </w:rPr>
      </w:pPr>
      <w:r>
        <w:rPr>
          <w:rFonts w:asciiTheme="minorEastAsia" w:hAnsiTheme="minorEastAsia" w:eastAsiaTheme="minorEastAsia"/>
          <w:highlight w:val="none"/>
        </w:rPr>
        <w:t>4.4</w:t>
      </w:r>
      <w:r>
        <w:rPr>
          <w:rFonts w:hint="eastAsia" w:asciiTheme="minorEastAsia" w:hAnsiTheme="minorEastAsia" w:eastAsiaTheme="minorEastAsia"/>
          <w:highlight w:val="none"/>
        </w:rPr>
        <w:t>文件资料：由供货方提供中文样本、使用及安装、调试、维护手册；</w:t>
      </w:r>
    </w:p>
    <w:p w14:paraId="20C4B19D">
      <w:pPr>
        <w:tabs>
          <w:tab w:val="left" w:pos="709"/>
        </w:tabs>
        <w:spacing w:line="360" w:lineRule="auto"/>
        <w:ind w:left="-13" w:leftChars="-13" w:hanging="14" w:hangingChars="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4.5</w:t>
      </w:r>
      <w:r>
        <w:rPr>
          <w:rFonts w:hint="eastAsia" w:asciiTheme="minorEastAsia" w:hAnsiTheme="minorEastAsia" w:eastAsiaTheme="minorEastAsia"/>
          <w:sz w:val="24"/>
          <w:szCs w:val="24"/>
          <w:highlight w:val="none"/>
        </w:rPr>
        <w:t>保修期内向用户提供软件免费升级服务。</w:t>
      </w:r>
    </w:p>
    <w:p w14:paraId="34DE8D48">
      <w:pPr>
        <w:spacing w:line="360" w:lineRule="auto"/>
        <w:rPr>
          <w:rFonts w:hint="eastAsia" w:asciiTheme="minorEastAsia" w:hAnsiTheme="minorEastAsia" w:eastAsiaTheme="minorEastAsia"/>
          <w:b/>
          <w:bCs/>
          <w:sz w:val="24"/>
          <w:szCs w:val="24"/>
          <w:highlight w:val="none"/>
        </w:rPr>
      </w:pPr>
    </w:p>
    <w:p w14:paraId="58DED44D">
      <w:pPr>
        <w:spacing w:line="360" w:lineRule="auto"/>
        <w:rPr>
          <w:rFonts w:hint="eastAsia" w:asciiTheme="minorEastAsia" w:hAnsiTheme="minorEastAsia" w:eastAsiaTheme="minorEastAsia"/>
          <w:b/>
          <w:bCs/>
          <w:sz w:val="24"/>
          <w:szCs w:val="24"/>
          <w:highlight w:val="none"/>
        </w:rPr>
      </w:pPr>
      <w:bookmarkStart w:id="48" w:name="OLE_LINK9"/>
      <w:r>
        <w:rPr>
          <w:rFonts w:hint="eastAsia" w:asciiTheme="minorEastAsia" w:hAnsiTheme="minorEastAsia" w:eastAsiaTheme="minorEastAsia"/>
          <w:b/>
          <w:bCs/>
          <w:sz w:val="24"/>
          <w:szCs w:val="24"/>
          <w:highlight w:val="none"/>
        </w:rPr>
        <w:t>品名</w:t>
      </w:r>
      <w:r>
        <w:rPr>
          <w:rFonts w:asciiTheme="minorEastAsia" w:hAnsiTheme="minorEastAsia" w:eastAsiaTheme="minorEastAsia"/>
          <w:b/>
          <w:bCs/>
          <w:sz w:val="24"/>
          <w:szCs w:val="24"/>
          <w:highlight w:val="none"/>
        </w:rPr>
        <w:t xml:space="preserve">4 </w:t>
      </w:r>
      <w:r>
        <w:rPr>
          <w:rFonts w:hint="eastAsia" w:cs="Arial" w:asciiTheme="minorEastAsia" w:hAnsiTheme="minorEastAsia" w:eastAsiaTheme="minorEastAsia"/>
          <w:kern w:val="0"/>
          <w:sz w:val="24"/>
          <w:szCs w:val="24"/>
          <w:highlight w:val="none"/>
        </w:rPr>
        <w:t>超高效液相色谱-三重四级杆质谱联用仪</w:t>
      </w:r>
    </w:p>
    <w:bookmarkEnd w:id="48"/>
    <w:p w14:paraId="7783834F">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一、工作条件</w:t>
      </w:r>
    </w:p>
    <w:p w14:paraId="0B5158C6">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w:t>
      </w:r>
      <w:r>
        <w:rPr>
          <w:rFonts w:hint="eastAsia" w:asciiTheme="minorEastAsia" w:hAnsiTheme="minorEastAsia" w:eastAsiaTheme="minorEastAsia"/>
          <w:sz w:val="24"/>
          <w:szCs w:val="24"/>
          <w:highlight w:val="none"/>
        </w:rPr>
        <w:t>电源：</w:t>
      </w:r>
      <w:r>
        <w:rPr>
          <w:rFonts w:asciiTheme="minorEastAsia" w:hAnsiTheme="minorEastAsia" w:eastAsiaTheme="minorEastAsia"/>
          <w:sz w:val="24"/>
          <w:szCs w:val="24"/>
          <w:highlight w:val="none"/>
        </w:rPr>
        <w:t>220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5%V</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50Hz</w:t>
      </w:r>
    </w:p>
    <w:p w14:paraId="4AC76D2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 </w:t>
      </w:r>
      <w:r>
        <w:rPr>
          <w:rFonts w:hint="eastAsia" w:asciiTheme="minorEastAsia" w:hAnsiTheme="minorEastAsia" w:eastAsiaTheme="minorEastAsia"/>
          <w:sz w:val="24"/>
          <w:szCs w:val="24"/>
          <w:highlight w:val="none"/>
        </w:rPr>
        <w:t>环境温度：</w:t>
      </w:r>
      <w:r>
        <w:rPr>
          <w:rFonts w:asciiTheme="minorEastAsia" w:hAnsiTheme="minorEastAsia" w:eastAsiaTheme="minorEastAsia"/>
          <w:sz w:val="24"/>
          <w:szCs w:val="24"/>
          <w:highlight w:val="none"/>
        </w:rPr>
        <w:t>15</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30</w:t>
      </w:r>
      <w:r>
        <w:rPr>
          <w:rFonts w:hint="eastAsia" w:asciiTheme="minorEastAsia" w:hAnsiTheme="minorEastAsia" w:eastAsiaTheme="minorEastAsia"/>
          <w:sz w:val="24"/>
          <w:szCs w:val="24"/>
          <w:highlight w:val="none"/>
        </w:rPr>
        <w:t>℃</w:t>
      </w:r>
    </w:p>
    <w:p w14:paraId="5FB29CF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1.3 </w:t>
      </w:r>
      <w:r>
        <w:rPr>
          <w:rFonts w:hint="eastAsia" w:asciiTheme="minorEastAsia" w:hAnsiTheme="minorEastAsia" w:eastAsiaTheme="minorEastAsia"/>
          <w:sz w:val="24"/>
          <w:szCs w:val="24"/>
          <w:highlight w:val="none"/>
        </w:rPr>
        <w:t>环境湿度：</w:t>
      </w:r>
      <w:r>
        <w:rPr>
          <w:rFonts w:asciiTheme="minorEastAsia" w:hAnsiTheme="minorEastAsia" w:eastAsiaTheme="minorEastAsia"/>
          <w:sz w:val="24"/>
          <w:szCs w:val="24"/>
          <w:highlight w:val="none"/>
        </w:rPr>
        <w:t>25%~80%</w:t>
      </w:r>
    </w:p>
    <w:p w14:paraId="623BE9D2">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二、总体描述</w:t>
      </w:r>
    </w:p>
    <w:p w14:paraId="2F860B6F">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2.1</w:t>
      </w:r>
      <w:r>
        <w:rPr>
          <w:rFonts w:hint="eastAsia" w:asciiTheme="minorEastAsia" w:hAnsiTheme="minorEastAsia" w:eastAsiaTheme="minorEastAsia"/>
          <w:sz w:val="24"/>
          <w:szCs w:val="24"/>
          <w:highlight w:val="none"/>
        </w:rPr>
        <w:t>仪器主体部分由超高效液相色谱仪和三重四极杆质谱仪组成，计算机控制；软件包括仪器控制、数据采集、数据处理、定量检测、确证分析和报告功能</w:t>
      </w:r>
    </w:p>
    <w:p w14:paraId="44717B9D">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w:t>
      </w:r>
      <w:r>
        <w:rPr>
          <w:rFonts w:hint="eastAsia" w:asciiTheme="minorEastAsia" w:hAnsiTheme="minorEastAsia" w:eastAsiaTheme="minorEastAsia"/>
          <w:sz w:val="24"/>
          <w:szCs w:val="24"/>
          <w:highlight w:val="none"/>
        </w:rPr>
        <w:t>用于药物结构及药物代谢物鉴定，食品中极性农药及兽药的发现鉴定，环境样品中环境污染物的分析，以及蛋白质组学、代谢组学等组学研究等，具有高灵敏度的准确定量功能。</w:t>
      </w:r>
    </w:p>
    <w:p w14:paraId="50A00B2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三、性能要求</w:t>
      </w:r>
    </w:p>
    <w:p w14:paraId="26D8BE32">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（一）三重串联四极杆质谱仪</w:t>
      </w:r>
    </w:p>
    <w:p w14:paraId="640554A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离子源：需配同时具有电喷雾电离</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和大气压化学电离</w:t>
      </w:r>
      <w:r>
        <w:rPr>
          <w:rFonts w:asciiTheme="minorEastAsia" w:hAnsiTheme="minorEastAsia" w:eastAsiaTheme="minorEastAsia"/>
          <w:sz w:val="24"/>
          <w:szCs w:val="24"/>
          <w:highlight w:val="none"/>
        </w:rPr>
        <w:t>(APCI)</w:t>
      </w:r>
      <w:r>
        <w:rPr>
          <w:rFonts w:hint="eastAsia" w:asciiTheme="minorEastAsia" w:hAnsiTheme="minorEastAsia" w:eastAsiaTheme="minorEastAsia"/>
          <w:sz w:val="24"/>
          <w:szCs w:val="24"/>
          <w:highlight w:val="none"/>
        </w:rPr>
        <w:t>功能的复合离子源或独立离子源。离子源清洗和维护均不需要卸真空。</w:t>
      </w:r>
    </w:p>
    <w:p w14:paraId="3B8CCE34">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离子源接口：采用锥孔传输，无毛细管或离子传输管或脱溶剂管结构设计，避免复杂基质样品堵塞离子传输，同时拥有抗污染的技术，确保系统不受污染，维护简单，无需卸真空，使用成本低。提供技术白皮书，并在技术白皮书内注明实物照片或结构示意图。</w:t>
      </w:r>
    </w:p>
    <w:p w14:paraId="23CF6454">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电喷雾离子源（</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）和大气压化学离子源（</w:t>
      </w:r>
      <w:r>
        <w:rPr>
          <w:rFonts w:asciiTheme="minorEastAsia" w:hAnsiTheme="minorEastAsia" w:eastAsiaTheme="minorEastAsia"/>
          <w:sz w:val="24"/>
          <w:szCs w:val="24"/>
          <w:highlight w:val="none"/>
        </w:rPr>
        <w:t>APCI</w:t>
      </w:r>
      <w:r>
        <w:rPr>
          <w:rFonts w:hint="eastAsia" w:asciiTheme="minorEastAsia" w:hAnsiTheme="minorEastAsia" w:eastAsiaTheme="minorEastAsia"/>
          <w:sz w:val="24"/>
          <w:szCs w:val="24"/>
          <w:highlight w:val="none"/>
        </w:rPr>
        <w:t>）的流速范围：在确保灵敏度不损失的前提下，实现高流速，且无需分流，即可达到</w:t>
      </w:r>
      <w:r>
        <w:rPr>
          <w:rFonts w:asciiTheme="minorEastAsia" w:hAnsiTheme="minorEastAsia" w:eastAsiaTheme="minorEastAsia"/>
          <w:sz w:val="24"/>
          <w:szCs w:val="24"/>
          <w:highlight w:val="none"/>
        </w:rPr>
        <w:t>2.8 mL/min</w:t>
      </w:r>
      <w:r>
        <w:rPr>
          <w:rFonts w:hint="eastAsia" w:asciiTheme="minorEastAsia" w:hAnsiTheme="minorEastAsia" w:eastAsiaTheme="minorEastAsia"/>
          <w:sz w:val="24"/>
          <w:szCs w:val="24"/>
          <w:highlight w:val="none"/>
        </w:rPr>
        <w:t>；保证加快样品的分析速度的同时，还可避免分流对样品造成损失。提供技术白皮书，并在技术白皮书内注明相关参数软件设置成功的截屏。</w:t>
      </w:r>
    </w:p>
    <w:p w14:paraId="6648B046">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离子源加热温度：≥</w:t>
      </w:r>
      <w:r>
        <w:rPr>
          <w:rFonts w:asciiTheme="minorEastAsia" w:hAnsiTheme="minorEastAsia" w:eastAsiaTheme="minorEastAsia"/>
          <w:sz w:val="24"/>
          <w:szCs w:val="24"/>
          <w:highlight w:val="none"/>
        </w:rPr>
        <w:t>640</w:t>
      </w:r>
      <w:r>
        <w:rPr>
          <w:rFonts w:hint="eastAsia" w:asciiTheme="minorEastAsia" w:hAnsiTheme="minorEastAsia" w:eastAsiaTheme="minorEastAsia"/>
          <w:sz w:val="24"/>
          <w:szCs w:val="24"/>
          <w:highlight w:val="none"/>
        </w:rPr>
        <w:t>℃，雾化气流速可调，提高脱溶剂化效果。可在软件界面成功设置并反馈达到温度，提供技术白皮书，并在技术白皮书内注明相关参数软件设置成功的截屏。</w:t>
      </w:r>
    </w:p>
    <w:p w14:paraId="0D9F4B6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喷雾针与离子传输系统交叉垂直</w:t>
      </w:r>
      <w:r>
        <w:rPr>
          <w:rFonts w:asciiTheme="minorEastAsia" w:hAnsiTheme="minorEastAsia" w:eastAsiaTheme="minorEastAsia"/>
          <w:sz w:val="24"/>
          <w:szCs w:val="24"/>
          <w:highlight w:val="none"/>
        </w:rPr>
        <w:t>90</w:t>
      </w:r>
      <w:r>
        <w:rPr>
          <w:rFonts w:hint="eastAsia" w:asciiTheme="minorEastAsia" w:hAnsiTheme="minorEastAsia" w:eastAsiaTheme="minorEastAsia"/>
          <w:sz w:val="24"/>
          <w:szCs w:val="24"/>
          <w:highlight w:val="none"/>
        </w:rPr>
        <w:t>度设计，抗干扰能力强，具备传输反吹干燥气，喷雾针位置连续可调。</w:t>
      </w:r>
    </w:p>
    <w:p w14:paraId="331C0CA0">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8.</w:t>
      </w:r>
      <w:r>
        <w:rPr>
          <w:rFonts w:hint="eastAsia" w:asciiTheme="minorEastAsia" w:hAnsiTheme="minorEastAsia" w:eastAsiaTheme="minorEastAsia"/>
          <w:sz w:val="24"/>
          <w:szCs w:val="24"/>
          <w:highlight w:val="none"/>
        </w:rPr>
        <w:t>质量分析器：无需控温设计，防止高温老化，一体成型，方便维护。</w:t>
      </w:r>
    </w:p>
    <w:p w14:paraId="561D3309">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asciiTheme="minorEastAsia" w:hAnsiTheme="minorEastAsia" w:eastAsiaTheme="minorEastAsia"/>
          <w:sz w:val="24"/>
          <w:szCs w:val="24"/>
          <w:highlight w:val="none"/>
        </w:rPr>
        <w:t>9.</w:t>
      </w:r>
      <w:r>
        <w:rPr>
          <w:rFonts w:hint="eastAsia" w:asciiTheme="minorEastAsia" w:hAnsiTheme="minorEastAsia" w:eastAsiaTheme="minorEastAsia"/>
          <w:sz w:val="24"/>
          <w:szCs w:val="24"/>
          <w:highlight w:val="none"/>
        </w:rPr>
        <w:t>碰撞池：质谱二级碰撞池采用≥</w:t>
      </w:r>
      <w:r>
        <w:rPr>
          <w:rFonts w:asciiTheme="minorEastAsia" w:hAnsiTheme="minorEastAsia" w:eastAsiaTheme="minorEastAsia"/>
          <w:sz w:val="24"/>
          <w:szCs w:val="24"/>
          <w:highlight w:val="none"/>
        </w:rPr>
        <w:t>160</w:t>
      </w:r>
      <w:r>
        <w:rPr>
          <w:rFonts w:hint="eastAsia" w:asciiTheme="minorEastAsia" w:hAnsiTheme="minorEastAsia" w:eastAsiaTheme="minorEastAsia"/>
          <w:sz w:val="24"/>
          <w:szCs w:val="24"/>
          <w:highlight w:val="none"/>
        </w:rPr>
        <w:t>°的离子弯曲线性加速碰撞方式或片状电极结构，能够有效去除交叉干扰，驻留时间</w:t>
      </w:r>
      <w:r>
        <w:rPr>
          <w:rFonts w:asciiTheme="minorEastAsia" w:hAnsiTheme="minorEastAsia" w:eastAsiaTheme="minorEastAsia"/>
          <w:sz w:val="24"/>
          <w:szCs w:val="24"/>
          <w:highlight w:val="none"/>
        </w:rPr>
        <w:t>1 ms</w:t>
      </w:r>
      <w:r>
        <w:rPr>
          <w:rFonts w:hint="eastAsia" w:asciiTheme="minorEastAsia" w:hAnsiTheme="minorEastAsia" w:eastAsiaTheme="minorEastAsia"/>
          <w:sz w:val="24"/>
          <w:szCs w:val="24"/>
          <w:highlight w:val="none"/>
        </w:rPr>
        <w:t>，灵敏度不损失。提供技术白皮书，并在技术白皮书内注明实物照片或结构示意图。</w:t>
      </w:r>
    </w:p>
    <w:p w14:paraId="393BC31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10.</w:t>
      </w:r>
      <w:r>
        <w:rPr>
          <w:rFonts w:hint="eastAsia" w:asciiTheme="minorEastAsia" w:hAnsiTheme="minorEastAsia" w:eastAsiaTheme="minorEastAsia"/>
          <w:sz w:val="24"/>
          <w:szCs w:val="24"/>
          <w:highlight w:val="none"/>
        </w:rPr>
        <w:t>真空系统：由前级机械泵和独立的分子涡轮泵组成，具有自动断电保护功能。</w:t>
      </w:r>
    </w:p>
    <w:p w14:paraId="44B8865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11.</w:t>
      </w:r>
      <w:r>
        <w:rPr>
          <w:rFonts w:hint="eastAsia" w:asciiTheme="minorEastAsia" w:hAnsiTheme="minorEastAsia" w:eastAsiaTheme="minorEastAsia"/>
          <w:sz w:val="24"/>
          <w:szCs w:val="24"/>
          <w:highlight w:val="none"/>
        </w:rPr>
        <w:t>检测器：</w:t>
      </w:r>
      <w:r>
        <w:rPr>
          <w:rFonts w:hint="eastAsia" w:cs="仿宋-简" w:asciiTheme="minorEastAsia" w:hAnsiTheme="minorEastAsia" w:eastAsiaTheme="minorEastAsia"/>
          <w:sz w:val="24"/>
          <w:szCs w:val="24"/>
          <w:highlight w:val="none"/>
        </w:rPr>
        <w:t>光电倍增检测器或</w:t>
      </w:r>
      <w:r>
        <w:rPr>
          <w:rFonts w:hint="eastAsia" w:asciiTheme="minorEastAsia" w:hAnsiTheme="minorEastAsia" w:eastAsiaTheme="minorEastAsia"/>
          <w:sz w:val="24"/>
          <w:szCs w:val="24"/>
          <w:highlight w:val="none"/>
        </w:rPr>
        <w:t>电子倍增器。</w:t>
      </w:r>
    </w:p>
    <w:p w14:paraId="7605FBBC">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w:t>
      </w:r>
      <w:r>
        <w:rPr>
          <w:rFonts w:hint="eastAsia" w:asciiTheme="minorEastAsia" w:hAnsiTheme="minorEastAsia" w:eastAsiaTheme="minorEastAsia"/>
          <w:sz w:val="24"/>
          <w:szCs w:val="24"/>
          <w:highlight w:val="none"/>
        </w:rPr>
        <w:t>扫描功能：具有全扫描、子离子扫描、母离子扫描、中性丢失扫描、选择离子扫描、多反应监测扫描、混合扫描等多种扫描模式。</w:t>
      </w:r>
    </w:p>
    <w:p w14:paraId="5E97567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13.</w:t>
      </w:r>
      <w:r>
        <w:rPr>
          <w:rFonts w:hint="eastAsia" w:asciiTheme="minorEastAsia" w:hAnsiTheme="minorEastAsia" w:eastAsiaTheme="minorEastAsia"/>
          <w:sz w:val="24"/>
          <w:szCs w:val="24"/>
          <w:highlight w:val="none"/>
        </w:rPr>
        <w:t>雾化气、反吹气和碰撞气均使用高纯氮气或氩气。</w:t>
      </w:r>
    </w:p>
    <w:p w14:paraId="6EDD77D6">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14. ESI+</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模式：</w:t>
      </w:r>
      <w:r>
        <w:rPr>
          <w:rFonts w:asciiTheme="minorEastAsia" w:hAnsiTheme="minorEastAsia" w:eastAsiaTheme="minorEastAsia"/>
          <w:sz w:val="24"/>
          <w:szCs w:val="24"/>
          <w:highlight w:val="none"/>
        </w:rPr>
        <w:t>1pg</w:t>
      </w:r>
      <w:r>
        <w:rPr>
          <w:rFonts w:hint="eastAsia" w:asciiTheme="minorEastAsia" w:hAnsiTheme="minorEastAsia" w:eastAsiaTheme="minorEastAsia"/>
          <w:sz w:val="24"/>
          <w:szCs w:val="24"/>
          <w:highlight w:val="none"/>
        </w:rPr>
        <w:t>利血平，柱上进样，</w:t>
      </w:r>
      <w:r>
        <w:rPr>
          <w:rFonts w:asciiTheme="minorEastAsia" w:hAnsiTheme="minorEastAsia" w:eastAsiaTheme="minorEastAsia"/>
          <w:sz w:val="24"/>
          <w:szCs w:val="24"/>
          <w:highlight w:val="none"/>
        </w:rPr>
        <w:t>S/N</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1,000,000:1</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50fg</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1pg</w:t>
      </w:r>
      <w:r>
        <w:rPr>
          <w:rFonts w:hint="eastAsia" w:asciiTheme="minorEastAsia" w:hAnsiTheme="minorEastAsia" w:eastAsiaTheme="minorEastAsia"/>
          <w:sz w:val="24"/>
          <w:szCs w:val="24"/>
          <w:highlight w:val="none"/>
        </w:rPr>
        <w:t>利血平分别连续进样</w:t>
      </w:r>
      <w:r>
        <w:rPr>
          <w:rFonts w:asciiTheme="minorEastAsia" w:hAnsiTheme="minorEastAsia" w:eastAsiaTheme="minorEastAsia"/>
          <w:sz w:val="24"/>
          <w:szCs w:val="24"/>
          <w:highlight w:val="none"/>
        </w:rPr>
        <w:t>10</w:t>
      </w:r>
      <w:r>
        <w:rPr>
          <w:rFonts w:hint="eastAsia" w:asciiTheme="minorEastAsia" w:hAnsiTheme="minorEastAsia" w:eastAsiaTheme="minorEastAsia"/>
          <w:sz w:val="24"/>
          <w:szCs w:val="24"/>
          <w:highlight w:val="none"/>
        </w:rPr>
        <w:t>次，峰面积</w:t>
      </w:r>
      <w:r>
        <w:rPr>
          <w:rFonts w:asciiTheme="minorEastAsia" w:hAnsiTheme="minorEastAsia" w:eastAsiaTheme="minorEastAsia"/>
          <w:sz w:val="24"/>
          <w:szCs w:val="24"/>
          <w:highlight w:val="none"/>
        </w:rPr>
        <w:t>CV</w:t>
      </w:r>
      <w:r>
        <w:rPr>
          <w:rFonts w:hint="eastAsia" w:asciiTheme="minorEastAsia" w:hAnsiTheme="minorEastAsia" w:eastAsiaTheme="minorEastAsia"/>
          <w:sz w:val="24"/>
          <w:szCs w:val="24"/>
          <w:highlight w:val="none"/>
        </w:rPr>
        <w:t>小于</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正离子模式仪器检出限＜</w:t>
      </w:r>
      <w:r>
        <w:rPr>
          <w:rFonts w:asciiTheme="minorEastAsia" w:hAnsiTheme="minorEastAsia" w:eastAsiaTheme="minorEastAsia"/>
          <w:sz w:val="24"/>
          <w:szCs w:val="24"/>
          <w:highlight w:val="none"/>
        </w:rPr>
        <w:t>5 fg</w:t>
      </w:r>
      <w:r>
        <w:rPr>
          <w:rFonts w:hint="eastAsia" w:asciiTheme="minorEastAsia" w:hAnsiTheme="minorEastAsia" w:eastAsiaTheme="minorEastAsia"/>
          <w:sz w:val="24"/>
          <w:szCs w:val="24"/>
          <w:highlight w:val="none"/>
        </w:rPr>
        <w:t>。提供技术白皮书，并在技术白皮书内注明参数相关的实验检测数据。</w:t>
      </w:r>
    </w:p>
    <w:p w14:paraId="414B2DB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15. ESI- </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模式：</w:t>
      </w:r>
      <w:r>
        <w:rPr>
          <w:rFonts w:asciiTheme="minorEastAsia" w:hAnsiTheme="minorEastAsia" w:eastAsiaTheme="minorEastAsia"/>
          <w:sz w:val="24"/>
          <w:szCs w:val="24"/>
          <w:highlight w:val="none"/>
        </w:rPr>
        <w:t>1pg</w:t>
      </w:r>
      <w:r>
        <w:rPr>
          <w:rFonts w:hint="eastAsia" w:asciiTheme="minorEastAsia" w:hAnsiTheme="minorEastAsia" w:eastAsiaTheme="minorEastAsia"/>
          <w:sz w:val="24"/>
          <w:szCs w:val="24"/>
          <w:highlight w:val="none"/>
        </w:rPr>
        <w:t>氯霉素，柱上进样，</w:t>
      </w:r>
      <w:r>
        <w:rPr>
          <w:rFonts w:asciiTheme="minorEastAsia" w:hAnsiTheme="minorEastAsia" w:eastAsiaTheme="minorEastAsia"/>
          <w:sz w:val="24"/>
          <w:szCs w:val="24"/>
          <w:highlight w:val="none"/>
        </w:rPr>
        <w:t>S/N</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1,000,000:1</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50fg</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1pg</w:t>
      </w:r>
      <w:r>
        <w:rPr>
          <w:rFonts w:hint="eastAsia" w:asciiTheme="minorEastAsia" w:hAnsiTheme="minorEastAsia" w:eastAsiaTheme="minorEastAsia"/>
          <w:sz w:val="24"/>
          <w:szCs w:val="24"/>
          <w:highlight w:val="none"/>
        </w:rPr>
        <w:t>氯霉素分别连续进样</w:t>
      </w:r>
      <w:r>
        <w:rPr>
          <w:rFonts w:asciiTheme="minorEastAsia" w:hAnsiTheme="minorEastAsia" w:eastAsiaTheme="minorEastAsia"/>
          <w:sz w:val="24"/>
          <w:szCs w:val="24"/>
          <w:highlight w:val="none"/>
        </w:rPr>
        <w:t>10</w:t>
      </w:r>
      <w:r>
        <w:rPr>
          <w:rFonts w:hint="eastAsia" w:asciiTheme="minorEastAsia" w:hAnsiTheme="minorEastAsia" w:eastAsiaTheme="minorEastAsia"/>
          <w:sz w:val="24"/>
          <w:szCs w:val="24"/>
          <w:highlight w:val="none"/>
        </w:rPr>
        <w:t>次，峰面积</w:t>
      </w:r>
      <w:r>
        <w:rPr>
          <w:rFonts w:asciiTheme="minorEastAsia" w:hAnsiTheme="minorEastAsia" w:eastAsiaTheme="minorEastAsia"/>
          <w:sz w:val="24"/>
          <w:szCs w:val="24"/>
          <w:highlight w:val="none"/>
        </w:rPr>
        <w:t>CV</w:t>
      </w:r>
      <w:r>
        <w:rPr>
          <w:rFonts w:hint="eastAsia" w:asciiTheme="minorEastAsia" w:hAnsiTheme="minorEastAsia" w:eastAsiaTheme="minorEastAsia"/>
          <w:sz w:val="24"/>
          <w:szCs w:val="24"/>
          <w:highlight w:val="none"/>
        </w:rPr>
        <w:t>小于</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负离子面膜是仪器检出限＜</w:t>
      </w:r>
      <w:r>
        <w:rPr>
          <w:rFonts w:asciiTheme="minorEastAsia" w:hAnsiTheme="minorEastAsia" w:eastAsiaTheme="minorEastAsia"/>
          <w:sz w:val="24"/>
          <w:szCs w:val="24"/>
          <w:highlight w:val="none"/>
        </w:rPr>
        <w:t>5 fg</w:t>
      </w:r>
      <w:r>
        <w:rPr>
          <w:rFonts w:hint="eastAsia" w:asciiTheme="minorEastAsia" w:hAnsiTheme="minorEastAsia" w:eastAsiaTheme="minorEastAsia"/>
          <w:sz w:val="24"/>
          <w:szCs w:val="24"/>
          <w:highlight w:val="none"/>
        </w:rPr>
        <w:t>。提供技术白皮书，并在技术白皮书内注明参数相关的实验检测数据。</w:t>
      </w:r>
    </w:p>
    <w:p w14:paraId="7C2507A9">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16.</w:t>
      </w:r>
      <w:r>
        <w:rPr>
          <w:rFonts w:hint="eastAsia" w:asciiTheme="minorEastAsia" w:hAnsiTheme="minorEastAsia" w:eastAsiaTheme="minorEastAsia"/>
          <w:sz w:val="24"/>
          <w:szCs w:val="24"/>
          <w:highlight w:val="none"/>
        </w:rPr>
        <w:t>质谱拓展性：可兼容毛细管电泳，用于强极性化合物的分离。为保障连接使用的可靠性，需提供技术白皮书，并在技术白皮书内注明相关参数公开发表的应用文献，文献应在知网、万方、维普等网站可以查询到，若提供投标品牌内部文献则不予认可。</w:t>
      </w:r>
    </w:p>
    <w:p w14:paraId="33A3E438">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17.</w:t>
      </w:r>
      <w:r>
        <w:rPr>
          <w:rFonts w:hint="eastAsia" w:asciiTheme="minorEastAsia" w:hAnsiTheme="minorEastAsia" w:eastAsiaTheme="minorEastAsia"/>
          <w:sz w:val="24"/>
          <w:szCs w:val="24"/>
          <w:highlight w:val="none"/>
        </w:rPr>
        <w:t>质量范围（</w:t>
      </w:r>
      <w:r>
        <w:rPr>
          <w:rFonts w:asciiTheme="minorEastAsia" w:hAnsiTheme="minorEastAsia" w:eastAsiaTheme="minorEastAsia"/>
          <w:sz w:val="24"/>
          <w:szCs w:val="24"/>
          <w:highlight w:val="none"/>
        </w:rPr>
        <w:t>m/z</w:t>
      </w:r>
      <w:r>
        <w:rPr>
          <w:rFonts w:hint="eastAsia" w:asciiTheme="minorEastAsia" w:hAnsiTheme="minorEastAsia" w:eastAsiaTheme="minorEastAsia"/>
          <w:sz w:val="24"/>
          <w:szCs w:val="24"/>
          <w:highlight w:val="none"/>
        </w:rPr>
        <w:t>）最低</w:t>
      </w:r>
      <w:r>
        <w:rPr>
          <w:rFonts w:asciiTheme="minorEastAsia" w:hAnsiTheme="minorEastAsia" w:eastAsiaTheme="minorEastAsia"/>
          <w:sz w:val="24"/>
          <w:szCs w:val="24"/>
          <w:highlight w:val="none"/>
        </w:rPr>
        <w:t>5-2000m/z</w:t>
      </w:r>
      <w:r>
        <w:rPr>
          <w:rFonts w:hint="eastAsia" w:asciiTheme="minorEastAsia" w:hAnsiTheme="minorEastAsia" w:eastAsiaTheme="minorEastAsia"/>
          <w:sz w:val="24"/>
          <w:szCs w:val="24"/>
          <w:highlight w:val="none"/>
        </w:rPr>
        <w:t>或更优。</w:t>
      </w:r>
    </w:p>
    <w:p w14:paraId="3176FBB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18.MRM</w:t>
      </w:r>
      <w:r>
        <w:rPr>
          <w:rFonts w:hint="eastAsia" w:asciiTheme="minorEastAsia" w:hAnsiTheme="minorEastAsia" w:eastAsiaTheme="minorEastAsia"/>
          <w:sz w:val="24"/>
          <w:szCs w:val="24"/>
          <w:highlight w:val="none"/>
        </w:rPr>
        <w:t>采集速率：</w:t>
      </w:r>
      <w:r>
        <w:rPr>
          <w:rFonts w:asciiTheme="minorEastAsia" w:hAnsiTheme="minorEastAsia" w:eastAsiaTheme="minorEastAsia"/>
          <w:sz w:val="24"/>
          <w:szCs w:val="24"/>
          <w:highlight w:val="none"/>
        </w:rPr>
        <w:t>500 MRM/sec</w:t>
      </w:r>
      <w:r>
        <w:rPr>
          <w:rFonts w:hint="eastAsia" w:asciiTheme="minorEastAsia" w:hAnsiTheme="minorEastAsia" w:eastAsiaTheme="minorEastAsia"/>
          <w:sz w:val="24"/>
          <w:szCs w:val="24"/>
          <w:highlight w:val="none"/>
        </w:rPr>
        <w:t>。</w:t>
      </w:r>
    </w:p>
    <w:p w14:paraId="3CA30D8B">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19.</w:t>
      </w:r>
      <w:r>
        <w:rPr>
          <w:rFonts w:hint="eastAsia" w:asciiTheme="minorEastAsia" w:hAnsiTheme="minorEastAsia" w:eastAsiaTheme="minorEastAsia"/>
          <w:sz w:val="24"/>
          <w:szCs w:val="24"/>
          <w:highlight w:val="none"/>
        </w:rPr>
        <w:t>质量轴稳定性：≤</w:t>
      </w:r>
      <w:r>
        <w:rPr>
          <w:rFonts w:asciiTheme="minorEastAsia" w:hAnsiTheme="minorEastAsia" w:eastAsiaTheme="minorEastAsia"/>
          <w:sz w:val="24"/>
          <w:szCs w:val="24"/>
          <w:highlight w:val="none"/>
        </w:rPr>
        <w:t>0.1Da/24</w:t>
      </w:r>
      <w:r>
        <w:rPr>
          <w:rFonts w:hint="eastAsia" w:asciiTheme="minorEastAsia" w:hAnsiTheme="minorEastAsia" w:eastAsiaTheme="minorEastAsia"/>
          <w:sz w:val="24"/>
          <w:szCs w:val="24"/>
          <w:highlight w:val="none"/>
        </w:rPr>
        <w:t>小时。</w:t>
      </w:r>
    </w:p>
    <w:p w14:paraId="564B6F94">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20.</w:t>
      </w:r>
      <w:r>
        <w:rPr>
          <w:rFonts w:hint="eastAsia" w:asciiTheme="minorEastAsia" w:hAnsiTheme="minorEastAsia" w:eastAsiaTheme="minorEastAsia"/>
          <w:sz w:val="24"/>
          <w:szCs w:val="24"/>
          <w:highlight w:val="none"/>
        </w:rPr>
        <w:t>定量动态范围：≥</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10e6</w:t>
      </w:r>
      <w:r>
        <w:rPr>
          <w:rFonts w:hint="eastAsia" w:asciiTheme="minorEastAsia" w:hAnsiTheme="minorEastAsia" w:eastAsiaTheme="minorEastAsia"/>
          <w:sz w:val="24"/>
          <w:szCs w:val="24"/>
          <w:highlight w:val="none"/>
        </w:rPr>
        <w:t>。</w:t>
      </w:r>
    </w:p>
    <w:p w14:paraId="270451B1">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21.</w:t>
      </w:r>
      <w:r>
        <w:rPr>
          <w:rFonts w:hint="eastAsia" w:asciiTheme="minorEastAsia" w:hAnsiTheme="minorEastAsia" w:eastAsiaTheme="minorEastAsia"/>
          <w:sz w:val="24"/>
          <w:szCs w:val="24"/>
          <w:highlight w:val="none"/>
        </w:rPr>
        <w:t>最小离子驻留时间：≤</w:t>
      </w:r>
      <w:r>
        <w:rPr>
          <w:rFonts w:asciiTheme="minorEastAsia" w:hAnsiTheme="minorEastAsia" w:eastAsiaTheme="minorEastAsia"/>
          <w:sz w:val="24"/>
          <w:szCs w:val="24"/>
          <w:highlight w:val="none"/>
        </w:rPr>
        <w:t>1ms</w:t>
      </w:r>
      <w:r>
        <w:rPr>
          <w:rFonts w:hint="eastAsia" w:asciiTheme="minorEastAsia" w:hAnsiTheme="minorEastAsia" w:eastAsiaTheme="minorEastAsia"/>
          <w:sz w:val="24"/>
          <w:szCs w:val="24"/>
          <w:highlight w:val="none"/>
        </w:rPr>
        <w:t>。</w:t>
      </w:r>
    </w:p>
    <w:p w14:paraId="6BBEAD5E">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asciiTheme="minorEastAsia" w:hAnsiTheme="minorEastAsia" w:eastAsiaTheme="minorEastAsia"/>
          <w:sz w:val="24"/>
          <w:szCs w:val="24"/>
          <w:highlight w:val="none"/>
        </w:rPr>
        <w:t xml:space="preserve">22 </w:t>
      </w:r>
      <w:r>
        <w:rPr>
          <w:rFonts w:hint="eastAsia" w:asciiTheme="minorEastAsia" w:hAnsiTheme="minorEastAsia" w:eastAsiaTheme="minorEastAsia"/>
          <w:sz w:val="24"/>
          <w:szCs w:val="24"/>
          <w:highlight w:val="none"/>
        </w:rPr>
        <w:t>质量分析器扩展性：后期可根据实验需求，升级拓展同品牌的内置定性质量分析器，或本身可进行正负三级离子的定性、定量测量，进一步提升仪器性能。提供技术白皮书，并在技术白皮书内注明内置定性质量分析器的实物照片，或者提供仪器可进行三级离子测量的官方实验证明文件同时写明官网链接地址。</w:t>
      </w:r>
    </w:p>
    <w:p w14:paraId="0D0DE696">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（二）超高效液相色谱仪</w:t>
      </w:r>
    </w:p>
    <w:p w14:paraId="6953D0A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23.</w:t>
      </w:r>
      <w:r>
        <w:rPr>
          <w:rFonts w:hint="eastAsia" w:asciiTheme="minorEastAsia" w:hAnsiTheme="minorEastAsia" w:eastAsiaTheme="minorEastAsia"/>
          <w:sz w:val="24"/>
          <w:szCs w:val="24"/>
          <w:highlight w:val="none"/>
        </w:rPr>
        <w:t>超高压色谱泵</w:t>
      </w:r>
    </w:p>
    <w:p w14:paraId="4F78471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24.</w:t>
      </w:r>
      <w:r>
        <w:rPr>
          <w:rFonts w:hint="eastAsia" w:asciiTheme="minorEastAsia" w:hAnsiTheme="minorEastAsia" w:eastAsiaTheme="minorEastAsia"/>
          <w:sz w:val="24"/>
          <w:szCs w:val="24"/>
          <w:highlight w:val="none"/>
        </w:rPr>
        <w:t>流速范围：</w:t>
      </w:r>
      <w:r>
        <w:rPr>
          <w:rFonts w:asciiTheme="minorEastAsia" w:hAnsiTheme="minorEastAsia" w:eastAsiaTheme="minorEastAsia"/>
          <w:sz w:val="24"/>
          <w:szCs w:val="24"/>
          <w:highlight w:val="none"/>
        </w:rPr>
        <w:t>0.001-2mL/min</w:t>
      </w:r>
      <w:r>
        <w:rPr>
          <w:rFonts w:hint="eastAsia" w:asciiTheme="minorEastAsia" w:hAnsiTheme="minorEastAsia" w:eastAsiaTheme="minorEastAsia"/>
          <w:sz w:val="24"/>
          <w:szCs w:val="24"/>
          <w:highlight w:val="none"/>
        </w:rPr>
        <w:t>或更优</w:t>
      </w:r>
      <w:r>
        <w:rPr>
          <w:rFonts w:asciiTheme="minorEastAsia" w:hAnsiTheme="minorEastAsia" w:eastAsiaTheme="minorEastAsia"/>
          <w:sz w:val="24"/>
          <w:szCs w:val="24"/>
          <w:highlight w:val="none"/>
        </w:rPr>
        <w:t>, 0.001mL/min</w:t>
      </w:r>
      <w:r>
        <w:rPr>
          <w:rFonts w:hint="eastAsia" w:asciiTheme="minorEastAsia" w:hAnsiTheme="minorEastAsia" w:eastAsiaTheme="minorEastAsia"/>
          <w:sz w:val="24"/>
          <w:szCs w:val="24"/>
          <w:highlight w:val="none"/>
        </w:rPr>
        <w:t>步进，含真空在线脱气单元。</w:t>
      </w:r>
    </w:p>
    <w:p w14:paraId="544B646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25.</w:t>
      </w:r>
      <w:r>
        <w:rPr>
          <w:rFonts w:hint="eastAsia" w:asciiTheme="minorEastAsia" w:hAnsiTheme="minorEastAsia" w:eastAsiaTheme="minorEastAsia"/>
          <w:sz w:val="24"/>
          <w:szCs w:val="24"/>
          <w:highlight w:val="none"/>
        </w:rPr>
        <w:t>流速精确度：≤</w:t>
      </w:r>
      <w:r>
        <w:rPr>
          <w:rFonts w:asciiTheme="minorEastAsia" w:hAnsiTheme="minorEastAsia" w:eastAsiaTheme="minorEastAsia"/>
          <w:sz w:val="24"/>
          <w:szCs w:val="24"/>
          <w:highlight w:val="none"/>
        </w:rPr>
        <w:t>0.07%RSD</w:t>
      </w:r>
      <w:r>
        <w:rPr>
          <w:rFonts w:hint="eastAsia" w:asciiTheme="minorEastAsia" w:hAnsiTheme="minorEastAsia" w:eastAsiaTheme="minorEastAsia"/>
          <w:sz w:val="24"/>
          <w:szCs w:val="24"/>
          <w:highlight w:val="none"/>
        </w:rPr>
        <w:t>、。</w:t>
      </w:r>
    </w:p>
    <w:p w14:paraId="6B581F68">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26.</w:t>
      </w:r>
      <w:r>
        <w:rPr>
          <w:rFonts w:hint="eastAsia" w:asciiTheme="minorEastAsia" w:hAnsiTheme="minorEastAsia" w:eastAsiaTheme="minorEastAsia"/>
          <w:sz w:val="24"/>
          <w:szCs w:val="24"/>
          <w:highlight w:val="none"/>
        </w:rPr>
        <w:t>泵的最高耐压：≥</w:t>
      </w:r>
      <w:r>
        <w:rPr>
          <w:rFonts w:asciiTheme="minorEastAsia" w:hAnsiTheme="minorEastAsia" w:eastAsiaTheme="minorEastAsia"/>
          <w:sz w:val="24"/>
          <w:szCs w:val="24"/>
          <w:highlight w:val="none"/>
        </w:rPr>
        <w:t>15000psi</w:t>
      </w:r>
      <w:r>
        <w:rPr>
          <w:rFonts w:hint="eastAsia" w:asciiTheme="minorEastAsia" w:hAnsiTheme="minorEastAsia" w:eastAsiaTheme="minorEastAsia"/>
          <w:sz w:val="24"/>
          <w:szCs w:val="24"/>
          <w:highlight w:val="none"/>
        </w:rPr>
        <w:t>。。</w:t>
      </w:r>
    </w:p>
    <w:p w14:paraId="2EB9BE0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27.</w:t>
      </w:r>
      <w:r>
        <w:rPr>
          <w:rFonts w:hint="eastAsia" w:asciiTheme="minorEastAsia" w:hAnsiTheme="minorEastAsia" w:eastAsiaTheme="minorEastAsia"/>
          <w:sz w:val="24"/>
          <w:szCs w:val="24"/>
          <w:highlight w:val="none"/>
        </w:rPr>
        <w:t>梯度混合精度：</w:t>
      </w:r>
      <w:r>
        <w:rPr>
          <w:rFonts w:asciiTheme="minorEastAsia" w:hAnsiTheme="minorEastAsia" w:eastAsiaTheme="minorEastAsia"/>
          <w:sz w:val="24"/>
          <w:szCs w:val="24"/>
          <w:highlight w:val="none"/>
        </w:rPr>
        <w:t>&lt;0.15%RSD</w:t>
      </w:r>
      <w:r>
        <w:rPr>
          <w:rFonts w:hint="eastAsia" w:asciiTheme="minorEastAsia" w:hAnsiTheme="minorEastAsia" w:eastAsiaTheme="minorEastAsia"/>
          <w:sz w:val="24"/>
          <w:szCs w:val="24"/>
          <w:highlight w:val="none"/>
        </w:rPr>
        <w:t>。</w:t>
      </w:r>
    </w:p>
    <w:p w14:paraId="26BB3BD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28.</w:t>
      </w:r>
      <w:r>
        <w:rPr>
          <w:rFonts w:hint="eastAsia" w:asciiTheme="minorEastAsia" w:hAnsiTheme="minorEastAsia" w:eastAsiaTheme="minorEastAsia"/>
          <w:sz w:val="24"/>
          <w:szCs w:val="24"/>
          <w:highlight w:val="none"/>
        </w:rPr>
        <w:t>延迟体积：≤</w:t>
      </w:r>
      <w:r>
        <w:rPr>
          <w:rFonts w:asciiTheme="minorEastAsia" w:hAnsiTheme="minorEastAsia" w:eastAsiaTheme="minorEastAsia"/>
          <w:sz w:val="24"/>
          <w:szCs w:val="24"/>
          <w:highlight w:val="none"/>
        </w:rPr>
        <w:t>50</w:t>
      </w:r>
      <w:r>
        <w:rPr>
          <w:rFonts w:hint="eastAsia" w:asciiTheme="minorEastAsia" w:hAnsiTheme="minorEastAsia" w:eastAsiaTheme="minorEastAsia"/>
          <w:sz w:val="24"/>
          <w:szCs w:val="24"/>
          <w:highlight w:val="none"/>
        </w:rPr>
        <w:t>μ</w:t>
      </w:r>
      <w:r>
        <w:rPr>
          <w:rFonts w:asciiTheme="minorEastAsia" w:hAnsiTheme="minorEastAsia" w:eastAsiaTheme="minorEastAsia"/>
          <w:sz w:val="24"/>
          <w:szCs w:val="24"/>
          <w:highlight w:val="none"/>
        </w:rPr>
        <w:t>L</w:t>
      </w:r>
      <w:r>
        <w:rPr>
          <w:rFonts w:hint="eastAsia" w:asciiTheme="minorEastAsia" w:hAnsiTheme="minorEastAsia" w:eastAsiaTheme="minorEastAsia"/>
          <w:sz w:val="24"/>
          <w:szCs w:val="24"/>
          <w:highlight w:val="none"/>
        </w:rPr>
        <w:t>（含混合器）。</w:t>
      </w:r>
    </w:p>
    <w:p w14:paraId="77F3EDF6">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29</w:t>
      </w:r>
      <w:r>
        <w:rPr>
          <w:rFonts w:hint="eastAsia" w:asciiTheme="minorEastAsia" w:hAnsiTheme="minorEastAsia" w:eastAsiaTheme="minorEastAsia"/>
          <w:sz w:val="24"/>
          <w:szCs w:val="24"/>
          <w:highlight w:val="none"/>
        </w:rPr>
        <w:t>自动进样器</w:t>
      </w:r>
    </w:p>
    <w:p w14:paraId="63FCF96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30.</w:t>
      </w:r>
      <w:r>
        <w:rPr>
          <w:rFonts w:hint="eastAsia" w:asciiTheme="minorEastAsia" w:hAnsiTheme="minorEastAsia" w:eastAsiaTheme="minorEastAsia"/>
          <w:sz w:val="24"/>
          <w:szCs w:val="24"/>
          <w:highlight w:val="none"/>
        </w:rPr>
        <w:t>进样范围：涵盖</w:t>
      </w:r>
      <w:r>
        <w:rPr>
          <w:rFonts w:asciiTheme="minorEastAsia" w:hAnsiTheme="minorEastAsia" w:eastAsiaTheme="minorEastAsia"/>
          <w:sz w:val="24"/>
          <w:szCs w:val="24"/>
          <w:highlight w:val="none"/>
        </w:rPr>
        <w:t>0.1-20L</w:t>
      </w:r>
      <w:r>
        <w:rPr>
          <w:rFonts w:hint="eastAsia" w:asciiTheme="minorEastAsia" w:hAnsiTheme="minorEastAsia" w:eastAsiaTheme="minorEastAsia"/>
          <w:sz w:val="24"/>
          <w:szCs w:val="24"/>
          <w:highlight w:val="none"/>
        </w:rPr>
        <w:t>或更优。。</w:t>
      </w:r>
    </w:p>
    <w:p w14:paraId="7AF94BDE">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31.</w:t>
      </w:r>
      <w:r>
        <w:rPr>
          <w:rFonts w:hint="eastAsia" w:asciiTheme="minorEastAsia" w:hAnsiTheme="minorEastAsia" w:eastAsiaTheme="minorEastAsia"/>
          <w:sz w:val="24"/>
          <w:szCs w:val="24"/>
          <w:highlight w:val="none"/>
        </w:rPr>
        <w:t>进样精确度：</w:t>
      </w:r>
      <w:r>
        <w:rPr>
          <w:rFonts w:asciiTheme="minorEastAsia" w:hAnsiTheme="minorEastAsia" w:eastAsiaTheme="minorEastAsia"/>
          <w:sz w:val="24"/>
          <w:szCs w:val="24"/>
          <w:highlight w:val="none"/>
        </w:rPr>
        <w:t>&lt;0.25%RSD</w:t>
      </w:r>
      <w:r>
        <w:rPr>
          <w:rFonts w:hint="eastAsia" w:asciiTheme="minorEastAsia" w:hAnsiTheme="minorEastAsia" w:eastAsiaTheme="minorEastAsia"/>
          <w:sz w:val="24"/>
          <w:szCs w:val="24"/>
          <w:highlight w:val="none"/>
        </w:rPr>
        <w:t>。</w:t>
      </w:r>
    </w:p>
    <w:p w14:paraId="48E08739">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32.</w:t>
      </w:r>
      <w:r>
        <w:rPr>
          <w:rFonts w:hint="eastAsia" w:asciiTheme="minorEastAsia" w:hAnsiTheme="minorEastAsia" w:eastAsiaTheme="minorEastAsia"/>
          <w:sz w:val="24"/>
          <w:szCs w:val="24"/>
          <w:highlight w:val="none"/>
        </w:rPr>
        <w:t>样品容量：标配≥</w:t>
      </w:r>
      <w:r>
        <w:rPr>
          <w:rFonts w:asciiTheme="minorEastAsia" w:hAnsiTheme="minorEastAsia" w:eastAsiaTheme="minorEastAsia"/>
          <w:sz w:val="24"/>
          <w:szCs w:val="24"/>
          <w:highlight w:val="none"/>
        </w:rPr>
        <w:t>95</w:t>
      </w:r>
      <w:r>
        <w:rPr>
          <w:rFonts w:hint="eastAsia" w:asciiTheme="minorEastAsia" w:hAnsiTheme="minorEastAsia" w:eastAsiaTheme="minorEastAsia"/>
          <w:sz w:val="24"/>
          <w:szCs w:val="24"/>
          <w:highlight w:val="none"/>
        </w:rPr>
        <w:t>位</w:t>
      </w:r>
      <w:r>
        <w:rPr>
          <w:rFonts w:asciiTheme="minorEastAsia" w:hAnsiTheme="minorEastAsia" w:eastAsiaTheme="minorEastAsia"/>
          <w:sz w:val="24"/>
          <w:szCs w:val="24"/>
          <w:highlight w:val="none"/>
        </w:rPr>
        <w:t>2mL</w:t>
      </w:r>
      <w:r>
        <w:rPr>
          <w:rFonts w:hint="eastAsia" w:asciiTheme="minorEastAsia" w:hAnsiTheme="minorEastAsia" w:eastAsiaTheme="minorEastAsia"/>
          <w:sz w:val="24"/>
          <w:szCs w:val="24"/>
          <w:highlight w:val="none"/>
        </w:rPr>
        <w:t>样品瓶。</w:t>
      </w:r>
    </w:p>
    <w:p w14:paraId="68B06E0C">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33.</w:t>
      </w:r>
      <w:r>
        <w:rPr>
          <w:rFonts w:hint="eastAsia" w:asciiTheme="minorEastAsia" w:hAnsiTheme="minorEastAsia" w:eastAsiaTheme="minorEastAsia"/>
          <w:sz w:val="24"/>
          <w:szCs w:val="24"/>
          <w:highlight w:val="none"/>
        </w:rPr>
        <w:t>交叉污染：</w:t>
      </w:r>
      <w:r>
        <w:rPr>
          <w:rFonts w:asciiTheme="minorEastAsia" w:hAnsiTheme="minorEastAsia" w:eastAsiaTheme="minorEastAsia"/>
          <w:sz w:val="24"/>
          <w:szCs w:val="24"/>
          <w:highlight w:val="none"/>
        </w:rPr>
        <w:t>&lt;0.004%</w:t>
      </w:r>
      <w:r>
        <w:rPr>
          <w:rFonts w:hint="eastAsia" w:asciiTheme="minorEastAsia" w:hAnsiTheme="minorEastAsia" w:eastAsiaTheme="minorEastAsia"/>
          <w:sz w:val="24"/>
          <w:szCs w:val="24"/>
          <w:highlight w:val="none"/>
        </w:rPr>
        <w:t>。</w:t>
      </w:r>
    </w:p>
    <w:p w14:paraId="537AA21E">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34</w:t>
      </w:r>
      <w:r>
        <w:rPr>
          <w:rFonts w:hint="eastAsia" w:asciiTheme="minorEastAsia" w:hAnsiTheme="minorEastAsia" w:eastAsiaTheme="minorEastAsia"/>
          <w:sz w:val="24"/>
          <w:szCs w:val="24"/>
          <w:highlight w:val="none"/>
        </w:rPr>
        <w:t>柱温箱</w:t>
      </w:r>
    </w:p>
    <w:p w14:paraId="22AA37FC">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35.</w:t>
      </w:r>
      <w:r>
        <w:rPr>
          <w:rFonts w:hint="eastAsia" w:asciiTheme="minorEastAsia" w:hAnsiTheme="minorEastAsia" w:eastAsiaTheme="minorEastAsia"/>
          <w:sz w:val="24"/>
          <w:szCs w:val="24"/>
          <w:highlight w:val="none"/>
        </w:rPr>
        <w:t>控温范围：室温</w:t>
      </w:r>
      <w:r>
        <w:rPr>
          <w:rFonts w:asciiTheme="minorEastAsia" w:hAnsiTheme="minorEastAsia" w:eastAsiaTheme="minorEastAsia"/>
          <w:sz w:val="24"/>
          <w:szCs w:val="24"/>
          <w:highlight w:val="none"/>
        </w:rPr>
        <w:t>-5~85</w:t>
      </w:r>
      <w:r>
        <w:rPr>
          <w:rFonts w:hint="eastAsia" w:asciiTheme="minorEastAsia" w:hAnsiTheme="minorEastAsia" w:eastAsiaTheme="minorEastAsia"/>
          <w:sz w:val="24"/>
          <w:szCs w:val="24"/>
          <w:highlight w:val="none"/>
        </w:rPr>
        <w:t>℃或更优</w:t>
      </w:r>
    </w:p>
    <w:p w14:paraId="77328547">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36.</w:t>
      </w:r>
      <w:r>
        <w:rPr>
          <w:rFonts w:hint="eastAsia" w:asciiTheme="minorEastAsia" w:hAnsiTheme="minorEastAsia" w:eastAsiaTheme="minorEastAsia"/>
          <w:sz w:val="24"/>
          <w:szCs w:val="24"/>
          <w:highlight w:val="none"/>
        </w:rPr>
        <w:t>控温精度和稳定性：≤</w:t>
      </w:r>
      <w:r>
        <w:rPr>
          <w:rFonts w:asciiTheme="minorEastAsia" w:hAnsiTheme="minorEastAsia" w:eastAsiaTheme="minorEastAsia"/>
          <w:sz w:val="24"/>
          <w:szCs w:val="24"/>
          <w:highlight w:val="none"/>
        </w:rPr>
        <w:t>0.05</w:t>
      </w:r>
      <w:r>
        <w:rPr>
          <w:rFonts w:hint="eastAsia" w:asciiTheme="minorEastAsia" w:hAnsiTheme="minorEastAsia" w:eastAsiaTheme="minorEastAsia"/>
          <w:sz w:val="24"/>
          <w:szCs w:val="24"/>
          <w:highlight w:val="none"/>
        </w:rPr>
        <w:t>℃；</w:t>
      </w:r>
    </w:p>
    <w:p w14:paraId="682FE09D">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37.</w:t>
      </w:r>
      <w:r>
        <w:rPr>
          <w:rFonts w:hint="eastAsia" w:asciiTheme="minorEastAsia" w:hAnsiTheme="minorEastAsia" w:eastAsiaTheme="minorEastAsia"/>
          <w:sz w:val="24"/>
          <w:szCs w:val="24"/>
          <w:highlight w:val="none"/>
        </w:rPr>
        <w:t>控温准确度：≤</w:t>
      </w:r>
      <w:r>
        <w:rPr>
          <w:rFonts w:asciiTheme="minorEastAsia" w:hAnsiTheme="minorEastAsia" w:eastAsiaTheme="minorEastAsia"/>
          <w:sz w:val="24"/>
          <w:szCs w:val="24"/>
          <w:highlight w:val="none"/>
        </w:rPr>
        <w:t>0.5</w:t>
      </w:r>
      <w:r>
        <w:rPr>
          <w:rFonts w:hint="eastAsia" w:asciiTheme="minorEastAsia" w:hAnsiTheme="minorEastAsia" w:eastAsiaTheme="minorEastAsia"/>
          <w:sz w:val="24"/>
          <w:szCs w:val="24"/>
          <w:highlight w:val="none"/>
        </w:rPr>
        <w:t>℃。</w:t>
      </w:r>
    </w:p>
    <w:p w14:paraId="0FC8CF90">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asciiTheme="minorEastAsia" w:hAnsiTheme="minorEastAsia" w:eastAsiaTheme="minorEastAsia"/>
          <w:sz w:val="24"/>
          <w:szCs w:val="24"/>
          <w:highlight w:val="none"/>
        </w:rPr>
        <w:t>38</w:t>
      </w:r>
      <w:r>
        <w:rPr>
          <w:rFonts w:hint="eastAsia" w:asciiTheme="minorEastAsia" w:hAnsiTheme="minorEastAsia" w:eastAsiaTheme="minorEastAsia"/>
          <w:sz w:val="24"/>
          <w:szCs w:val="24"/>
          <w:highlight w:val="none"/>
        </w:rPr>
        <w:t>仪器验收：以下</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项内容到货后逐项验收，其中</w:t>
      </w:r>
      <w:r>
        <w:rPr>
          <w:rFonts w:asciiTheme="minorEastAsia" w:hAnsiTheme="minorEastAsia" w:eastAsiaTheme="minorEastAsia"/>
          <w:sz w:val="24"/>
          <w:szCs w:val="24"/>
          <w:highlight w:val="none"/>
        </w:rPr>
        <w:t>38.2</w:t>
      </w:r>
      <w:r>
        <w:rPr>
          <w:rFonts w:hint="eastAsia" w:asciiTheme="minorEastAsia" w:hAnsiTheme="minorEastAsia" w:eastAsiaTheme="minorEastAsia"/>
          <w:sz w:val="24"/>
          <w:szCs w:val="24"/>
          <w:highlight w:val="none"/>
        </w:rPr>
        <w:t>项至</w:t>
      </w:r>
      <w:r>
        <w:rPr>
          <w:rFonts w:asciiTheme="minorEastAsia" w:hAnsiTheme="minorEastAsia" w:eastAsiaTheme="minorEastAsia"/>
          <w:sz w:val="24"/>
          <w:szCs w:val="24"/>
          <w:highlight w:val="none"/>
        </w:rPr>
        <w:t>38.5</w:t>
      </w:r>
      <w:r>
        <w:rPr>
          <w:rFonts w:hint="eastAsia" w:asciiTheme="minorEastAsia" w:hAnsiTheme="minorEastAsia" w:eastAsiaTheme="minorEastAsia"/>
          <w:sz w:val="24"/>
          <w:szCs w:val="24"/>
          <w:highlight w:val="none"/>
        </w:rPr>
        <w:t>项的四个实验，需要以所投标型号仪器提前进行实验检测。投标时提供技术白皮书，并在技术白皮书中至少提供任意一项实验的原始数据报告，供现场专家审评。</w:t>
      </w:r>
    </w:p>
    <w:p w14:paraId="25CF89B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38.1.</w:t>
      </w:r>
      <w:r>
        <w:rPr>
          <w:rFonts w:hint="eastAsia" w:asciiTheme="minorEastAsia" w:hAnsiTheme="minorEastAsia" w:eastAsiaTheme="minorEastAsia"/>
          <w:sz w:val="24"/>
          <w:szCs w:val="24"/>
          <w:highlight w:val="none"/>
        </w:rPr>
        <w:t>按需求建立农药及其代谢物残留量一针进样同时检测的方法（</w:t>
      </w:r>
      <w:r>
        <w:rPr>
          <w:rFonts w:asciiTheme="minorEastAsia" w:hAnsiTheme="minorEastAsia" w:eastAsiaTheme="minorEastAsia"/>
          <w:sz w:val="24"/>
          <w:szCs w:val="24"/>
          <w:highlight w:val="none"/>
        </w:rPr>
        <w:t>GB 23200.121</w:t>
      </w:r>
      <w:r>
        <w:rPr>
          <w:rFonts w:hint="eastAsia" w:asciiTheme="minorEastAsia" w:hAnsiTheme="minorEastAsia" w:eastAsiaTheme="minorEastAsia"/>
          <w:sz w:val="24"/>
          <w:szCs w:val="24"/>
          <w:highlight w:val="none"/>
        </w:rPr>
        <w:t>）、多兽残（</w:t>
      </w:r>
      <w:r>
        <w:rPr>
          <w:rFonts w:asciiTheme="minorEastAsia" w:hAnsiTheme="minorEastAsia" w:eastAsiaTheme="minorEastAsia"/>
          <w:sz w:val="24"/>
          <w:szCs w:val="24"/>
          <w:highlight w:val="none"/>
        </w:rPr>
        <w:t>GB 31658.17</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GB 31658.20</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GB 31658.4</w:t>
      </w:r>
      <w:r>
        <w:rPr>
          <w:rFonts w:hint="eastAsia" w:asciiTheme="minorEastAsia" w:hAnsiTheme="minorEastAsia" w:eastAsiaTheme="minorEastAsia"/>
          <w:sz w:val="24"/>
          <w:szCs w:val="24"/>
          <w:highlight w:val="none"/>
        </w:rPr>
        <w:t>）、非法添加（</w:t>
      </w:r>
      <w:r>
        <w:rPr>
          <w:rFonts w:asciiTheme="minorEastAsia" w:hAnsiTheme="minorEastAsia" w:eastAsiaTheme="minorEastAsia"/>
          <w:sz w:val="24"/>
          <w:szCs w:val="24"/>
          <w:highlight w:val="none"/>
        </w:rPr>
        <w:t>BJS 201805</w:t>
      </w:r>
      <w:r>
        <w:rPr>
          <w:rFonts w:hint="eastAsia" w:asciiTheme="minorEastAsia" w:hAnsiTheme="minorEastAsia" w:eastAsiaTheme="minorEastAsia"/>
          <w:sz w:val="24"/>
          <w:szCs w:val="24"/>
          <w:highlight w:val="none"/>
        </w:rPr>
        <w:t>）、污染物（</w:t>
      </w:r>
      <w:r>
        <w:rPr>
          <w:rFonts w:asciiTheme="minorEastAsia" w:hAnsiTheme="minorEastAsia" w:eastAsiaTheme="minorEastAsia"/>
          <w:sz w:val="24"/>
          <w:szCs w:val="24"/>
          <w:highlight w:val="none"/>
        </w:rPr>
        <w:t>BJS 202007</w:t>
      </w:r>
      <w:r>
        <w:rPr>
          <w:rFonts w:hint="eastAsia" w:asciiTheme="minorEastAsia" w:hAnsiTheme="minorEastAsia" w:eastAsiaTheme="minorEastAsia"/>
          <w:sz w:val="24"/>
          <w:szCs w:val="24"/>
          <w:highlight w:val="none"/>
        </w:rPr>
        <w:t>）等的定性定量方法</w:t>
      </w:r>
    </w:p>
    <w:p w14:paraId="25E26F5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38.2.</w:t>
      </w:r>
      <w:r>
        <w:rPr>
          <w:rFonts w:hint="eastAsia" w:asciiTheme="minorEastAsia" w:hAnsiTheme="minorEastAsia" w:eastAsiaTheme="minorEastAsia"/>
          <w:sz w:val="24"/>
          <w:szCs w:val="24"/>
          <w:highlight w:val="none"/>
        </w:rPr>
        <w:t>实际样品测试：依据</w:t>
      </w:r>
      <w:r>
        <w:rPr>
          <w:rFonts w:asciiTheme="minorEastAsia" w:hAnsiTheme="minorEastAsia" w:eastAsiaTheme="minorEastAsia"/>
          <w:sz w:val="24"/>
          <w:szCs w:val="24"/>
          <w:highlight w:val="none"/>
        </w:rPr>
        <w:t>GB 31658.20-2022</w:t>
      </w:r>
      <w:r>
        <w:rPr>
          <w:rFonts w:hint="eastAsia" w:asciiTheme="minorEastAsia" w:hAnsiTheme="minorEastAsia" w:eastAsiaTheme="minorEastAsia"/>
          <w:sz w:val="24"/>
          <w:szCs w:val="24"/>
          <w:highlight w:val="none"/>
        </w:rPr>
        <w:t>，采用</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正离子</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负离子同时扫描，猪肉样品基质中</w:t>
      </w:r>
      <w:r>
        <w:rPr>
          <w:rFonts w:asciiTheme="minorEastAsia" w:hAnsiTheme="minorEastAsia" w:eastAsiaTheme="minorEastAsia"/>
          <w:sz w:val="24"/>
          <w:szCs w:val="24"/>
          <w:highlight w:val="none"/>
        </w:rPr>
        <w:t>50pg</w:t>
      </w:r>
      <w:r>
        <w:rPr>
          <w:rFonts w:hint="eastAsia" w:asciiTheme="minorEastAsia" w:hAnsiTheme="minorEastAsia" w:eastAsiaTheme="minorEastAsia"/>
          <w:sz w:val="24"/>
          <w:szCs w:val="24"/>
          <w:highlight w:val="none"/>
        </w:rPr>
        <w:t>氟苯尼考胺过柱进样</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m/z 248&gt;230</w:t>
      </w:r>
      <w:r>
        <w:rPr>
          <w:rFonts w:hint="eastAsia" w:asciiTheme="minorEastAsia" w:hAnsiTheme="minorEastAsia" w:eastAsiaTheme="minorEastAsia"/>
          <w:sz w:val="24"/>
          <w:szCs w:val="24"/>
          <w:highlight w:val="none"/>
        </w:rPr>
        <w:t>，信噪比</w:t>
      </w:r>
      <w:r>
        <w:rPr>
          <w:rFonts w:asciiTheme="minorEastAsia" w:hAnsiTheme="minorEastAsia" w:eastAsiaTheme="minorEastAsia"/>
          <w:sz w:val="24"/>
          <w:szCs w:val="24"/>
          <w:highlight w:val="none"/>
        </w:rPr>
        <w:t>S/N&gt;10000:1</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50pg</w:t>
      </w:r>
      <w:r>
        <w:rPr>
          <w:rFonts w:hint="eastAsia" w:asciiTheme="minorEastAsia" w:hAnsiTheme="minorEastAsia" w:eastAsiaTheme="minorEastAsia"/>
          <w:sz w:val="24"/>
          <w:szCs w:val="24"/>
          <w:highlight w:val="none"/>
        </w:rPr>
        <w:t>氟苯尼考过柱进样</w:t>
      </w:r>
      <w:r>
        <w:rPr>
          <w:rFonts w:asciiTheme="minorEastAsia" w:hAnsiTheme="minorEastAsia" w:eastAsiaTheme="minorEastAsia"/>
          <w:sz w:val="24"/>
          <w:szCs w:val="24"/>
          <w:highlight w:val="none"/>
        </w:rPr>
        <w:t>(ESI-)</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m/z 356&gt;336</w:t>
      </w:r>
      <w:r>
        <w:rPr>
          <w:rFonts w:hint="eastAsia" w:asciiTheme="minorEastAsia" w:hAnsiTheme="minorEastAsia" w:eastAsiaTheme="minorEastAsia"/>
          <w:sz w:val="24"/>
          <w:szCs w:val="24"/>
          <w:highlight w:val="none"/>
        </w:rPr>
        <w:t>，信噪比</w:t>
      </w:r>
      <w:r>
        <w:rPr>
          <w:rFonts w:asciiTheme="minorEastAsia" w:hAnsiTheme="minorEastAsia" w:eastAsiaTheme="minorEastAsia"/>
          <w:sz w:val="24"/>
          <w:szCs w:val="24"/>
          <w:highlight w:val="none"/>
        </w:rPr>
        <w:t>S/N &gt;50000:1</w:t>
      </w:r>
    </w:p>
    <w:p w14:paraId="7AD567B7">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38.3.</w:t>
      </w:r>
      <w:r>
        <w:rPr>
          <w:rFonts w:hint="eastAsia" w:asciiTheme="minorEastAsia" w:hAnsiTheme="minorEastAsia" w:eastAsiaTheme="minorEastAsia"/>
          <w:sz w:val="24"/>
          <w:szCs w:val="24"/>
          <w:highlight w:val="none"/>
        </w:rPr>
        <w:t>针对猪肉基质样品进行四环素加标，按照</w:t>
      </w:r>
      <w:r>
        <w:rPr>
          <w:rFonts w:asciiTheme="minorEastAsia" w:hAnsiTheme="minorEastAsia" w:eastAsiaTheme="minorEastAsia"/>
          <w:sz w:val="24"/>
          <w:szCs w:val="24"/>
          <w:highlight w:val="none"/>
        </w:rPr>
        <w:t>GB 31658.17-2021</w:t>
      </w:r>
      <w:r>
        <w:rPr>
          <w:rFonts w:hint="eastAsia" w:asciiTheme="minorEastAsia" w:hAnsiTheme="minorEastAsia" w:eastAsiaTheme="minorEastAsia"/>
          <w:sz w:val="24"/>
          <w:szCs w:val="24"/>
          <w:highlight w:val="none"/>
        </w:rPr>
        <w:t>标准要求在定量限水平、</w:t>
      </w:r>
      <w:r>
        <w:rPr>
          <w:rFonts w:asciiTheme="minorEastAsia" w:hAnsiTheme="minorEastAsia" w:eastAsiaTheme="minorEastAsia"/>
          <w:sz w:val="24"/>
          <w:szCs w:val="24"/>
          <w:highlight w:val="none"/>
        </w:rPr>
        <w:t>1/2</w:t>
      </w:r>
      <w:r>
        <w:rPr>
          <w:rFonts w:hint="eastAsia" w:asciiTheme="minorEastAsia" w:hAnsiTheme="minorEastAsia" w:eastAsiaTheme="minorEastAsia"/>
          <w:sz w:val="24"/>
          <w:szCs w:val="24"/>
          <w:highlight w:val="none"/>
        </w:rPr>
        <w:t>限量值水平、限量值水平进行三浓度六水平加标回收，结果需满足标准要求及</w:t>
      </w:r>
      <w:r>
        <w:rPr>
          <w:rFonts w:asciiTheme="minorEastAsia" w:hAnsiTheme="minorEastAsia" w:eastAsiaTheme="minorEastAsia"/>
          <w:sz w:val="24"/>
          <w:szCs w:val="24"/>
          <w:highlight w:val="none"/>
        </w:rPr>
        <w:t>GB/T 27404-2008</w:t>
      </w:r>
      <w:r>
        <w:rPr>
          <w:rFonts w:hint="eastAsia" w:asciiTheme="minorEastAsia" w:hAnsiTheme="minorEastAsia" w:eastAsiaTheme="minorEastAsia"/>
          <w:sz w:val="24"/>
          <w:szCs w:val="24"/>
          <w:highlight w:val="none"/>
        </w:rPr>
        <w:t>对应浓度的回收率要求。</w:t>
      </w:r>
    </w:p>
    <w:p w14:paraId="67F8C9E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38.4.</w:t>
      </w:r>
      <w:r>
        <w:rPr>
          <w:rFonts w:hint="eastAsia" w:asciiTheme="minorEastAsia" w:hAnsiTheme="minorEastAsia" w:eastAsiaTheme="minorEastAsia"/>
          <w:sz w:val="24"/>
          <w:szCs w:val="24"/>
          <w:highlight w:val="none"/>
        </w:rPr>
        <w:t>实际样品测试：依据</w:t>
      </w:r>
      <w:r>
        <w:rPr>
          <w:rFonts w:asciiTheme="minorEastAsia" w:hAnsiTheme="minorEastAsia" w:eastAsiaTheme="minorEastAsia"/>
          <w:sz w:val="24"/>
          <w:szCs w:val="24"/>
          <w:highlight w:val="none"/>
        </w:rPr>
        <w:t>SN/T 4066-2014</w:t>
      </w:r>
      <w:r>
        <w:rPr>
          <w:rFonts w:hint="eastAsia" w:asciiTheme="minorEastAsia" w:hAnsiTheme="minorEastAsia" w:eastAsiaTheme="minorEastAsia"/>
          <w:sz w:val="24"/>
          <w:szCs w:val="24"/>
          <w:highlight w:val="none"/>
        </w:rPr>
        <w:t>，采用</w:t>
      </w:r>
      <w:r>
        <w:rPr>
          <w:rFonts w:asciiTheme="minorEastAsia" w:hAnsiTheme="minorEastAsia" w:eastAsiaTheme="minorEastAsia"/>
          <w:sz w:val="24"/>
          <w:szCs w:val="24"/>
          <w:highlight w:val="none"/>
        </w:rPr>
        <w:t>APCI</w:t>
      </w:r>
      <w:r>
        <w:rPr>
          <w:rFonts w:hint="eastAsia" w:asciiTheme="minorEastAsia" w:hAnsiTheme="minorEastAsia" w:eastAsiaTheme="minorEastAsia"/>
          <w:sz w:val="24"/>
          <w:szCs w:val="24"/>
          <w:highlight w:val="none"/>
        </w:rPr>
        <w:t>正离子扫描，茶叶样品基质中</w:t>
      </w:r>
      <w:r>
        <w:rPr>
          <w:rFonts w:asciiTheme="minorEastAsia" w:hAnsiTheme="minorEastAsia" w:eastAsiaTheme="minorEastAsia"/>
          <w:sz w:val="24"/>
          <w:szCs w:val="24"/>
          <w:highlight w:val="none"/>
        </w:rPr>
        <w:t>0.5ng</w:t>
      </w:r>
      <w:r>
        <w:rPr>
          <w:rFonts w:hint="eastAsia" w:asciiTheme="minorEastAsia" w:hAnsiTheme="minorEastAsia" w:eastAsiaTheme="minorEastAsia"/>
          <w:sz w:val="24"/>
          <w:szCs w:val="24"/>
          <w:highlight w:val="none"/>
        </w:rPr>
        <w:t>灭螨醌过柱进样</w:t>
      </w:r>
      <w:r>
        <w:rPr>
          <w:rFonts w:asciiTheme="minorEastAsia" w:hAnsiTheme="minorEastAsia" w:eastAsiaTheme="minorEastAsia"/>
          <w:sz w:val="24"/>
          <w:szCs w:val="24"/>
          <w:highlight w:val="none"/>
        </w:rPr>
        <w:t>(APCI+)</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m/z 343&gt;189</w:t>
      </w:r>
      <w:r>
        <w:rPr>
          <w:rFonts w:hint="eastAsia" w:asciiTheme="minorEastAsia" w:hAnsiTheme="minorEastAsia" w:eastAsiaTheme="minorEastAsia"/>
          <w:sz w:val="24"/>
          <w:szCs w:val="24"/>
          <w:highlight w:val="none"/>
        </w:rPr>
        <w:t>，信噪比</w:t>
      </w:r>
      <w:r>
        <w:rPr>
          <w:rFonts w:asciiTheme="minorEastAsia" w:hAnsiTheme="minorEastAsia" w:eastAsiaTheme="minorEastAsia"/>
          <w:sz w:val="24"/>
          <w:szCs w:val="24"/>
          <w:highlight w:val="none"/>
        </w:rPr>
        <w:t>S/N&gt;1000:1</w:t>
      </w:r>
      <w:r>
        <w:rPr>
          <w:rFonts w:hint="eastAsia" w:asciiTheme="minorEastAsia" w:hAnsiTheme="minorEastAsia" w:eastAsiaTheme="minorEastAsia"/>
          <w:sz w:val="24"/>
          <w:szCs w:val="24"/>
          <w:highlight w:val="none"/>
        </w:rPr>
        <w:t>。定量限水平加标的回收率需满足标准要求</w:t>
      </w:r>
    </w:p>
    <w:p w14:paraId="4E663E1E">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38.5.</w:t>
      </w:r>
      <w:r>
        <w:rPr>
          <w:rFonts w:hint="eastAsia" w:asciiTheme="minorEastAsia" w:hAnsiTheme="minorEastAsia" w:eastAsiaTheme="minorEastAsia"/>
          <w:sz w:val="24"/>
          <w:szCs w:val="24"/>
          <w:highlight w:val="none"/>
        </w:rPr>
        <w:t>鱼肉中恩诺沙星质控样品，平行测定</w:t>
      </w:r>
      <w:r>
        <w:rPr>
          <w:rFonts w:asciiTheme="minorEastAsia" w:hAnsiTheme="minorEastAsia" w:eastAsiaTheme="minorEastAsia"/>
          <w:sz w:val="24"/>
          <w:szCs w:val="24"/>
          <w:highlight w:val="none"/>
        </w:rPr>
        <w:t>6</w:t>
      </w:r>
      <w:r>
        <w:rPr>
          <w:rFonts w:hint="eastAsia" w:asciiTheme="minorEastAsia" w:hAnsiTheme="minorEastAsia" w:eastAsiaTheme="minorEastAsia"/>
          <w:sz w:val="24"/>
          <w:szCs w:val="24"/>
          <w:highlight w:val="none"/>
        </w:rPr>
        <w:t>次，检验结果应在质控样品中位值</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的偏差范围内。</w:t>
      </w:r>
    </w:p>
    <w:p w14:paraId="4369DC44">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（三）氮气发生器</w:t>
      </w:r>
    </w:p>
    <w:p w14:paraId="4F33EE99">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39.</w:t>
      </w:r>
      <w:r>
        <w:rPr>
          <w:rFonts w:hint="eastAsia" w:asciiTheme="minorEastAsia" w:hAnsiTheme="minorEastAsia" w:eastAsiaTheme="minorEastAsia"/>
          <w:sz w:val="24"/>
          <w:szCs w:val="24"/>
          <w:highlight w:val="none"/>
        </w:rPr>
        <w:t>制氮原理：膜分离</w:t>
      </w:r>
    </w:p>
    <w:p w14:paraId="165551E1">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40.</w:t>
      </w:r>
      <w:r>
        <w:rPr>
          <w:rFonts w:hint="eastAsia" w:asciiTheme="minorEastAsia" w:hAnsiTheme="minorEastAsia" w:eastAsiaTheme="minorEastAsia"/>
          <w:sz w:val="24"/>
          <w:szCs w:val="24"/>
          <w:highlight w:val="none"/>
        </w:rPr>
        <w:t>输出流量：≥</w:t>
      </w:r>
      <w:r>
        <w:rPr>
          <w:rFonts w:asciiTheme="minorEastAsia" w:hAnsiTheme="minorEastAsia" w:eastAsiaTheme="minorEastAsia"/>
          <w:sz w:val="24"/>
          <w:szCs w:val="24"/>
          <w:highlight w:val="none"/>
        </w:rPr>
        <w:t>35 L/min</w:t>
      </w:r>
    </w:p>
    <w:p w14:paraId="6232E699">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41.</w:t>
      </w:r>
      <w:r>
        <w:rPr>
          <w:rFonts w:hint="eastAsia" w:asciiTheme="minorEastAsia" w:hAnsiTheme="minorEastAsia" w:eastAsiaTheme="minorEastAsia"/>
          <w:sz w:val="24"/>
          <w:szCs w:val="24"/>
          <w:highlight w:val="none"/>
        </w:rPr>
        <w:t>输出压力：≥</w:t>
      </w:r>
      <w:r>
        <w:rPr>
          <w:rFonts w:asciiTheme="minorEastAsia" w:hAnsiTheme="minorEastAsia" w:eastAsiaTheme="minorEastAsia"/>
          <w:sz w:val="24"/>
          <w:szCs w:val="24"/>
          <w:highlight w:val="none"/>
        </w:rPr>
        <w:t>116 psi</w:t>
      </w:r>
    </w:p>
    <w:p w14:paraId="55C56ED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42.</w:t>
      </w:r>
      <w:r>
        <w:rPr>
          <w:rFonts w:hint="eastAsia" w:asciiTheme="minorEastAsia" w:hAnsiTheme="minorEastAsia" w:eastAsiaTheme="minorEastAsia"/>
          <w:sz w:val="24"/>
          <w:szCs w:val="24"/>
          <w:highlight w:val="none"/>
        </w:rPr>
        <w:t>氮气纯度：≥</w:t>
      </w:r>
      <w:r>
        <w:rPr>
          <w:rFonts w:asciiTheme="minorEastAsia" w:hAnsiTheme="minorEastAsia" w:eastAsiaTheme="minorEastAsia"/>
          <w:sz w:val="24"/>
          <w:szCs w:val="24"/>
          <w:highlight w:val="none"/>
        </w:rPr>
        <w:t>99.5%</w:t>
      </w:r>
    </w:p>
    <w:p w14:paraId="12395611">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43.</w:t>
      </w:r>
      <w:r>
        <w:rPr>
          <w:rFonts w:hint="eastAsia" w:asciiTheme="minorEastAsia" w:hAnsiTheme="minorEastAsia" w:eastAsiaTheme="minorEastAsia"/>
          <w:sz w:val="24"/>
          <w:szCs w:val="24"/>
          <w:highlight w:val="none"/>
        </w:rPr>
        <w:t>氮气露点：≤</w:t>
      </w:r>
      <w:r>
        <w:rPr>
          <w:rFonts w:asciiTheme="minorEastAsia" w:hAnsiTheme="minorEastAsia" w:eastAsiaTheme="minorEastAsia"/>
          <w:sz w:val="24"/>
          <w:szCs w:val="24"/>
          <w:highlight w:val="none"/>
        </w:rPr>
        <w:t xml:space="preserve">-50 </w:t>
      </w:r>
      <w:r>
        <w:rPr>
          <w:rFonts w:hint="eastAsia" w:asciiTheme="minorEastAsia" w:hAnsiTheme="minorEastAsia" w:eastAsiaTheme="minorEastAsia"/>
          <w:sz w:val="24"/>
          <w:szCs w:val="24"/>
          <w:highlight w:val="none"/>
        </w:rPr>
        <w:t>℃</w:t>
      </w:r>
    </w:p>
    <w:p w14:paraId="3CA7939B">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（四）软件</w:t>
      </w:r>
    </w:p>
    <w:p w14:paraId="03D67B74">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44.</w:t>
      </w:r>
      <w:r>
        <w:rPr>
          <w:rFonts w:hint="eastAsia" w:asciiTheme="minorEastAsia" w:hAnsiTheme="minorEastAsia" w:eastAsiaTheme="minorEastAsia"/>
          <w:sz w:val="24"/>
          <w:szCs w:val="24"/>
          <w:highlight w:val="none"/>
        </w:rPr>
        <w:t>一键式全自动调谐，调谐液自动输送，参数自动优化，自动校正，无需手动步骤，自动调谐。</w:t>
      </w:r>
    </w:p>
    <w:p w14:paraId="564AB1F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45.  </w:t>
      </w:r>
      <w:r>
        <w:rPr>
          <w:rFonts w:hint="eastAsia" w:asciiTheme="minorEastAsia" w:hAnsiTheme="minorEastAsia" w:eastAsiaTheme="minorEastAsia"/>
          <w:sz w:val="24"/>
          <w:szCs w:val="24"/>
          <w:highlight w:val="none"/>
        </w:rPr>
        <w:t>软件能控制液相色谱和质谱部分，自动实现仪器的功能配置、条件优化、数据采集、数据处理，自动定量功能，可以自动标注离子比率，并对超出限量的样品自动标注，自动实现</w:t>
      </w:r>
      <w:r>
        <w:rPr>
          <w:rFonts w:asciiTheme="minorEastAsia" w:hAnsiTheme="minorEastAsia" w:eastAsiaTheme="minorEastAsia"/>
          <w:sz w:val="24"/>
          <w:szCs w:val="24"/>
          <w:highlight w:val="none"/>
        </w:rPr>
        <w:t>MS</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MS/MS</w:t>
      </w:r>
      <w:r>
        <w:rPr>
          <w:rFonts w:hint="eastAsia" w:asciiTheme="minorEastAsia" w:hAnsiTheme="minorEastAsia" w:eastAsiaTheme="minorEastAsia"/>
          <w:sz w:val="24"/>
          <w:szCs w:val="24"/>
          <w:highlight w:val="none"/>
        </w:rPr>
        <w:t>扫描的切换，质谱数据解析工具和谱库建立和检索等功能。</w:t>
      </w:r>
    </w:p>
    <w:p w14:paraId="0A99F347">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46.</w:t>
      </w:r>
      <w:r>
        <w:rPr>
          <w:rFonts w:hint="eastAsia" w:asciiTheme="minorEastAsia" w:hAnsiTheme="minorEastAsia" w:eastAsiaTheme="minorEastAsia"/>
          <w:sz w:val="24"/>
          <w:szCs w:val="24"/>
          <w:highlight w:val="none"/>
        </w:rPr>
        <w:t>不进行时间分段，一次进样可完成</w:t>
      </w:r>
      <w:r>
        <w:rPr>
          <w:rFonts w:asciiTheme="minorEastAsia" w:hAnsiTheme="minorEastAsia" w:eastAsiaTheme="minorEastAsia"/>
          <w:sz w:val="24"/>
          <w:szCs w:val="24"/>
          <w:highlight w:val="none"/>
        </w:rPr>
        <w:t>300</w:t>
      </w:r>
      <w:r>
        <w:rPr>
          <w:rFonts w:hint="eastAsia" w:asciiTheme="minorEastAsia" w:hAnsiTheme="minorEastAsia" w:eastAsiaTheme="minorEastAsia"/>
          <w:sz w:val="24"/>
          <w:szCs w:val="24"/>
          <w:highlight w:val="none"/>
        </w:rPr>
        <w:t>组</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的同时分析而不损失灵敏度，根据每个</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目标物的保留时间自动安排</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分析，无需设置</w:t>
      </w:r>
      <w:r>
        <w:rPr>
          <w:rFonts w:asciiTheme="minorEastAsia" w:hAnsiTheme="minorEastAsia" w:eastAsiaTheme="minorEastAsia"/>
          <w:sz w:val="24"/>
          <w:szCs w:val="24"/>
          <w:highlight w:val="none"/>
        </w:rPr>
        <w:t>MRM</w:t>
      </w:r>
      <w:r>
        <w:rPr>
          <w:rFonts w:hint="eastAsia" w:asciiTheme="minorEastAsia" w:hAnsiTheme="minorEastAsia" w:eastAsiaTheme="minorEastAsia"/>
          <w:sz w:val="24"/>
          <w:szCs w:val="24"/>
          <w:highlight w:val="none"/>
        </w:rPr>
        <w:t>采集时间窗</w:t>
      </w:r>
    </w:p>
    <w:p w14:paraId="4F16942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五、配置要求</w:t>
      </w:r>
    </w:p>
    <w:p w14:paraId="303E803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47.</w:t>
      </w:r>
      <w:r>
        <w:rPr>
          <w:rFonts w:hint="eastAsia" w:asciiTheme="minorEastAsia" w:hAnsiTheme="minorEastAsia" w:eastAsiaTheme="minorEastAsia"/>
          <w:sz w:val="24"/>
          <w:szCs w:val="24"/>
          <w:highlight w:val="none"/>
        </w:rPr>
        <w:t>超高效液相色谱仪配置要求：</w:t>
      </w:r>
    </w:p>
    <w:p w14:paraId="68C8EACF">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48.</w:t>
      </w:r>
      <w:r>
        <w:rPr>
          <w:rFonts w:hint="eastAsia" w:asciiTheme="minorEastAsia" w:hAnsiTheme="minorEastAsia" w:eastAsiaTheme="minorEastAsia"/>
          <w:sz w:val="24"/>
          <w:szCs w:val="24"/>
          <w:highlight w:val="none"/>
        </w:rPr>
        <w:t>超高压色谱泵（含在线脱气机）</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台。</w:t>
      </w:r>
    </w:p>
    <w:p w14:paraId="7EE4EF9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49.</w:t>
      </w:r>
      <w:r>
        <w:rPr>
          <w:rFonts w:hint="eastAsia" w:asciiTheme="minorEastAsia" w:hAnsiTheme="minorEastAsia" w:eastAsiaTheme="minorEastAsia"/>
          <w:sz w:val="24"/>
          <w:szCs w:val="24"/>
          <w:highlight w:val="none"/>
        </w:rPr>
        <w:t>自动进样器</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台。</w:t>
      </w:r>
    </w:p>
    <w:p w14:paraId="2FC7B537">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50.</w:t>
      </w:r>
      <w:r>
        <w:rPr>
          <w:rFonts w:hint="eastAsia" w:asciiTheme="minorEastAsia" w:hAnsiTheme="minorEastAsia" w:eastAsiaTheme="minorEastAsia"/>
          <w:sz w:val="24"/>
          <w:szCs w:val="24"/>
          <w:highlight w:val="none"/>
        </w:rPr>
        <w:t>柱温箱</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台。</w:t>
      </w:r>
    </w:p>
    <w:p w14:paraId="1B7FDE84">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51.</w:t>
      </w:r>
      <w:r>
        <w:rPr>
          <w:rFonts w:hint="eastAsia" w:asciiTheme="minorEastAsia" w:hAnsiTheme="minorEastAsia" w:eastAsiaTheme="minorEastAsia"/>
          <w:sz w:val="24"/>
          <w:szCs w:val="24"/>
          <w:highlight w:val="none"/>
        </w:rPr>
        <w:t>三重串联四极杆质谱仪配置要求：</w:t>
      </w:r>
    </w:p>
    <w:p w14:paraId="13883823">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52.</w:t>
      </w:r>
      <w:r>
        <w:rPr>
          <w:rFonts w:hint="eastAsia" w:asciiTheme="minorEastAsia" w:hAnsiTheme="minorEastAsia" w:eastAsiaTheme="minorEastAsia"/>
          <w:sz w:val="24"/>
          <w:szCs w:val="24"/>
          <w:highlight w:val="none"/>
        </w:rPr>
        <w:t>三重串联四极杆质谱仪主机（包括离子源接口、三重四极杆质量分析器、机械泵、涡轮分子泵、注射泵、安装启动包、数据处理终端、数据显示终端、数据输出终端等）</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6BDE437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53.</w:t>
      </w:r>
      <w:r>
        <w:rPr>
          <w:rFonts w:hint="eastAsia" w:asciiTheme="minorEastAsia" w:hAnsiTheme="minorEastAsia" w:eastAsiaTheme="minorEastAsia"/>
          <w:sz w:val="24"/>
          <w:szCs w:val="24"/>
          <w:highlight w:val="none"/>
        </w:rPr>
        <w:t>独立或复合离子源（同时具备</w:t>
      </w:r>
      <w:r>
        <w:rPr>
          <w:rFonts w:asciiTheme="minorEastAsia" w:hAnsiTheme="minorEastAsia" w:eastAsiaTheme="minorEastAsia"/>
          <w:sz w:val="24"/>
          <w:szCs w:val="24"/>
          <w:highlight w:val="none"/>
        </w:rPr>
        <w:t xml:space="preserve"> ESI</w:t>
      </w:r>
      <w:r>
        <w:rPr>
          <w:rFonts w:hint="eastAsia" w:asciiTheme="minorEastAsia" w:hAnsiTheme="minorEastAsia" w:eastAsiaTheme="minorEastAsia"/>
          <w:sz w:val="24"/>
          <w:szCs w:val="24"/>
          <w:highlight w:val="none"/>
        </w:rPr>
        <w:t>和</w:t>
      </w:r>
      <w:r>
        <w:rPr>
          <w:rFonts w:asciiTheme="minorEastAsia" w:hAnsiTheme="minorEastAsia" w:eastAsiaTheme="minorEastAsia"/>
          <w:sz w:val="24"/>
          <w:szCs w:val="24"/>
          <w:highlight w:val="none"/>
        </w:rPr>
        <w:t>APCI</w:t>
      </w:r>
      <w:r>
        <w:rPr>
          <w:rFonts w:hint="eastAsia" w:asciiTheme="minorEastAsia" w:hAnsiTheme="minorEastAsia" w:eastAsiaTheme="minorEastAsia"/>
          <w:sz w:val="24"/>
          <w:szCs w:val="24"/>
          <w:highlight w:val="none"/>
        </w:rPr>
        <w:t>功能）</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48CE571D">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54.</w:t>
      </w:r>
      <w:r>
        <w:rPr>
          <w:rFonts w:hint="eastAsia" w:asciiTheme="minorEastAsia" w:hAnsiTheme="minorEastAsia" w:eastAsiaTheme="minorEastAsia"/>
          <w:sz w:val="24"/>
          <w:szCs w:val="24"/>
          <w:highlight w:val="none"/>
        </w:rPr>
        <w:t>质谱工作软件平台</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2EF0C030">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55.</w:t>
      </w:r>
      <w:r>
        <w:rPr>
          <w:rFonts w:hint="eastAsia" w:asciiTheme="minorEastAsia" w:hAnsiTheme="minorEastAsia" w:eastAsiaTheme="minorEastAsia"/>
          <w:sz w:val="24"/>
          <w:szCs w:val="24"/>
          <w:highlight w:val="none"/>
        </w:rPr>
        <w:t>配套氮气发生器</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套。</w:t>
      </w:r>
    </w:p>
    <w:p w14:paraId="6509C44E">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56.</w:t>
      </w:r>
      <w:r>
        <w:rPr>
          <w:rFonts w:hint="eastAsia" w:asciiTheme="minorEastAsia" w:hAnsiTheme="minorEastAsia" w:eastAsiaTheme="minorEastAsia"/>
          <w:sz w:val="24"/>
          <w:szCs w:val="24"/>
          <w:highlight w:val="none"/>
        </w:rPr>
        <w:t>配套</w:t>
      </w:r>
      <w:r>
        <w:rPr>
          <w:rFonts w:asciiTheme="minorEastAsia" w:hAnsiTheme="minorEastAsia" w:eastAsiaTheme="minorEastAsia"/>
          <w:sz w:val="24"/>
          <w:szCs w:val="24"/>
          <w:highlight w:val="none"/>
        </w:rPr>
        <w:t>UPS</w:t>
      </w:r>
      <w:r>
        <w:rPr>
          <w:rFonts w:hint="eastAsia" w:asciiTheme="minorEastAsia" w:hAnsiTheme="minorEastAsia" w:eastAsiaTheme="minorEastAsia"/>
          <w:sz w:val="24"/>
          <w:szCs w:val="24"/>
          <w:highlight w:val="none"/>
        </w:rPr>
        <w:t>不间断电源（</w:t>
      </w:r>
      <w:r>
        <w:rPr>
          <w:rFonts w:asciiTheme="minorEastAsia" w:hAnsiTheme="minorEastAsia" w:eastAsiaTheme="minorEastAsia"/>
          <w:sz w:val="24"/>
          <w:szCs w:val="24"/>
          <w:highlight w:val="none"/>
        </w:rPr>
        <w:t>10KVA</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小时）</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42BCE07E">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57.</w:t>
      </w:r>
      <w:r>
        <w:rPr>
          <w:rFonts w:hint="eastAsia" w:asciiTheme="minorEastAsia" w:hAnsiTheme="minorEastAsia" w:eastAsiaTheme="minorEastAsia"/>
          <w:sz w:val="24"/>
          <w:szCs w:val="24"/>
          <w:highlight w:val="none"/>
        </w:rPr>
        <w:t>消耗品和备件配置要求：</w:t>
      </w:r>
    </w:p>
    <w:p w14:paraId="62FD1AC9">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58.</w:t>
      </w:r>
      <w:r>
        <w:rPr>
          <w:rFonts w:hint="eastAsia" w:asciiTheme="minorEastAsia" w:hAnsiTheme="minorEastAsia" w:eastAsiaTheme="minorEastAsia"/>
          <w:sz w:val="24"/>
          <w:szCs w:val="24"/>
          <w:highlight w:val="none"/>
        </w:rPr>
        <w:t>液相前端在线过滤器</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22F9892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59.</w:t>
      </w:r>
      <w:r>
        <w:rPr>
          <w:rFonts w:hint="eastAsia" w:asciiTheme="minorEastAsia" w:hAnsiTheme="minorEastAsia" w:eastAsiaTheme="minorEastAsia"/>
          <w:sz w:val="24"/>
          <w:szCs w:val="24"/>
          <w:highlight w:val="none"/>
        </w:rPr>
        <w:t>过滤器可更换滤芯</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个。</w:t>
      </w:r>
    </w:p>
    <w:p w14:paraId="5A0E9758">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60.</w:t>
      </w:r>
      <w:r>
        <w:rPr>
          <w:rFonts w:hint="eastAsia" w:asciiTheme="minorEastAsia" w:hAnsiTheme="minorEastAsia" w:eastAsiaTheme="minorEastAsia"/>
          <w:sz w:val="24"/>
          <w:szCs w:val="24"/>
          <w:highlight w:val="none"/>
        </w:rPr>
        <w:t>液相</w:t>
      </w:r>
      <w:r>
        <w:rPr>
          <w:rFonts w:asciiTheme="minorEastAsia" w:hAnsiTheme="minorEastAsia" w:eastAsiaTheme="minorEastAsia"/>
          <w:sz w:val="24"/>
          <w:szCs w:val="24"/>
          <w:highlight w:val="none"/>
        </w:rPr>
        <w:t>2 mL</w:t>
      </w:r>
      <w:r>
        <w:rPr>
          <w:rFonts w:hint="eastAsia" w:asciiTheme="minorEastAsia" w:hAnsiTheme="minorEastAsia" w:eastAsiaTheme="minorEastAsia"/>
          <w:sz w:val="24"/>
          <w:szCs w:val="24"/>
          <w:highlight w:val="none"/>
        </w:rPr>
        <w:t>样品瓶</w:t>
      </w:r>
      <w:r>
        <w:rPr>
          <w:rFonts w:asciiTheme="minorEastAsia" w:hAnsiTheme="minorEastAsia" w:eastAsiaTheme="minorEastAsia"/>
          <w:sz w:val="24"/>
          <w:szCs w:val="24"/>
          <w:highlight w:val="none"/>
        </w:rPr>
        <w:t>1000</w:t>
      </w:r>
      <w:r>
        <w:rPr>
          <w:rFonts w:hint="eastAsia" w:asciiTheme="minorEastAsia" w:hAnsiTheme="minorEastAsia" w:eastAsiaTheme="minorEastAsia"/>
          <w:sz w:val="24"/>
          <w:szCs w:val="24"/>
          <w:highlight w:val="none"/>
        </w:rPr>
        <w:t>个。</w:t>
      </w:r>
    </w:p>
    <w:p w14:paraId="7CD0FB6F">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61.</w:t>
      </w:r>
      <w:r>
        <w:rPr>
          <w:rFonts w:hint="eastAsia" w:asciiTheme="minorEastAsia" w:hAnsiTheme="minorEastAsia" w:eastAsiaTheme="minorEastAsia"/>
          <w:sz w:val="24"/>
          <w:szCs w:val="24"/>
          <w:highlight w:val="none"/>
        </w:rPr>
        <w:t>超高压液相色谱柱</w:t>
      </w:r>
      <w:r>
        <w:rPr>
          <w:rFonts w:asciiTheme="minorEastAsia" w:hAnsiTheme="minorEastAsia" w:eastAsiaTheme="minorEastAsia"/>
          <w:sz w:val="24"/>
          <w:szCs w:val="24"/>
          <w:highlight w:val="none"/>
        </w:rPr>
        <w:t>C18</w:t>
      </w:r>
      <w:r>
        <w:rPr>
          <w:rFonts w:hint="eastAsia" w:asciiTheme="minorEastAsia" w:hAnsiTheme="minorEastAsia" w:eastAsiaTheme="minorEastAsia"/>
          <w:sz w:val="24"/>
          <w:szCs w:val="24"/>
          <w:highlight w:val="none"/>
        </w:rPr>
        <w:t>，粒径小于</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μ</w:t>
      </w:r>
      <w:r>
        <w:rPr>
          <w:rFonts w:asciiTheme="minorEastAsia" w:hAnsiTheme="minorEastAsia" w:eastAsiaTheme="minorEastAsia"/>
          <w:sz w:val="24"/>
          <w:szCs w:val="24"/>
          <w:highlight w:val="none"/>
        </w:rPr>
        <w:t>m</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根。</w:t>
      </w:r>
    </w:p>
    <w:p w14:paraId="784AC3D0">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rPr>
        <w:t>超高压液相色谱柱</w:t>
      </w:r>
      <w:r>
        <w:rPr>
          <w:rFonts w:asciiTheme="minorEastAsia" w:hAnsiTheme="minorEastAsia" w:eastAsiaTheme="minorEastAsia"/>
          <w:sz w:val="24"/>
          <w:szCs w:val="24"/>
          <w:highlight w:val="none"/>
        </w:rPr>
        <w:t>Hilic</w:t>
      </w:r>
      <w:r>
        <w:rPr>
          <w:rFonts w:hint="eastAsia" w:asciiTheme="minorEastAsia" w:hAnsiTheme="minorEastAsia" w:eastAsiaTheme="minorEastAsia"/>
          <w:sz w:val="24"/>
          <w:szCs w:val="24"/>
          <w:highlight w:val="none"/>
        </w:rPr>
        <w:t>，粒径小于</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μ</w:t>
      </w:r>
      <w:r>
        <w:rPr>
          <w:rFonts w:asciiTheme="minorEastAsia" w:hAnsiTheme="minorEastAsia" w:eastAsiaTheme="minorEastAsia"/>
          <w:sz w:val="24"/>
          <w:szCs w:val="24"/>
          <w:highlight w:val="none"/>
        </w:rPr>
        <w:t>m</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根。</w:t>
      </w:r>
    </w:p>
    <w:p w14:paraId="6746F161">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63.</w:t>
      </w:r>
      <w:r>
        <w:rPr>
          <w:rFonts w:hint="eastAsia" w:asciiTheme="minorEastAsia" w:hAnsiTheme="minorEastAsia" w:eastAsiaTheme="minorEastAsia"/>
          <w:sz w:val="24"/>
          <w:szCs w:val="24"/>
          <w:highlight w:val="none"/>
        </w:rPr>
        <w:t>前级机械泵泵油，</w:t>
      </w:r>
      <w:r>
        <w:rPr>
          <w:rFonts w:asciiTheme="minorEastAsia" w:hAnsiTheme="minorEastAsia" w:eastAsiaTheme="minorEastAsia"/>
          <w:sz w:val="24"/>
          <w:szCs w:val="24"/>
          <w:highlight w:val="none"/>
        </w:rPr>
        <w:t>1L/</w:t>
      </w:r>
      <w:r>
        <w:rPr>
          <w:rFonts w:hint="eastAsia" w:asciiTheme="minorEastAsia" w:hAnsiTheme="minorEastAsia" w:eastAsiaTheme="minorEastAsia"/>
          <w:sz w:val="24"/>
          <w:szCs w:val="24"/>
          <w:highlight w:val="none"/>
        </w:rPr>
        <w:t>瓶，</w:t>
      </w:r>
      <w:r>
        <w:rPr>
          <w:rFonts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rPr>
        <w:t>瓶。</w:t>
      </w:r>
    </w:p>
    <w:p w14:paraId="27A708F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64.</w:t>
      </w:r>
      <w:r>
        <w:rPr>
          <w:rFonts w:hint="eastAsia" w:asciiTheme="minorEastAsia" w:hAnsiTheme="minorEastAsia" w:eastAsiaTheme="minorEastAsia"/>
          <w:sz w:val="24"/>
          <w:szCs w:val="24"/>
          <w:highlight w:val="none"/>
        </w:rPr>
        <w:t>质谱调谐液、校正液等</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套。</w:t>
      </w:r>
    </w:p>
    <w:p w14:paraId="4E0F5600">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65.ESI</w:t>
      </w:r>
      <w:r>
        <w:rPr>
          <w:rFonts w:hint="eastAsia" w:asciiTheme="minorEastAsia" w:hAnsiTheme="minorEastAsia" w:eastAsiaTheme="minorEastAsia"/>
          <w:sz w:val="24"/>
          <w:szCs w:val="24"/>
          <w:highlight w:val="none"/>
        </w:rPr>
        <w:t>喷针</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根。</w:t>
      </w:r>
    </w:p>
    <w:p w14:paraId="3D632447">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66.</w:t>
      </w:r>
      <w:r>
        <w:rPr>
          <w:rFonts w:hint="eastAsia" w:asciiTheme="minorEastAsia" w:hAnsiTheme="minorEastAsia" w:eastAsiaTheme="minorEastAsia"/>
          <w:sz w:val="24"/>
          <w:szCs w:val="24"/>
          <w:highlight w:val="none"/>
        </w:rPr>
        <w:t>流动相溶剂瓶</w:t>
      </w:r>
      <w:r>
        <w:rPr>
          <w:rFonts w:asciiTheme="minorEastAsia" w:hAnsiTheme="minorEastAsia" w:eastAsiaTheme="minorEastAsia"/>
          <w:sz w:val="24"/>
          <w:szCs w:val="24"/>
          <w:highlight w:val="none"/>
        </w:rPr>
        <w:t>1L</w:t>
      </w:r>
      <w:r>
        <w:rPr>
          <w:rFonts w:hint="eastAsia" w:asciiTheme="minorEastAsia" w:hAnsiTheme="minorEastAsia" w:eastAsiaTheme="minorEastAsia"/>
          <w:sz w:val="24"/>
          <w:szCs w:val="24"/>
          <w:highlight w:val="none"/>
        </w:rPr>
        <w:t>（含瓶盖），</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个、溶剂托盘</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个。</w:t>
      </w:r>
    </w:p>
    <w:p w14:paraId="1F738F50">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67.</w:t>
      </w:r>
      <w:r>
        <w:rPr>
          <w:rFonts w:hint="eastAsia" w:asciiTheme="minorEastAsia" w:hAnsiTheme="minorEastAsia" w:eastAsiaTheme="minorEastAsia"/>
          <w:sz w:val="24"/>
          <w:szCs w:val="24"/>
          <w:highlight w:val="none"/>
        </w:rPr>
        <w:t>整机质保贰年。</w:t>
      </w:r>
    </w:p>
    <w:p w14:paraId="2F4DA989">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六、售后服务要求：</w:t>
      </w:r>
    </w:p>
    <w:p w14:paraId="516DAC7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68.</w:t>
      </w:r>
      <w:r>
        <w:rPr>
          <w:rFonts w:hint="eastAsia" w:asciiTheme="minorEastAsia" w:hAnsiTheme="minorEastAsia" w:eastAsiaTheme="minorEastAsia"/>
          <w:sz w:val="24"/>
          <w:szCs w:val="24"/>
          <w:highlight w:val="none"/>
        </w:rPr>
        <w:t>提供仪器设备的安装、操作手册；提供仪器设备的维修保养文件，提供仪器设备的工作软件说明书以及培训视频；</w:t>
      </w:r>
    </w:p>
    <w:p w14:paraId="777DED7A">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69.</w:t>
      </w:r>
      <w:r>
        <w:rPr>
          <w:rFonts w:hint="eastAsia" w:asciiTheme="minorEastAsia" w:hAnsiTheme="minorEastAsia" w:eastAsiaTheme="minorEastAsia"/>
          <w:sz w:val="24"/>
          <w:szCs w:val="24"/>
          <w:highlight w:val="none"/>
        </w:rPr>
        <w:t>制造商的技术工程师到工作现场进行工作，协助安装、检查，进行安装前的条件确认，并根据实际情况提出整改建议，仪器安装过程中协助进行安装调试，进行启动前的培训和工作现场培训。</w:t>
      </w:r>
    </w:p>
    <w:p w14:paraId="350C4D85">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70.</w:t>
      </w:r>
      <w:r>
        <w:rPr>
          <w:rFonts w:hint="eastAsia" w:asciiTheme="minorEastAsia" w:hAnsiTheme="minorEastAsia" w:eastAsiaTheme="minorEastAsia"/>
          <w:sz w:val="24"/>
          <w:szCs w:val="24"/>
          <w:highlight w:val="none"/>
        </w:rPr>
        <w:t>安装调试：免费安装调试，设备到达后，接到用户方通知之日起</w:t>
      </w:r>
      <w:r>
        <w:rPr>
          <w:rFonts w:asciiTheme="minorEastAsia" w:hAnsiTheme="minorEastAsia" w:eastAsiaTheme="minorEastAsia"/>
          <w:sz w:val="24"/>
          <w:szCs w:val="24"/>
          <w:highlight w:val="none"/>
        </w:rPr>
        <w:t>7</w:t>
      </w:r>
      <w:r>
        <w:rPr>
          <w:rFonts w:hint="eastAsia" w:asciiTheme="minorEastAsia" w:hAnsiTheme="minorEastAsia" w:eastAsiaTheme="minorEastAsia"/>
          <w:sz w:val="24"/>
          <w:szCs w:val="24"/>
          <w:highlight w:val="none"/>
        </w:rPr>
        <w:t>个工作日内，技术人员到达现场，与用户方技术人员共同开箱清点货物，进行安装、调试、培训。</w:t>
      </w:r>
    </w:p>
    <w:p w14:paraId="3406A5E2">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71.</w:t>
      </w:r>
      <w:r>
        <w:rPr>
          <w:rFonts w:hint="eastAsia" w:asciiTheme="minorEastAsia" w:hAnsiTheme="minorEastAsia" w:eastAsiaTheme="minorEastAsia"/>
          <w:sz w:val="24"/>
          <w:szCs w:val="24"/>
          <w:highlight w:val="none"/>
        </w:rPr>
        <w:t>技术培训服务：安装验收完</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个月内或根据用户时间要求，制造商应安排专职应用工程师免费在用户所在地对用户进行</w:t>
      </w:r>
      <w:r>
        <w:rPr>
          <w:rFonts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天以上的仪器原理、操作和日常维护等的现场培训；</w:t>
      </w:r>
      <w:r>
        <w:rPr>
          <w:rFonts w:asciiTheme="minorEastAsia" w:hAnsiTheme="minorEastAsia" w:eastAsiaTheme="minorEastAsia"/>
          <w:sz w:val="24"/>
          <w:szCs w:val="24"/>
          <w:highlight w:val="none"/>
        </w:rPr>
        <w:t xml:space="preserve"> </w:t>
      </w:r>
    </w:p>
    <w:p w14:paraId="7E169C46">
      <w:pPr>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72.</w:t>
      </w:r>
      <w:r>
        <w:rPr>
          <w:rFonts w:hint="eastAsia" w:asciiTheme="minorEastAsia" w:hAnsiTheme="minorEastAsia" w:eastAsiaTheme="minorEastAsia"/>
          <w:sz w:val="24"/>
          <w:szCs w:val="24"/>
          <w:highlight w:val="none"/>
        </w:rPr>
        <w:t>保修：仪器自安装、验收、现场培训之日起，制造商提供贰年免费保修服务，在保修期内，所有服务及配件全部免费；保修期后，制造商应保证长期供应零备件和正常的售后服务；保修期内提供离子源及接口需要清洗培训及服务；</w:t>
      </w:r>
    </w:p>
    <w:p w14:paraId="44762D14">
      <w:pPr>
        <w:spacing w:line="360" w:lineRule="auto"/>
        <w:rPr>
          <w:rFonts w:hint="eastAsia" w:asciiTheme="minorEastAsia" w:hAnsiTheme="minorEastAsia" w:eastAsiaTheme="minorEastAsia"/>
          <w:b/>
          <w:bCs/>
          <w:sz w:val="24"/>
          <w:szCs w:val="24"/>
          <w:highlight w:val="none"/>
        </w:rPr>
      </w:pPr>
    </w:p>
    <w:p w14:paraId="04AC37A7">
      <w:pPr>
        <w:spacing w:line="360" w:lineRule="auto"/>
        <w:rPr>
          <w:rFonts w:hint="eastAsia" w:asciiTheme="minorEastAsia" w:hAnsiTheme="minorEastAsia" w:eastAsiaTheme="minorEastAsia"/>
          <w:b/>
          <w:bCs/>
          <w:sz w:val="24"/>
          <w:szCs w:val="24"/>
          <w:highlight w:val="none"/>
        </w:rPr>
      </w:pPr>
      <w:bookmarkStart w:id="49" w:name="OLE_LINK10"/>
      <w:r>
        <w:rPr>
          <w:rFonts w:hint="eastAsia" w:asciiTheme="minorEastAsia" w:hAnsiTheme="minorEastAsia" w:eastAsiaTheme="minorEastAsia"/>
          <w:b/>
          <w:bCs/>
          <w:sz w:val="24"/>
          <w:szCs w:val="24"/>
          <w:highlight w:val="none"/>
        </w:rPr>
        <w:t>品名</w:t>
      </w:r>
      <w:r>
        <w:rPr>
          <w:rFonts w:asciiTheme="minorEastAsia" w:hAnsiTheme="minorEastAsia" w:eastAsiaTheme="minorEastAsia"/>
          <w:b/>
          <w:bCs/>
          <w:sz w:val="24"/>
          <w:szCs w:val="24"/>
          <w:highlight w:val="none"/>
        </w:rPr>
        <w:t xml:space="preserve">5 </w:t>
      </w:r>
      <w:r>
        <w:rPr>
          <w:rFonts w:hint="eastAsia" w:cs="Arial" w:asciiTheme="minorEastAsia" w:hAnsiTheme="minorEastAsia" w:eastAsiaTheme="minorEastAsia"/>
          <w:kern w:val="0"/>
          <w:sz w:val="24"/>
          <w:szCs w:val="24"/>
          <w:highlight w:val="none"/>
        </w:rPr>
        <w:t>显微数码互动教学设备</w:t>
      </w:r>
    </w:p>
    <w:bookmarkEnd w:id="49"/>
    <w:p w14:paraId="5DDFBDE9">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（一）教师数码显微镜</w:t>
      </w:r>
    </w:p>
    <w:p w14:paraId="6B856EFB">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1、光学系统：无限远色差校正光学系统，放大倍数：40X-1000X。</w:t>
      </w:r>
    </w:p>
    <w:p w14:paraId="78FF7D21">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2、目镜：高眼点平场目镜PL10X/22mm，带视度调节。</w:t>
      </w:r>
    </w:p>
    <w:p w14:paraId="7C705531">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3、观察筒：铰链式观察筒，30°倾斜；瞳距调节范围不小于48-76mm。具有铰链组360°旋转功能，眼点高度调节范围375-428mm。</w:t>
      </w:r>
    </w:p>
    <w:p w14:paraId="7C8142E4">
      <w:pPr>
        <w:spacing w:line="360" w:lineRule="auto"/>
        <w:rPr>
          <w:rFonts w:hint="eastAsia" w:asciiTheme="minorEastAsia" w:hAnsiTheme="minorEastAsia" w:eastAsiaTheme="minorEastAsia"/>
          <w:sz w:val="24"/>
          <w:szCs w:val="24"/>
          <w:highlight w:val="none"/>
        </w:rPr>
      </w:pPr>
      <w:bookmarkStart w:id="50" w:name="OLE_LINK38"/>
      <w:r>
        <w:rPr>
          <w:rFonts w:hint="eastAsia" w:ascii="宋体" w:hAnsi="宋体" w:eastAsiaTheme="minorEastAsia"/>
          <w:sz w:val="24"/>
          <w:szCs w:val="24"/>
          <w:highlight w:val="none"/>
        </w:rPr>
        <w:t>▲</w:t>
      </w:r>
      <w:bookmarkEnd w:id="50"/>
      <w:r>
        <w:rPr>
          <w:rFonts w:hint="eastAsia" w:asciiTheme="minorEastAsia" w:hAnsiTheme="minorEastAsia" w:eastAsiaTheme="minorEastAsia"/>
          <w:sz w:val="24"/>
          <w:szCs w:val="24"/>
          <w:highlight w:val="none"/>
        </w:rPr>
        <w:t>4、物镜转换器：内倾式5孔物镜编码转换、能够记忆每个物镜的照明亮度、自动切换，转换器稳定性（以检测报告中数据为准）≤0.003mm。</w:t>
      </w:r>
    </w:p>
    <w:p w14:paraId="05F01C0B">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5、聚光镜：阿贝式聚光镜，数值孔径N.A.1.25，带可变孔径光栏，带暗场、相差附件插口。</w:t>
      </w:r>
    </w:p>
    <w:p w14:paraId="6770852C">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6、载物台：双层机械移动平台，陶瓷工艺、强度强、耐腐蚀。低手位X、Y方向同轴调节，X方向采用线轨传动，无齿条伸出。载物台面积≥210mmX170mm，片夹可同时夹持两块切片，方便对比观察。平台行程≥78mmX50mm，精度≤0.1mm。载物台侧向受5N水平方向作用力的最大位移（以检测报告中数据为准）≤0.01mm， 载物台侧向受5N水平方向作用力的不重复性（以检测报告中数据为准）≤0.002mm。</w:t>
      </w:r>
    </w:p>
    <w:p w14:paraId="62B1C52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7、调焦机构：粗微调同轴，粗调行程≥25mm，微调精度2um，全金属齿轮齿条调焦机构，带可调式平台上限位装置。</w:t>
      </w:r>
    </w:p>
    <w:p w14:paraId="62635336">
      <w:pPr>
        <w:spacing w:line="360" w:lineRule="auto"/>
        <w:rPr>
          <w:rFonts w:hint="eastAsia" w:asciiTheme="minorEastAsia" w:hAnsiTheme="minorEastAsia" w:eastAsiaTheme="minorEastAsia"/>
          <w:sz w:val="24"/>
          <w:szCs w:val="24"/>
          <w:highlight w:val="none"/>
        </w:rPr>
      </w:pPr>
      <w:bookmarkStart w:id="51" w:name="OLE_LINK11"/>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8、物镜：</w:t>
      </w:r>
      <w:bookmarkEnd w:id="51"/>
      <w:r>
        <w:rPr>
          <w:rFonts w:hint="eastAsia" w:asciiTheme="minorEastAsia" w:hAnsiTheme="minorEastAsia" w:eastAsiaTheme="minorEastAsia"/>
          <w:sz w:val="24"/>
          <w:szCs w:val="24"/>
          <w:highlight w:val="none"/>
        </w:rPr>
        <w:t>无限远平场消色差物镜:4X/NA≥0.1/WD≥15mm， 10X/NA≥0.25/WD≥10.8mm，20X/NA≥0.4/WD≥1.5mm，40X/NA≥0.65/WD≥ 0.8mm，100X/NA≥1.25/WD≥0.21mm。</w:t>
      </w:r>
    </w:p>
    <w:p w14:paraId="58E50650">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物镜清晰圆直径（以检测报告中数据为准）：4X物镜≥18.6mm、10X物镜≥18.5mm、20X物镜≥18.6mm、40X物镜≥18.9mm、100X物镜≥18.9mm物镜放大率准确度误差范围（以检测报告中数据为准）不超过±0.8%。</w:t>
      </w:r>
    </w:p>
    <w:p w14:paraId="65301E2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9、物镜齐焦（以检测报告中数据为准）：10→40X，不超过±0.006mm，10→20X，不超过±0.004mm，40→100X，不超过±0.005mm。</w:t>
      </w:r>
    </w:p>
    <w:p w14:paraId="02019803">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 xml:space="preserve">10、照明系统：宽电压输入；大功率高亮度3W LED，带液晶显示窗口、色温可调，色温可调节范围不小于3000K-7000K，适合不同标本需要；带亮度记忆功能。（投标时需提供实物照片证明或检测报告证明）。 </w:t>
      </w:r>
    </w:p>
    <w:p w14:paraId="12315667">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11、超强续航功能；机身自带Type-C接口，支持充电宝给显微镜供电；机身自带标准USB接口，可以通过显微镜向手机或者平板充电（ 投标时需提供实物照片证明和检测报告证明）。</w:t>
      </w:r>
    </w:p>
    <w:p w14:paraId="09CC6073">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12、智能感应装置：具备ECO智能感应装置，在连续5min-60min（任意设置）无人操作时，自动关闭电源进入待机状态，再次回来可智能开启，节能降耗，更具人性化，避免安全隐患。</w:t>
      </w:r>
    </w:p>
    <w:p w14:paraId="009CDAA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13、机身带搬运手柄，方便便于搬运；机身带收纳仓，便于收纳电源线和充电装置。</w:t>
      </w:r>
    </w:p>
    <w:p w14:paraId="1C7CAEA1">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14、数码成像系统：彩色相机，≥2000万像素数码芯片，芯片靶面尺寸≥1英寸，FPS/分辨率≥15@5440x3648、≥50@2736x1824、≥60@1824x1216，像素：2.4X2.4μm，USB3.0输出。逐行扫描，具有自动曝光、自动白平衡功能。</w:t>
      </w:r>
    </w:p>
    <w:p w14:paraId="7644234A">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16、产品的所采用零部件和生产过程，需对有害物质进行严格控制，符合《电器电子产品有害物质限制使用管理办法》（令第32号）环保要求。 </w:t>
      </w:r>
    </w:p>
    <w:p w14:paraId="2F0ABA31">
      <w:pPr>
        <w:spacing w:line="360" w:lineRule="auto"/>
        <w:rPr>
          <w:rFonts w:hint="eastAsia" w:asciiTheme="minorEastAsia" w:hAnsiTheme="minorEastAsia" w:eastAsiaTheme="minorEastAsia"/>
          <w:sz w:val="24"/>
          <w:szCs w:val="24"/>
          <w:highlight w:val="none"/>
        </w:rPr>
      </w:pPr>
      <w:bookmarkStart w:id="52" w:name="OLE_LINK12"/>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17、显微镜设备管理系统</w:t>
      </w:r>
      <w:bookmarkEnd w:id="52"/>
      <w:r>
        <w:rPr>
          <w:rFonts w:hint="eastAsia" w:asciiTheme="minorEastAsia" w:hAnsiTheme="minorEastAsia" w:eastAsiaTheme="minorEastAsia"/>
          <w:sz w:val="24"/>
          <w:szCs w:val="24"/>
          <w:highlight w:val="none"/>
        </w:rPr>
        <w:t>：显微镜的使用状态可通过手机、电脑等实时查询并采集使用数据，用户可通过手机端APP进行设备的远程电源控制（投标时提供操作截图证明）；后台系统对设备电流、电压的实时监测功能，实现设备使用时长的统计（投标时提供操作截图证明）；设备管理系统支持1-3级授权机制，有助于实验室设备的有序管理与安全使用。</w:t>
      </w:r>
    </w:p>
    <w:p w14:paraId="4995C60A">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18、配套工作站终端：配置不低于：处理器Intel i7-12700，内存：不低于32GB ，硬盘1：不低于1TB SSD+1TB SSD，显卡：不低于4GB独显，网卡：集成千兆网卡x1，操作系统：Win10及以上，显示器：不低 于27寸。</w:t>
      </w:r>
    </w:p>
    <w:p w14:paraId="11DB381D">
      <w:pPr>
        <w:spacing w:line="360" w:lineRule="auto"/>
        <w:rPr>
          <w:rFonts w:hint="eastAsia" w:asciiTheme="minorEastAsia" w:hAnsiTheme="minorEastAsia" w:eastAsiaTheme="minorEastAsia"/>
          <w:sz w:val="24"/>
          <w:szCs w:val="24"/>
          <w:highlight w:val="none"/>
        </w:rPr>
      </w:pPr>
      <w:bookmarkStart w:id="53" w:name="OLE_LINK16"/>
      <w:r>
        <w:rPr>
          <w:rFonts w:hint="eastAsia" w:asciiTheme="minorEastAsia" w:hAnsiTheme="minorEastAsia" w:eastAsiaTheme="minorEastAsia"/>
          <w:sz w:val="24"/>
          <w:szCs w:val="24"/>
          <w:highlight w:val="none"/>
        </w:rPr>
        <w:t>（二）学生数码显微镜</w:t>
      </w:r>
    </w:p>
    <w:bookmarkEnd w:id="53"/>
    <w:p w14:paraId="2204792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1、光学系统：无限远色差校正光学系统，放大倍数：40X-1000X。</w:t>
      </w:r>
    </w:p>
    <w:p w14:paraId="20A8344B">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2、观察筒：内置一体化数码观察筒，≥2000万像素高清数字图像输出，自动曝光、自动/手动白平衡，色彩还原性强，实时数字图像输出。无图像延时，Wi-Fi输出，带RJ45接口。瞳距调节范围不小于47mm～75mm，带目镜锁止功能，学生不能随意插拔目镜，防止丢失或损坏。</w:t>
      </w:r>
    </w:p>
    <w:p w14:paraId="6FEAEF6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3、目镜：自带视度调节的高眼点大视野平场目镜PL10X，线视场≥20mm。</w:t>
      </w:r>
    </w:p>
    <w:p w14:paraId="22EEE0D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4、转换器：内倾式内定位四孔物镜转换器，转换器稳定性（以检测报告中数据为准）≤0.002mm。</w:t>
      </w:r>
    </w:p>
    <w:p w14:paraId="4134685B">
      <w:pPr>
        <w:spacing w:line="360" w:lineRule="auto"/>
        <w:rPr>
          <w:rFonts w:hint="eastAsia" w:asciiTheme="minorEastAsia" w:hAnsiTheme="minorEastAsia" w:eastAsiaTheme="minorEastAsia"/>
          <w:sz w:val="24"/>
          <w:szCs w:val="24"/>
          <w:highlight w:val="none"/>
        </w:rPr>
      </w:pPr>
      <w:bookmarkStart w:id="54" w:name="OLE_LINK13"/>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5、物镜：</w:t>
      </w:r>
      <w:bookmarkEnd w:id="54"/>
      <w:r>
        <w:rPr>
          <w:rFonts w:hint="eastAsia" w:asciiTheme="minorEastAsia" w:hAnsiTheme="minorEastAsia" w:eastAsiaTheme="minorEastAsia"/>
          <w:sz w:val="24"/>
          <w:szCs w:val="24"/>
          <w:highlight w:val="none"/>
        </w:rPr>
        <w:t>无限远平场消色差物镜:4X/NA≥0.1/WD≥15mm，10X/NA≥0.25/WD≥10.8mm，40X（S）/NA≥0.65/WD≥0.8mm，100X(S、O)/NA≥1.25/WD≥0.21mm；物镜清晰圆直径（以检测报告中数据为准）：4X物镜≥18.5mm、10X物镜≥18.3mm、40X物镜≥18.1mm、100X物镜≥18.2mm；物镜放大率准确度误差范围（以检测报告中数据为准）不超过±0.9%。</w:t>
      </w:r>
    </w:p>
    <w:p w14:paraId="1294332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6、物镜齐焦（以检测报告中数据为准）：10→4倍 不超过0.014mm，10→40倍 不超过0.008mm，40→100倍 不超过0.006mm。</w:t>
      </w:r>
    </w:p>
    <w:p w14:paraId="5A7ABBE0">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7、调焦机构：粗微同轴调焦，粗调行程≥25mm；微调精度0.002mm；带粗调松紧调节装置，可调节粗调手轮的扭矩；带可调节上限位装置，有效保护切片和物镜不受损坏。</w:t>
      </w:r>
    </w:p>
    <w:p w14:paraId="31866B60">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8、载物台：双层机械移动平台，面积≥150*140mm，移动范围：76mmX50mm。 片夹可同时加持两块切片，方便对比观察。载物台侧向受5N水平方向作用力的最大位移（以检测报告中数据为准）≤0.014mm， 载物台侧向受5N水平方向作用力的不重复性（以检测报告中数据为准）≤0.002mm。</w:t>
      </w:r>
    </w:p>
    <w:p w14:paraId="0CD2040A">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9、聚光镜：复眼照明聚光镜，数值孔径N.A.1.25，齿轮齿条升降，带可变孔径光栏，带暗场、相差附件插口。显微镜视场中心亮度与四个角亮度均值偏差控制在10个灰度值以内（以检测报告中数据为准）。</w:t>
      </w:r>
    </w:p>
    <w:p w14:paraId="6FF1B604">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10、照明系统：柯拉照明，100V-240V 宽电压输入；单颗3W高亮度LED照明，预定中心，亮度连续可调，电源开关与光源亮度调节独立设计，有效延长和保护灯泡的使用寿命。相机由显微镜机身供电，整个机身一根电源线供电。</w:t>
      </w:r>
    </w:p>
    <w:p w14:paraId="26E0B51C">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11、机身带收纳盒，便于收纳电源线、充电装置、工具、镜油等物品，以免丢失同时保持桌面整洁。</w:t>
      </w:r>
    </w:p>
    <w:p w14:paraId="1590BE2E">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13、产品的所采用零部件和生产过程，需对有害物质进行严格控制，符合《电器电子产品有害物质限制使用管理办法》（令第32号）环保要求。 </w:t>
      </w:r>
    </w:p>
    <w:p w14:paraId="6CDC975E">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智能终端：播（教师端可通过网络给学生端发送选择广播协议，学生可以根据自己实际需要，选择或拒绝广播），除此之外，也可以选择黑屏肃静(方便教师端进行肃静)，广播黑屏肃静可以选择指定人员并可修改提示语句。</w:t>
      </w:r>
    </w:p>
    <w:p w14:paraId="65A7D4E0">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5、实时监看功能：具有学生屏幕、宏观观察、微观观察等多种监看模式。微观观察可以同步观察学生镜下图像；宏观观察可直接调用学生端摄像头，实时监看学生实验过程 , 并记录实验步骤。学生屏幕可实时查看学生端使用设备的当前屏幕情况，方便教学管理。监看模式可随意切换≥10.5英寸液晶显示器，运行内存≥6GB，存储内存≥128GB，分辨率大于等于1920*1200，前置/后置摄像头像素均≥800万像素，处理器：八核，带支架。</w:t>
      </w:r>
    </w:p>
    <w:p w14:paraId="729E8C9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（三）显微互动教学系统软件</w:t>
      </w:r>
    </w:p>
    <w:p w14:paraId="47842FF5">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全无线架构，稳定性好、传输效率高；教师监看学生动态图像无延迟，支持远程全分辨率拍照，支持微观观察、宏观观察。可支持≥60个学生端同时在线。安装方便，学生端使用手机或平板电脑扫描二维码即可自行安装App软件。</w:t>
      </w:r>
    </w:p>
    <w:p w14:paraId="35309F59">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2、多平台支持，教师端支持windows操作系统，同时教师端支持接入平板进行移动式的互动教学。学生端同时支持Android/IOS/Windows系统。通过手机/平板/电脑各种终端即可实现实验教学。</w:t>
      </w:r>
    </w:p>
    <w:p w14:paraId="255DEEE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3、多语教学功能：可以中英文等多语教学，一键切换。</w:t>
      </w:r>
    </w:p>
    <w:p w14:paraId="1FA2D808">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广播推送功能：教师端可以将自己的计算机屏幕内容广播至所有学生端，进行同屏讲解。可以强制广播（教师端可通过网络给学生端发送强制广播，学生程序进入局域网后，必须进入广播接收状态，无法手动退出）也可以选择广。拥有1x2，2x2，3x3，4x4多种不同的窗口监看模式，一键切换，随意分页。也可根据学生数量自定义设置行和列，比如 5*6、4*8、5*8 等画面进行监看，确保在一个屏幕上监看所有学生画面。可选择某个学生的显微镜下图像进行一键放大监看。</w:t>
      </w:r>
    </w:p>
    <w:p w14:paraId="454662A7">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5、实时监看功能：具有学生屏幕、宏观观察、微观观察等多种监看模式。微观观察可以同步观察学生镜下图像；宏观观察可直接调用学生端摄像头，实时监看学生实验过程 , 并记录实验步骤。学生屏幕可实时查看学生端使用设备的当前屏幕情况，方便教学管理。监看模式可随意切换。拥有1x2，2x2，3x3，4x4多种不同的窗口监看模式，一键切换，随意分页。也可根据学生数量自定义设置行和列，比如 5*6、4*8、5*8 等画面进行监看，确保在一个屏幕上监看所有学生画面。可选择某个学生的显微镜下图像进行一键放大监看。</w:t>
      </w:r>
    </w:p>
    <w:p w14:paraId="38437FE7">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6、移动教学功能：教师端可通过平板电脑进行整套数码互动软件功能的控制，包含广播教学、监看、教师图像、数字切片、实验记录、课堂练习等功能，可实现教师在教室内的移动教学，不用长时间坐在电脑前进行操作，更具人性化。</w:t>
      </w:r>
    </w:p>
    <w:p w14:paraId="108E9597">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7、激光笔功能：学生终端能够实时绘制、标记图像，并实时同步反馈到教师端互动软件，教师可观察。</w:t>
      </w:r>
    </w:p>
    <w:p w14:paraId="490D7F12">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8、重力感应功能：学生移动终端横屏显示实时图像，竖屏显示双画面图像（双画面图像一半为显微镜下动态实时图像，一半为显微镜下静态已拍照图像）。</w:t>
      </w:r>
    </w:p>
    <w:p w14:paraId="25D0BEBE">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9、学生举手功能：满足学生端互动举手，教师端能快速检测定位到举手学生及显微镜，实时调取学生显微镜画面功能。</w:t>
      </w:r>
    </w:p>
    <w:p w14:paraId="54323366">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10、分组讨论功能：具备老师预设班级学生为若干讨论组，在学生信息导入时完成分组工作，并为每个讨论组发起讨论主题的功能，支持不同讨论组学生在组内自由讨论，并实时统计不同学生的活跃程度；老师可参与不同讨论组的讨论，查看成员组成及统计活跃度，多次分组讨论成绩可以一次性查询和导出。</w:t>
      </w:r>
    </w:p>
    <w:p w14:paraId="24EAA89F">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11、实验报告功能:满足可定制数字化实验报告作业系统，能进行显微真实画面插入、学生生物绘图拍照上传贴图，支持实验报告导出，教师可实时打分并记录进数据库。（投标时需展示后台数据库界面截图）</w:t>
      </w:r>
    </w:p>
    <w:p w14:paraId="5953AA10">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12、状态显示功能：教师端可可实时显示学生连接状态（连接数/总数）、微观连接状态（连接数/总数）、宏观连接状态（连接数/总数）、疑问学生状态、未读消息数。</w:t>
      </w:r>
    </w:p>
    <w:p w14:paraId="79AFFA88">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13、用户管理功能：一键导入（新增）老师、学生名单功能，支持管理员账号关联老师、学生、课程。可满足用户登录对数据库登录信息进行校验核对，权限分配（管理员账号、教师账号的权限内容差异）、课程分配（在选择不同老师时，对应课程不一样）等功能。</w:t>
      </w:r>
    </w:p>
    <w:p w14:paraId="6F2B21A0">
      <w:pPr>
        <w:spacing w:line="360" w:lineRule="auto"/>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14、数据库存储功能：满足系统学生报告、成绩、实验过程中的捕获的图片数据、登录信息等均采用数据库结构存储功能，展示后台数据库内容。 满足作业成绩等关键数据一键备份导出及成绩汇总功能。</w:t>
      </w:r>
    </w:p>
    <w:p w14:paraId="64B5D874">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15、学生端控制软件功能：①具有微观观察、宏观观察、广播教学、即时通讯、实验记录、课堂练习等六大学习模块。②微观观察（指显微镜下）：可实时获取最高清镜下图片，记录课堂重要内容。可实时进行图像的拍照、录像等，也可对图像进行实时测量、标记、自动白平衡等。③宏观观察：可调动手机/平板摄像头，记录实验步骤，便于教师指导实验过程。④广播教学：具有听课效果实时反馈系统，学生端可实时接收到教师的广播内容，提高教学效率。⑤即时通讯：迅速、无障碍的与教师进行交流，支持断点续传功能。⑥实验记录：可支持显微真实画面插入、学生生物绘图拍照上传贴图。⑦课堂练习：可在线进行随堂测试、考试等，帮助学生巩固复习知识点。</w:t>
      </w:r>
    </w:p>
    <w:p w14:paraId="2F3DD88C">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16、正版软件，投标时出具的国家版权局出具的知识产权证明材料，与所投显微镜同一品牌，避免后续出现软硬件不兼容的问题出现。</w:t>
      </w:r>
    </w:p>
    <w:p w14:paraId="72A936BE">
      <w:pPr>
        <w:spacing w:line="360" w:lineRule="auto"/>
        <w:rPr>
          <w:rFonts w:hint="eastAsia" w:asciiTheme="minorEastAsia" w:hAnsiTheme="minorEastAsia" w:eastAsiaTheme="minorEastAsia"/>
          <w:sz w:val="24"/>
          <w:szCs w:val="24"/>
          <w:highlight w:val="none"/>
        </w:rPr>
      </w:pPr>
      <w:bookmarkStart w:id="55" w:name="OLE_LINK17"/>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17、投标时出具符合国家标准的整套互动教学系统</w:t>
      </w:r>
      <w:bookmarkEnd w:id="55"/>
      <w:r>
        <w:rPr>
          <w:rFonts w:hint="eastAsia" w:asciiTheme="minorEastAsia" w:hAnsiTheme="minorEastAsia" w:eastAsiaTheme="minorEastAsia"/>
          <w:sz w:val="24"/>
          <w:szCs w:val="24"/>
          <w:highlight w:val="none"/>
        </w:rPr>
        <w:t>（软件+硬件）产品检测报告（提供复印件加盖公章）。</w:t>
      </w:r>
      <w:r>
        <w:rPr>
          <w:rFonts w:hint="eastAsia" w:asciiTheme="minorEastAsia" w:hAnsiTheme="minorEastAsia" w:eastAsiaTheme="minorEastAsia"/>
          <w:sz w:val="24"/>
          <w:szCs w:val="24"/>
          <w:highlight w:val="none"/>
        </w:rPr>
        <w:t xml:space="preserve"> </w:t>
      </w:r>
    </w:p>
    <w:p w14:paraId="60A6069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（四）教师端实验桌椅 </w:t>
      </w:r>
    </w:p>
    <w:p w14:paraId="5C57BA8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教师主控桌：优质密度板材料；厚PVC封边条封边，含抽屉、键盘屉、主机柜、物品柜等，尺寸约：≥1800*800*750(mm)；可升降的高档办公椅。</w:t>
      </w:r>
    </w:p>
    <w:p w14:paraId="2C9BA78F">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（五）学生端实验桌椅</w:t>
      </w:r>
    </w:p>
    <w:p w14:paraId="6A77DC9B">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学生实验桌：优质密度板材料，厚PVC封边条封边，带抽屉带储物柜，尺寸约800*600*750（mm)；旋转可升降实验凳。</w:t>
      </w:r>
    </w:p>
    <w:p w14:paraId="13572757">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（六）系统集成</w:t>
      </w:r>
    </w:p>
    <w:p w14:paraId="118CDFD8">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1、高性能无线路由器、路由控制器。</w:t>
      </w:r>
    </w:p>
    <w:p w14:paraId="64740D86">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2、布线：DN25阻燃线管，2.5平方国标线材，符合国家标准。</w:t>
      </w:r>
    </w:p>
    <w:p w14:paraId="5337C663">
      <w:pPr>
        <w:spacing w:line="360" w:lineRule="auto"/>
        <w:rPr>
          <w:rFonts w:hint="eastAsia" w:asciiTheme="minorEastAsia" w:hAnsiTheme="minorEastAsia" w:eastAsiaTheme="minorEastAsia"/>
          <w:sz w:val="24"/>
          <w:szCs w:val="24"/>
          <w:highlight w:val="none"/>
        </w:rPr>
      </w:pPr>
    </w:p>
    <w:p w14:paraId="1DC2B5B5">
      <w:pP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品名</w:t>
      </w:r>
      <w:r>
        <w:rPr>
          <w:rFonts w:asciiTheme="minorEastAsia" w:hAnsiTheme="minorEastAsia" w:eastAsiaTheme="minorEastAsia"/>
          <w:b/>
          <w:bCs/>
          <w:sz w:val="24"/>
          <w:szCs w:val="24"/>
          <w:highlight w:val="none"/>
        </w:rPr>
        <w:t xml:space="preserve">6 </w:t>
      </w:r>
      <w:r>
        <w:rPr>
          <w:rFonts w:hint="eastAsia" w:cs="Arial" w:asciiTheme="minorEastAsia" w:hAnsiTheme="minorEastAsia" w:eastAsiaTheme="minorEastAsia"/>
          <w:kern w:val="0"/>
          <w:sz w:val="24"/>
          <w:szCs w:val="24"/>
          <w:highlight w:val="none"/>
        </w:rPr>
        <w:t>大动物影像设备</w:t>
      </w:r>
    </w:p>
    <w:p w14:paraId="51C1B041">
      <w:pPr>
        <w:adjustRightInd w:val="0"/>
        <w:snapToGrid w:val="0"/>
        <w:spacing w:line="360" w:lineRule="auto"/>
        <w:jc w:val="left"/>
        <w:rPr>
          <w:rFonts w:hint="eastAsia" w:asciiTheme="minorEastAsia" w:hAnsiTheme="minorEastAsia" w:eastAsiaTheme="minorEastAsia"/>
          <w:b/>
          <w:bCs/>
          <w:sz w:val="24"/>
          <w:szCs w:val="24"/>
          <w:highlight w:val="none"/>
        </w:rPr>
      </w:pPr>
      <w:bookmarkStart w:id="56" w:name="OLE_LINK28"/>
      <w:r>
        <w:rPr>
          <w:rFonts w:hint="eastAsia" w:asciiTheme="minorEastAsia" w:hAnsiTheme="minorEastAsia" w:eastAsiaTheme="minorEastAsia"/>
          <w:b/>
          <w:bCs/>
          <w:sz w:val="24"/>
          <w:szCs w:val="24"/>
          <w:highlight w:val="none"/>
        </w:rPr>
        <w:t>一、X光机参数</w:t>
      </w:r>
    </w:p>
    <w:bookmarkEnd w:id="56"/>
    <w:p w14:paraId="0E937CBE">
      <w:pPr>
        <w:adjustRightInd w:val="0"/>
        <w:snapToGrid w:val="0"/>
        <w:spacing w:line="360" w:lineRule="auto"/>
        <w:jc w:val="left"/>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（一）X光机射线源</w:t>
      </w:r>
    </w:p>
    <w:p w14:paraId="4B25314E">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 电气与电源</w:t>
      </w:r>
    </w:p>
    <w:p w14:paraId="6CE16496">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电池类型：直流供电</w:t>
      </w:r>
    </w:p>
    <w:p w14:paraId="1DDCB3DF">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57" w:name="OLE_LINK41"/>
      <w:r>
        <w:rPr>
          <w:rFonts w:hint="eastAsia" w:asciiTheme="minorEastAsia" w:hAnsiTheme="minorEastAsia" w:eastAsiaTheme="minorEastAsia"/>
          <w:sz w:val="24"/>
          <w:szCs w:val="24"/>
          <w:highlight w:val="none"/>
        </w:rPr>
        <w:t>电池容量：≥2600 mAh</w:t>
      </w:r>
      <w:bookmarkEnd w:id="57"/>
      <w:r>
        <w:rPr>
          <w:rFonts w:hint="eastAsia" w:asciiTheme="minorEastAsia" w:hAnsiTheme="minorEastAsia" w:eastAsiaTheme="minorEastAsia"/>
          <w:sz w:val="24"/>
          <w:szCs w:val="24"/>
          <w:highlight w:val="none"/>
        </w:rPr>
        <w:t>锂离子聚合物电池，容量满足现场连续作业需求</w:t>
      </w:r>
    </w:p>
    <w:p w14:paraId="36ED42B6">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充电器输入：100</w:t>
      </w:r>
      <w:r>
        <w:rPr>
          <w:rFonts w:hint="eastAsia" w:cs="微软雅黑"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240 V~，50/60 Hz，宽幅市电兼容</w:t>
      </w:r>
    </w:p>
    <w:p w14:paraId="47250BA5">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充电器输出：满足电池安全充电要求</w:t>
      </w:r>
    </w:p>
    <w:p w14:paraId="733C9660">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充电时间：≤4小时</w:t>
      </w:r>
    </w:p>
    <w:p w14:paraId="7661CE1E">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 辐射与成像参数</w:t>
      </w:r>
    </w:p>
    <w:p w14:paraId="212D4ECF">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管电压 (kV) 可调范围：40kV～90kV</w:t>
      </w:r>
    </w:p>
    <w:p w14:paraId="6235230E">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管电流时间积 (mAs) 可调范围：≥0.32mAs</w:t>
      </w:r>
    </w:p>
    <w:p w14:paraId="2B8EB15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焦点皮肤最小距离：≥45 cm</w:t>
      </w:r>
    </w:p>
    <w:p w14:paraId="1C364DF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曝光控制：双程手动开关、具备灯丝预热延迟功能</w:t>
      </w:r>
    </w:p>
    <w:p w14:paraId="6A59E421">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记忆存储数量：支持多段常用曝光参数存储模式</w:t>
      </w:r>
    </w:p>
    <w:p w14:paraId="1591B94E">
      <w:pPr>
        <w:numPr>
          <w:ilvl w:val="0"/>
          <w:numId w:val="7"/>
        </w:num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球管</w:t>
      </w:r>
    </w:p>
    <w:p w14:paraId="127EADB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58" w:name="OLE_LINK18"/>
      <w:r>
        <w:rPr>
          <w:rFonts w:hint="eastAsia" w:asciiTheme="minorEastAsia" w:hAnsiTheme="minorEastAsia" w:eastAsiaTheme="minorEastAsia"/>
          <w:sz w:val="24"/>
          <w:szCs w:val="24"/>
          <w:highlight w:val="none"/>
        </w:rPr>
        <w:t>焦点尺寸：1.2*1.2mm</w:t>
      </w:r>
    </w:p>
    <w:bookmarkEnd w:id="58"/>
    <w:p w14:paraId="20DB312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59" w:name="OLE_LINK19"/>
      <w:r>
        <w:rPr>
          <w:rFonts w:hint="eastAsia" w:asciiTheme="minorEastAsia" w:hAnsiTheme="minorEastAsia" w:eastAsiaTheme="minorEastAsia"/>
          <w:sz w:val="24"/>
          <w:szCs w:val="24"/>
          <w:highlight w:val="none"/>
        </w:rPr>
        <w:t>阳极靶角：19°</w:t>
      </w:r>
    </w:p>
    <w:bookmarkEnd w:id="59"/>
    <w:p w14:paraId="13F97FAF">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60" w:name="OLE_LINK21"/>
      <w:r>
        <w:rPr>
          <w:rFonts w:hint="eastAsia" w:asciiTheme="minorEastAsia" w:hAnsiTheme="minorEastAsia" w:eastAsiaTheme="minorEastAsia"/>
          <w:sz w:val="24"/>
          <w:szCs w:val="24"/>
          <w:highlight w:val="none"/>
        </w:rPr>
        <w:t>阳极蓄热：≥9KJ</w:t>
      </w:r>
    </w:p>
    <w:bookmarkEnd w:id="60"/>
    <w:p w14:paraId="65A4203C">
      <w:pPr>
        <w:numPr>
          <w:ilvl w:val="0"/>
          <w:numId w:val="7"/>
        </w:num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结构与定位</w:t>
      </w:r>
    </w:p>
    <w:p w14:paraId="64757875">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准直器：带刻度 SID 设定、视野限束、自动关灯功能</w:t>
      </w:r>
    </w:p>
    <w:p w14:paraId="099B187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61" w:name="OLE_LINK22"/>
      <w:r>
        <w:rPr>
          <w:rFonts w:hint="eastAsia" w:asciiTheme="minorEastAsia" w:hAnsiTheme="minorEastAsia" w:eastAsiaTheme="minorEastAsia"/>
          <w:sz w:val="24"/>
          <w:szCs w:val="24"/>
          <w:highlight w:val="none"/>
        </w:rPr>
        <w:t>激光定位：双激光模块，支持 SID 瞄准</w:t>
      </w:r>
    </w:p>
    <w:bookmarkEnd w:id="61"/>
    <w:p w14:paraId="1E065FA7">
      <w:pPr>
        <w:numPr>
          <w:ilvl w:val="0"/>
          <w:numId w:val="7"/>
        </w:num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防护</w:t>
      </w:r>
    </w:p>
    <w:p w14:paraId="75905C03">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安全防护：具备防触电接地、激光护眼、X 射线辐射防护、电池过热保护等多重安全防护</w:t>
      </w:r>
    </w:p>
    <w:p w14:paraId="3E26D0D5">
      <w:pPr>
        <w:adjustRightInd w:val="0"/>
        <w:snapToGrid w:val="0"/>
        <w:spacing w:line="360" w:lineRule="auto"/>
        <w:jc w:val="left"/>
        <w:rPr>
          <w:rFonts w:hint="eastAsia" w:asciiTheme="minorEastAsia" w:hAnsiTheme="minorEastAsia" w:eastAsiaTheme="minorEastAsia"/>
          <w:b/>
          <w:bCs/>
          <w:sz w:val="24"/>
          <w:szCs w:val="24"/>
          <w:highlight w:val="none"/>
        </w:rPr>
      </w:pPr>
      <w:bookmarkStart w:id="62" w:name="OLE_LINK23"/>
      <w:r>
        <w:rPr>
          <w:rFonts w:hint="eastAsia" w:asciiTheme="minorEastAsia" w:hAnsiTheme="minorEastAsia" w:eastAsiaTheme="minorEastAsia"/>
          <w:b/>
          <w:bCs/>
          <w:sz w:val="24"/>
          <w:szCs w:val="24"/>
          <w:highlight w:val="none"/>
        </w:rPr>
        <w:t>（二）X光机平板探测器：</w:t>
      </w:r>
    </w:p>
    <w:bookmarkEnd w:id="62"/>
    <w:p w14:paraId="72264B06">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探测器材料：非晶硅，闪烁体采用 CsI</w:t>
      </w:r>
    </w:p>
    <w:p w14:paraId="4219289B">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A/D转换：16bit</w:t>
      </w:r>
    </w:p>
    <w:p w14:paraId="5A378CDC">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有效成像区域：≥10inch×12inch</w:t>
      </w:r>
    </w:p>
    <w:p w14:paraId="2023C9DC">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采集矩阵：2502 x3152像素</w:t>
      </w:r>
    </w:p>
    <w:p w14:paraId="1803D304">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像素尺寸：≤110μm</w:t>
      </w:r>
    </w:p>
    <w:p w14:paraId="65C30EFA">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出图时间：≤5 秒</w:t>
      </w:r>
    </w:p>
    <w:p w14:paraId="07227473">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宋体" w:hAnsi="宋体" w:eastAsiaTheme="minorEastAsia"/>
          <w:sz w:val="24"/>
          <w:szCs w:val="24"/>
          <w:highlight w:val="none"/>
        </w:rPr>
        <w:t>★</w:t>
      </w:r>
      <w:r>
        <w:rPr>
          <w:rFonts w:hint="eastAsia" w:asciiTheme="minorEastAsia" w:hAnsiTheme="minorEastAsia" w:eastAsiaTheme="minorEastAsia"/>
          <w:sz w:val="24"/>
          <w:szCs w:val="24"/>
          <w:highlight w:val="none"/>
        </w:rPr>
        <w:t>空间分辨率：≥4.3LP/mm</w:t>
      </w:r>
    </w:p>
    <w:p w14:paraId="4FDA1B45">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电池使用时间：≥7.5h</w:t>
      </w:r>
    </w:p>
    <w:p w14:paraId="7D550872">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防水等级：≥IPX5</w:t>
      </w:r>
    </w:p>
    <w:p w14:paraId="4231EA36">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工作环境：10-35℃  </w:t>
      </w:r>
    </w:p>
    <w:p w14:paraId="0FF2E992">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触发方式：AED/软触发</w:t>
      </w:r>
    </w:p>
    <w:p w14:paraId="74F7323E">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跌落：70cm@3mm PVC</w:t>
      </w:r>
    </w:p>
    <w:p w14:paraId="4A4F7B2B">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bookmarkStart w:id="63" w:name="OLE_LINK25"/>
      <w:r>
        <w:rPr>
          <w:rFonts w:hint="eastAsia" w:asciiTheme="minorEastAsia" w:hAnsiTheme="minorEastAsia" w:eastAsiaTheme="minorEastAsia"/>
          <w:sz w:val="24"/>
          <w:szCs w:val="24"/>
          <w:highlight w:val="none"/>
        </w:rPr>
        <w:t>无线传输：2.4G+5G 双频段无线传输</w:t>
      </w:r>
    </w:p>
    <w:bookmarkEnd w:id="63"/>
    <w:p w14:paraId="66350A31">
      <w:pPr>
        <w:adjustRightInd w:val="0"/>
        <w:snapToGrid w:val="0"/>
        <w:spacing w:line="360" w:lineRule="auto"/>
        <w:jc w:val="left"/>
        <w:rPr>
          <w:rFonts w:hint="eastAsia" w:asciiTheme="minorEastAsia" w:hAnsiTheme="minorEastAsia" w:eastAsiaTheme="minorEastAsia"/>
          <w:b/>
          <w:bCs/>
          <w:sz w:val="24"/>
          <w:szCs w:val="24"/>
          <w:highlight w:val="none"/>
        </w:rPr>
      </w:pPr>
      <w:bookmarkStart w:id="64" w:name="OLE_LINK26"/>
      <w:r>
        <w:rPr>
          <w:rFonts w:hint="eastAsia" w:asciiTheme="minorEastAsia" w:hAnsiTheme="minorEastAsia" w:eastAsiaTheme="minorEastAsia"/>
          <w:b/>
          <w:bCs/>
          <w:sz w:val="24"/>
          <w:szCs w:val="24"/>
          <w:highlight w:val="none"/>
        </w:rPr>
        <w:t>（三）X光机系统</w:t>
      </w:r>
    </w:p>
    <w:bookmarkEnd w:id="64"/>
    <w:p w14:paraId="1BD4F762">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1、计算机系统</w:t>
      </w:r>
    </w:p>
    <w:p w14:paraId="54232E90">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仪器显示与操作端配套设施：满足设备运行与影像处理需求的计算机、显示、存储及输出配套设备，符合国家通用计算机设备标准。</w:t>
      </w:r>
    </w:p>
    <w:p w14:paraId="64BE1A7C">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2、工作站软件</w:t>
      </w:r>
      <w:r>
        <w:rPr>
          <w:rFonts w:hint="eastAsia" w:asciiTheme="minorEastAsia" w:hAnsiTheme="minorEastAsia" w:eastAsiaTheme="minorEastAsia"/>
          <w:sz w:val="24"/>
          <w:szCs w:val="24"/>
          <w:highlight w:val="none"/>
        </w:rPr>
        <w:tab/>
      </w:r>
    </w:p>
    <w:p w14:paraId="6C0AEE85">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登记：常规登记、紧急登记、增加协议、增加项目、清空信息、开始检查；</w:t>
      </w:r>
    </w:p>
    <w:p w14:paraId="7A6D5E99">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工作列表：列表信息、待检查病人搜索、待检查列表刷新、删除检查、显示列设置。开始检查、紧急登记；</w:t>
      </w:r>
    </w:p>
    <w:p w14:paraId="50D2FE34">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检查列表：列表信息、已检查病人显示与搜索、删除图像、图像存储、光盘刻录、增加项目、显示列设置、修改检查信息；</w:t>
      </w:r>
    </w:p>
    <w:p w14:paraId="496EFD03">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摄影参数设置：曝光模式、帧率设置、kVp、mA、ms、mAs、AEC、焦点选择；</w:t>
      </w:r>
    </w:p>
    <w:p w14:paraId="41ED3A0D">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透视参数设置：曝光模式、帧率设置、kVp、mA、ABS、时间清零；</w:t>
      </w:r>
    </w:p>
    <w:p w14:paraId="44D8D605">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浏览工具：放缩、水平翻转、垂直翻转、左转90度、右转90度、放大、缩小、原始尺寸、移动图像、反色、自适应大小、ROI放大镜、放大镜、默认窗宽窗位、感兴趣区窗宽窗位、可视窗宽窗位、点灰度值、高级处理、椭圆灰度测量；</w:t>
      </w:r>
    </w:p>
    <w:p w14:paraId="4D975ABA">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测量工具：箭头、心胸比（CTR）、距离测量、角度测量、脊柱测量；</w:t>
      </w:r>
    </w:p>
    <w:p w14:paraId="42807467">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系统工具：文本标记、前体位标记、左标记、右标记、圆形裁剪、删除图像、删除工具；报错复位、曝光指示、全屏、保存当前图像、打印。</w:t>
      </w:r>
    </w:p>
    <w:p w14:paraId="54FE5D4C">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报告编辑：患者信息显示及编辑、拍摄图像选择、报告内容模板选择、报告描述、报告结论、报告描述+结论、编辑知识库、报告医生、审核医生、报告时间、打印模板、设置、保存报告；</w:t>
      </w:r>
    </w:p>
    <w:p w14:paraId="3D4E0A32">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报告打印：快速打印、打印报告</w:t>
      </w:r>
    </w:p>
    <w:p w14:paraId="75E9F4FB">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图像归档、刻录、打印：删除图像、图像存储、浏览图像、报告、Lock/Unlock、存储队列、打印队列；</w:t>
      </w:r>
    </w:p>
    <w:p w14:paraId="2B6832B4">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光盘刻录：卷标、保存设置、文件压缩、文件结构；</w:t>
      </w:r>
    </w:p>
    <w:p w14:paraId="576DDE0F">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打印：Dicom打印机、本地打印机</w:t>
      </w:r>
    </w:p>
    <w:p w14:paraId="2CECC7E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系统设置：系统、注释信息、工具、其他；</w:t>
      </w:r>
    </w:p>
    <w:p w14:paraId="12BDDCAF">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硬件配置：Syncbox、高压、探测器、Collimator、DAP；</w:t>
      </w:r>
    </w:p>
    <w:p w14:paraId="18C7F168">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网络配置：Local、工作列表、Netstore、Local Store、打印；</w:t>
      </w:r>
    </w:p>
    <w:p w14:paraId="4984CF5D">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检查管理：基本信息、摆位信息、硬件参数、图像处理、检查协议；</w:t>
      </w:r>
    </w:p>
    <w:p w14:paraId="0713FF8D">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质量管理：查找、系统管理；</w:t>
      </w:r>
    </w:p>
    <w:p w14:paraId="43A2D763">
      <w:pPr>
        <w:adjustRightInd w:val="0"/>
        <w:snapToGrid w:val="0"/>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用户管理：增加、更新、删除、权限。</w:t>
      </w:r>
    </w:p>
    <w:p w14:paraId="0E22283D">
      <w:pPr>
        <w:adjustRightInd w:val="0"/>
        <w:snapToGrid w:val="0"/>
        <w:spacing w:line="360" w:lineRule="auto"/>
        <w:ind w:firstLine="720" w:firstLineChars="300"/>
        <w:jc w:val="left"/>
        <w:rPr>
          <w:rFonts w:hint="eastAsia" w:asciiTheme="minorEastAsia" w:hAnsiTheme="minorEastAsia" w:eastAsiaTheme="minorEastAsia"/>
          <w:sz w:val="24"/>
          <w:szCs w:val="24"/>
          <w:highlight w:val="none"/>
        </w:rPr>
      </w:pPr>
      <w:bookmarkStart w:id="65" w:name="OLE_LINK27"/>
      <w:r>
        <w:rPr>
          <w:rFonts w:hint="eastAsia" w:asciiTheme="minorEastAsia" w:hAnsiTheme="minorEastAsia" w:eastAsiaTheme="minorEastAsia"/>
          <w:sz w:val="24"/>
          <w:szCs w:val="24"/>
          <w:highlight w:val="none"/>
        </w:rPr>
        <w:t>集成兽用高级工具HIP，TPLO，TTA，VHS等。</w:t>
      </w:r>
    </w:p>
    <w:bookmarkEnd w:id="65"/>
    <w:p w14:paraId="4F6E62A2">
      <w:pP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二、D</w:t>
      </w:r>
      <w:r>
        <w:rPr>
          <w:rFonts w:asciiTheme="minorEastAsia" w:hAnsiTheme="minorEastAsia" w:eastAsiaTheme="minorEastAsia"/>
          <w:b/>
          <w:bCs/>
          <w:sz w:val="24"/>
          <w:szCs w:val="24"/>
          <w:highlight w:val="none"/>
        </w:rPr>
        <w:t>R</w:t>
      </w:r>
      <w:r>
        <w:rPr>
          <w:rFonts w:hint="eastAsia" w:asciiTheme="minorEastAsia" w:hAnsiTheme="minorEastAsia" w:eastAsiaTheme="minorEastAsia"/>
          <w:b/>
          <w:bCs/>
          <w:sz w:val="24"/>
          <w:szCs w:val="24"/>
          <w:highlight w:val="none"/>
        </w:rPr>
        <w:t>技术参数</w:t>
      </w:r>
    </w:p>
    <w:p w14:paraId="58CABCB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1、高压发生器</w:t>
      </w:r>
    </w:p>
    <w:p w14:paraId="74B6867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标称功率：≥80kW</w:t>
      </w:r>
    </w:p>
    <w:p w14:paraId="1951F9E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管电压：40～150kV（步长 1kV）</w:t>
      </w:r>
    </w:p>
    <w:p w14:paraId="78EC9E8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管电流：10mA～1000mA</w:t>
      </w:r>
    </w:p>
    <w:p w14:paraId="288AA72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电流时间积：0.1～1000mAs</w:t>
      </w:r>
    </w:p>
    <w:p w14:paraId="6A3BD57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逆变输出频率：≥500kHz</w:t>
      </w:r>
    </w:p>
    <w:p w14:paraId="147A177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电源：三相 380-480VAC 自适应，容量≥105kVA</w:t>
      </w:r>
    </w:p>
    <w:p w14:paraId="2AE22DA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66" w:name="OLE_LINK29"/>
      <w:r>
        <w:rPr>
          <w:rFonts w:hint="eastAsia" w:cs="仿宋_GB2312" w:asciiTheme="minorEastAsia" w:hAnsiTheme="minorEastAsia" w:eastAsiaTheme="minorEastAsia"/>
          <w:sz w:val="24"/>
          <w:szCs w:val="24"/>
          <w:highlight w:val="none"/>
        </w:rPr>
        <w:t>辅助电源参数：100-120VAC或208-240VAC ±10%,单相</w:t>
      </w:r>
    </w:p>
    <w:bookmarkEnd w:id="66"/>
    <w:p w14:paraId="41FD62B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2、X 射线源组件</w:t>
      </w:r>
    </w:p>
    <w:p w14:paraId="30BFD4A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焦点：0.6mm/1.2mm 双焦点</w:t>
      </w:r>
    </w:p>
    <w:p w14:paraId="4A4EC96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阳极热容量：≥283KJ（400kHU）</w:t>
      </w:r>
    </w:p>
    <w:p w14:paraId="4B91B5C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组件热容量：≥1000 KJ(1350 kHU)</w:t>
      </w:r>
    </w:p>
    <w:p w14:paraId="2FF898E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ascii="宋体" w:hAnsi="宋体" w:cs="宋体" w:eastAsiaTheme="minorEastAsia"/>
          <w:sz w:val="24"/>
          <w:szCs w:val="24"/>
          <w:highlight w:val="none"/>
        </w:rPr>
        <w:t>★</w:t>
      </w:r>
      <w:r>
        <w:rPr>
          <w:rFonts w:hint="eastAsia" w:cs="仿宋_GB2312" w:asciiTheme="minorEastAsia" w:hAnsiTheme="minorEastAsia" w:eastAsiaTheme="minorEastAsia"/>
          <w:sz w:val="24"/>
          <w:szCs w:val="24"/>
          <w:highlight w:val="none"/>
        </w:rPr>
        <w:t>最高转速：≥10700rpm</w:t>
      </w:r>
    </w:p>
    <w:p w14:paraId="6F0F5D9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靶材：钼基铼-钨复合靶</w:t>
      </w:r>
    </w:p>
    <w:p w14:paraId="3B864B1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3、平板探测器</w:t>
      </w:r>
    </w:p>
    <w:p w14:paraId="29FC68A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材料：非晶硅，闪烁体 CsI</w:t>
      </w:r>
    </w:p>
    <w:p w14:paraId="5348D08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A/D 转换：</w:t>
      </w:r>
      <w:r>
        <w:rPr>
          <w:rFonts w:cs="宋体" w:asciiTheme="minorEastAsia" w:hAnsiTheme="minorEastAsia" w:eastAsiaTheme="minorEastAsia"/>
          <w:sz w:val="24"/>
          <w:szCs w:val="24"/>
          <w:highlight w:val="none"/>
        </w:rPr>
        <w:t>≥</w:t>
      </w:r>
      <w:r>
        <w:rPr>
          <w:rFonts w:hint="eastAsia" w:cs="仿宋_GB2312" w:asciiTheme="minorEastAsia" w:hAnsiTheme="minorEastAsia" w:eastAsiaTheme="minorEastAsia"/>
          <w:sz w:val="24"/>
          <w:szCs w:val="24"/>
          <w:highlight w:val="none"/>
        </w:rPr>
        <w:t>16bit</w:t>
      </w:r>
    </w:p>
    <w:p w14:paraId="2B7575E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67" w:name="OLE_LINK30"/>
      <w:r>
        <w:rPr>
          <w:rFonts w:hint="eastAsia" w:cs="仿宋_GB2312" w:asciiTheme="minorEastAsia" w:hAnsiTheme="minorEastAsia" w:eastAsiaTheme="minorEastAsia"/>
          <w:sz w:val="24"/>
          <w:szCs w:val="24"/>
          <w:highlight w:val="none"/>
        </w:rPr>
        <w:t>有效成像区域：</w:t>
      </w:r>
      <w:r>
        <w:rPr>
          <w:rFonts w:cs="宋体" w:asciiTheme="minorEastAsia" w:hAnsiTheme="minorEastAsia" w:eastAsiaTheme="minorEastAsia"/>
          <w:sz w:val="24"/>
          <w:szCs w:val="24"/>
          <w:highlight w:val="none"/>
        </w:rPr>
        <w:t>≥</w:t>
      </w:r>
      <w:r>
        <w:rPr>
          <w:rFonts w:hint="eastAsia" w:cs="仿宋_GB2312" w:asciiTheme="minorEastAsia" w:hAnsiTheme="minorEastAsia" w:eastAsiaTheme="minorEastAsia"/>
          <w:sz w:val="24"/>
          <w:szCs w:val="24"/>
          <w:highlight w:val="none"/>
        </w:rPr>
        <w:t>17inch×17inch</w:t>
      </w:r>
    </w:p>
    <w:bookmarkEnd w:id="67"/>
    <w:p w14:paraId="543A1AF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采集矩阵：</w:t>
      </w:r>
      <w:r>
        <w:rPr>
          <w:rFonts w:cs="宋体" w:asciiTheme="minorEastAsia" w:hAnsiTheme="minorEastAsia" w:eastAsiaTheme="minorEastAsia"/>
          <w:sz w:val="24"/>
          <w:szCs w:val="24"/>
          <w:highlight w:val="none"/>
        </w:rPr>
        <w:t>≥</w:t>
      </w:r>
      <w:r>
        <w:rPr>
          <w:rFonts w:hint="eastAsia" w:cs="仿宋_GB2312" w:asciiTheme="minorEastAsia" w:hAnsiTheme="minorEastAsia" w:eastAsiaTheme="minorEastAsia"/>
          <w:sz w:val="24"/>
          <w:szCs w:val="24"/>
          <w:highlight w:val="none"/>
        </w:rPr>
        <w:t>2912×2912，像素尺寸 ≤139μm</w:t>
      </w:r>
    </w:p>
    <w:p w14:paraId="5428E74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空间分辨率：≥3.6LP/mm</w:t>
      </w:r>
    </w:p>
    <w:p w14:paraId="403D19B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出图时间：≤6S</w:t>
      </w:r>
    </w:p>
    <w:p w14:paraId="031108B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68" w:name="OLE_LINK31"/>
      <w:r>
        <w:rPr>
          <w:rFonts w:hint="eastAsia" w:cs="仿宋_GB2312" w:asciiTheme="minorEastAsia" w:hAnsiTheme="minorEastAsia" w:eastAsiaTheme="minorEastAsia"/>
          <w:sz w:val="24"/>
          <w:szCs w:val="24"/>
          <w:highlight w:val="none"/>
        </w:rPr>
        <w:t>最小探测剂量：≤14nGy</w:t>
      </w:r>
    </w:p>
    <w:bookmarkEnd w:id="68"/>
    <w:p w14:paraId="3F87BF3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接口：以太网</w:t>
      </w:r>
    </w:p>
    <w:p w14:paraId="55BEF14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4、计算机系统</w:t>
      </w:r>
    </w:p>
    <w:p w14:paraId="193A206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配备仪器设备显示、操作端配套设施，满足系统运行、影像后处理、数据存储与输出需求。</w:t>
      </w:r>
    </w:p>
    <w:p w14:paraId="65FA0EC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5、软件系统</w:t>
      </w:r>
    </w:p>
    <w:p w14:paraId="451679D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全中文界面，鼠标 + 键盘操作</w:t>
      </w:r>
    </w:p>
    <w:p w14:paraId="0A4DA6E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预置上千组 APR曝光参数，自动匹配最佳曝光</w:t>
      </w:r>
    </w:p>
    <w:p w14:paraId="60094F7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图像处理：曝光野确认、伽马校正、边缘增强、缩放、旋转、测量、剪裁</w:t>
      </w:r>
    </w:p>
    <w:p w14:paraId="603AC77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标记：AP/PA、L/R 定位、自定义文本标注</w:t>
      </w:r>
    </w:p>
    <w:p w14:paraId="4A024F3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支持 DICOM3.0、PACS 兼容、一键刻录、多格式导出</w:t>
      </w:r>
    </w:p>
    <w:p w14:paraId="55A67D1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69" w:name="OLE_LINK32"/>
      <w:r>
        <w:rPr>
          <w:rFonts w:hint="eastAsia" w:cs="仿宋_GB2312" w:asciiTheme="minorEastAsia" w:hAnsiTheme="minorEastAsia" w:eastAsiaTheme="minorEastAsia"/>
          <w:sz w:val="24"/>
          <w:szCs w:val="24"/>
          <w:highlight w:val="none"/>
        </w:rPr>
        <w:t>集成兽用专用工具：HIP、TPLO、TTA、VHS</w:t>
      </w:r>
    </w:p>
    <w:bookmarkEnd w:id="69"/>
    <w:p w14:paraId="6F19184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6、限束器</w:t>
      </w:r>
    </w:p>
    <w:p w14:paraId="30C5DFA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70" w:name="OLE_LINK42"/>
      <w:r>
        <w:rPr>
          <w:rFonts w:hint="eastAsia" w:cs="仿宋_GB2312" w:asciiTheme="minorEastAsia" w:hAnsiTheme="minorEastAsia" w:eastAsiaTheme="minorEastAsia"/>
          <w:sz w:val="24"/>
          <w:szCs w:val="24"/>
          <w:highlight w:val="none"/>
        </w:rPr>
        <w:t>LED 束光器，无线遥控和手动控制束光器光源开启及关闭</w:t>
      </w:r>
    </w:p>
    <w:bookmarkEnd w:id="70"/>
    <w:p w14:paraId="3221941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最大照射野：SID=1000mm 时≥450mm×450mm</w:t>
      </w:r>
    </w:p>
    <w:p w14:paraId="4D3ACCF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cs="仿宋_GB2312" w:asciiTheme="minorEastAsia" w:hAnsiTheme="minorEastAsia" w:eastAsiaTheme="minorEastAsia"/>
          <w:sz w:val="24"/>
          <w:szCs w:val="24"/>
          <w:highlight w:val="none"/>
        </w:rPr>
        <w:t>电源：DC 24V</w:t>
      </w:r>
      <w:r>
        <w:rPr>
          <w:rFonts w:hint="eastAsia" w:cs="仿宋_GB2312" w:asciiTheme="minorEastAsia" w:hAnsiTheme="minorEastAsia" w:eastAsiaTheme="minorEastAsia"/>
          <w:sz w:val="24"/>
          <w:szCs w:val="24"/>
          <w:highlight w:val="none"/>
        </w:rPr>
        <w:t>和220V</w:t>
      </w:r>
    </w:p>
    <w:p w14:paraId="63D6B3D7">
      <w:pPr>
        <w:numPr>
          <w:ilvl w:val="0"/>
          <w:numId w:val="8"/>
        </w:num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机械装置（双立柱吊架）</w:t>
      </w:r>
    </w:p>
    <w:p w14:paraId="3EBE263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71" w:name="OLE_LINK33"/>
      <w:r>
        <w:rPr>
          <w:rFonts w:hint="eastAsia" w:cs="仿宋_GB2312" w:asciiTheme="minorEastAsia" w:hAnsiTheme="minorEastAsia" w:eastAsiaTheme="minorEastAsia"/>
          <w:sz w:val="24"/>
          <w:szCs w:val="24"/>
          <w:highlight w:val="none"/>
        </w:rPr>
        <w:t>SID 1265mm~1700mm ±5%</w:t>
      </w:r>
    </w:p>
    <w:bookmarkEnd w:id="71"/>
    <w:p w14:paraId="1FCC96B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72" w:name="OLE_LINK34"/>
      <w:r>
        <w:rPr>
          <w:rFonts w:hint="eastAsia" w:cs="仿宋_GB2312" w:asciiTheme="minorEastAsia" w:hAnsiTheme="minorEastAsia" w:eastAsiaTheme="minorEastAsia"/>
          <w:sz w:val="24"/>
          <w:szCs w:val="24"/>
          <w:highlight w:val="none"/>
        </w:rPr>
        <w:t>BUCKY纵向行程1100mm ±5%</w:t>
      </w:r>
    </w:p>
    <w:bookmarkEnd w:id="72"/>
    <w:p w14:paraId="06BE038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73" w:name="OLE_LINK35"/>
      <w:r>
        <w:rPr>
          <w:rFonts w:hint="eastAsia" w:cs="仿宋_GB2312" w:asciiTheme="minorEastAsia" w:hAnsiTheme="minorEastAsia" w:eastAsiaTheme="minorEastAsia"/>
          <w:sz w:val="24"/>
          <w:szCs w:val="24"/>
          <w:highlight w:val="none"/>
        </w:rPr>
        <w:t>球管纵向行程1100mm ±5%</w:t>
      </w:r>
    </w:p>
    <w:bookmarkEnd w:id="73"/>
    <w:p w14:paraId="429A3C3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bookmarkStart w:id="74" w:name="OLE_LINK36"/>
      <w:r>
        <w:rPr>
          <w:rFonts w:hint="eastAsia" w:cs="仿宋_GB2312" w:asciiTheme="minorEastAsia" w:hAnsiTheme="minorEastAsia" w:eastAsiaTheme="minorEastAsia"/>
          <w:sz w:val="24"/>
          <w:szCs w:val="24"/>
          <w:highlight w:val="none"/>
        </w:rPr>
        <w:t>吊架（双立柱）横向移动行程2300mm ±5%</w:t>
      </w:r>
      <w:r>
        <w:rPr>
          <w:rFonts w:hint="eastAsia" w:cs="仿宋_GB2312" w:asciiTheme="minorEastAsia" w:hAnsiTheme="minorEastAsia" w:eastAsiaTheme="minorEastAsia"/>
          <w:sz w:val="24"/>
          <w:szCs w:val="24"/>
          <w:highlight w:val="none"/>
        </w:rPr>
        <w:t xml:space="preserve"> </w:t>
      </w:r>
      <w:bookmarkEnd w:id="74"/>
      <w:r>
        <w:rPr>
          <w:rFonts w:hint="eastAsia" w:cs="仿宋_GB2312" w:asciiTheme="minorEastAsia" w:hAnsiTheme="minorEastAsia" w:eastAsiaTheme="minorEastAsia"/>
          <w:sz w:val="24"/>
          <w:szCs w:val="24"/>
          <w:highlight w:val="none"/>
        </w:rPr>
        <w:t xml:space="preserve"> </w:t>
      </w:r>
    </w:p>
    <w:p w14:paraId="3204F295">
      <w:pPr>
        <w:spacing w:line="360" w:lineRule="auto"/>
        <w:ind w:firstLine="480" w:firstLineChars="200"/>
        <w:rPr>
          <w:rFonts w:hint="eastAsia" w:asciiTheme="minorEastAsia" w:hAnsiTheme="minorEastAsia" w:eastAsiaTheme="minorEastAsia"/>
          <w:b/>
          <w:bCs/>
          <w:sz w:val="24"/>
          <w:szCs w:val="24"/>
          <w:highlight w:val="none"/>
        </w:rPr>
      </w:pPr>
      <w:bookmarkStart w:id="75" w:name="OLE_LINK37"/>
      <w:r>
        <w:rPr>
          <w:rFonts w:hint="eastAsia" w:cs="仿宋_GB2312" w:asciiTheme="minorEastAsia" w:hAnsiTheme="minorEastAsia" w:eastAsiaTheme="minorEastAsia"/>
          <w:sz w:val="24"/>
          <w:szCs w:val="24"/>
          <w:highlight w:val="none"/>
        </w:rPr>
        <w:t>电动遥控制动，全体位拍摄适配（四肢、头、胸、腹、脊柱）</w:t>
      </w:r>
    </w:p>
    <w:bookmarkEnd w:id="75"/>
    <w:p w14:paraId="02DB077D">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b/>
          <w:bCs/>
          <w:sz w:val="24"/>
          <w:szCs w:val="24"/>
          <w:highlight w:val="none"/>
        </w:rPr>
        <w:t>三、</w:t>
      </w:r>
      <w:r>
        <w:rPr>
          <w:rFonts w:hint="eastAsia" w:asciiTheme="minorEastAsia" w:hAnsiTheme="minorEastAsia" w:eastAsiaTheme="minorEastAsia"/>
          <w:sz w:val="24"/>
          <w:szCs w:val="24"/>
          <w:highlight w:val="none"/>
        </w:rPr>
        <w:t>便携式彩色超声诊断系统参数</w:t>
      </w:r>
    </w:p>
    <w:p w14:paraId="27BAF33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一、主要规格及系统概述：</w:t>
      </w:r>
    </w:p>
    <w:p w14:paraId="4A1176A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设备主要用于：狗，猫，马，牛，羊等多种动物临床腹部，心脏，小器官，外周血管，经直肠，肌肉骨骼，术中等检查。</w:t>
      </w:r>
    </w:p>
    <w:p w14:paraId="1B019DD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1.彩色多谱勒超声波诊断仪包括：</w:t>
      </w:r>
    </w:p>
    <w:p w14:paraId="28110B4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1.0 监视器不小于15英寸医用专业彩色高清LED显示屏，分辨率不小于1920X1080，亮度可自动调节。</w:t>
      </w:r>
    </w:p>
    <w:p w14:paraId="30EAC29E">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▲1.1触控屏 不小于12.3英寸高清，全触控显示屏，可以支持手势操作以及键位自定义，并且支持10秒锁屏。</w:t>
      </w:r>
    </w:p>
    <w:p w14:paraId="3938EBB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1.2系统开机时间：开机≤22秒，从待机启动≤5秒，关机≤13秒。</w:t>
      </w:r>
    </w:p>
    <w:p w14:paraId="57B857F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1.3可重复充电锂电池：支持连续扫查≥1.5小时。</w:t>
      </w:r>
    </w:p>
    <w:p w14:paraId="5612D82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1.4支持外加可重复充电模块：可连续扫查不小于8小时。</w:t>
      </w:r>
    </w:p>
    <w:p w14:paraId="2BFAFF9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1.5轻薄机身设计，机身厚度≤30mm。</w:t>
      </w:r>
    </w:p>
    <w:p w14:paraId="572C699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1.6整机重量不含电池≤3kg</w:t>
      </w:r>
    </w:p>
    <w:p w14:paraId="5DDBE45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1.7无轨迹球触控面板，全防护。</w:t>
      </w:r>
    </w:p>
    <w:p w14:paraId="57D34AD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1.8 具备智能域光成像平台，具备域扫描，全域聚焦技术。</w:t>
      </w:r>
    </w:p>
    <w:p w14:paraId="5FEC3D7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*1.9专用兽用软件，支持多种动物种类以及多种部位的应用模式，针对动物体征进行的图像预设调节。</w:t>
      </w:r>
    </w:p>
    <w:p w14:paraId="04FF63D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1.10时间增益补偿，TGC：≥八段可调节</w:t>
      </w:r>
    </w:p>
    <w:p w14:paraId="54A4EB0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1.11二维灰阶成像部件</w:t>
      </w:r>
    </w:p>
    <w:p w14:paraId="55D8EB1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1.12频谱多谱勒显示及分析系统</w:t>
      </w:r>
    </w:p>
    <w:p w14:paraId="7DBFCE1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1.13彩色多谱勒超声波诊断部件</w:t>
      </w:r>
    </w:p>
    <w:p w14:paraId="4252F29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1.14多谱勒能量图，包括速度图和方向能量图</w:t>
      </w:r>
    </w:p>
    <w:p w14:paraId="0330A22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1.15组织谐波成像</w:t>
      </w:r>
    </w:p>
    <w:p w14:paraId="7BCAA21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1.16具备凸阵扩展成像技术 ，支持线阵探头和凸阵探头</w:t>
      </w:r>
    </w:p>
    <w:p w14:paraId="27B83A7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1.17回声信号离线分析及处理（要求支持动态范围、频谱基线、图像效果等处理）</w:t>
      </w:r>
    </w:p>
    <w:p w14:paraId="61A80BB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1.18具有空间复合成像技术（要求支持凸阵成像）</w:t>
      </w:r>
    </w:p>
    <w:p w14:paraId="06D5A06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1.19 二维和彩色多谱勒双幅实时显示</w:t>
      </w:r>
    </w:p>
    <w:p w14:paraId="4C77691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1.20 图像局部放大功能(实时和冻结放大，放大倍率＞10倍)，支持智能全屏放大实时显示功能</w:t>
      </w:r>
    </w:p>
    <w:p w14:paraId="1C081AE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1.21具有组织特征成像能够独立选择肌肉、常规、脂肪、液性成像模式</w:t>
      </w:r>
    </w:p>
    <w:p w14:paraId="7DFD17E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1.22双取样部位M型/PW频谱图像同屏显示</w:t>
      </w:r>
    </w:p>
    <w:p w14:paraId="718B397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1.23双探头图像同屏对比显示</w:t>
      </w:r>
    </w:p>
    <w:p w14:paraId="05291CF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1.24组织多普勒成像：要求同时支持速度图、能量图、频谱、M型</w:t>
      </w:r>
    </w:p>
    <w:p w14:paraId="154A191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1.25支持组织多普勒成像技术</w:t>
      </w:r>
    </w:p>
    <w:p w14:paraId="56B2230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1.26支持一键自动优化功能（包括应用于二维、COLOR、PW、CW）</w:t>
      </w:r>
    </w:p>
    <w:p w14:paraId="0AF6DE4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1.27支持切面辅助扫查功能，并提供文字和声音辅助教学提示等。</w:t>
      </w:r>
    </w:p>
    <w:p w14:paraId="3BB9DA4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2.测量和分析:(B型,M型,频谱多谱勒,彩色多谱勒)</w:t>
      </w:r>
    </w:p>
    <w:p w14:paraId="63F7AE2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2.1腹部测量</w:t>
      </w:r>
    </w:p>
    <w:p w14:paraId="2FE02E1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2.2小器官测量</w:t>
      </w:r>
    </w:p>
    <w:p w14:paraId="4655C74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2.3心脏功能测量</w:t>
      </w:r>
    </w:p>
    <w:p w14:paraId="63C9F5B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2.4生殖测量包</w:t>
      </w:r>
    </w:p>
    <w:p w14:paraId="55E40C9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2.5外周血管测量包</w:t>
      </w:r>
    </w:p>
    <w:p w14:paraId="28C34BD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3.图像存储与(电影)回放重现单元：支持同步存储(支持单帧图像文件包含： DCM、TIFF、BMP、JEPG单帧，电影文件包括：CIN、AVI、DCM)。支持一键存储至硬盘，无需格式转换；支持网格硬盘直接存储；突然关机或未结束检查关机资料不丢失。</w:t>
      </w:r>
    </w:p>
    <w:p w14:paraId="6741CBF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4.输入/输出信号:</w:t>
      </w:r>
    </w:p>
    <w:p w14:paraId="623B113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4.1输入: VCR, 外部视频, RGB彩色视频</w:t>
      </w:r>
    </w:p>
    <w:p w14:paraId="0F10F55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4.2输出: 复合视频, RGB彩色视频, S---视频</w:t>
      </w:r>
    </w:p>
    <w:p w14:paraId="18A14D4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4.3支持数据无线传输</w:t>
      </w:r>
    </w:p>
    <w:p w14:paraId="7F1E262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4.4支持USB储存介质一键存储普通PC格式文件，无需转换</w:t>
      </w:r>
    </w:p>
    <w:p w14:paraId="42AAC16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4.5内置动物专用一体化数字图像管理与记录平台，一键式操作；数字化超声图像固态硬盘存储不小于128GB</w:t>
      </w:r>
    </w:p>
    <w:p w14:paraId="2BCB0D8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二、 技术参数及要求</w:t>
      </w:r>
    </w:p>
    <w:p w14:paraId="27D1A2F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1.探头规格：标配三把探头</w:t>
      </w:r>
    </w:p>
    <w:p w14:paraId="3066CCA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▲1.1频率:宽频带变频探头,两维和彩色独立变</w:t>
      </w:r>
    </w:p>
    <w:p w14:paraId="72C60F7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频，凸阵探头具有≥5种频率的变频范围，扫描角度≥89度；线阵探头具有≥5种频率的变频范围，支持T型扩展显示；相控阵探头具有不小于5种频率的变频范围，扫描角度≥90度。</w:t>
      </w:r>
    </w:p>
    <w:p w14:paraId="334C182E">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1.2 B/D兼用:凸阵:B/PW/Color</w:t>
      </w:r>
    </w:p>
    <w:p w14:paraId="09486F5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             线阵:B/PW/ Color</w:t>
      </w:r>
    </w:p>
    <w:p w14:paraId="3AE4DD4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             相控阵:B/PW / Color</w:t>
      </w:r>
    </w:p>
    <w:p w14:paraId="790B051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1.3 穿刺导向: 所有探头配置穿刺导向装置</w:t>
      </w:r>
    </w:p>
    <w:p w14:paraId="36CEA0E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1.4最大扫描深度≥400mm</w:t>
      </w:r>
    </w:p>
    <w:p w14:paraId="2FFF0F6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1.5 B模式最大扫描帧率≥1176帧/s</w:t>
      </w:r>
    </w:p>
    <w:p w14:paraId="66FE2A8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三、彩色多普勒：</w:t>
      </w:r>
    </w:p>
    <w:p w14:paraId="3FB21D3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1、多普勒频率≥2段可视可独立调节</w:t>
      </w:r>
    </w:p>
    <w:p w14:paraId="2F16915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2、B/Color双幅实时显示</w:t>
      </w:r>
    </w:p>
    <w:p w14:paraId="0FD31E8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3、扫描帧率最大帧频≥216帧／秒</w:t>
      </w:r>
    </w:p>
    <w:p w14:paraId="314641E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四、频谱多普勒：</w:t>
      </w:r>
    </w:p>
    <w:p w14:paraId="6F5A611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1、支持脉冲多普勒（PW），高脉冲重复频率（HPRF）,连续多普勒（CW）模式</w:t>
      </w:r>
    </w:p>
    <w:p w14:paraId="794B1E4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2、取样宽度及位置范围：≥0.5mm～30mm</w:t>
      </w:r>
    </w:p>
    <w:p w14:paraId="51D52D6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3、线阵探头多普勒取样线偏转±20°可调</w:t>
      </w:r>
    </w:p>
    <w:p w14:paraId="7A3AED3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4、多普勒取样音可开关，音量大小可调</w:t>
      </w:r>
    </w:p>
    <w:p w14:paraId="41ABC81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五、测量和分析：</w:t>
      </w:r>
    </w:p>
    <w:p w14:paraId="7628550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1、常规测量（距离测量、椭圆及描迹测量面积周长、体积测量）</w:t>
      </w:r>
    </w:p>
    <w:p w14:paraId="0451CCC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2、外周血管专用测量及分析</w:t>
      </w:r>
    </w:p>
    <w:p w14:paraId="51289D0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4、动物生殖专用测量及分析软件 </w:t>
      </w:r>
    </w:p>
    <w:p w14:paraId="1E1C964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5、动物专用注释及体位图，支持中英文注释</w:t>
      </w:r>
    </w:p>
    <w:p w14:paraId="49BE8E0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6、心脏功能专用测量及分析多模式Tei指数定量分析，要求同时在多普勒、解剖M模式下进行测量Auto LV 自动左室收缩功能测量软件（用于Simpson法自动描记心内膜分析左心功能）</w:t>
      </w:r>
    </w:p>
    <w:p w14:paraId="2E5C0AD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7、多普勒测量及分析（自动或手动包络测量，自动计算测量参数）</w:t>
      </w:r>
    </w:p>
    <w:p w14:paraId="1C17F76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六、外设接口</w:t>
      </w:r>
    </w:p>
    <w:p w14:paraId="5E7BE1F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1、不少于4个USB3.0接口</w:t>
      </w:r>
    </w:p>
    <w:p w14:paraId="5198CAF9">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 ECG 接口</w:t>
      </w:r>
    </w:p>
    <w:p w14:paraId="6DAF912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 USB接口</w:t>
      </w:r>
    </w:p>
    <w:p w14:paraId="0360E8E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4、网线接口</w:t>
      </w:r>
    </w:p>
    <w:p w14:paraId="37D2B38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5、 HDMI接口</w:t>
      </w:r>
    </w:p>
    <w:p w14:paraId="293D9623">
      <w:pPr>
        <w:spacing w:line="360" w:lineRule="auto"/>
        <w:rPr>
          <w:rFonts w:hint="eastAsia" w:asciiTheme="minorEastAsia" w:hAnsiTheme="minorEastAsia" w:eastAsiaTheme="minorEastAsia"/>
          <w:b/>
          <w:bCs/>
          <w:sz w:val="24"/>
          <w:szCs w:val="24"/>
          <w:highlight w:val="none"/>
        </w:rPr>
      </w:pPr>
      <w:r>
        <w:rPr>
          <w:rFonts w:hint="eastAsia" w:cs="仿宋_GB2312" w:asciiTheme="minorEastAsia" w:hAnsiTheme="minorEastAsia" w:eastAsiaTheme="minorEastAsia"/>
          <w:sz w:val="24"/>
          <w:szCs w:val="24"/>
          <w:highlight w:val="none"/>
        </w:rPr>
        <w:t>6、 S-Video复合视频输出接口。</w:t>
      </w:r>
    </w:p>
    <w:p w14:paraId="3AB5859F">
      <w:pP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四、内窥镜技术参数要求</w:t>
      </w:r>
    </w:p>
    <w:p w14:paraId="60D3F47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用途：主要用于马属等大体型动物的食道，胃，肠道、气管的检查。</w:t>
      </w:r>
    </w:p>
    <w:p w14:paraId="3E571D14">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1.白平衡帽</w:t>
      </w:r>
      <w:r>
        <w:rPr>
          <w:rFonts w:hint="eastAsia" w:cs="仿宋_GB2312" w:asciiTheme="minorEastAsia" w:hAnsiTheme="minorEastAsia" w:eastAsiaTheme="minorEastAsia"/>
          <w:sz w:val="24"/>
          <w:szCs w:val="24"/>
          <w:highlight w:val="none"/>
        </w:rPr>
        <w:tab/>
      </w:r>
      <w:r>
        <w:rPr>
          <w:rFonts w:hint="eastAsia" w:cs="仿宋_GB2312" w:asciiTheme="minorEastAsia" w:hAnsiTheme="minorEastAsia" w:eastAsiaTheme="minorEastAsia"/>
          <w:sz w:val="24"/>
          <w:szCs w:val="24"/>
          <w:highlight w:val="none"/>
        </w:rPr>
        <w:tab/>
      </w:r>
    </w:p>
    <w:p w14:paraId="2F034E8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根据人机工程学，设计为可以旋转的白平衡帽。"</w:t>
      </w:r>
      <w:r>
        <w:rPr>
          <w:rFonts w:hint="eastAsia" w:cs="仿宋_GB2312" w:asciiTheme="minorEastAsia" w:hAnsiTheme="minorEastAsia" w:eastAsiaTheme="minorEastAsia"/>
          <w:sz w:val="24"/>
          <w:szCs w:val="24"/>
          <w:highlight w:val="none"/>
        </w:rPr>
        <w:tab/>
      </w:r>
      <w:r>
        <w:rPr>
          <w:rFonts w:hint="eastAsia" w:cs="仿宋_GB2312" w:asciiTheme="minorEastAsia" w:hAnsiTheme="minorEastAsia" w:eastAsiaTheme="minorEastAsia"/>
          <w:sz w:val="24"/>
          <w:szCs w:val="24"/>
          <w:highlight w:val="none"/>
        </w:rPr>
        <w:tab/>
      </w:r>
    </w:p>
    <w:p w14:paraId="2CE9393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2.</w:t>
      </w:r>
      <w:r>
        <w:rPr>
          <w:rFonts w:cs="Calibri" w:asciiTheme="minorEastAsia" w:hAnsiTheme="minorEastAsia" w:eastAsiaTheme="minorEastAsia"/>
          <w:sz w:val="24"/>
          <w:szCs w:val="24"/>
          <w:highlight w:val="none"/>
        </w:rPr>
        <w:t> </w:t>
      </w:r>
      <w:r>
        <w:rPr>
          <w:rFonts w:hint="eastAsia" w:cs="仿宋_GB2312" w:asciiTheme="minorEastAsia" w:hAnsiTheme="minorEastAsia" w:eastAsiaTheme="minorEastAsia"/>
          <w:sz w:val="24"/>
          <w:szCs w:val="24"/>
          <w:highlight w:val="none"/>
        </w:rPr>
        <w:t>主要参数</w:t>
      </w:r>
      <w:r>
        <w:rPr>
          <w:rFonts w:hint="eastAsia" w:cs="仿宋_GB2312" w:asciiTheme="minorEastAsia" w:hAnsiTheme="minorEastAsia" w:eastAsiaTheme="minorEastAsia"/>
          <w:sz w:val="24"/>
          <w:szCs w:val="24"/>
          <w:highlight w:val="none"/>
        </w:rPr>
        <w:tab/>
      </w:r>
    </w:p>
    <w:p w14:paraId="0A458D9D">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主机图像处理器Mutos3.0可兼容软镜及硬镜摄像系统</w:t>
      </w:r>
    </w:p>
    <w:p w14:paraId="2956793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具有不少于4种硬镜图像输出模式，硬镜清晰度不低于1080*1920</w:t>
      </w:r>
    </w:p>
    <w:p w14:paraId="7574B06E">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可兼容使用胃肠镜，气管镜，腹腔镜</w:t>
      </w:r>
    </w:p>
    <w:p w14:paraId="18A1656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至少具有数字输出信号：DVI</w:t>
      </w:r>
    </w:p>
    <w:p w14:paraId="02BCA4A6">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冷光源：LED</w:t>
      </w:r>
    </w:p>
    <w:p w14:paraId="1A05219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光源寿命：≥10000h</w:t>
      </w:r>
    </w:p>
    <w:p w14:paraId="51E5601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亮度调节：不少于0-9档调节</w:t>
      </w:r>
    </w:p>
    <w:p w14:paraId="67A332F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模拟信号输出不低于包含：VIDEO、Y/C（Y/G、Pb/B、Pr/RSYNC）</w:t>
      </w:r>
    </w:p>
    <w:p w14:paraId="7AE7B9F8">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3.</w:t>
      </w:r>
      <w:r>
        <w:rPr>
          <w:rFonts w:cs="Calibri" w:asciiTheme="minorEastAsia" w:hAnsiTheme="minorEastAsia" w:eastAsiaTheme="minorEastAsia"/>
          <w:sz w:val="24"/>
          <w:szCs w:val="24"/>
          <w:highlight w:val="none"/>
        </w:rPr>
        <w:t> </w:t>
      </w:r>
      <w:r>
        <w:rPr>
          <w:rFonts w:hint="eastAsia" w:cs="仿宋_GB2312" w:asciiTheme="minorEastAsia" w:hAnsiTheme="minorEastAsia" w:eastAsiaTheme="minorEastAsia"/>
          <w:sz w:val="24"/>
          <w:szCs w:val="24"/>
          <w:highlight w:val="none"/>
        </w:rPr>
        <w:t>功能特点</w:t>
      </w:r>
      <w:r>
        <w:rPr>
          <w:rFonts w:hint="eastAsia" w:cs="仿宋_GB2312" w:asciiTheme="minorEastAsia" w:hAnsiTheme="minorEastAsia" w:eastAsiaTheme="minorEastAsia"/>
          <w:sz w:val="24"/>
          <w:szCs w:val="24"/>
          <w:highlight w:val="none"/>
        </w:rPr>
        <w:tab/>
      </w:r>
      <w:r>
        <w:rPr>
          <w:rFonts w:hint="eastAsia" w:cs="仿宋_GB2312" w:asciiTheme="minorEastAsia" w:hAnsiTheme="minorEastAsia" w:eastAsiaTheme="minorEastAsia"/>
          <w:sz w:val="24"/>
          <w:szCs w:val="24"/>
          <w:highlight w:val="none"/>
        </w:rPr>
        <w:tab/>
      </w:r>
    </w:p>
    <w:p w14:paraId="26D669CA">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HbE 血液强化：强化显示血管及富含血液组织</w:t>
      </w:r>
      <w:r>
        <w:rPr>
          <w:rFonts w:hint="eastAsia" w:cs="仿宋_GB2312" w:asciiTheme="minorEastAsia" w:hAnsiTheme="minorEastAsia" w:eastAsiaTheme="minorEastAsia"/>
          <w:sz w:val="24"/>
          <w:szCs w:val="24"/>
          <w:highlight w:val="none"/>
        </w:rPr>
        <w:tab/>
      </w:r>
    </w:p>
    <w:p w14:paraId="0AA5264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轮廓增强：不少于0-3档可调，突出显示病变组织中的多重纹路、血管及纤维构造</w:t>
      </w:r>
      <w:r>
        <w:rPr>
          <w:rFonts w:hint="eastAsia" w:cs="仿宋_GB2312" w:asciiTheme="minorEastAsia" w:hAnsiTheme="minorEastAsia" w:eastAsiaTheme="minorEastAsia"/>
          <w:sz w:val="24"/>
          <w:szCs w:val="24"/>
          <w:highlight w:val="none"/>
        </w:rPr>
        <w:tab/>
      </w:r>
    </w:p>
    <w:p w14:paraId="7CB9441B">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测光模式：均值测光、峰值测光</w:t>
      </w:r>
      <w:r>
        <w:rPr>
          <w:rFonts w:hint="eastAsia" w:cs="仿宋_GB2312" w:asciiTheme="minorEastAsia" w:hAnsiTheme="minorEastAsia" w:eastAsiaTheme="minorEastAsia"/>
          <w:sz w:val="24"/>
          <w:szCs w:val="24"/>
          <w:highlight w:val="none"/>
        </w:rPr>
        <w:tab/>
      </w:r>
    </w:p>
    <w:p w14:paraId="6A76BE5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USB：高清图像、视频随时存储，携带方便</w:t>
      </w:r>
      <w:r>
        <w:rPr>
          <w:rFonts w:hint="eastAsia" w:cs="仿宋_GB2312" w:asciiTheme="minorEastAsia" w:hAnsiTheme="minorEastAsia" w:eastAsiaTheme="minorEastAsia"/>
          <w:sz w:val="24"/>
          <w:szCs w:val="24"/>
          <w:highlight w:val="none"/>
        </w:rPr>
        <w:tab/>
      </w:r>
    </w:p>
    <w:p w14:paraId="6871C7AE">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电子增益：不少于0-3档可调，突出显示病变组织中的多重纹路、血管及纤维构造</w:t>
      </w:r>
      <w:r>
        <w:rPr>
          <w:rFonts w:hint="eastAsia" w:cs="仿宋_GB2312" w:asciiTheme="minorEastAsia" w:hAnsiTheme="minorEastAsia" w:eastAsiaTheme="minorEastAsia"/>
          <w:sz w:val="24"/>
          <w:szCs w:val="24"/>
          <w:highlight w:val="none"/>
        </w:rPr>
        <w:tab/>
      </w:r>
    </w:p>
    <w:p w14:paraId="70064C81">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冻结及回放：冻结实时图像，并可对已冻结的图像进行回放</w:t>
      </w:r>
      <w:r>
        <w:rPr>
          <w:rFonts w:hint="eastAsia" w:cs="仿宋_GB2312" w:asciiTheme="minorEastAsia" w:hAnsiTheme="minorEastAsia" w:eastAsiaTheme="minorEastAsia"/>
          <w:sz w:val="24"/>
          <w:szCs w:val="24"/>
          <w:highlight w:val="none"/>
        </w:rPr>
        <w:tab/>
      </w:r>
    </w:p>
    <w:p w14:paraId="3CB1D91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4.</w:t>
      </w:r>
      <w:r>
        <w:rPr>
          <w:rFonts w:cs="Calibri" w:asciiTheme="minorEastAsia" w:hAnsiTheme="minorEastAsia" w:eastAsiaTheme="minorEastAsia"/>
          <w:sz w:val="24"/>
          <w:szCs w:val="24"/>
          <w:highlight w:val="none"/>
        </w:rPr>
        <w:t> </w:t>
      </w:r>
      <w:r>
        <w:rPr>
          <w:rFonts w:hint="eastAsia" w:cs="仿宋_GB2312" w:asciiTheme="minorEastAsia" w:hAnsiTheme="minorEastAsia" w:eastAsiaTheme="minorEastAsia"/>
          <w:sz w:val="24"/>
          <w:szCs w:val="24"/>
          <w:highlight w:val="none"/>
        </w:rPr>
        <w:t>内镜参数</w:t>
      </w:r>
      <w:r>
        <w:rPr>
          <w:rFonts w:hint="eastAsia" w:cs="仿宋_GB2312" w:asciiTheme="minorEastAsia" w:hAnsiTheme="minorEastAsia" w:eastAsiaTheme="minorEastAsia"/>
          <w:sz w:val="24"/>
          <w:szCs w:val="24"/>
          <w:highlight w:val="none"/>
        </w:rPr>
        <w:tab/>
      </w:r>
    </w:p>
    <w:p w14:paraId="0DE2144F">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工作长度：≥1500 mm；头端直径：≤9.0 mm；钳道直径：≥2.2mm；弯曲角度：≥U210°≥D90°≥L100°≥R100°</w:t>
      </w:r>
    </w:p>
    <w:p w14:paraId="3531E315">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吸引：手动按钮抽吸功能</w:t>
      </w:r>
    </w:p>
    <w:p w14:paraId="55E161F0">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冲水：手柄按钮冲水功能</w:t>
      </w:r>
    </w:p>
    <w:p w14:paraId="42770EB3">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充气;手柄按钮进气功能</w:t>
      </w:r>
    </w:p>
    <w:p w14:paraId="6C7BD30C">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冻结及拍照:手柄按键拍照功能</w:t>
      </w:r>
    </w:p>
    <w:p w14:paraId="655C7462">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四向调节微调:上下左右四向定位后微调角度功能</w:t>
      </w:r>
    </w:p>
    <w:p w14:paraId="26E9CBB7">
      <w:pPr>
        <w:adjustRightInd w:val="0"/>
        <w:snapToGrid w:val="0"/>
        <w:spacing w:line="360" w:lineRule="auto"/>
        <w:ind w:firstLine="480" w:firstLineChars="200"/>
        <w:jc w:val="left"/>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工作长度：≥3500 mm；头端直径：≤12.8mm；钳道直径：≥3.7mm；弯曲角度：≥U180°≥D180°≥L160°≥R160°</w:t>
      </w:r>
    </w:p>
    <w:p w14:paraId="7238E579">
      <w:pPr>
        <w:rPr>
          <w:b/>
          <w:bCs/>
          <w:sz w:val="24"/>
          <w:szCs w:val="24"/>
          <w:highlight w:val="none"/>
        </w:rPr>
      </w:pPr>
    </w:p>
    <w:p w14:paraId="0BC8436E">
      <w:pPr>
        <w:pStyle w:val="104"/>
        <w:spacing w:line="276" w:lineRule="auto"/>
        <w:ind w:firstLine="0" w:firstLineChars="0"/>
        <w:rPr>
          <w:rFonts w:hint="eastAsia"/>
          <w:spacing w:val="-3"/>
          <w:highlight w:val="none"/>
        </w:rPr>
      </w:pPr>
      <w:r>
        <w:rPr>
          <w:rFonts w:hint="eastAsia"/>
          <w:spacing w:val="-3"/>
          <w:highlight w:val="none"/>
        </w:rPr>
        <w:t>三、商务要求</w:t>
      </w:r>
    </w:p>
    <w:p w14:paraId="1CCF78CD">
      <w:pPr>
        <w:numPr>
          <w:ilvl w:val="0"/>
          <w:numId w:val="9"/>
        </w:numPr>
        <w:rPr>
          <w:sz w:val="24"/>
          <w:szCs w:val="24"/>
          <w:highlight w:val="none"/>
        </w:rPr>
      </w:pPr>
      <w:r>
        <w:rPr>
          <w:rFonts w:hint="eastAsia"/>
          <w:sz w:val="24"/>
          <w:szCs w:val="24"/>
          <w:highlight w:val="none"/>
        </w:rPr>
        <w:t>安装地点：按照甲方指定地点安装调试，1个月内完成安装验收工作；供方自行勘测场地，全权负责设备的卸货、就位、安装、调试、培训等。场地仅提供总电源，整个实验室设备布线及安装管线施工符合国标及需方要求（提供电箱、线材、开关及相关辅材）；</w:t>
      </w:r>
    </w:p>
    <w:p w14:paraId="5E5A1FE5">
      <w:pPr>
        <w:numPr>
          <w:ilvl w:val="0"/>
          <w:numId w:val="9"/>
        </w:numPr>
        <w:rPr>
          <w:sz w:val="24"/>
          <w:szCs w:val="24"/>
          <w:highlight w:val="none"/>
        </w:rPr>
      </w:pPr>
      <w:r>
        <w:rPr>
          <w:rFonts w:hint="eastAsia"/>
          <w:sz w:val="24"/>
          <w:szCs w:val="24"/>
          <w:highlight w:val="none"/>
        </w:rPr>
        <w:t>调试与培训：……</w:t>
      </w:r>
    </w:p>
    <w:p w14:paraId="428682B6">
      <w:pPr>
        <w:jc w:val="left"/>
        <w:rPr>
          <w:highlight w:val="none"/>
        </w:rPr>
      </w:pPr>
      <w:r>
        <w:rPr>
          <w:rFonts w:hint="eastAsia"/>
          <w:highlight w:val="none"/>
        </w:rPr>
        <w:br w:type="page"/>
      </w:r>
    </w:p>
    <w:p w14:paraId="3D5156E2">
      <w:pPr>
        <w:spacing w:line="276" w:lineRule="auto"/>
        <w:jc w:val="center"/>
        <w:outlineLvl w:val="0"/>
        <w:rPr>
          <w:rFonts w:hint="eastAsia" w:ascii="宋体" w:hAnsi="宋体"/>
          <w:b/>
          <w:sz w:val="36"/>
          <w:highlight w:val="none"/>
        </w:rPr>
      </w:pPr>
      <w:bookmarkStart w:id="76" w:name="_Toc26316"/>
      <w:r>
        <w:rPr>
          <w:rFonts w:hint="eastAsia" w:ascii="宋体" w:hAnsi="宋体"/>
          <w:b/>
          <w:sz w:val="32"/>
          <w:highlight w:val="none"/>
        </w:rPr>
        <w:t>第五部分</w:t>
      </w:r>
      <w:r>
        <w:rPr>
          <w:rFonts w:ascii="宋体" w:hAnsi="宋体"/>
          <w:b/>
          <w:sz w:val="32"/>
          <w:highlight w:val="none"/>
        </w:rPr>
        <w:t xml:space="preserve"> </w:t>
      </w:r>
      <w:r>
        <w:rPr>
          <w:rFonts w:hint="eastAsia" w:ascii="宋体" w:hAnsi="宋体"/>
          <w:b/>
          <w:sz w:val="32"/>
          <w:highlight w:val="none"/>
        </w:rPr>
        <w:t>合同部分</w:t>
      </w:r>
      <w:bookmarkEnd w:id="76"/>
    </w:p>
    <w:p w14:paraId="747F02FA">
      <w:pPr>
        <w:jc w:val="center"/>
        <w:rPr>
          <w:rFonts w:hint="eastAsia" w:ascii="仿宋" w:hAnsi="仿宋" w:eastAsia="仿宋" w:cs="仿宋"/>
          <w:b/>
          <w:sz w:val="20"/>
          <w:highlight w:val="none"/>
        </w:rPr>
      </w:pPr>
      <w:bookmarkStart w:id="77" w:name="_Toc89792139"/>
      <w:r>
        <w:rPr>
          <w:rFonts w:hint="eastAsia" w:ascii="仿宋" w:hAnsi="仿宋" w:eastAsia="仿宋" w:cs="仿宋"/>
          <w:b/>
          <w:sz w:val="20"/>
          <w:highlight w:val="none"/>
        </w:rPr>
        <w:t>【此合同为参考模板，以双方签订合同为准】</w:t>
      </w:r>
    </w:p>
    <w:p w14:paraId="47A219B8">
      <w:pPr>
        <w:jc w:val="center"/>
        <w:rPr>
          <w:rFonts w:hint="eastAsia" w:ascii="仿宋" w:hAnsi="仿宋" w:eastAsia="仿宋" w:cs="仿宋"/>
          <w:b/>
          <w:sz w:val="72"/>
          <w:szCs w:val="72"/>
          <w:highlight w:val="none"/>
        </w:rPr>
      </w:pPr>
    </w:p>
    <w:p w14:paraId="30C18D13">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政府采购合同</w:t>
      </w:r>
    </w:p>
    <w:p w14:paraId="0C4DD498">
      <w:pPr>
        <w:jc w:val="center"/>
        <w:rPr>
          <w:rFonts w:hint="eastAsia" w:ascii="仿宋" w:hAnsi="仿宋" w:eastAsia="仿宋" w:cs="仿宋"/>
          <w:b/>
          <w:sz w:val="96"/>
          <w:szCs w:val="96"/>
          <w:highlight w:val="none"/>
        </w:rPr>
      </w:pPr>
    </w:p>
    <w:p w14:paraId="20E171A9">
      <w:pPr>
        <w:jc w:val="center"/>
        <w:rPr>
          <w:rFonts w:hint="eastAsia" w:ascii="仿宋" w:hAnsi="仿宋" w:eastAsia="仿宋" w:cs="仿宋"/>
          <w:b/>
          <w:sz w:val="96"/>
          <w:szCs w:val="96"/>
          <w:highlight w:val="none"/>
        </w:rPr>
      </w:pPr>
    </w:p>
    <w:p w14:paraId="03D21AD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项目名称：</w:t>
      </w:r>
    </w:p>
    <w:p w14:paraId="2E5C77A8">
      <w:pPr>
        <w:ind w:firstLine="420" w:firstLineChars="200"/>
        <w:rPr>
          <w:rFonts w:hint="eastAsia" w:ascii="仿宋" w:hAnsi="仿宋" w:eastAsia="仿宋" w:cs="仿宋"/>
          <w:szCs w:val="21"/>
          <w:highlight w:val="none"/>
          <w:u w:val="single"/>
        </w:rPr>
      </w:pPr>
    </w:p>
    <w:p w14:paraId="2C6741C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甲方合同编号：</w:t>
      </w:r>
      <w:r>
        <w:rPr>
          <w:rFonts w:hint="eastAsia" w:ascii="仿宋" w:hAnsi="仿宋" w:eastAsia="仿宋" w:cs="仿宋"/>
          <w:szCs w:val="21"/>
          <w:highlight w:val="none"/>
          <w:u w:val="single"/>
        </w:rPr>
        <w:t xml:space="preserve">                               </w:t>
      </w:r>
    </w:p>
    <w:p w14:paraId="1053F9D1">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甲 方：</w:t>
      </w:r>
      <w:r>
        <w:rPr>
          <w:rFonts w:hint="eastAsia" w:ascii="仿宋" w:hAnsi="仿宋" w:eastAsia="仿宋" w:cs="仿宋"/>
          <w:szCs w:val="21"/>
          <w:highlight w:val="none"/>
          <w:u w:val="single"/>
        </w:rPr>
        <w:t xml:space="preserve">                                      </w:t>
      </w:r>
    </w:p>
    <w:p w14:paraId="00A37E14">
      <w:pPr>
        <w:ind w:firstLine="420" w:firstLineChars="200"/>
        <w:rPr>
          <w:rFonts w:hint="eastAsia" w:ascii="仿宋" w:hAnsi="仿宋" w:eastAsia="仿宋" w:cs="仿宋"/>
          <w:sz w:val="32"/>
          <w:szCs w:val="32"/>
          <w:highlight w:val="none"/>
        </w:rPr>
      </w:pPr>
      <w:r>
        <w:rPr>
          <w:rFonts w:hint="eastAsia" w:ascii="仿宋" w:hAnsi="仿宋" w:eastAsia="仿宋" w:cs="仿宋"/>
          <w:szCs w:val="21"/>
          <w:highlight w:val="none"/>
        </w:rPr>
        <w:t>乙 方：</w:t>
      </w:r>
      <w:r>
        <w:rPr>
          <w:rFonts w:hint="eastAsia" w:ascii="仿宋" w:hAnsi="仿宋" w:eastAsia="仿宋" w:cs="仿宋"/>
          <w:szCs w:val="21"/>
          <w:highlight w:val="none"/>
          <w:u w:val="single"/>
        </w:rPr>
        <w:t xml:space="preserve">                                       </w:t>
      </w:r>
    </w:p>
    <w:p w14:paraId="1B286CC1">
      <w:pPr>
        <w:rPr>
          <w:rFonts w:hint="eastAsia" w:ascii="仿宋" w:hAnsi="仿宋" w:eastAsia="仿宋" w:cs="仿宋"/>
          <w:sz w:val="32"/>
          <w:szCs w:val="32"/>
          <w:highlight w:val="none"/>
        </w:rPr>
      </w:pPr>
    </w:p>
    <w:p w14:paraId="78E0F763">
      <w:pPr>
        <w:rPr>
          <w:rFonts w:hint="eastAsia" w:ascii="仿宋" w:hAnsi="仿宋" w:eastAsia="仿宋" w:cs="仿宋"/>
          <w:sz w:val="32"/>
          <w:szCs w:val="32"/>
          <w:highlight w:val="none"/>
        </w:rPr>
      </w:pPr>
    </w:p>
    <w:p w14:paraId="697F7D0C">
      <w:pPr>
        <w:rPr>
          <w:rFonts w:hint="eastAsia" w:ascii="仿宋" w:hAnsi="仿宋" w:eastAsia="仿宋" w:cs="仿宋"/>
          <w:sz w:val="32"/>
          <w:szCs w:val="32"/>
          <w:highlight w:val="none"/>
        </w:rPr>
      </w:pPr>
    </w:p>
    <w:p w14:paraId="5AED2321">
      <w:pPr>
        <w:rPr>
          <w:rFonts w:hint="eastAsia" w:ascii="仿宋" w:hAnsi="仿宋" w:eastAsia="仿宋" w:cs="仿宋"/>
          <w:sz w:val="32"/>
          <w:szCs w:val="32"/>
          <w:highlight w:val="none"/>
        </w:rPr>
      </w:pPr>
    </w:p>
    <w:p w14:paraId="566986CC">
      <w:pPr>
        <w:jc w:val="center"/>
        <w:rPr>
          <w:rFonts w:hint="eastAsia" w:ascii="仿宋" w:hAnsi="仿宋" w:eastAsia="仿宋" w:cs="仿宋"/>
          <w:szCs w:val="21"/>
          <w:highlight w:val="none"/>
        </w:rPr>
      </w:pPr>
      <w:r>
        <w:rPr>
          <w:rFonts w:hint="eastAsia" w:ascii="仿宋" w:hAnsi="仿宋" w:eastAsia="仿宋" w:cs="仿宋"/>
          <w:szCs w:val="21"/>
          <w:highlight w:val="none"/>
        </w:rPr>
        <w:t>签订时间：      年    月    日</w:t>
      </w:r>
    </w:p>
    <w:p w14:paraId="296529D6">
      <w:pPr>
        <w:jc w:val="center"/>
        <w:rPr>
          <w:rFonts w:hint="eastAsia" w:ascii="仿宋" w:hAnsi="仿宋" w:eastAsia="仿宋" w:cs="仿宋"/>
          <w:szCs w:val="21"/>
          <w:highlight w:val="none"/>
        </w:rPr>
      </w:pPr>
    </w:p>
    <w:p w14:paraId="2902B589">
      <w:pPr>
        <w:jc w:val="center"/>
        <w:rPr>
          <w:rFonts w:hint="eastAsia" w:ascii="仿宋" w:hAnsi="仿宋" w:eastAsia="仿宋" w:cs="仿宋"/>
          <w:szCs w:val="21"/>
          <w:highlight w:val="none"/>
        </w:rPr>
      </w:pPr>
    </w:p>
    <w:p w14:paraId="67FB047C">
      <w:pPr>
        <w:jc w:val="center"/>
        <w:rPr>
          <w:rFonts w:hint="eastAsia" w:ascii="仿宋" w:hAnsi="仿宋" w:eastAsia="仿宋" w:cs="仿宋"/>
          <w:szCs w:val="21"/>
          <w:highlight w:val="none"/>
        </w:rPr>
      </w:pPr>
    </w:p>
    <w:p w14:paraId="23E80056">
      <w:pPr>
        <w:snapToGrid w:val="0"/>
        <w:spacing w:line="360" w:lineRule="auto"/>
        <w:jc w:val="center"/>
        <w:rPr>
          <w:rFonts w:hint="eastAsia" w:ascii="仿宋_GB2312" w:hAnsi="楷体" w:eastAsia="仿宋_GB2312"/>
          <w:b/>
          <w:sz w:val="24"/>
          <w:highlight w:val="none"/>
        </w:rPr>
      </w:pPr>
    </w:p>
    <w:p w14:paraId="16619D51">
      <w:pPr>
        <w:snapToGrid w:val="0"/>
        <w:spacing w:line="360" w:lineRule="auto"/>
        <w:jc w:val="center"/>
        <w:rPr>
          <w:rFonts w:hint="eastAsia" w:ascii="仿宋_GB2312" w:hAnsi="楷体" w:eastAsia="仿宋_GB2312"/>
          <w:b/>
          <w:sz w:val="24"/>
          <w:highlight w:val="none"/>
        </w:rPr>
      </w:pPr>
      <w:r>
        <w:rPr>
          <w:rFonts w:hint="eastAsia" w:ascii="仿宋_GB2312" w:hAnsi="楷体" w:eastAsia="仿宋_GB2312"/>
          <w:b/>
          <w:sz w:val="24"/>
          <w:highlight w:val="none"/>
        </w:rPr>
        <w:br w:type="page"/>
      </w:r>
      <w:r>
        <w:rPr>
          <w:rFonts w:hint="eastAsia" w:ascii="仿宋_GB2312" w:hAnsi="楷体" w:eastAsia="仿宋_GB2312"/>
          <w:b/>
          <w:sz w:val="24"/>
          <w:highlight w:val="none"/>
        </w:rPr>
        <w:t>合同目录</w:t>
      </w:r>
    </w:p>
    <w:p w14:paraId="39DCD723">
      <w:pPr>
        <w:snapToGrid w:val="0"/>
        <w:spacing w:line="360" w:lineRule="auto"/>
        <w:jc w:val="center"/>
        <w:rPr>
          <w:rFonts w:ascii="宋体"/>
          <w:b/>
          <w:bCs/>
          <w:sz w:val="44"/>
          <w:highlight w:val="none"/>
        </w:rPr>
      </w:pPr>
    </w:p>
    <w:p w14:paraId="683621B8">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一、</w:t>
      </w:r>
      <w:r>
        <w:rPr>
          <w:rFonts w:hint="eastAsia" w:ascii="仿宋_GB2312" w:hAnsi="仿宋" w:eastAsia="仿宋_GB2312"/>
          <w:sz w:val="24"/>
          <w:highlight w:val="none"/>
        </w:rPr>
        <w:t>第一部分 合同书</w:t>
      </w:r>
      <w:r>
        <w:rPr>
          <w:rFonts w:hint="eastAsia" w:ascii="仿宋_GB2312" w:hAnsi="仿宋" w:eastAsia="仿宋_GB2312" w:cs="仿宋_GB2312"/>
          <w:kern w:val="0"/>
          <w:sz w:val="24"/>
          <w:highlight w:val="none"/>
        </w:rPr>
        <w:t>……………………………………………………………（页码）</w:t>
      </w:r>
    </w:p>
    <w:p w14:paraId="7FB87F09">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二、第二部分 合同一般条款……………………………………………………（页码）</w:t>
      </w:r>
    </w:p>
    <w:p w14:paraId="63EE6B63">
      <w:pPr>
        <w:pStyle w:val="10"/>
        <w:ind w:firstLine="1126"/>
        <w:rPr>
          <w:rFonts w:hint="eastAsia" w:ascii="仿宋_GB2312" w:hAnsi="楷体" w:eastAsia="仿宋_GB2312"/>
          <w:b/>
          <w:sz w:val="28"/>
          <w:szCs w:val="28"/>
          <w:highlight w:val="none"/>
        </w:rPr>
      </w:pPr>
      <w:r>
        <w:rPr>
          <w:highlight w:val="none"/>
        </w:rPr>
        <w:br w:type="page"/>
      </w:r>
      <w:bookmarkStart w:id="78" w:name="_Toc24629"/>
      <w:bookmarkStart w:id="79" w:name="_Toc80205944"/>
      <w:bookmarkStart w:id="80" w:name="_Toc80886948"/>
      <w:r>
        <w:rPr>
          <w:rFonts w:hint="eastAsia" w:ascii="仿宋_GB2312" w:hAnsi="楷体" w:eastAsia="仿宋_GB2312"/>
          <w:b/>
          <w:sz w:val="28"/>
          <w:szCs w:val="28"/>
          <w:highlight w:val="none"/>
        </w:rPr>
        <w:t>第一部分 合同书</w:t>
      </w:r>
      <w:bookmarkEnd w:id="78"/>
      <w:bookmarkEnd w:id="79"/>
      <w:bookmarkEnd w:id="80"/>
    </w:p>
    <w:p w14:paraId="4C9A9D3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年</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月</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日</w:t>
      </w:r>
      <w:r>
        <w:rPr>
          <w:rFonts w:hint="eastAsia" w:ascii="仿宋_GB2312" w:hAnsi="楷体" w:eastAsia="仿宋_GB2312"/>
          <w:sz w:val="24"/>
          <w:highlight w:val="none"/>
        </w:rPr>
        <w:t>，</w:t>
      </w:r>
      <w:r>
        <w:rPr>
          <w:rFonts w:hint="eastAsia" w:ascii="仿宋_GB2312" w:hAnsi="仿宋" w:eastAsia="仿宋_GB2312"/>
          <w:sz w:val="24"/>
          <w:highlight w:val="none"/>
          <w:u w:val="single"/>
        </w:rPr>
        <w:t xml:space="preserve">  </w:t>
      </w:r>
      <w:bookmarkStart w:id="81" w:name="PO_3000001869_PM026_3"/>
      <w:r>
        <w:rPr>
          <w:rFonts w:ascii="仿宋_GB2312" w:hAnsi="仿宋" w:eastAsia="仿宋_GB2312"/>
          <w:sz w:val="24"/>
          <w:highlight w:val="none"/>
          <w:u w:val="single"/>
        </w:rPr>
        <w:t>[项目采购-采购人]</w:t>
      </w:r>
      <w:bookmarkEnd w:id="81"/>
      <w:r>
        <w:rPr>
          <w:rFonts w:hint="eastAsia" w:ascii="仿宋_GB2312" w:hAnsi="仿宋" w:eastAsia="仿宋_GB2312"/>
          <w:sz w:val="24"/>
          <w:highlight w:val="none"/>
          <w:u w:val="single"/>
        </w:rPr>
        <w:t xml:space="preserve">  </w:t>
      </w:r>
      <w:r>
        <w:rPr>
          <w:rFonts w:ascii="仿宋_GB2312" w:hAnsi="仿宋" w:eastAsia="仿宋_GB2312"/>
          <w:sz w:val="24"/>
          <w:highlight w:val="none"/>
          <w:u w:val="single"/>
        </w:rPr>
        <w:t xml:space="preserve"> </w:t>
      </w:r>
      <w:r>
        <w:rPr>
          <w:rFonts w:hint="eastAsia" w:ascii="仿宋_GB2312" w:hAnsi="仿宋" w:eastAsia="仿宋_GB2312"/>
          <w:sz w:val="24"/>
          <w:highlight w:val="none"/>
        </w:rPr>
        <w:t>以</w:t>
      </w:r>
      <w:r>
        <w:rPr>
          <w:rFonts w:hint="eastAsia" w:ascii="仿宋_GB2312" w:hAnsi="仿宋" w:eastAsia="仿宋_GB2312"/>
          <w:sz w:val="24"/>
          <w:highlight w:val="none"/>
          <w:u w:val="single"/>
        </w:rPr>
        <w:t xml:space="preserve">  公开招标方式  </w:t>
      </w:r>
      <w:r>
        <w:rPr>
          <w:rFonts w:hint="eastAsia" w:ascii="仿宋_GB2312" w:hAnsi="仿宋" w:eastAsia="仿宋_GB2312"/>
          <w:sz w:val="24"/>
          <w:highlight w:val="none"/>
        </w:rPr>
        <w:t>对</w:t>
      </w:r>
      <w:r>
        <w:rPr>
          <w:rFonts w:hint="eastAsia" w:ascii="仿宋_GB2312" w:hAnsi="仿宋" w:eastAsia="仿宋_GB2312"/>
          <w:sz w:val="24"/>
          <w:highlight w:val="none"/>
          <w:u w:val="single"/>
        </w:rPr>
        <w:t xml:space="preserve">        </w:t>
      </w:r>
      <w:r>
        <w:rPr>
          <w:rFonts w:hint="eastAsia" w:ascii="仿宋_GB2312" w:hAnsi="楷体" w:eastAsia="仿宋_GB2312"/>
          <w:sz w:val="24"/>
          <w:highlight w:val="none"/>
        </w:rPr>
        <w:t>项目进行了采购。经</w:t>
      </w:r>
      <w:r>
        <w:rPr>
          <w:rFonts w:hint="eastAsia" w:ascii="仿宋_GB2312" w:hAnsi="楷体" w:eastAsia="仿宋_GB2312"/>
          <w:sz w:val="24"/>
          <w:highlight w:val="none"/>
          <w:u w:val="single"/>
        </w:rPr>
        <w:t xml:space="preserve">   （相关评定主体名称）   </w:t>
      </w:r>
      <w:r>
        <w:rPr>
          <w:rFonts w:hint="eastAsia" w:ascii="仿宋_GB2312" w:hAnsi="楷体" w:eastAsia="仿宋_GB2312"/>
          <w:sz w:val="24"/>
          <w:highlight w:val="none"/>
        </w:rPr>
        <w:t>评定，</w:t>
      </w:r>
      <w:r>
        <w:rPr>
          <w:rFonts w:hint="eastAsia" w:ascii="仿宋_GB2312" w:hAnsi="楷体" w:eastAsia="仿宋_GB2312"/>
          <w:sz w:val="24"/>
          <w:highlight w:val="none"/>
          <w:u w:val="single"/>
        </w:rPr>
        <w:t xml:space="preserve">   （供应商名称）</w:t>
      </w:r>
      <w:r>
        <w:rPr>
          <w:rFonts w:hint="eastAsia" w:ascii="仿宋_GB2312" w:hAnsi="楷体" w:eastAsia="仿宋_GB2312"/>
          <w:sz w:val="24"/>
          <w:highlight w:val="none"/>
        </w:rPr>
        <w:t>为该项目成交供应商。现于成交通知书发出之日起</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日内，按照采购文件确定的事项签订本合同。</w:t>
      </w:r>
    </w:p>
    <w:p w14:paraId="628D2DA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highlight w:val="none"/>
          <w:u w:val="single"/>
        </w:rPr>
        <w:t xml:space="preserve">  </w:t>
      </w:r>
      <w:bookmarkStart w:id="82" w:name="PO_3000001869_PM026_4"/>
      <w:r>
        <w:rPr>
          <w:rFonts w:ascii="仿宋_GB2312" w:hAnsi="楷体" w:eastAsia="仿宋_GB2312"/>
          <w:sz w:val="24"/>
          <w:highlight w:val="none"/>
          <w:u w:val="single"/>
        </w:rPr>
        <w:t>[项目采购-采购人]</w:t>
      </w:r>
      <w:bookmarkEnd w:id="82"/>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lang w:val="zh-CN"/>
        </w:rPr>
        <w:t>(以下简称：甲方)和</w:t>
      </w:r>
      <w:r>
        <w:rPr>
          <w:rFonts w:hint="eastAsia" w:ascii="仿宋_GB2312" w:hAnsi="楷体" w:eastAsia="仿宋_GB2312"/>
          <w:sz w:val="24"/>
          <w:highlight w:val="none"/>
          <w:u w:val="single"/>
        </w:rPr>
        <w:t xml:space="preserve">   （中标人名称）   </w:t>
      </w:r>
      <w:r>
        <w:rPr>
          <w:rFonts w:hint="eastAsia" w:ascii="仿宋_GB2312" w:hAnsi="楷体" w:eastAsia="仿宋_GB2312"/>
          <w:sz w:val="24"/>
          <w:highlight w:val="none"/>
          <w:lang w:val="zh-CN"/>
        </w:rPr>
        <w:t>(以下简称：乙方)协商一致，约定以下合同</w:t>
      </w:r>
      <w:r>
        <w:rPr>
          <w:rFonts w:hint="eastAsia" w:ascii="仿宋_GB2312" w:hAnsi="楷体" w:eastAsia="仿宋_GB2312"/>
          <w:sz w:val="24"/>
          <w:highlight w:val="none"/>
        </w:rPr>
        <w:t>条款，以兹共同遵守、全面履行。</w:t>
      </w:r>
    </w:p>
    <w:p w14:paraId="5D1E2D9F">
      <w:pPr>
        <w:spacing w:line="360" w:lineRule="auto"/>
        <w:ind w:firstLine="482" w:firstLineChars="200"/>
        <w:rPr>
          <w:rFonts w:hint="eastAsia" w:ascii="仿宋_GB2312" w:hAnsi="楷体" w:eastAsia="仿宋_GB2312"/>
          <w:b/>
          <w:sz w:val="24"/>
          <w:highlight w:val="none"/>
        </w:rPr>
      </w:pPr>
      <w:bookmarkStart w:id="83" w:name="_Toc2232"/>
      <w:bookmarkStart w:id="84" w:name="_Toc24059"/>
      <w:bookmarkStart w:id="85" w:name="_Toc3029"/>
      <w:r>
        <w:rPr>
          <w:rFonts w:hint="eastAsia" w:ascii="仿宋_GB2312" w:hAnsi="楷体" w:eastAsia="仿宋_GB2312"/>
          <w:b/>
          <w:sz w:val="24"/>
          <w:highlight w:val="none"/>
        </w:rPr>
        <w:t>1.1 合同组成部分</w:t>
      </w:r>
      <w:bookmarkEnd w:id="83"/>
      <w:bookmarkEnd w:id="84"/>
      <w:bookmarkEnd w:id="85"/>
    </w:p>
    <w:p w14:paraId="69C91C8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下列文件为本合同的组成部分，并构成一个整体，需综合解释、相互补充。如果下列文件内容出现不一致的情形，在保证按照采购文件确定的事项的前提下，组成本合同的多个文件的优先适用顺序如下：</w:t>
      </w:r>
    </w:p>
    <w:p w14:paraId="63594DB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1.1.1 本合同及其补充合同、变更协议；</w:t>
      </w:r>
    </w:p>
    <w:p w14:paraId="74079FC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1.1.2 成交通知书；</w:t>
      </w:r>
    </w:p>
    <w:p w14:paraId="6388780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1.1.3 采购文件及“响应报价”（含澄清或者说明文件）；</w:t>
      </w:r>
    </w:p>
    <w:p w14:paraId="0571279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1.1.4 采购文件（含澄清或者修改文件）；</w:t>
      </w:r>
    </w:p>
    <w:p w14:paraId="61099D0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1.1.5 其他相关采购文件。</w:t>
      </w:r>
    </w:p>
    <w:p w14:paraId="48DA246E">
      <w:pPr>
        <w:spacing w:line="360" w:lineRule="auto"/>
        <w:ind w:firstLine="482" w:firstLineChars="200"/>
        <w:rPr>
          <w:rFonts w:hint="eastAsia" w:ascii="仿宋_GB2312" w:hAnsi="楷体" w:eastAsia="仿宋_GB2312"/>
          <w:b/>
          <w:sz w:val="24"/>
          <w:highlight w:val="none"/>
        </w:rPr>
      </w:pPr>
      <w:bookmarkStart w:id="86" w:name="_Toc21295"/>
      <w:bookmarkStart w:id="87" w:name="_Toc27126"/>
      <w:bookmarkStart w:id="88" w:name="_Toc24300"/>
      <w:r>
        <w:rPr>
          <w:rFonts w:hint="eastAsia" w:ascii="仿宋_GB2312" w:hAnsi="楷体" w:eastAsia="仿宋_GB2312"/>
          <w:b/>
          <w:sz w:val="24"/>
          <w:highlight w:val="none"/>
        </w:rPr>
        <w:t>1.2 标的物</w:t>
      </w:r>
      <w:bookmarkEnd w:id="86"/>
      <w:bookmarkEnd w:id="87"/>
      <w:bookmarkEnd w:id="88"/>
    </w:p>
    <w:p w14:paraId="73B478B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 标的物1信息</w:t>
      </w:r>
    </w:p>
    <w:p w14:paraId="6D87B568">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1.2.1.1名称：</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0A474827">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1.2.1.2数量：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6BA7ACE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1.2.1.3质量：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AA0DE4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w:t>
      </w:r>
    </w:p>
    <w:p w14:paraId="287B3044">
      <w:pPr>
        <w:spacing w:line="360" w:lineRule="auto"/>
        <w:ind w:firstLine="482" w:firstLineChars="200"/>
        <w:rPr>
          <w:rFonts w:hint="eastAsia" w:ascii="仿宋_GB2312" w:hAnsi="楷体" w:eastAsia="仿宋_GB2312"/>
          <w:b/>
          <w:sz w:val="24"/>
          <w:highlight w:val="none"/>
        </w:rPr>
      </w:pPr>
      <w:bookmarkStart w:id="89" w:name="_Toc21631"/>
      <w:bookmarkStart w:id="90" w:name="_Toc21551"/>
      <w:bookmarkStart w:id="91" w:name="_Toc23292"/>
      <w:r>
        <w:rPr>
          <w:rFonts w:hint="eastAsia" w:ascii="仿宋_GB2312" w:hAnsi="楷体" w:eastAsia="仿宋_GB2312"/>
          <w:b/>
          <w:sz w:val="24"/>
          <w:highlight w:val="none"/>
        </w:rPr>
        <w:t>1.3 价款</w:t>
      </w:r>
      <w:bookmarkEnd w:id="89"/>
      <w:bookmarkEnd w:id="90"/>
      <w:bookmarkEnd w:id="91"/>
    </w:p>
    <w:p w14:paraId="18F7739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本合同总价为：人民币</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元（大写：</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元人民币，含税）。</w:t>
      </w:r>
    </w:p>
    <w:p w14:paraId="6819A431">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0CA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ABCEB2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序号</w:t>
            </w:r>
          </w:p>
        </w:tc>
        <w:tc>
          <w:tcPr>
            <w:tcW w:w="3402" w:type="dxa"/>
            <w:vAlign w:val="center"/>
          </w:tcPr>
          <w:p w14:paraId="7C97157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分项名称</w:t>
            </w:r>
          </w:p>
        </w:tc>
        <w:tc>
          <w:tcPr>
            <w:tcW w:w="2552" w:type="dxa"/>
            <w:vAlign w:val="center"/>
          </w:tcPr>
          <w:p w14:paraId="4B1F09D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分项价格</w:t>
            </w:r>
          </w:p>
        </w:tc>
      </w:tr>
      <w:tr w14:paraId="7710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741E132">
            <w:pPr>
              <w:spacing w:line="360" w:lineRule="auto"/>
              <w:ind w:firstLine="480" w:firstLineChars="200"/>
              <w:rPr>
                <w:rFonts w:hint="eastAsia" w:ascii="仿宋_GB2312" w:hAnsi="楷体" w:eastAsia="仿宋_GB2312"/>
                <w:sz w:val="24"/>
                <w:highlight w:val="none"/>
              </w:rPr>
            </w:pPr>
          </w:p>
        </w:tc>
        <w:tc>
          <w:tcPr>
            <w:tcW w:w="3402" w:type="dxa"/>
            <w:vAlign w:val="center"/>
          </w:tcPr>
          <w:p w14:paraId="656921BD">
            <w:pPr>
              <w:spacing w:line="360" w:lineRule="auto"/>
              <w:ind w:firstLine="480" w:firstLineChars="200"/>
              <w:rPr>
                <w:rFonts w:hint="eastAsia" w:ascii="仿宋_GB2312" w:hAnsi="楷体" w:eastAsia="仿宋_GB2312"/>
                <w:sz w:val="24"/>
                <w:highlight w:val="none"/>
              </w:rPr>
            </w:pPr>
          </w:p>
        </w:tc>
        <w:tc>
          <w:tcPr>
            <w:tcW w:w="2552" w:type="dxa"/>
            <w:vAlign w:val="center"/>
          </w:tcPr>
          <w:p w14:paraId="0D404E84">
            <w:pPr>
              <w:spacing w:line="360" w:lineRule="auto"/>
              <w:ind w:firstLine="480" w:firstLineChars="200"/>
              <w:rPr>
                <w:rFonts w:hint="eastAsia" w:ascii="仿宋_GB2312" w:hAnsi="楷体" w:eastAsia="仿宋_GB2312"/>
                <w:sz w:val="24"/>
                <w:highlight w:val="none"/>
              </w:rPr>
            </w:pPr>
          </w:p>
        </w:tc>
      </w:tr>
      <w:tr w14:paraId="18D7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E38F85C">
            <w:pPr>
              <w:spacing w:line="360" w:lineRule="auto"/>
              <w:ind w:firstLine="480" w:firstLineChars="200"/>
              <w:rPr>
                <w:rFonts w:hint="eastAsia" w:ascii="仿宋_GB2312" w:hAnsi="楷体" w:eastAsia="仿宋_GB2312"/>
                <w:sz w:val="24"/>
                <w:highlight w:val="none"/>
              </w:rPr>
            </w:pPr>
          </w:p>
        </w:tc>
        <w:tc>
          <w:tcPr>
            <w:tcW w:w="3402" w:type="dxa"/>
            <w:vAlign w:val="center"/>
          </w:tcPr>
          <w:p w14:paraId="4A9CCF57">
            <w:pPr>
              <w:spacing w:line="360" w:lineRule="auto"/>
              <w:ind w:firstLine="480" w:firstLineChars="200"/>
              <w:rPr>
                <w:rFonts w:hint="eastAsia" w:ascii="仿宋_GB2312" w:hAnsi="楷体" w:eastAsia="仿宋_GB2312"/>
                <w:sz w:val="24"/>
                <w:highlight w:val="none"/>
              </w:rPr>
            </w:pPr>
          </w:p>
        </w:tc>
        <w:tc>
          <w:tcPr>
            <w:tcW w:w="2552" w:type="dxa"/>
            <w:vAlign w:val="center"/>
          </w:tcPr>
          <w:p w14:paraId="7CCB2859">
            <w:pPr>
              <w:spacing w:line="360" w:lineRule="auto"/>
              <w:ind w:firstLine="480" w:firstLineChars="200"/>
              <w:rPr>
                <w:rFonts w:hint="eastAsia" w:ascii="仿宋_GB2312" w:hAnsi="楷体" w:eastAsia="仿宋_GB2312"/>
                <w:sz w:val="24"/>
                <w:highlight w:val="none"/>
              </w:rPr>
            </w:pPr>
          </w:p>
        </w:tc>
      </w:tr>
      <w:tr w14:paraId="581C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DA63254">
            <w:pPr>
              <w:spacing w:line="360" w:lineRule="auto"/>
              <w:ind w:firstLine="480" w:firstLineChars="200"/>
              <w:rPr>
                <w:rFonts w:hint="eastAsia" w:ascii="仿宋_GB2312" w:hAnsi="楷体" w:eastAsia="仿宋_GB2312"/>
                <w:sz w:val="24"/>
                <w:highlight w:val="none"/>
              </w:rPr>
            </w:pPr>
          </w:p>
        </w:tc>
        <w:tc>
          <w:tcPr>
            <w:tcW w:w="3402" w:type="dxa"/>
            <w:vAlign w:val="center"/>
          </w:tcPr>
          <w:p w14:paraId="5BE57C28">
            <w:pPr>
              <w:spacing w:line="360" w:lineRule="auto"/>
              <w:ind w:firstLine="480" w:firstLineChars="200"/>
              <w:rPr>
                <w:rFonts w:hint="eastAsia" w:ascii="仿宋_GB2312" w:hAnsi="楷体" w:eastAsia="仿宋_GB2312"/>
                <w:sz w:val="24"/>
                <w:highlight w:val="none"/>
              </w:rPr>
            </w:pPr>
          </w:p>
        </w:tc>
        <w:tc>
          <w:tcPr>
            <w:tcW w:w="2552" w:type="dxa"/>
            <w:vAlign w:val="center"/>
          </w:tcPr>
          <w:p w14:paraId="0DD8FADA">
            <w:pPr>
              <w:spacing w:line="360" w:lineRule="auto"/>
              <w:ind w:firstLine="480" w:firstLineChars="200"/>
              <w:rPr>
                <w:rFonts w:hint="eastAsia" w:ascii="仿宋_GB2312" w:hAnsi="楷体" w:eastAsia="仿宋_GB2312"/>
                <w:sz w:val="24"/>
                <w:highlight w:val="none"/>
              </w:rPr>
            </w:pPr>
          </w:p>
        </w:tc>
      </w:tr>
      <w:tr w14:paraId="1A25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4E1F15A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总价</w:t>
            </w:r>
          </w:p>
        </w:tc>
        <w:tc>
          <w:tcPr>
            <w:tcW w:w="2552" w:type="dxa"/>
            <w:vAlign w:val="center"/>
          </w:tcPr>
          <w:p w14:paraId="198EE64A">
            <w:pPr>
              <w:spacing w:line="360" w:lineRule="auto"/>
              <w:ind w:firstLine="480" w:firstLineChars="200"/>
              <w:rPr>
                <w:rFonts w:hint="eastAsia" w:ascii="仿宋_GB2312" w:hAnsi="楷体" w:eastAsia="仿宋_GB2312"/>
                <w:sz w:val="24"/>
                <w:highlight w:val="none"/>
              </w:rPr>
            </w:pPr>
          </w:p>
        </w:tc>
      </w:tr>
    </w:tbl>
    <w:p w14:paraId="26458CE3">
      <w:pPr>
        <w:spacing w:line="360" w:lineRule="auto"/>
        <w:ind w:firstLine="482" w:firstLineChars="200"/>
        <w:rPr>
          <w:rFonts w:hint="eastAsia" w:ascii="仿宋_GB2312" w:hAnsi="楷体" w:eastAsia="仿宋_GB2312"/>
          <w:b/>
          <w:sz w:val="24"/>
          <w:highlight w:val="none"/>
        </w:rPr>
      </w:pPr>
      <w:bookmarkStart w:id="92" w:name="_Toc10340"/>
      <w:bookmarkStart w:id="93" w:name="_Toc22618"/>
      <w:bookmarkStart w:id="94" w:name="_Toc1814"/>
      <w:r>
        <w:rPr>
          <w:rFonts w:hint="eastAsia" w:ascii="仿宋_GB2312" w:hAnsi="楷体" w:eastAsia="仿宋_GB2312"/>
          <w:b/>
          <w:sz w:val="24"/>
          <w:highlight w:val="none"/>
        </w:rPr>
        <w:t>1.4 付款方式和发票开具方式</w:t>
      </w:r>
      <w:bookmarkEnd w:id="92"/>
      <w:bookmarkEnd w:id="93"/>
      <w:bookmarkEnd w:id="94"/>
    </w:p>
    <w:p w14:paraId="553AB3DC">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1.4.1 付款方式：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4812DF2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1.4.2 发票开具方式：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706D786">
      <w:pPr>
        <w:spacing w:line="360" w:lineRule="auto"/>
        <w:ind w:firstLine="482" w:firstLineChars="200"/>
        <w:rPr>
          <w:rFonts w:hint="eastAsia" w:ascii="仿宋_GB2312" w:hAnsi="楷体" w:eastAsia="仿宋_GB2312"/>
          <w:b/>
          <w:sz w:val="24"/>
          <w:highlight w:val="none"/>
        </w:rPr>
      </w:pPr>
      <w:bookmarkStart w:id="95" w:name="_Toc2846"/>
      <w:bookmarkStart w:id="96" w:name="_Toc32071"/>
      <w:bookmarkStart w:id="97" w:name="_Toc19304"/>
      <w:r>
        <w:rPr>
          <w:rFonts w:hint="eastAsia" w:ascii="仿宋_GB2312" w:hAnsi="楷体" w:eastAsia="仿宋_GB2312"/>
          <w:b/>
          <w:sz w:val="24"/>
          <w:highlight w:val="none"/>
        </w:rPr>
        <w:t>1.5 标的物交付期限、地点、方式</w:t>
      </w:r>
      <w:bookmarkEnd w:id="95"/>
      <w:bookmarkEnd w:id="96"/>
      <w:bookmarkEnd w:id="97"/>
      <w:r>
        <w:rPr>
          <w:rFonts w:hint="eastAsia" w:ascii="仿宋_GB2312" w:hAnsi="楷体" w:eastAsia="仿宋_GB2312"/>
          <w:b/>
          <w:sz w:val="24"/>
          <w:highlight w:val="none"/>
        </w:rPr>
        <w:t>和服务期限</w:t>
      </w:r>
    </w:p>
    <w:p w14:paraId="7C86DDAF">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1.5.1 交付期限：</w:t>
      </w:r>
      <w:r>
        <w:rPr>
          <w:rFonts w:hint="eastAsia" w:ascii="仿宋_GB2312" w:hAnsi="楷体" w:eastAsia="仿宋_GB2312"/>
          <w:sz w:val="24"/>
          <w:highlight w:val="none"/>
          <w:u w:val="single"/>
        </w:rPr>
        <w:t xml:space="preserve">                                                 ；</w:t>
      </w:r>
    </w:p>
    <w:p w14:paraId="5CF370A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1.5.2 交付地点：</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02353D5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1.5.3 交付方式：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4F7EEC7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w:t>
      </w:r>
      <w:r>
        <w:rPr>
          <w:rFonts w:ascii="仿宋_GB2312" w:hAnsi="楷体" w:eastAsia="仿宋_GB2312"/>
          <w:sz w:val="24"/>
          <w:highlight w:val="none"/>
        </w:rPr>
        <w:t>4</w:t>
      </w:r>
      <w:r>
        <w:rPr>
          <w:rFonts w:hint="eastAsia" w:ascii="仿宋_GB2312" w:hAnsi="楷体" w:eastAsia="仿宋_GB2312"/>
          <w:sz w:val="24"/>
          <w:highlight w:val="none"/>
        </w:rPr>
        <w:t xml:space="preserve"> 服务及</w:t>
      </w:r>
      <w:r>
        <w:rPr>
          <w:rFonts w:hint="eastAsia" w:ascii="仿宋_GB2312" w:hAnsi="楷体" w:eastAsia="黑体"/>
          <w:b/>
          <w:sz w:val="36"/>
          <w:highlight w:val="none"/>
        </w:rPr>
        <w:t>质保期</w:t>
      </w:r>
      <w:r>
        <w:rPr>
          <w:rFonts w:hint="eastAsia" w:ascii="仿宋_GB2312" w:hAnsi="楷体" w:eastAsia="仿宋_GB2312"/>
          <w:sz w:val="24"/>
          <w:highlight w:val="none"/>
        </w:rPr>
        <w:t>限：</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5341DA4F">
      <w:pPr>
        <w:spacing w:line="360" w:lineRule="auto"/>
        <w:ind w:firstLine="482" w:firstLineChars="200"/>
        <w:rPr>
          <w:rFonts w:hint="eastAsia" w:ascii="仿宋_GB2312" w:hAnsi="楷体" w:eastAsia="仿宋_GB2312"/>
          <w:b/>
          <w:sz w:val="24"/>
          <w:highlight w:val="none"/>
        </w:rPr>
      </w:pPr>
      <w:bookmarkStart w:id="98" w:name="_Toc19554"/>
      <w:bookmarkStart w:id="99" w:name="_Toc27250"/>
      <w:bookmarkStart w:id="100" w:name="_Toc21423"/>
      <w:r>
        <w:rPr>
          <w:rFonts w:hint="eastAsia" w:ascii="仿宋_GB2312" w:hAnsi="楷体" w:eastAsia="仿宋_GB2312"/>
          <w:b/>
          <w:sz w:val="24"/>
          <w:highlight w:val="none"/>
        </w:rPr>
        <w:t>1.6 违约责任</w:t>
      </w:r>
      <w:bookmarkEnd w:id="98"/>
      <w:bookmarkEnd w:id="99"/>
      <w:bookmarkEnd w:id="100"/>
    </w:p>
    <w:p w14:paraId="2060F41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计算，最高限额为本合同总价的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 xml:space="preserve">%；迟延超过【 </w:t>
      </w:r>
      <w:r>
        <w:rPr>
          <w:rFonts w:ascii="仿宋_GB2312" w:hAnsi="楷体" w:eastAsia="仿宋_GB2312"/>
          <w:sz w:val="24"/>
          <w:highlight w:val="none"/>
        </w:rPr>
        <w:t xml:space="preserve"> </w:t>
      </w:r>
      <w:r>
        <w:rPr>
          <w:rFonts w:hint="eastAsia" w:ascii="仿宋_GB2312" w:hAnsi="楷体" w:eastAsia="仿宋_GB2312"/>
          <w:sz w:val="24"/>
          <w:highlight w:val="none"/>
        </w:rPr>
        <w:t>】日的，甲方有权在要求乙方支付违约金的同时，书面通知乙方解除本合同，乙方应退回全部已收取的合同价款并按合同总金额的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%向甲方支付违约金；</w:t>
      </w:r>
    </w:p>
    <w:p w14:paraId="42803B8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highlight w:val="none"/>
          <w:u w:val="single"/>
        </w:rPr>
        <w:t>万分之五</w:t>
      </w:r>
      <w:r>
        <w:rPr>
          <w:rFonts w:hint="eastAsia" w:ascii="仿宋_GB2312" w:hAnsi="楷体" w:eastAsia="仿宋_GB2312"/>
          <w:sz w:val="24"/>
          <w:highlight w:val="none"/>
        </w:rPr>
        <w:t>计算，最高限额为欠付金额的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%；迟延付款的违约金计算数额达到前述最高限额之日起，乙方有权在要求甲方支付违约金的同时，书面通知甲方解除本合同；</w:t>
      </w:r>
    </w:p>
    <w:p w14:paraId="4C7917A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C8CC7BE">
      <w:pPr>
        <w:spacing w:line="360" w:lineRule="auto"/>
        <w:ind w:left="239" w:leftChars="114" w:firstLine="240" w:firstLineChars="100"/>
        <w:rPr>
          <w:rFonts w:hint="eastAsia" w:ascii="仿宋" w:hAnsi="仿宋" w:eastAsia="仿宋" w:cs="仿宋"/>
          <w:sz w:val="24"/>
          <w:highlight w:val="none"/>
        </w:rPr>
      </w:pPr>
      <w:r>
        <w:rPr>
          <w:rFonts w:hint="eastAsia" w:ascii="仿宋_GB2312" w:hAnsi="楷体" w:eastAsia="仿宋_GB2312"/>
          <w:sz w:val="24"/>
          <w:highlight w:val="none"/>
        </w:rPr>
        <w:t>1.6.4乙方在</w:t>
      </w:r>
      <w:r>
        <w:rPr>
          <w:rFonts w:hint="eastAsia" w:ascii="仿宋_GB2312" w:hAnsi="楷体" w:eastAsia="黑体"/>
          <w:b/>
          <w:sz w:val="36"/>
          <w:highlight w:val="none"/>
        </w:rPr>
        <w:t>质保期</w:t>
      </w:r>
      <w:r>
        <w:rPr>
          <w:rFonts w:hint="eastAsia" w:ascii="仿宋_GB2312" w:hAnsi="楷体" w:eastAsia="仿宋_GB2312"/>
          <w:sz w:val="24"/>
          <w:highlight w:val="none"/>
        </w:rPr>
        <w:t>内未按</w:t>
      </w:r>
      <w:r>
        <w:rPr>
          <w:rFonts w:hint="eastAsia" w:ascii="仿宋_GB2312" w:hAnsi="楷体" w:eastAsia="黑体"/>
          <w:b/>
          <w:sz w:val="36"/>
          <w:highlight w:val="none"/>
        </w:rPr>
        <w:t>承诺</w:t>
      </w:r>
      <w:r>
        <w:rPr>
          <w:rFonts w:hint="eastAsia" w:ascii="仿宋_GB2312" w:hAnsi="楷体" w:eastAsia="仿宋_GB2312"/>
          <w:sz w:val="24"/>
          <w:highlight w:val="none"/>
        </w:rPr>
        <w:t>提供售后等服务的，每发生一次向甲方支付</w:t>
      </w:r>
      <w:r>
        <w:rPr>
          <w:rFonts w:hint="eastAsia" w:ascii="仿宋" w:hAnsi="仿宋" w:eastAsia="仿宋" w:cs="仿宋"/>
          <w:sz w:val="24"/>
          <w:highlight w:val="none"/>
          <w:u w:val="single"/>
        </w:rPr>
        <w:t xml:space="preserve">  </w:t>
      </w:r>
      <w:r>
        <w:rPr>
          <w:rFonts w:hint="eastAsia" w:ascii="仿宋_GB2312" w:hAnsi="楷体" w:eastAsia="仿宋_GB2312"/>
          <w:sz w:val="24"/>
          <w:highlight w:val="none"/>
        </w:rPr>
        <w:t>元的违约金。</w:t>
      </w:r>
    </w:p>
    <w:p w14:paraId="1FD7A3B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EB02ED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802EBD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631F68BB">
      <w:pPr>
        <w:spacing w:line="360" w:lineRule="auto"/>
        <w:ind w:firstLine="482" w:firstLineChars="200"/>
        <w:rPr>
          <w:rFonts w:hint="eastAsia" w:ascii="仿宋_GB2312" w:hAnsi="楷体" w:eastAsia="仿宋_GB2312"/>
          <w:b/>
          <w:sz w:val="24"/>
          <w:highlight w:val="none"/>
        </w:rPr>
      </w:pPr>
      <w:bookmarkStart w:id="101" w:name="_Toc28375"/>
      <w:bookmarkStart w:id="102" w:name="_Toc16021"/>
      <w:bookmarkStart w:id="103" w:name="_Toc15583"/>
      <w:r>
        <w:rPr>
          <w:rFonts w:hint="eastAsia" w:ascii="仿宋_GB2312" w:hAnsi="楷体" w:eastAsia="仿宋_GB2312"/>
          <w:b/>
          <w:sz w:val="24"/>
          <w:highlight w:val="none"/>
        </w:rPr>
        <w:t>1.7 合同争议的解决</w:t>
      </w:r>
      <w:bookmarkEnd w:id="101"/>
      <w:bookmarkEnd w:id="102"/>
      <w:bookmarkEnd w:id="103"/>
    </w:p>
    <w:p w14:paraId="4701B9E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本合同履行过程中发生的任何争议，双方当事人均可通过和解或者调解解决；不愿和解、调解或者和解、调解不成的，可以选择下列第</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种方式解决：</w:t>
      </w:r>
    </w:p>
    <w:p w14:paraId="2845C94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1.7.1 将争议提交</w:t>
      </w:r>
      <w:r>
        <w:rPr>
          <w:rFonts w:hint="eastAsia" w:ascii="仿宋_GB2312" w:hAnsi="楷体" w:eastAsia="仿宋_GB2312"/>
          <w:sz w:val="24"/>
          <w:highlight w:val="none"/>
          <w:u w:val="single"/>
        </w:rPr>
        <w:t>当地</w:t>
      </w:r>
      <w:r>
        <w:rPr>
          <w:rFonts w:hint="eastAsia" w:ascii="仿宋_GB2312" w:hAnsi="楷体" w:eastAsia="仿宋_GB2312"/>
          <w:sz w:val="24"/>
          <w:highlight w:val="none"/>
        </w:rPr>
        <w:t>仲裁委员会依申请仲裁时其现行有效的仲裁规则裁决；</w:t>
      </w:r>
    </w:p>
    <w:p w14:paraId="18488EE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1.7.2 向</w:t>
      </w:r>
      <w:r>
        <w:rPr>
          <w:rFonts w:hint="eastAsia" w:ascii="仿宋_GB2312" w:hAnsi="楷体" w:eastAsia="仿宋_GB2312"/>
          <w:sz w:val="24"/>
          <w:highlight w:val="none"/>
          <w:u w:val="single"/>
        </w:rPr>
        <w:t xml:space="preserve">   甲方所在地    </w:t>
      </w:r>
      <w:r>
        <w:rPr>
          <w:rFonts w:hint="eastAsia" w:ascii="仿宋_GB2312" w:hAnsi="楷体" w:eastAsia="仿宋_GB2312"/>
          <w:sz w:val="24"/>
          <w:highlight w:val="none"/>
        </w:rPr>
        <w:t>人民法院起诉。</w:t>
      </w:r>
    </w:p>
    <w:p w14:paraId="329E038A">
      <w:pPr>
        <w:spacing w:line="360" w:lineRule="auto"/>
        <w:ind w:firstLine="482" w:firstLineChars="200"/>
        <w:rPr>
          <w:rFonts w:hint="eastAsia" w:ascii="仿宋_GB2312" w:hAnsi="楷体" w:eastAsia="仿宋_GB2312"/>
          <w:b/>
          <w:sz w:val="24"/>
          <w:highlight w:val="none"/>
        </w:rPr>
      </w:pPr>
      <w:bookmarkStart w:id="104" w:name="_Toc15322"/>
      <w:bookmarkStart w:id="105" w:name="_Toc11173"/>
      <w:bookmarkStart w:id="106" w:name="_Toc7245"/>
      <w:r>
        <w:rPr>
          <w:rFonts w:hint="eastAsia" w:ascii="仿宋_GB2312" w:hAnsi="楷体" w:eastAsia="仿宋_GB2312"/>
          <w:b/>
          <w:sz w:val="24"/>
          <w:highlight w:val="none"/>
        </w:rPr>
        <w:t>1.8 合同生效</w:t>
      </w:r>
      <w:bookmarkEnd w:id="104"/>
      <w:bookmarkEnd w:id="105"/>
      <w:bookmarkEnd w:id="106"/>
    </w:p>
    <w:p w14:paraId="72FA88A4">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本合同自双方当事人加盖有效电子公章时生效。</w:t>
      </w:r>
    </w:p>
    <w:p w14:paraId="1058EEAC">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甲方：                                   乙方：</w:t>
      </w:r>
    </w:p>
    <w:p w14:paraId="3EC8EFF6">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统一社会信用代码：                        统一社会信用代码或身份证号码：</w:t>
      </w:r>
    </w:p>
    <w:p w14:paraId="3DAA820A">
      <w:pPr>
        <w:spacing w:line="360" w:lineRule="auto"/>
        <w:ind w:firstLine="200"/>
        <w:rPr>
          <w:rFonts w:hint="eastAsia" w:ascii="仿宋_GB2312" w:hAnsi="楷体" w:eastAsia="仿宋_GB2312"/>
          <w:sz w:val="24"/>
          <w:highlight w:val="none"/>
          <w:lang w:val="zh-CN"/>
        </w:rPr>
      </w:pPr>
    </w:p>
    <w:p w14:paraId="514B9306">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住所：                                   住所：</w:t>
      </w:r>
    </w:p>
    <w:p w14:paraId="5B541B67">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法定代表人或                             法定代表人</w:t>
      </w:r>
    </w:p>
    <w:p w14:paraId="44AC3089">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授权代表（签字或盖章）：                 或授权代表（签字或盖章）: </w:t>
      </w:r>
    </w:p>
    <w:p w14:paraId="1CCEC3C0">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联系人：                                 联系人：</w:t>
      </w:r>
    </w:p>
    <w:p w14:paraId="4338574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约定送达地址：                           约定送达地址：</w:t>
      </w:r>
    </w:p>
    <w:p w14:paraId="6378C69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邮政编码：                               邮政编码：</w:t>
      </w:r>
    </w:p>
    <w:p w14:paraId="2B673E23">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电话:                                    电话: </w:t>
      </w:r>
    </w:p>
    <w:p w14:paraId="32C78FCB">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传真:                                    传真:</w:t>
      </w:r>
    </w:p>
    <w:p w14:paraId="2CE438BD">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lang w:val="zh-CN"/>
        </w:rPr>
        <w:t>电子邮箱：                               电子邮箱：</w:t>
      </w:r>
    </w:p>
    <w:p w14:paraId="4A6163E8">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开户银行：                               开户银行： </w:t>
      </w:r>
    </w:p>
    <w:p w14:paraId="15428C6E">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开户名称：                               开户名称： </w:t>
      </w:r>
    </w:p>
    <w:p w14:paraId="351226F0">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开户账号：</w:t>
      </w:r>
      <w:r>
        <w:rPr>
          <w:rFonts w:hint="eastAsia" w:ascii="仿宋_GB2312" w:hAnsi="楷体" w:eastAsia="仿宋_GB2312"/>
          <w:sz w:val="24"/>
          <w:highlight w:val="none"/>
          <w:lang w:val="zh-CN"/>
        </w:rPr>
        <w:t xml:space="preserve">                               </w:t>
      </w:r>
      <w:r>
        <w:rPr>
          <w:rFonts w:hint="eastAsia" w:ascii="仿宋_GB2312" w:hAnsi="楷体" w:eastAsia="仿宋_GB2312"/>
          <w:sz w:val="24"/>
          <w:highlight w:val="none"/>
        </w:rPr>
        <w:t>开户账号：</w:t>
      </w:r>
    </w:p>
    <w:p w14:paraId="146C89E6">
      <w:pPr>
        <w:pStyle w:val="117"/>
        <w:spacing w:after="0"/>
        <w:ind w:firstLine="482"/>
        <w:jc w:val="center"/>
        <w:outlineLvl w:val="1"/>
        <w:rPr>
          <w:rFonts w:hint="eastAsia" w:ascii="仿宋_GB2312" w:hAnsi="楷体" w:eastAsia="仿宋_GB2312"/>
          <w:b/>
          <w:sz w:val="28"/>
          <w:szCs w:val="28"/>
          <w:highlight w:val="none"/>
        </w:rPr>
      </w:pPr>
      <w:bookmarkStart w:id="107" w:name="_Toc331685783"/>
      <w:r>
        <w:rPr>
          <w:rFonts w:hint="eastAsia" w:ascii="仿宋_GB2312" w:hAnsi="楷体" w:eastAsia="仿宋_GB2312"/>
          <w:b/>
          <w:highlight w:val="none"/>
        </w:rPr>
        <w:br w:type="page"/>
      </w:r>
      <w:bookmarkStart w:id="108" w:name="_Toc80886949"/>
      <w:bookmarkStart w:id="109" w:name="_Toc20973"/>
      <w:bookmarkStart w:id="110" w:name="_Toc80205945"/>
      <w:r>
        <w:rPr>
          <w:rFonts w:hint="eastAsia" w:ascii="仿宋_GB2312" w:hAnsi="楷体" w:eastAsia="仿宋_GB2312"/>
          <w:b/>
          <w:sz w:val="28"/>
          <w:szCs w:val="28"/>
          <w:highlight w:val="none"/>
        </w:rPr>
        <w:t>第二部分 合同一般条款</w:t>
      </w:r>
      <w:bookmarkEnd w:id="107"/>
      <w:bookmarkEnd w:id="108"/>
      <w:bookmarkEnd w:id="109"/>
      <w:bookmarkEnd w:id="110"/>
    </w:p>
    <w:p w14:paraId="22F305B0">
      <w:pPr>
        <w:spacing w:line="360" w:lineRule="auto"/>
        <w:ind w:firstLine="482" w:firstLineChars="200"/>
        <w:rPr>
          <w:rFonts w:hint="eastAsia" w:ascii="仿宋_GB2312" w:hAnsi="楷体" w:eastAsia="仿宋_GB2312"/>
          <w:b/>
          <w:sz w:val="24"/>
          <w:highlight w:val="none"/>
        </w:rPr>
      </w:pPr>
      <w:bookmarkStart w:id="111" w:name="_Ref467378463"/>
      <w:bookmarkStart w:id="112" w:name="_Ref467379205"/>
      <w:bookmarkStart w:id="113" w:name="_Toc19614"/>
      <w:bookmarkStart w:id="114" w:name="_Ref467378499"/>
      <w:bookmarkStart w:id="115" w:name="_Toc487900349"/>
      <w:bookmarkStart w:id="116" w:name="_Ref467379109"/>
      <w:bookmarkStart w:id="117" w:name="_Ref467379101"/>
      <w:bookmarkStart w:id="118" w:name="_Toc28763"/>
      <w:bookmarkStart w:id="119" w:name="_Ref467378404"/>
      <w:bookmarkStart w:id="120" w:name="_Ref467379225"/>
      <w:bookmarkStart w:id="121" w:name="_Ref467379195"/>
      <w:bookmarkStart w:id="122" w:name="_Ref467379214"/>
      <w:bookmarkStart w:id="123" w:name="_Toc279701240"/>
      <w:bookmarkStart w:id="124" w:name="_Ref467379094"/>
      <w:bookmarkStart w:id="125" w:name="_Toc259093669"/>
      <w:bookmarkStart w:id="126" w:name="_Toc16917"/>
      <w:r>
        <w:rPr>
          <w:rFonts w:hint="eastAsia" w:ascii="仿宋_GB2312" w:hAnsi="楷体" w:eastAsia="仿宋_GB2312"/>
          <w:b/>
          <w:sz w:val="24"/>
          <w:highlight w:val="none"/>
        </w:rPr>
        <w:t>2.1 定义</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602DEF34">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本合同中的下列词语应按以下内容进行解释：</w:t>
      </w:r>
    </w:p>
    <w:p w14:paraId="5D3E758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 “合同”系指采购人和中标人签订的载明双方当事人所达成的协议，并包括所有的附件、附录和构成合同的其他文件。</w:t>
      </w:r>
    </w:p>
    <w:p w14:paraId="4030B65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2.1.2 “合同价”系指根据合同约定，中标人在完全履行合同义务后，采购人应支付给中标人的价格。</w:t>
      </w:r>
    </w:p>
    <w:p w14:paraId="27D09ED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096B9460">
      <w:pPr>
        <w:spacing w:line="360" w:lineRule="auto"/>
        <w:ind w:firstLine="480" w:firstLineChars="200"/>
        <w:rPr>
          <w:rFonts w:hint="eastAsia" w:ascii="仿宋_GB2312" w:hAnsi="楷体" w:eastAsia="仿宋_GB2312"/>
          <w:sz w:val="24"/>
          <w:highlight w:val="none"/>
        </w:rPr>
      </w:pPr>
      <w:bookmarkStart w:id="127" w:name="_Ref467378840"/>
      <w:r>
        <w:rPr>
          <w:rFonts w:hint="eastAsia" w:ascii="仿宋_GB2312" w:hAnsi="楷体" w:eastAsia="仿宋_GB2312"/>
          <w:sz w:val="24"/>
          <w:highlight w:val="none"/>
        </w:rPr>
        <w:t>2.1.4 “甲方”系指与中标人签署合同的采购人</w:t>
      </w:r>
      <w:bookmarkEnd w:id="127"/>
      <w:r>
        <w:rPr>
          <w:rFonts w:hint="eastAsia" w:ascii="仿宋_GB2312" w:hAnsi="楷体" w:eastAsia="仿宋_GB2312"/>
          <w:sz w:val="24"/>
          <w:highlight w:val="none"/>
        </w:rPr>
        <w:t>；采购人委托采购机构代表其与乙方签订合同的，采购人的授权委托书作为合同附件。</w:t>
      </w:r>
    </w:p>
    <w:p w14:paraId="7F27E5A9">
      <w:pPr>
        <w:spacing w:line="360" w:lineRule="auto"/>
        <w:ind w:firstLine="480" w:firstLineChars="200"/>
        <w:rPr>
          <w:rFonts w:hint="eastAsia" w:ascii="仿宋_GB2312" w:hAnsi="楷体" w:eastAsia="仿宋_GB2312"/>
          <w:sz w:val="24"/>
          <w:highlight w:val="none"/>
        </w:rPr>
      </w:pPr>
      <w:bookmarkStart w:id="128" w:name="_Ref467379400"/>
      <w:r>
        <w:rPr>
          <w:rFonts w:hint="eastAsia" w:ascii="仿宋_GB2312" w:hAnsi="楷体" w:eastAsia="仿宋_GB2312"/>
          <w:sz w:val="24"/>
          <w:highlight w:val="none"/>
        </w:rPr>
        <w:t>2.1.5 “乙方”系指根据合同约定交付标的物的</w:t>
      </w:r>
      <w:bookmarkEnd w:id="128"/>
      <w:r>
        <w:rPr>
          <w:rFonts w:hint="eastAsia" w:ascii="仿宋_GB2312" w:hAnsi="楷体" w:eastAsia="仿宋_GB2312"/>
          <w:sz w:val="24"/>
          <w:highlight w:val="none"/>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38A28CD7">
      <w:pPr>
        <w:spacing w:line="360" w:lineRule="auto"/>
        <w:ind w:firstLine="480" w:firstLineChars="200"/>
        <w:rPr>
          <w:rFonts w:hint="eastAsia" w:ascii="仿宋_GB2312" w:hAnsi="楷体" w:eastAsia="仿宋_GB2312"/>
          <w:sz w:val="24"/>
          <w:highlight w:val="none"/>
        </w:rPr>
      </w:pPr>
      <w:bookmarkStart w:id="129" w:name="_Ref467379436"/>
      <w:r>
        <w:rPr>
          <w:rFonts w:hint="eastAsia" w:ascii="仿宋_GB2312" w:hAnsi="楷体" w:eastAsia="仿宋_GB2312"/>
          <w:sz w:val="24"/>
          <w:highlight w:val="none"/>
        </w:rPr>
        <w:t>2.1.6 “现场”系指合同约定标的物将要运至或者实施或者安装的地点。</w:t>
      </w:r>
      <w:bookmarkEnd w:id="129"/>
    </w:p>
    <w:p w14:paraId="4F01E51A">
      <w:pPr>
        <w:spacing w:line="360" w:lineRule="auto"/>
        <w:ind w:firstLine="482" w:firstLineChars="200"/>
        <w:rPr>
          <w:rFonts w:hint="eastAsia" w:ascii="仿宋_GB2312" w:hAnsi="楷体" w:eastAsia="仿宋_GB2312"/>
          <w:b/>
          <w:sz w:val="24"/>
          <w:highlight w:val="none"/>
        </w:rPr>
      </w:pPr>
      <w:bookmarkStart w:id="130" w:name="_Toc487900350"/>
      <w:bookmarkStart w:id="131" w:name="_Toc27635"/>
      <w:bookmarkStart w:id="132" w:name="_Toc279701241"/>
      <w:bookmarkStart w:id="133" w:name="_Toc13336"/>
      <w:bookmarkStart w:id="134" w:name="_Toc32504"/>
      <w:bookmarkStart w:id="135" w:name="_Toc259093670"/>
      <w:r>
        <w:rPr>
          <w:rFonts w:hint="eastAsia" w:ascii="仿宋_GB2312" w:hAnsi="楷体" w:eastAsia="仿宋_GB2312"/>
          <w:b/>
          <w:sz w:val="24"/>
          <w:highlight w:val="none"/>
        </w:rPr>
        <w:t>2.2 技术规范</w:t>
      </w:r>
      <w:bookmarkEnd w:id="130"/>
      <w:bookmarkEnd w:id="131"/>
      <w:bookmarkEnd w:id="132"/>
      <w:bookmarkEnd w:id="133"/>
      <w:bookmarkEnd w:id="134"/>
      <w:bookmarkEnd w:id="135"/>
    </w:p>
    <w:p w14:paraId="16BEFDD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381D3AC9">
      <w:pPr>
        <w:spacing w:line="360" w:lineRule="auto"/>
        <w:ind w:firstLine="482" w:firstLineChars="200"/>
        <w:rPr>
          <w:rFonts w:hint="eastAsia" w:ascii="仿宋_GB2312" w:hAnsi="楷体" w:eastAsia="仿宋_GB2312"/>
          <w:b/>
          <w:sz w:val="24"/>
          <w:highlight w:val="none"/>
        </w:rPr>
      </w:pPr>
      <w:bookmarkStart w:id="136" w:name="_Toc259093671"/>
      <w:bookmarkStart w:id="137" w:name="_Toc279701242"/>
      <w:bookmarkStart w:id="138" w:name="_Toc9829"/>
      <w:bookmarkStart w:id="139" w:name="_Toc31634"/>
      <w:bookmarkStart w:id="140" w:name="_Toc487900351"/>
      <w:bookmarkStart w:id="141" w:name="_Toc27853"/>
      <w:r>
        <w:rPr>
          <w:rFonts w:hint="eastAsia" w:ascii="仿宋_GB2312" w:hAnsi="楷体" w:eastAsia="仿宋_GB2312"/>
          <w:b/>
          <w:sz w:val="24"/>
          <w:highlight w:val="none"/>
        </w:rPr>
        <w:t>2.3 知识产权</w:t>
      </w:r>
      <w:bookmarkEnd w:id="136"/>
      <w:bookmarkEnd w:id="137"/>
      <w:bookmarkEnd w:id="138"/>
      <w:bookmarkEnd w:id="139"/>
      <w:bookmarkEnd w:id="140"/>
      <w:bookmarkEnd w:id="141"/>
    </w:p>
    <w:p w14:paraId="5464F96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40C0A9B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2.3.2 具有知识产权的计算机软件等标的物的知识产权归属，详见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3A3C1F16">
      <w:pPr>
        <w:spacing w:line="360" w:lineRule="auto"/>
        <w:ind w:firstLine="482" w:firstLineChars="200"/>
        <w:rPr>
          <w:rFonts w:hint="eastAsia" w:ascii="仿宋_GB2312" w:hAnsi="楷体" w:eastAsia="仿宋_GB2312"/>
          <w:b/>
          <w:sz w:val="24"/>
          <w:highlight w:val="none"/>
        </w:rPr>
      </w:pPr>
      <w:bookmarkStart w:id="142" w:name="_Toc29149"/>
      <w:bookmarkStart w:id="143" w:name="_Toc11932"/>
      <w:bookmarkStart w:id="144" w:name="_Toc4194"/>
      <w:r>
        <w:rPr>
          <w:rFonts w:hint="eastAsia" w:ascii="仿宋_GB2312" w:hAnsi="楷体" w:eastAsia="仿宋_GB2312"/>
          <w:b/>
          <w:sz w:val="24"/>
          <w:highlight w:val="none"/>
        </w:rPr>
        <w:t>2.4 包装和装运</w:t>
      </w:r>
      <w:bookmarkEnd w:id="142"/>
      <w:bookmarkEnd w:id="143"/>
      <w:bookmarkEnd w:id="144"/>
    </w:p>
    <w:p w14:paraId="2F8152A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2.4.1 除</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0F4CAB5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2.4.2 装运标的物的要求和通知，详见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0B55AD7B">
      <w:pPr>
        <w:spacing w:line="360" w:lineRule="auto"/>
        <w:ind w:firstLine="482" w:firstLineChars="200"/>
        <w:rPr>
          <w:rFonts w:hint="eastAsia" w:ascii="仿宋_GB2312" w:hAnsi="楷体" w:eastAsia="仿宋_GB2312"/>
          <w:b/>
          <w:sz w:val="24"/>
          <w:highlight w:val="none"/>
        </w:rPr>
      </w:pPr>
      <w:bookmarkStart w:id="145" w:name="_Toc279701245"/>
      <w:bookmarkStart w:id="146" w:name="_Ref467378591"/>
      <w:bookmarkStart w:id="147" w:name="_Ref467378541"/>
      <w:bookmarkStart w:id="148" w:name="_Toc259093674"/>
      <w:bookmarkStart w:id="149" w:name="_Ref467379542"/>
      <w:bookmarkStart w:id="150" w:name="_Ref467379536"/>
      <w:bookmarkStart w:id="151" w:name="_Toc487900354"/>
      <w:bookmarkStart w:id="152" w:name="_Ref467379527"/>
      <w:bookmarkStart w:id="153" w:name="_Toc19074"/>
      <w:bookmarkStart w:id="154" w:name="_Toc30272"/>
      <w:bookmarkStart w:id="155" w:name="_Toc26182"/>
      <w:r>
        <w:rPr>
          <w:rFonts w:hint="eastAsia" w:ascii="仿宋_GB2312" w:hAnsi="楷体" w:eastAsia="仿宋_GB2312"/>
          <w:b/>
          <w:sz w:val="24"/>
          <w:highlight w:val="none"/>
        </w:rPr>
        <w:t>2.</w:t>
      </w:r>
      <w:bookmarkEnd w:id="145"/>
      <w:bookmarkEnd w:id="146"/>
      <w:bookmarkEnd w:id="147"/>
      <w:bookmarkEnd w:id="148"/>
      <w:bookmarkEnd w:id="149"/>
      <w:bookmarkEnd w:id="150"/>
      <w:bookmarkEnd w:id="151"/>
      <w:bookmarkEnd w:id="152"/>
      <w:r>
        <w:rPr>
          <w:rFonts w:hint="eastAsia" w:ascii="仿宋_GB2312" w:hAnsi="楷体" w:eastAsia="仿宋_GB2312"/>
          <w:b/>
          <w:sz w:val="24"/>
          <w:highlight w:val="none"/>
        </w:rPr>
        <w:t>5 履约检查和问题反馈</w:t>
      </w:r>
      <w:bookmarkEnd w:id="153"/>
      <w:bookmarkEnd w:id="154"/>
      <w:bookmarkEnd w:id="155"/>
    </w:p>
    <w:p w14:paraId="70ECF3BD">
      <w:pPr>
        <w:spacing w:line="360" w:lineRule="auto"/>
        <w:ind w:firstLine="480" w:firstLineChars="200"/>
        <w:rPr>
          <w:rFonts w:hint="eastAsia" w:ascii="仿宋_GB2312" w:hAnsi="楷体" w:eastAsia="仿宋_GB2312"/>
          <w:sz w:val="24"/>
          <w:highlight w:val="none"/>
        </w:rPr>
      </w:pPr>
      <w:bookmarkStart w:id="156" w:name="_Ref467379657"/>
      <w:r>
        <w:rPr>
          <w:rFonts w:hint="eastAsia" w:ascii="仿宋_GB2312" w:hAnsi="楷体" w:eastAsia="仿宋_GB2312"/>
          <w:sz w:val="24"/>
          <w:highlight w:val="none"/>
        </w:rPr>
        <w:t>2.5.1</w:t>
      </w:r>
      <w:bookmarkEnd w:id="156"/>
      <w:bookmarkStart w:id="157" w:name="_Toc186431854"/>
      <w:bookmarkStart w:id="158" w:name="_Ref467379807"/>
      <w:bookmarkStart w:id="159" w:name="_Toc279701247"/>
      <w:bookmarkStart w:id="160" w:name="_Toc259093676"/>
      <w:bookmarkStart w:id="161" w:name="_Toc487900357"/>
      <w:bookmarkStart w:id="162" w:name="_Ref467379793"/>
      <w:r>
        <w:rPr>
          <w:rFonts w:hint="eastAsia" w:ascii="仿宋_GB2312" w:hAnsi="楷体" w:eastAsia="仿宋_GB2312"/>
          <w:sz w:val="24"/>
          <w:highlight w:val="none"/>
        </w:rPr>
        <w:t xml:space="preserve"> 甲方有权在其认为必要时，对乙方是否能够按照合同约定交付标的物进行履约检查，以确保乙方所交付的标的物能够依约满足甲方之项目需求，但不得因履约检查妨碍乙方的正常工作，乙方应予积极配合；</w:t>
      </w:r>
    </w:p>
    <w:p w14:paraId="4D4F925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2.5.2 合同履行期间，甲方有权将履行过程中出现的问题反馈给乙方，双方当事人应以书面形式约定需要完善和改进的内容</w:t>
      </w:r>
      <w:bookmarkEnd w:id="157"/>
      <w:bookmarkStart w:id="163" w:name="_Toc186431855"/>
      <w:r>
        <w:rPr>
          <w:rFonts w:hint="eastAsia" w:ascii="仿宋_GB2312" w:hAnsi="楷体" w:eastAsia="仿宋_GB2312"/>
          <w:sz w:val="24"/>
          <w:highlight w:val="none"/>
        </w:rPr>
        <w:t>。</w:t>
      </w:r>
    </w:p>
    <w:bookmarkEnd w:id="163"/>
    <w:p w14:paraId="00AF11F8">
      <w:pPr>
        <w:spacing w:line="360" w:lineRule="auto"/>
        <w:ind w:firstLine="482" w:firstLineChars="200"/>
        <w:rPr>
          <w:rFonts w:hint="eastAsia" w:ascii="仿宋_GB2312" w:hAnsi="楷体" w:eastAsia="仿宋_GB2312"/>
          <w:b/>
          <w:sz w:val="24"/>
          <w:highlight w:val="none"/>
        </w:rPr>
      </w:pPr>
      <w:bookmarkStart w:id="164" w:name="_Toc7836"/>
      <w:bookmarkStart w:id="165" w:name="_Toc19219"/>
      <w:bookmarkStart w:id="166" w:name="_Toc28451"/>
      <w:r>
        <w:rPr>
          <w:rFonts w:hint="eastAsia" w:ascii="仿宋_GB2312" w:hAnsi="楷体" w:eastAsia="仿宋_GB2312"/>
          <w:b/>
          <w:sz w:val="24"/>
          <w:highlight w:val="none"/>
        </w:rPr>
        <w:t>2.6 结算方式和付款条件</w:t>
      </w:r>
      <w:bookmarkEnd w:id="158"/>
      <w:bookmarkEnd w:id="159"/>
      <w:bookmarkEnd w:id="160"/>
      <w:bookmarkEnd w:id="161"/>
      <w:bookmarkEnd w:id="162"/>
      <w:bookmarkEnd w:id="164"/>
      <w:bookmarkEnd w:id="165"/>
      <w:bookmarkEnd w:id="166"/>
    </w:p>
    <w:p w14:paraId="5751073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5A8DFA88">
      <w:pPr>
        <w:spacing w:line="360" w:lineRule="auto"/>
        <w:ind w:firstLine="482" w:firstLineChars="200"/>
        <w:rPr>
          <w:rFonts w:hint="eastAsia" w:ascii="仿宋_GB2312" w:hAnsi="楷体" w:eastAsia="仿宋_GB2312"/>
          <w:b/>
          <w:sz w:val="24"/>
          <w:highlight w:val="none"/>
        </w:rPr>
      </w:pPr>
      <w:bookmarkStart w:id="167" w:name="_Toc259093677"/>
      <w:bookmarkStart w:id="168" w:name="_Toc487900358"/>
      <w:bookmarkStart w:id="169" w:name="_Ref467379923"/>
      <w:bookmarkStart w:id="170" w:name="_Ref467379863"/>
      <w:bookmarkStart w:id="171" w:name="_Toc279701248"/>
      <w:bookmarkStart w:id="172" w:name="_Ref467379852"/>
      <w:bookmarkStart w:id="173" w:name="_Toc16110"/>
      <w:bookmarkStart w:id="174" w:name="_Toc3225"/>
      <w:bookmarkStart w:id="175" w:name="_Toc774"/>
      <w:r>
        <w:rPr>
          <w:rFonts w:hint="eastAsia" w:ascii="仿宋_GB2312" w:hAnsi="楷体" w:eastAsia="仿宋_GB2312"/>
          <w:b/>
          <w:sz w:val="24"/>
          <w:highlight w:val="none"/>
        </w:rPr>
        <w:t>2.7 技术资料</w:t>
      </w:r>
      <w:bookmarkEnd w:id="167"/>
      <w:bookmarkEnd w:id="168"/>
      <w:bookmarkEnd w:id="169"/>
      <w:bookmarkEnd w:id="170"/>
      <w:bookmarkEnd w:id="171"/>
      <w:bookmarkEnd w:id="172"/>
      <w:r>
        <w:rPr>
          <w:rFonts w:hint="eastAsia" w:ascii="仿宋_GB2312" w:hAnsi="楷体" w:eastAsia="仿宋_GB2312"/>
          <w:b/>
          <w:sz w:val="24"/>
          <w:highlight w:val="none"/>
        </w:rPr>
        <w:t>和保密义务</w:t>
      </w:r>
      <w:bookmarkEnd w:id="173"/>
      <w:bookmarkEnd w:id="174"/>
      <w:bookmarkEnd w:id="175"/>
    </w:p>
    <w:p w14:paraId="13D111E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2.7.1 乙方有权依据合同约定和项目需要，向甲方了解有关情况，调阅有关资料等，甲方应予积极配合；</w:t>
      </w:r>
    </w:p>
    <w:p w14:paraId="56A8338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2.7.2 乙方有义务妥善保管和保护由甲方提供的前款信息和资料等；</w:t>
      </w:r>
    </w:p>
    <w:p w14:paraId="0DCE1B9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37042267">
      <w:pPr>
        <w:spacing w:line="360" w:lineRule="auto"/>
        <w:ind w:firstLine="482" w:firstLineChars="200"/>
        <w:rPr>
          <w:rFonts w:hint="eastAsia" w:ascii="仿宋_GB2312" w:hAnsi="楷体" w:eastAsia="仿宋_GB2312"/>
          <w:b/>
          <w:sz w:val="24"/>
          <w:highlight w:val="none"/>
        </w:rPr>
      </w:pPr>
      <w:bookmarkStart w:id="176" w:name="_Toc7860"/>
      <w:r>
        <w:rPr>
          <w:rFonts w:hint="eastAsia" w:ascii="仿宋_GB2312" w:hAnsi="楷体" w:eastAsia="仿宋_GB2312"/>
          <w:b/>
          <w:sz w:val="24"/>
          <w:highlight w:val="none"/>
        </w:rPr>
        <w:t>2.8 质量保证</w:t>
      </w:r>
      <w:bookmarkEnd w:id="176"/>
    </w:p>
    <w:p w14:paraId="34A8A10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2.8.1 乙方应建立和完善履行合同的内部质量保证体系，并提供相关内部规章制度给甲方，以便甲方进行监督检查；</w:t>
      </w:r>
    </w:p>
    <w:p w14:paraId="4435B08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2.8.2 乙方应保证履行合同的人员数量和素质、软件和硬件设备的配置、场地、环境和设施等满足全面履行合同的要求，并应接受甲方的监督检查。</w:t>
      </w:r>
    </w:p>
    <w:p w14:paraId="5AC20CF9">
      <w:pPr>
        <w:spacing w:line="360" w:lineRule="auto"/>
        <w:ind w:firstLine="480" w:firstLineChars="200"/>
        <w:rPr>
          <w:rFonts w:hint="eastAsia" w:ascii="仿宋_GB2312" w:hAnsi="仿宋" w:eastAsia="仿宋_GB2312" w:cs="仿宋_GB2312"/>
          <w:kern w:val="0"/>
          <w:sz w:val="24"/>
          <w:highlight w:val="none"/>
        </w:rPr>
      </w:pPr>
      <w:r>
        <w:rPr>
          <w:rFonts w:hint="eastAsia" w:ascii="仿宋_GB2312" w:hAnsi="仿宋" w:eastAsia="仿宋_GB2312"/>
          <w:sz w:val="24"/>
          <w:highlight w:val="none"/>
        </w:rPr>
        <w:t>2.8.3 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highlight w:val="none"/>
        </w:rPr>
        <w:t>甲方有权放弃或终止合同。</w:t>
      </w:r>
    </w:p>
    <w:p w14:paraId="617895CE">
      <w:pPr>
        <w:spacing w:line="360" w:lineRule="auto"/>
        <w:ind w:firstLine="480" w:firstLineChars="200"/>
        <w:rPr>
          <w:rFonts w:hint="eastAsia" w:ascii="仿宋_GB2312" w:hAnsi="楷体" w:eastAsia="仿宋_GB2312"/>
          <w:sz w:val="24"/>
          <w:highlight w:val="none"/>
        </w:rPr>
      </w:pPr>
      <w:r>
        <w:rPr>
          <w:rFonts w:hint="eastAsia" w:ascii="仿宋_GB2312" w:hAnsi="仿宋" w:eastAsia="仿宋_GB2312"/>
          <w:sz w:val="24"/>
          <w:highlight w:val="none"/>
        </w:rPr>
        <w:t>2.8.4 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highlight w:val="none"/>
          <w:u w:val="single"/>
        </w:rPr>
        <w:t>30%</w:t>
      </w:r>
      <w:r>
        <w:rPr>
          <w:rFonts w:hint="eastAsia" w:ascii="仿宋_GB2312" w:hAnsi="仿宋" w:eastAsia="仿宋_GB2312"/>
          <w:sz w:val="24"/>
          <w:highlight w:val="none"/>
        </w:rPr>
        <w:t>。</w:t>
      </w:r>
    </w:p>
    <w:p w14:paraId="6A17E882">
      <w:pPr>
        <w:spacing w:line="360" w:lineRule="auto"/>
        <w:ind w:firstLine="482" w:firstLineChars="200"/>
        <w:rPr>
          <w:rFonts w:hint="eastAsia" w:ascii="仿宋_GB2312" w:hAnsi="楷体" w:eastAsia="仿宋_GB2312"/>
          <w:b/>
          <w:sz w:val="24"/>
          <w:highlight w:val="none"/>
        </w:rPr>
      </w:pPr>
      <w:bookmarkStart w:id="177" w:name="_Toc17244"/>
      <w:bookmarkStart w:id="178" w:name="_Toc487900362"/>
      <w:bookmarkStart w:id="179" w:name="_Toc279701252"/>
      <w:bookmarkStart w:id="180" w:name="_Toc259093681"/>
      <w:r>
        <w:rPr>
          <w:rFonts w:hint="eastAsia" w:ascii="仿宋_GB2312" w:hAnsi="楷体" w:eastAsia="仿宋_GB2312"/>
          <w:b/>
          <w:sz w:val="24"/>
          <w:highlight w:val="none"/>
        </w:rPr>
        <w:t>2.9 标的物的风险负担</w:t>
      </w:r>
      <w:bookmarkEnd w:id="177"/>
    </w:p>
    <w:p w14:paraId="323FB9EA">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标的物或者在途标的物或者交付给第一承运人后的标的物毁损、灭失的风险负担详见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51CC150E">
      <w:pPr>
        <w:spacing w:line="360" w:lineRule="auto"/>
        <w:ind w:firstLine="482" w:firstLineChars="200"/>
        <w:rPr>
          <w:rFonts w:hint="eastAsia" w:ascii="仿宋_GB2312" w:hAnsi="楷体" w:eastAsia="仿宋_GB2312"/>
          <w:b/>
          <w:sz w:val="24"/>
          <w:highlight w:val="none"/>
        </w:rPr>
      </w:pPr>
      <w:bookmarkStart w:id="181" w:name="_Toc14055"/>
      <w:r>
        <w:rPr>
          <w:rFonts w:hint="eastAsia" w:ascii="仿宋_GB2312" w:hAnsi="楷体" w:eastAsia="仿宋_GB2312"/>
          <w:b/>
          <w:sz w:val="24"/>
          <w:highlight w:val="none"/>
        </w:rPr>
        <w:t>2.10 延迟交货</w:t>
      </w:r>
      <w:bookmarkEnd w:id="178"/>
      <w:bookmarkEnd w:id="179"/>
      <w:bookmarkEnd w:id="180"/>
      <w:bookmarkEnd w:id="181"/>
      <w:r>
        <w:rPr>
          <w:rFonts w:hint="eastAsia" w:ascii="仿宋_GB2312" w:hAnsi="楷体" w:eastAsia="仿宋_GB2312"/>
          <w:b/>
          <w:sz w:val="24"/>
          <w:highlight w:val="none"/>
        </w:rPr>
        <w:t>/交付</w:t>
      </w:r>
    </w:p>
    <w:p w14:paraId="1D50AC2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3AE832FF">
      <w:pPr>
        <w:spacing w:line="360" w:lineRule="auto"/>
        <w:ind w:firstLine="482" w:firstLineChars="200"/>
        <w:rPr>
          <w:rFonts w:hint="eastAsia" w:ascii="仿宋_GB2312" w:hAnsi="楷体" w:eastAsia="仿宋_GB2312"/>
          <w:b/>
          <w:sz w:val="24"/>
          <w:highlight w:val="none"/>
        </w:rPr>
      </w:pPr>
      <w:bookmarkStart w:id="182" w:name="_Toc7502"/>
      <w:bookmarkStart w:id="183" w:name="_Toc487900364"/>
      <w:bookmarkStart w:id="184" w:name="_Toc279701254"/>
      <w:bookmarkStart w:id="185" w:name="_Ref467378121"/>
      <w:bookmarkStart w:id="186" w:name="_Toc259093683"/>
      <w:r>
        <w:rPr>
          <w:rFonts w:hint="eastAsia" w:ascii="仿宋_GB2312" w:hAnsi="楷体" w:eastAsia="仿宋_GB2312"/>
          <w:b/>
          <w:sz w:val="24"/>
          <w:highlight w:val="none"/>
        </w:rPr>
        <w:t>2.11 合同变更</w:t>
      </w:r>
      <w:bookmarkEnd w:id="182"/>
    </w:p>
    <w:p w14:paraId="78F945A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2.11.1 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0DF178B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2.11.2 合同继续履行将损害国家利益和社会公共利益的，双方当事人应当以书面形式变更合同。有过错的一方应当承担赔偿责任，双方当事人都有过错的，各自承担相应的责任。</w:t>
      </w:r>
      <w:bookmarkStart w:id="187" w:name="_Toc259093688"/>
      <w:bookmarkStart w:id="188" w:name="_Toc279701259"/>
      <w:bookmarkStart w:id="189" w:name="_Toc487900369"/>
    </w:p>
    <w:p w14:paraId="03B12A73">
      <w:pPr>
        <w:spacing w:line="360" w:lineRule="auto"/>
        <w:ind w:firstLine="482" w:firstLineChars="200"/>
        <w:rPr>
          <w:rFonts w:hint="eastAsia" w:ascii="仿宋_GB2312" w:hAnsi="楷体" w:eastAsia="仿宋_GB2312"/>
          <w:b/>
          <w:sz w:val="24"/>
          <w:highlight w:val="none"/>
        </w:rPr>
      </w:pPr>
      <w:bookmarkStart w:id="190" w:name="_Toc10366"/>
      <w:bookmarkStart w:id="191" w:name="_Toc22955"/>
      <w:bookmarkStart w:id="192" w:name="_Toc15237"/>
      <w:r>
        <w:rPr>
          <w:rFonts w:hint="eastAsia" w:ascii="仿宋_GB2312" w:hAnsi="楷体" w:eastAsia="仿宋_GB2312"/>
          <w:b/>
          <w:sz w:val="24"/>
          <w:highlight w:val="none"/>
        </w:rPr>
        <w:t>2.12 合同转让</w:t>
      </w:r>
      <w:bookmarkEnd w:id="187"/>
      <w:bookmarkEnd w:id="188"/>
      <w:bookmarkEnd w:id="189"/>
      <w:r>
        <w:rPr>
          <w:rFonts w:hint="eastAsia" w:ascii="仿宋_GB2312" w:hAnsi="楷体" w:eastAsia="仿宋_GB2312"/>
          <w:b/>
          <w:sz w:val="24"/>
          <w:highlight w:val="none"/>
        </w:rPr>
        <w:t>和分包</w:t>
      </w:r>
      <w:bookmarkEnd w:id="190"/>
      <w:bookmarkEnd w:id="191"/>
      <w:bookmarkEnd w:id="192"/>
    </w:p>
    <w:p w14:paraId="3EB63E1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7077E62B">
      <w:pPr>
        <w:spacing w:line="360" w:lineRule="auto"/>
        <w:ind w:firstLine="482" w:firstLineChars="200"/>
        <w:rPr>
          <w:rFonts w:hint="eastAsia" w:ascii="仿宋_GB2312" w:hAnsi="楷体" w:eastAsia="仿宋_GB2312"/>
          <w:b/>
          <w:sz w:val="24"/>
          <w:highlight w:val="none"/>
        </w:rPr>
      </w:pPr>
      <w:bookmarkStart w:id="193" w:name="_Toc13566"/>
      <w:bookmarkStart w:id="194" w:name="_Toc14066"/>
      <w:bookmarkStart w:id="195" w:name="_Toc16508"/>
      <w:r>
        <w:rPr>
          <w:rFonts w:hint="eastAsia" w:ascii="仿宋_GB2312" w:hAnsi="楷体" w:eastAsia="仿宋_GB2312"/>
          <w:b/>
          <w:sz w:val="24"/>
          <w:highlight w:val="none"/>
        </w:rPr>
        <w:t>2.13 不可抗力</w:t>
      </w:r>
      <w:bookmarkEnd w:id="193"/>
      <w:bookmarkEnd w:id="194"/>
      <w:bookmarkEnd w:id="195"/>
    </w:p>
    <w:p w14:paraId="42C5F13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2.13.1 如果任何一方遭遇法律规定的不可抗力，致使合同履行受阻时，履行合同的期限应予延长，延长的期限应相当于不可抗力所影响的时间；</w:t>
      </w:r>
    </w:p>
    <w:p w14:paraId="3EC38C8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2.13.2 受不可抗力影响的一方在不可抗力发生后，应在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约定时间内以书面形式通知对方当事人，并在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约定时间内，将有关部门出具的证明文件送达对方当事人。</w:t>
      </w:r>
    </w:p>
    <w:p w14:paraId="6EF387DC">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2.13.3 因不可抗力致使不能实现合同目的的，当事人可以解除合同；</w:t>
      </w:r>
    </w:p>
    <w:p w14:paraId="0FAFFB2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2.13.4 因不可抗力致使合同有变更必要的，双方当事人应在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约定时间内以书面形式变更合同；</w:t>
      </w:r>
    </w:p>
    <w:p w14:paraId="6D440214">
      <w:pPr>
        <w:spacing w:line="360" w:lineRule="auto"/>
        <w:ind w:firstLine="482" w:firstLineChars="200"/>
        <w:rPr>
          <w:rFonts w:hint="eastAsia" w:ascii="仿宋_GB2312" w:hAnsi="楷体" w:eastAsia="仿宋_GB2312"/>
          <w:b/>
          <w:sz w:val="24"/>
          <w:highlight w:val="none"/>
        </w:rPr>
      </w:pPr>
      <w:bookmarkStart w:id="196" w:name="_Toc487900365"/>
      <w:bookmarkStart w:id="197" w:name="_Toc6969"/>
      <w:bookmarkStart w:id="198" w:name="_Toc259093684"/>
      <w:bookmarkStart w:id="199" w:name="_Toc30676"/>
      <w:bookmarkStart w:id="200" w:name="_Toc689"/>
      <w:bookmarkStart w:id="201" w:name="_Toc279701255"/>
      <w:r>
        <w:rPr>
          <w:rFonts w:hint="eastAsia" w:ascii="仿宋_GB2312" w:hAnsi="楷体" w:eastAsia="仿宋_GB2312"/>
          <w:b/>
          <w:sz w:val="24"/>
          <w:highlight w:val="none"/>
        </w:rPr>
        <w:t>2.14 税费</w:t>
      </w:r>
      <w:bookmarkEnd w:id="196"/>
      <w:bookmarkEnd w:id="197"/>
      <w:bookmarkEnd w:id="198"/>
      <w:bookmarkEnd w:id="199"/>
      <w:bookmarkEnd w:id="200"/>
      <w:bookmarkEnd w:id="201"/>
    </w:p>
    <w:p w14:paraId="6510A87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与合同有关的一切税费，均按照中华人民共和国法律的相关规定执行。</w:t>
      </w:r>
    </w:p>
    <w:p w14:paraId="4B1B7F9F">
      <w:pPr>
        <w:spacing w:line="360" w:lineRule="auto"/>
        <w:ind w:firstLine="482" w:firstLineChars="200"/>
        <w:rPr>
          <w:rFonts w:hint="eastAsia" w:ascii="仿宋_GB2312" w:hAnsi="楷体" w:eastAsia="仿宋_GB2312"/>
          <w:b/>
          <w:sz w:val="24"/>
          <w:highlight w:val="none"/>
        </w:rPr>
      </w:pPr>
      <w:bookmarkStart w:id="202" w:name="_Toc259093687"/>
      <w:bookmarkStart w:id="203" w:name="_Toc279701258"/>
      <w:bookmarkStart w:id="204" w:name="_Toc487900368"/>
      <w:bookmarkStart w:id="205" w:name="_Toc7102"/>
      <w:bookmarkStart w:id="206" w:name="_Toc8298"/>
      <w:bookmarkStart w:id="207" w:name="_Toc16959"/>
      <w:r>
        <w:rPr>
          <w:rFonts w:hint="eastAsia" w:ascii="仿宋_GB2312" w:hAnsi="楷体" w:eastAsia="仿宋_GB2312"/>
          <w:b/>
          <w:sz w:val="24"/>
          <w:highlight w:val="none"/>
        </w:rPr>
        <w:t>2.15 乙方破产</w:t>
      </w:r>
      <w:bookmarkEnd w:id="202"/>
      <w:bookmarkEnd w:id="203"/>
      <w:bookmarkEnd w:id="204"/>
      <w:bookmarkEnd w:id="205"/>
      <w:bookmarkEnd w:id="206"/>
      <w:bookmarkEnd w:id="207"/>
    </w:p>
    <w:p w14:paraId="78FBDEE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1A37CEA">
      <w:pPr>
        <w:spacing w:line="360" w:lineRule="auto"/>
        <w:ind w:firstLine="482" w:firstLineChars="200"/>
        <w:rPr>
          <w:rFonts w:hint="eastAsia" w:ascii="仿宋_GB2312" w:hAnsi="楷体" w:eastAsia="仿宋_GB2312"/>
          <w:b/>
          <w:sz w:val="24"/>
          <w:highlight w:val="none"/>
        </w:rPr>
      </w:pPr>
      <w:bookmarkStart w:id="208" w:name="_Toc6134"/>
      <w:bookmarkStart w:id="209" w:name="_Toc15387"/>
      <w:bookmarkStart w:id="210" w:name="_Toc29333"/>
      <w:r>
        <w:rPr>
          <w:rFonts w:hint="eastAsia" w:ascii="仿宋_GB2312" w:hAnsi="楷体" w:eastAsia="仿宋_GB2312"/>
          <w:b/>
          <w:sz w:val="24"/>
          <w:highlight w:val="none"/>
        </w:rPr>
        <w:t>2.16 合同中止、终止</w:t>
      </w:r>
      <w:bookmarkEnd w:id="208"/>
      <w:bookmarkEnd w:id="209"/>
      <w:bookmarkEnd w:id="210"/>
    </w:p>
    <w:p w14:paraId="27FC08F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2.16.1 双方当事人不得擅自中止或者终止合同；</w:t>
      </w:r>
    </w:p>
    <w:p w14:paraId="0AF1554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2.16.2 合同继续履行将损害国家利益和社会公共利益的，双方当事人应当中止或者终止合同。有过错的一方应当承担赔偿责任，双方当事人都有过错的，各自承担相应的责任。</w:t>
      </w:r>
    </w:p>
    <w:p w14:paraId="67618BA9">
      <w:pPr>
        <w:spacing w:line="360" w:lineRule="auto"/>
        <w:ind w:firstLine="482" w:firstLineChars="200"/>
        <w:rPr>
          <w:rFonts w:hint="eastAsia" w:ascii="仿宋_GB2312" w:hAnsi="楷体" w:eastAsia="仿宋_GB2312"/>
          <w:b/>
          <w:sz w:val="24"/>
          <w:highlight w:val="none"/>
        </w:rPr>
      </w:pPr>
      <w:bookmarkStart w:id="211" w:name="_Toc6596"/>
      <w:bookmarkStart w:id="212" w:name="_Toc1125"/>
      <w:bookmarkStart w:id="213" w:name="_Toc14563"/>
      <w:r>
        <w:rPr>
          <w:rFonts w:hint="eastAsia" w:ascii="仿宋_GB2312" w:hAnsi="楷体" w:eastAsia="仿宋_GB2312"/>
          <w:b/>
          <w:sz w:val="24"/>
          <w:highlight w:val="none"/>
        </w:rPr>
        <w:t>2.17 检验和验收</w:t>
      </w:r>
      <w:bookmarkEnd w:id="211"/>
      <w:bookmarkEnd w:id="212"/>
      <w:bookmarkEnd w:id="213"/>
    </w:p>
    <w:p w14:paraId="2437D0C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2.17.1 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约定时间内组织验收，并可依法邀请相关方参加，验收应出具验收书。</w:t>
      </w:r>
    </w:p>
    <w:p w14:paraId="0C520C5C">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2.17.2 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42B0EEA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2.17.3 检验和验收标准、程序等具体内容以及前述验收书的效力详见</w:t>
      </w:r>
      <w:r>
        <w:rPr>
          <w:rFonts w:hint="eastAsia" w:ascii="仿宋_GB2312" w:hAnsi="楷体" w:eastAsia="仿宋_GB2312"/>
          <w:b/>
          <w:i/>
          <w:sz w:val="24"/>
          <w:highlight w:val="none"/>
          <w:u w:val="single"/>
        </w:rPr>
        <w:t>合同专用条款</w:t>
      </w:r>
      <w:r>
        <w:rPr>
          <w:rFonts w:hint="eastAsia" w:ascii="仿宋_GB2312" w:hAnsi="楷体" w:eastAsia="仿宋_GB2312"/>
          <w:i/>
          <w:sz w:val="24"/>
          <w:highlight w:val="none"/>
        </w:rPr>
        <w:t>。</w:t>
      </w:r>
    </w:p>
    <w:bookmarkEnd w:id="183"/>
    <w:bookmarkEnd w:id="184"/>
    <w:bookmarkEnd w:id="185"/>
    <w:bookmarkEnd w:id="186"/>
    <w:p w14:paraId="18BF5BBA">
      <w:pPr>
        <w:spacing w:line="360" w:lineRule="auto"/>
        <w:ind w:firstLine="482" w:firstLineChars="200"/>
        <w:rPr>
          <w:rFonts w:hint="eastAsia" w:ascii="仿宋_GB2312" w:hAnsi="楷体" w:eastAsia="仿宋_GB2312"/>
          <w:b/>
          <w:sz w:val="24"/>
          <w:highlight w:val="none"/>
        </w:rPr>
      </w:pPr>
      <w:bookmarkStart w:id="214" w:name="_Toc279701261"/>
      <w:bookmarkStart w:id="215" w:name="_Toc259093690"/>
      <w:bookmarkStart w:id="216" w:name="_Toc487900371"/>
      <w:bookmarkStart w:id="217" w:name="_Toc11284"/>
      <w:bookmarkStart w:id="218" w:name="_Toc25182"/>
      <w:bookmarkStart w:id="219" w:name="_Toc19604"/>
      <w:r>
        <w:rPr>
          <w:rFonts w:hint="eastAsia" w:ascii="仿宋_GB2312" w:hAnsi="楷体" w:eastAsia="仿宋_GB2312"/>
          <w:b/>
          <w:sz w:val="24"/>
          <w:highlight w:val="none"/>
        </w:rPr>
        <w:t>2.18 通知</w:t>
      </w:r>
      <w:bookmarkEnd w:id="214"/>
      <w:bookmarkEnd w:id="215"/>
      <w:bookmarkEnd w:id="216"/>
      <w:r>
        <w:rPr>
          <w:rFonts w:hint="eastAsia" w:ascii="仿宋_GB2312" w:hAnsi="楷体" w:eastAsia="仿宋_GB2312"/>
          <w:b/>
          <w:sz w:val="24"/>
          <w:highlight w:val="none"/>
        </w:rPr>
        <w:t>和送达</w:t>
      </w:r>
      <w:bookmarkEnd w:id="217"/>
      <w:bookmarkEnd w:id="218"/>
      <w:bookmarkEnd w:id="219"/>
    </w:p>
    <w:p w14:paraId="002E9BC2">
      <w:pPr>
        <w:spacing w:line="360" w:lineRule="auto"/>
        <w:ind w:firstLine="480" w:firstLineChars="200"/>
        <w:rPr>
          <w:rFonts w:hint="eastAsia" w:ascii="仿宋_GB2312" w:hAnsi="楷体" w:eastAsia="仿宋_GB2312"/>
          <w:sz w:val="24"/>
          <w:highlight w:val="none"/>
        </w:rPr>
      </w:pPr>
      <w:bookmarkStart w:id="220" w:name="_Toc3135"/>
      <w:bookmarkStart w:id="221" w:name="_Toc6698"/>
      <w:bookmarkStart w:id="222" w:name="_Toc259093691"/>
      <w:bookmarkStart w:id="223" w:name="_Toc279701262"/>
      <w:bookmarkStart w:id="224" w:name="_Toc487900372"/>
      <w:r>
        <w:rPr>
          <w:rFonts w:hint="eastAsia" w:ascii="仿宋_GB2312" w:hAnsi="楷体" w:eastAsia="仿宋_GB2312"/>
          <w:sz w:val="24"/>
          <w:highlight w:val="none"/>
        </w:rPr>
        <w:t>2.18.1 任何一方因履行合同而以合同第一部分尾部所列明的</w:t>
      </w:r>
      <w:r>
        <w:rPr>
          <w:rFonts w:hint="eastAsia" w:ascii="仿宋_GB2312" w:hAnsi="楷体" w:eastAsia="仿宋_GB2312"/>
          <w:sz w:val="24"/>
          <w:highlight w:val="none"/>
          <w:u w:val="single"/>
        </w:rPr>
        <w:t>“约定送达地址”</w:t>
      </w:r>
      <w:r>
        <w:rPr>
          <w:rFonts w:hint="eastAsia" w:ascii="仿宋_GB2312" w:hAnsi="楷体" w:eastAsia="仿宋_GB2312"/>
          <w:sz w:val="24"/>
          <w:highlight w:val="none"/>
        </w:rPr>
        <w:t>为收件地址的所有通知、文件、材料，均视为已向对方当事人送达；任何一方变更上述送达方式或者地址的，应于</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个工作日内书面通知对方当事人，在对方当事人收到有关变更通知之前，变更前的约定送达方式或者地址仍视为有效。</w:t>
      </w:r>
      <w:bookmarkEnd w:id="220"/>
      <w:bookmarkEnd w:id="221"/>
    </w:p>
    <w:p w14:paraId="171A02E6">
      <w:pPr>
        <w:spacing w:line="360" w:lineRule="auto"/>
        <w:ind w:firstLine="480" w:firstLineChars="200"/>
        <w:rPr>
          <w:rFonts w:hint="eastAsia" w:ascii="仿宋_GB2312" w:hAnsi="楷体" w:eastAsia="仿宋_GB2312"/>
          <w:sz w:val="24"/>
          <w:highlight w:val="none"/>
        </w:rPr>
      </w:pPr>
      <w:bookmarkStart w:id="225" w:name="_Toc23128"/>
      <w:bookmarkStart w:id="226" w:name="_Toc23294"/>
      <w:r>
        <w:rPr>
          <w:rFonts w:hint="eastAsia" w:ascii="仿宋_GB2312" w:hAnsi="楷体" w:eastAsia="仿宋_GB2312"/>
          <w:sz w:val="24"/>
          <w:highlight w:val="none"/>
        </w:rPr>
        <w:t>2.18.2 以当面交付方式送达的，交付之时视为送达；以电子邮件方式送达的，发出电子邮件之时视为送达；以传真方式送达的，发出传真之时视为送达；以邮寄方式送达的，邮件挂号寄出或者交邮之日之次日视为送达。</w:t>
      </w:r>
      <w:bookmarkEnd w:id="225"/>
      <w:bookmarkEnd w:id="226"/>
    </w:p>
    <w:p w14:paraId="5BEDE57B">
      <w:pPr>
        <w:spacing w:line="360" w:lineRule="auto"/>
        <w:ind w:firstLine="482" w:firstLineChars="200"/>
        <w:rPr>
          <w:rFonts w:hint="eastAsia" w:ascii="仿宋_GB2312" w:hAnsi="楷体" w:eastAsia="仿宋_GB2312"/>
          <w:b/>
          <w:sz w:val="24"/>
          <w:highlight w:val="none"/>
        </w:rPr>
      </w:pPr>
      <w:bookmarkStart w:id="227" w:name="_Toc18540"/>
      <w:bookmarkStart w:id="228" w:name="_Toc4355"/>
      <w:bookmarkStart w:id="229" w:name="_Toc30599"/>
      <w:r>
        <w:rPr>
          <w:rFonts w:hint="eastAsia" w:ascii="仿宋_GB2312" w:hAnsi="楷体" w:eastAsia="仿宋_GB2312"/>
          <w:b/>
          <w:sz w:val="24"/>
          <w:highlight w:val="none"/>
        </w:rPr>
        <w:t>2.19 计量单位</w:t>
      </w:r>
      <w:bookmarkEnd w:id="222"/>
      <w:bookmarkEnd w:id="223"/>
      <w:bookmarkEnd w:id="224"/>
      <w:bookmarkEnd w:id="227"/>
      <w:bookmarkEnd w:id="228"/>
      <w:bookmarkEnd w:id="229"/>
    </w:p>
    <w:p w14:paraId="5089832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除技术规范中另有规定外,合同的计量单位均使用国家法定计量单位。</w:t>
      </w:r>
    </w:p>
    <w:p w14:paraId="4679F2B8">
      <w:pPr>
        <w:spacing w:line="360" w:lineRule="auto"/>
        <w:ind w:firstLine="482" w:firstLineChars="200"/>
        <w:rPr>
          <w:rFonts w:hint="eastAsia" w:ascii="仿宋_GB2312" w:hAnsi="楷体" w:eastAsia="仿宋_GB2312"/>
          <w:b/>
          <w:sz w:val="24"/>
          <w:highlight w:val="none"/>
        </w:rPr>
      </w:pPr>
      <w:bookmarkStart w:id="230" w:name="_Toc12773"/>
      <w:bookmarkStart w:id="231" w:name="_Toc487900373"/>
      <w:bookmarkStart w:id="232" w:name="_Toc18567"/>
      <w:bookmarkStart w:id="233" w:name="_Toc259093692"/>
      <w:bookmarkStart w:id="234" w:name="_Toc10330"/>
      <w:bookmarkStart w:id="235" w:name="_Toc279701263"/>
      <w:r>
        <w:rPr>
          <w:rFonts w:hint="eastAsia" w:ascii="仿宋_GB2312" w:hAnsi="楷体" w:eastAsia="仿宋_GB2312"/>
          <w:b/>
          <w:sz w:val="24"/>
          <w:highlight w:val="none"/>
        </w:rPr>
        <w:t>2.20 合同使用的文字和适用的法律</w:t>
      </w:r>
      <w:bookmarkEnd w:id="230"/>
      <w:bookmarkEnd w:id="231"/>
      <w:bookmarkEnd w:id="232"/>
      <w:bookmarkEnd w:id="233"/>
      <w:bookmarkEnd w:id="234"/>
      <w:bookmarkEnd w:id="235"/>
    </w:p>
    <w:p w14:paraId="4F615E7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2.20.1 合同使用汉语书就、变更和解释；</w:t>
      </w:r>
    </w:p>
    <w:p w14:paraId="65723BC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2.20.2 合同适用中华人民共和国法律。</w:t>
      </w:r>
    </w:p>
    <w:p w14:paraId="6A6CD3E7">
      <w:pPr>
        <w:spacing w:line="360" w:lineRule="auto"/>
        <w:ind w:firstLine="480" w:firstLineChars="200"/>
        <w:rPr>
          <w:rFonts w:hint="eastAsia" w:ascii="仿宋_GB2312" w:hAnsi="楷体" w:eastAsia="仿宋_GB2312"/>
          <w:sz w:val="24"/>
          <w:highlight w:val="none"/>
        </w:rPr>
      </w:pPr>
      <w:bookmarkStart w:id="236" w:name="_Toc279701264"/>
      <w:bookmarkStart w:id="237" w:name="_Toc16673"/>
      <w:bookmarkStart w:id="238" w:name="_Toc12004"/>
      <w:bookmarkStart w:id="239" w:name="_Toc259093693"/>
      <w:bookmarkStart w:id="240" w:name="_Toc3148"/>
      <w:bookmarkStart w:id="241" w:name="_Toc487900374"/>
      <w:r>
        <w:rPr>
          <w:rFonts w:hint="eastAsia" w:ascii="仿宋_GB2312" w:hAnsi="楷体" w:eastAsia="仿宋_GB2312"/>
          <w:sz w:val="24"/>
          <w:highlight w:val="none"/>
        </w:rPr>
        <w:t>2.21 履约保证金</w:t>
      </w:r>
      <w:bookmarkEnd w:id="236"/>
      <w:bookmarkEnd w:id="237"/>
      <w:bookmarkEnd w:id="238"/>
      <w:bookmarkEnd w:id="239"/>
      <w:bookmarkEnd w:id="240"/>
    </w:p>
    <w:p w14:paraId="6C0A3A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本项目不收取履约保证金</w:t>
      </w:r>
    </w:p>
    <w:p w14:paraId="5F63FAF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2.22 中小企业政策</w:t>
      </w:r>
    </w:p>
    <w:p w14:paraId="199EE75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2.22.1本合同（□是  □否）为中小企业“政采贷”可融资合同，关于中小企业信用融资事项见采购文件“供应商须知正文”。</w:t>
      </w:r>
    </w:p>
    <w:p w14:paraId="001E9F4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2.22.2</w:t>
      </w:r>
      <w:r>
        <w:rPr>
          <w:rFonts w:ascii="仿宋_GB2312" w:hAnsi="楷体" w:eastAsia="仿宋_GB2312"/>
          <w:sz w:val="24"/>
          <w:highlight w:val="none"/>
        </w:rPr>
        <w:t xml:space="preserve">本合同（□是  </w:t>
      </w:r>
      <w:r>
        <w:rPr>
          <w:rFonts w:hint="eastAsia" w:ascii="仿宋_GB2312" w:hAnsi="楷体" w:eastAsia="仿宋_GB2312"/>
          <w:sz w:val="24"/>
          <w:highlight w:val="none"/>
        </w:rPr>
        <w:t>□否）为中小企业预留合同。</w:t>
      </w:r>
    </w:p>
    <w:bookmarkEnd w:id="241"/>
    <w:p w14:paraId="31D0F4A8">
      <w:pPr>
        <w:spacing w:line="360" w:lineRule="auto"/>
        <w:ind w:firstLine="482" w:firstLineChars="200"/>
        <w:rPr>
          <w:rFonts w:hint="eastAsia" w:ascii="仿宋_GB2312" w:hAnsi="楷体" w:eastAsia="仿宋_GB2312"/>
          <w:b/>
          <w:sz w:val="24"/>
          <w:highlight w:val="none"/>
        </w:rPr>
      </w:pPr>
      <w:bookmarkStart w:id="242" w:name="_Toc14001"/>
      <w:bookmarkStart w:id="243" w:name="_Toc19890"/>
      <w:bookmarkStart w:id="244" w:name="_Toc6885"/>
      <w:r>
        <w:rPr>
          <w:rFonts w:hint="eastAsia" w:ascii="仿宋_GB2312" w:hAnsi="楷体" w:eastAsia="仿宋_GB2312"/>
          <w:b/>
          <w:sz w:val="24"/>
          <w:highlight w:val="none"/>
        </w:rPr>
        <w:t>2.23 合同份数</w:t>
      </w:r>
      <w:bookmarkEnd w:id="242"/>
      <w:bookmarkEnd w:id="243"/>
      <w:bookmarkEnd w:id="244"/>
    </w:p>
    <w:p w14:paraId="38469BA9">
      <w:pPr>
        <w:spacing w:line="360" w:lineRule="auto"/>
        <w:ind w:firstLine="480" w:firstLineChars="200"/>
        <w:rPr>
          <w:rFonts w:hint="eastAsia" w:ascii="仿宋_GB2312" w:hAnsi="楷体" w:eastAsia="仿宋_GB2312"/>
          <w:sz w:val="24"/>
          <w:highlight w:val="none"/>
        </w:rPr>
      </w:pPr>
      <w:r>
        <w:rPr>
          <w:rFonts w:hint="eastAsia" w:ascii="仿宋_GB2312" w:hAnsi="宋体" w:eastAsia="仿宋_GB2312"/>
          <w:sz w:val="24"/>
          <w:highlight w:val="none"/>
        </w:rPr>
        <w:t>本合同壹式</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份，甲方执</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份，乙方执</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份。</w:t>
      </w:r>
      <w:r>
        <w:rPr>
          <w:rFonts w:hint="eastAsia" w:ascii="仿宋_GB2312" w:hAnsi="楷体" w:eastAsia="仿宋_GB2312"/>
          <w:sz w:val="24"/>
          <w:highlight w:val="none"/>
        </w:rPr>
        <w:t>每份均具有同等法律效力。</w:t>
      </w:r>
    </w:p>
    <w:p w14:paraId="07CE8754">
      <w:pPr>
        <w:spacing w:line="440" w:lineRule="exact"/>
        <w:jc w:val="center"/>
        <w:outlineLvl w:val="0"/>
        <w:rPr>
          <w:rFonts w:hint="eastAsia" w:ascii="宋体" w:hAnsi="宋体"/>
          <w:b/>
          <w:sz w:val="36"/>
          <w:highlight w:val="none"/>
        </w:rPr>
      </w:pPr>
      <w:r>
        <w:rPr>
          <w:rFonts w:hAnsi="仿宋"/>
          <w:highlight w:val="none"/>
        </w:rPr>
        <w:br w:type="page"/>
      </w:r>
      <w:bookmarkStart w:id="245" w:name="_Toc18393"/>
      <w:r>
        <w:rPr>
          <w:rFonts w:hint="eastAsia" w:ascii="宋体" w:hAnsi="宋体"/>
          <w:b/>
          <w:sz w:val="32"/>
          <w:highlight w:val="none"/>
        </w:rPr>
        <w:t>第六部分 投标文件格式</w:t>
      </w:r>
      <w:bookmarkEnd w:id="77"/>
      <w:bookmarkEnd w:id="245"/>
    </w:p>
    <w:p w14:paraId="192A4855">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目录</w:t>
      </w:r>
    </w:p>
    <w:p w14:paraId="06259BCE">
      <w:pPr>
        <w:spacing w:line="276" w:lineRule="auto"/>
        <w:rPr>
          <w:rFonts w:hint="eastAsia" w:ascii="宋体" w:hAnsi="宋体"/>
          <w:sz w:val="24"/>
          <w:highlight w:val="none"/>
        </w:rPr>
      </w:pPr>
      <w:bookmarkStart w:id="246" w:name="_Toc18205"/>
      <w:bookmarkStart w:id="247" w:name="_Toc14936"/>
      <w:bookmarkStart w:id="248" w:name="_Toc19503"/>
      <w:bookmarkStart w:id="249" w:name="_Toc15731"/>
      <w:r>
        <w:rPr>
          <w:rFonts w:hint="eastAsia" w:ascii="宋体" w:hAnsi="宋体"/>
          <w:sz w:val="24"/>
          <w:highlight w:val="none"/>
        </w:rPr>
        <w:t>一、法定代表人身份证明复印件(法定代表人参加投标)（附件1-</w:t>
      </w:r>
      <w:r>
        <w:rPr>
          <w:rFonts w:ascii="宋体" w:hAnsi="宋体"/>
          <w:sz w:val="24"/>
          <w:highlight w:val="none"/>
        </w:rPr>
        <w:t>1</w:t>
      </w:r>
      <w:r>
        <w:rPr>
          <w:rFonts w:hint="eastAsia" w:ascii="宋体" w:hAnsi="宋体"/>
          <w:sz w:val="24"/>
          <w:highlight w:val="none"/>
        </w:rPr>
        <w:t>）</w:t>
      </w:r>
    </w:p>
    <w:p w14:paraId="6BD6E6C7">
      <w:pPr>
        <w:spacing w:line="276" w:lineRule="auto"/>
        <w:rPr>
          <w:rFonts w:hint="eastAsia" w:ascii="宋体" w:hAnsi="宋体"/>
          <w:sz w:val="24"/>
          <w:highlight w:val="none"/>
        </w:rPr>
      </w:pPr>
      <w:bookmarkStart w:id="250" w:name="_Toc10741"/>
      <w:r>
        <w:rPr>
          <w:rFonts w:hint="eastAsia" w:ascii="宋体" w:hAnsi="宋体"/>
          <w:sz w:val="24"/>
          <w:highlight w:val="none"/>
        </w:rPr>
        <w:t>二、投标人代表身份证明</w:t>
      </w:r>
      <w:bookmarkEnd w:id="246"/>
      <w:bookmarkEnd w:id="247"/>
      <w:bookmarkEnd w:id="250"/>
    </w:p>
    <w:p w14:paraId="2E60624C">
      <w:pPr>
        <w:spacing w:line="276" w:lineRule="auto"/>
        <w:ind w:firstLine="420" w:firstLineChars="175"/>
        <w:rPr>
          <w:rFonts w:hint="eastAsia" w:ascii="宋体" w:hAnsi="宋体"/>
          <w:sz w:val="24"/>
          <w:highlight w:val="none"/>
        </w:rPr>
      </w:pPr>
      <w:r>
        <w:rPr>
          <w:rFonts w:ascii="宋体" w:hAnsi="宋体"/>
          <w:sz w:val="24"/>
          <w:highlight w:val="none"/>
        </w:rPr>
        <w:t>1</w:t>
      </w:r>
      <w:r>
        <w:rPr>
          <w:rFonts w:hint="eastAsia" w:ascii="宋体" w:hAnsi="宋体"/>
          <w:sz w:val="24"/>
          <w:highlight w:val="none"/>
        </w:rPr>
        <w:t>法定代表人授权委托书(授权代表参加投标) （附件1-</w:t>
      </w:r>
      <w:r>
        <w:rPr>
          <w:rFonts w:ascii="宋体" w:hAnsi="宋体"/>
          <w:sz w:val="24"/>
          <w:highlight w:val="none"/>
        </w:rPr>
        <w:t>2</w:t>
      </w:r>
      <w:r>
        <w:rPr>
          <w:rFonts w:hint="eastAsia" w:ascii="宋体" w:hAnsi="宋体"/>
          <w:sz w:val="24"/>
          <w:highlight w:val="none"/>
        </w:rPr>
        <w:t>）</w:t>
      </w:r>
    </w:p>
    <w:bookmarkEnd w:id="248"/>
    <w:bookmarkEnd w:id="249"/>
    <w:p w14:paraId="42A7B6C8">
      <w:pPr>
        <w:spacing w:line="276" w:lineRule="auto"/>
        <w:rPr>
          <w:rFonts w:hint="eastAsia" w:ascii="宋体" w:hAnsi="宋体"/>
          <w:sz w:val="24"/>
          <w:highlight w:val="none"/>
        </w:rPr>
      </w:pPr>
      <w:bookmarkStart w:id="251" w:name="_Hlk132118260"/>
      <w:r>
        <w:rPr>
          <w:rFonts w:hint="eastAsia" w:ascii="宋体" w:hAnsi="宋体"/>
          <w:sz w:val="24"/>
          <w:highlight w:val="none"/>
        </w:rPr>
        <w:t>三、提供符合政府采购政策的证明材料</w:t>
      </w:r>
      <w:bookmarkEnd w:id="251"/>
    </w:p>
    <w:p w14:paraId="371BE0D6">
      <w:pPr>
        <w:spacing w:line="276" w:lineRule="auto"/>
        <w:ind w:firstLine="420"/>
        <w:rPr>
          <w:rFonts w:hint="eastAsia" w:ascii="宋体" w:hAnsi="宋体"/>
          <w:sz w:val="24"/>
          <w:highlight w:val="none"/>
        </w:rPr>
      </w:pPr>
      <w:r>
        <w:rPr>
          <w:rFonts w:hint="eastAsia" w:ascii="宋体" w:hAnsi="宋体"/>
          <w:sz w:val="24"/>
          <w:highlight w:val="none"/>
        </w:rPr>
        <w:t>1中小企业声明函（附件1-4-1）</w:t>
      </w:r>
    </w:p>
    <w:p w14:paraId="438D44D6">
      <w:pPr>
        <w:spacing w:line="276" w:lineRule="auto"/>
        <w:ind w:firstLine="420"/>
        <w:rPr>
          <w:rFonts w:hint="eastAsia" w:ascii="宋体" w:hAnsi="宋体"/>
          <w:sz w:val="24"/>
          <w:highlight w:val="none"/>
        </w:rPr>
      </w:pPr>
      <w:r>
        <w:rPr>
          <w:rFonts w:hint="eastAsia" w:ascii="宋体" w:hAnsi="宋体"/>
          <w:sz w:val="24"/>
          <w:highlight w:val="none"/>
        </w:rPr>
        <w:t>2监狱企业证明文件（附件1-4-2）</w:t>
      </w:r>
    </w:p>
    <w:p w14:paraId="1D96B071">
      <w:pPr>
        <w:spacing w:line="276" w:lineRule="auto"/>
        <w:ind w:firstLine="420"/>
        <w:rPr>
          <w:rFonts w:hint="eastAsia" w:ascii="宋体" w:hAnsi="宋体"/>
          <w:sz w:val="24"/>
          <w:highlight w:val="none"/>
        </w:rPr>
      </w:pPr>
      <w:r>
        <w:rPr>
          <w:rFonts w:hint="eastAsia" w:ascii="宋体" w:hAnsi="宋体"/>
          <w:sz w:val="24"/>
          <w:highlight w:val="none"/>
        </w:rPr>
        <w:t>3残疾人福利性单位声明函（附件1-4-3）</w:t>
      </w:r>
    </w:p>
    <w:p w14:paraId="38FBABB4">
      <w:pPr>
        <w:spacing w:line="276" w:lineRule="auto"/>
        <w:ind w:firstLine="420"/>
        <w:rPr>
          <w:rFonts w:hint="eastAsia" w:ascii="宋体" w:hAnsi="宋体"/>
          <w:sz w:val="24"/>
          <w:highlight w:val="none"/>
        </w:rPr>
      </w:pPr>
      <w:r>
        <w:rPr>
          <w:rFonts w:hint="eastAsia" w:ascii="宋体" w:hAnsi="宋体"/>
          <w:sz w:val="24"/>
          <w:highlight w:val="none"/>
        </w:rPr>
        <w:t>4关于符合本国产品标准的声明函（附件1-4-4）</w:t>
      </w:r>
    </w:p>
    <w:p w14:paraId="29F6EB43">
      <w:pPr>
        <w:spacing w:line="276" w:lineRule="auto"/>
        <w:ind w:firstLine="420"/>
        <w:rPr>
          <w:rFonts w:hint="eastAsia" w:ascii="宋体" w:hAnsi="宋体"/>
          <w:sz w:val="24"/>
          <w:highlight w:val="none"/>
        </w:rPr>
      </w:pPr>
      <w:r>
        <w:rPr>
          <w:rFonts w:hint="eastAsia" w:ascii="宋体" w:hAnsi="宋体"/>
          <w:sz w:val="24"/>
          <w:highlight w:val="none"/>
        </w:rPr>
        <w:t>5分包意向协议（附件1-4-5）</w:t>
      </w:r>
    </w:p>
    <w:p w14:paraId="00AC3F23">
      <w:pPr>
        <w:pStyle w:val="20"/>
        <w:spacing w:line="276" w:lineRule="auto"/>
        <w:rPr>
          <w:rFonts w:hint="eastAsia" w:ascii="宋体" w:hAnsi="宋体"/>
          <w:sz w:val="24"/>
          <w:highlight w:val="none"/>
        </w:rPr>
      </w:pPr>
      <w:r>
        <w:rPr>
          <w:rFonts w:hint="eastAsia" w:ascii="宋体" w:hAnsi="宋体"/>
          <w:sz w:val="24"/>
          <w:highlight w:val="none"/>
        </w:rPr>
        <w:t>四、投标函（附件2-</w:t>
      </w:r>
      <w:r>
        <w:rPr>
          <w:rFonts w:ascii="宋体" w:hAnsi="宋体"/>
          <w:sz w:val="24"/>
          <w:highlight w:val="none"/>
        </w:rPr>
        <w:t>1</w:t>
      </w:r>
      <w:r>
        <w:rPr>
          <w:rFonts w:hint="eastAsia" w:ascii="宋体" w:hAnsi="宋体"/>
          <w:sz w:val="24"/>
          <w:highlight w:val="none"/>
        </w:rPr>
        <w:t>）</w:t>
      </w:r>
    </w:p>
    <w:p w14:paraId="6AFED45D">
      <w:pPr>
        <w:pStyle w:val="20"/>
        <w:spacing w:line="276" w:lineRule="auto"/>
        <w:rPr>
          <w:rFonts w:hint="eastAsia" w:ascii="宋体" w:hAnsi="宋体"/>
          <w:sz w:val="24"/>
          <w:highlight w:val="none"/>
        </w:rPr>
      </w:pPr>
      <w:r>
        <w:rPr>
          <w:rFonts w:hint="eastAsia" w:ascii="宋体" w:hAnsi="宋体"/>
          <w:sz w:val="24"/>
          <w:highlight w:val="none"/>
        </w:rPr>
        <w:t>五、反商业贿赂承诺书；（附件2-2）</w:t>
      </w:r>
    </w:p>
    <w:p w14:paraId="4D25EBE5">
      <w:pPr>
        <w:pStyle w:val="20"/>
        <w:spacing w:line="276" w:lineRule="auto"/>
        <w:rPr>
          <w:rFonts w:hint="eastAsia" w:ascii="宋体" w:hAnsi="宋体"/>
          <w:sz w:val="24"/>
          <w:highlight w:val="none"/>
        </w:rPr>
      </w:pPr>
      <w:r>
        <w:rPr>
          <w:rFonts w:hint="eastAsia" w:ascii="宋体" w:hAnsi="宋体"/>
          <w:sz w:val="24"/>
          <w:highlight w:val="none"/>
        </w:rPr>
        <w:t>六、投标报价</w:t>
      </w:r>
    </w:p>
    <w:p w14:paraId="42D79C2A">
      <w:pPr>
        <w:pStyle w:val="20"/>
        <w:spacing w:line="276" w:lineRule="auto"/>
        <w:ind w:firstLine="420"/>
        <w:rPr>
          <w:rFonts w:hint="eastAsia" w:ascii="宋体" w:hAnsi="宋体"/>
          <w:sz w:val="24"/>
          <w:highlight w:val="none"/>
        </w:rPr>
      </w:pPr>
      <w:r>
        <w:rPr>
          <w:rFonts w:hint="eastAsia" w:ascii="宋体" w:hAnsi="宋体"/>
          <w:sz w:val="24"/>
          <w:highlight w:val="none"/>
        </w:rPr>
        <w:t>1开标一览表（附件2-3-1）</w:t>
      </w:r>
    </w:p>
    <w:p w14:paraId="648EC748">
      <w:pPr>
        <w:pStyle w:val="20"/>
        <w:spacing w:line="276" w:lineRule="auto"/>
        <w:ind w:firstLine="420"/>
        <w:rPr>
          <w:rFonts w:hint="eastAsia" w:ascii="宋体" w:hAnsi="宋体"/>
          <w:sz w:val="24"/>
          <w:highlight w:val="none"/>
        </w:rPr>
      </w:pPr>
      <w:r>
        <w:rPr>
          <w:rFonts w:hint="eastAsia" w:ascii="宋体" w:hAnsi="宋体"/>
          <w:sz w:val="24"/>
          <w:highlight w:val="none"/>
        </w:rPr>
        <w:t>2明细报价表（附件2-3-2）</w:t>
      </w:r>
    </w:p>
    <w:p w14:paraId="547FEEB2">
      <w:pPr>
        <w:pStyle w:val="20"/>
        <w:spacing w:line="276" w:lineRule="auto"/>
        <w:rPr>
          <w:rFonts w:hint="eastAsia" w:ascii="宋体" w:hAnsi="宋体"/>
          <w:sz w:val="24"/>
          <w:highlight w:val="none"/>
        </w:rPr>
      </w:pPr>
      <w:r>
        <w:rPr>
          <w:rFonts w:hint="eastAsia" w:ascii="宋体" w:hAnsi="宋体"/>
          <w:sz w:val="24"/>
          <w:highlight w:val="none"/>
        </w:rPr>
        <w:t>七、商务条款偏离表（附件2-4）</w:t>
      </w:r>
    </w:p>
    <w:p w14:paraId="4AF4FED3">
      <w:pPr>
        <w:pStyle w:val="20"/>
        <w:spacing w:line="276" w:lineRule="auto"/>
        <w:rPr>
          <w:rFonts w:hint="eastAsia" w:ascii="宋体" w:hAnsi="宋体"/>
          <w:sz w:val="24"/>
          <w:highlight w:val="none"/>
        </w:rPr>
      </w:pPr>
      <w:r>
        <w:rPr>
          <w:rFonts w:hint="eastAsia" w:ascii="宋体" w:hAnsi="宋体"/>
          <w:sz w:val="24"/>
          <w:highlight w:val="none"/>
        </w:rPr>
        <w:t>八、产品简要说明一览表（附件2-</w:t>
      </w:r>
      <w:r>
        <w:rPr>
          <w:rFonts w:ascii="宋体" w:hAnsi="宋体"/>
          <w:sz w:val="24"/>
          <w:highlight w:val="none"/>
        </w:rPr>
        <w:t>5</w:t>
      </w:r>
      <w:r>
        <w:rPr>
          <w:rFonts w:hint="eastAsia" w:ascii="宋体" w:hAnsi="宋体"/>
          <w:sz w:val="24"/>
          <w:highlight w:val="none"/>
        </w:rPr>
        <w:t>）</w:t>
      </w:r>
    </w:p>
    <w:p w14:paraId="33E0CE87">
      <w:pPr>
        <w:pStyle w:val="20"/>
        <w:spacing w:line="276" w:lineRule="auto"/>
        <w:rPr>
          <w:rFonts w:hint="eastAsia" w:ascii="宋体" w:hAnsi="宋体"/>
          <w:sz w:val="24"/>
          <w:highlight w:val="none"/>
        </w:rPr>
      </w:pPr>
      <w:r>
        <w:rPr>
          <w:rFonts w:hint="eastAsia" w:ascii="宋体" w:hAnsi="宋体"/>
          <w:sz w:val="24"/>
          <w:highlight w:val="none"/>
        </w:rPr>
        <w:t>九、产品技术支持文件（包含但不限于产品检测报告、产品彩页或技术白皮书等）</w:t>
      </w:r>
    </w:p>
    <w:p w14:paraId="525FDDC5">
      <w:pPr>
        <w:pStyle w:val="20"/>
        <w:spacing w:line="276" w:lineRule="auto"/>
        <w:rPr>
          <w:rFonts w:hint="eastAsia" w:ascii="宋体" w:hAnsi="宋体"/>
          <w:sz w:val="24"/>
          <w:highlight w:val="none"/>
        </w:rPr>
      </w:pPr>
      <w:r>
        <w:rPr>
          <w:rFonts w:hint="eastAsia" w:ascii="宋体" w:hAnsi="宋体"/>
          <w:sz w:val="24"/>
          <w:highlight w:val="none"/>
        </w:rPr>
        <w:t>十、技术参数偏离表（附件2-</w:t>
      </w:r>
      <w:r>
        <w:rPr>
          <w:rFonts w:ascii="宋体" w:hAnsi="宋体"/>
          <w:sz w:val="24"/>
          <w:highlight w:val="none"/>
        </w:rPr>
        <w:t>6</w:t>
      </w:r>
      <w:r>
        <w:rPr>
          <w:rFonts w:hint="eastAsia" w:ascii="宋体" w:hAnsi="宋体"/>
          <w:sz w:val="24"/>
          <w:highlight w:val="none"/>
        </w:rPr>
        <w:t>）</w:t>
      </w:r>
    </w:p>
    <w:p w14:paraId="42CBA868">
      <w:pPr>
        <w:pStyle w:val="20"/>
        <w:spacing w:line="276" w:lineRule="auto"/>
        <w:rPr>
          <w:rFonts w:hint="eastAsia" w:ascii="宋体" w:hAnsi="宋体"/>
          <w:sz w:val="24"/>
          <w:highlight w:val="none"/>
        </w:rPr>
      </w:pPr>
      <w:r>
        <w:rPr>
          <w:rFonts w:hint="eastAsia" w:ascii="宋体" w:hAnsi="宋体"/>
          <w:sz w:val="24"/>
          <w:highlight w:val="none"/>
        </w:rPr>
        <w:t>十一、售后服务</w:t>
      </w:r>
    </w:p>
    <w:p w14:paraId="1A086F75">
      <w:pPr>
        <w:pStyle w:val="20"/>
        <w:spacing w:line="276" w:lineRule="auto"/>
        <w:rPr>
          <w:rFonts w:hint="eastAsia" w:ascii="宋体" w:hAnsi="宋体"/>
          <w:sz w:val="24"/>
          <w:highlight w:val="none"/>
        </w:rPr>
      </w:pPr>
      <w:r>
        <w:rPr>
          <w:rFonts w:hint="eastAsia" w:ascii="宋体" w:hAnsi="宋体"/>
          <w:sz w:val="24"/>
          <w:highlight w:val="none"/>
        </w:rPr>
        <w:t>十二、项目实施方案</w:t>
      </w:r>
    </w:p>
    <w:p w14:paraId="50A88E88">
      <w:pPr>
        <w:spacing w:line="276" w:lineRule="auto"/>
        <w:rPr>
          <w:rFonts w:hint="eastAsia" w:ascii="宋体" w:hAnsi="宋体"/>
          <w:sz w:val="24"/>
          <w:highlight w:val="none"/>
        </w:rPr>
      </w:pPr>
      <w:r>
        <w:rPr>
          <w:rFonts w:hint="eastAsia" w:ascii="宋体" w:hAnsi="宋体"/>
          <w:sz w:val="24"/>
          <w:highlight w:val="none"/>
        </w:rPr>
        <w:t>十三、业绩</w:t>
      </w:r>
    </w:p>
    <w:p w14:paraId="6D70C5A1">
      <w:pPr>
        <w:pStyle w:val="20"/>
        <w:spacing w:line="276" w:lineRule="auto"/>
        <w:ind w:firstLine="420"/>
        <w:rPr>
          <w:rFonts w:hint="eastAsia" w:ascii="宋体" w:hAnsi="宋体"/>
          <w:sz w:val="24"/>
          <w:highlight w:val="none"/>
        </w:rPr>
      </w:pPr>
      <w:bookmarkStart w:id="252" w:name="_Toc7039"/>
      <w:bookmarkStart w:id="253" w:name="_Toc28913"/>
      <w:bookmarkStart w:id="254" w:name="_Toc25967"/>
      <w:r>
        <w:rPr>
          <w:rFonts w:hint="eastAsia" w:ascii="宋体" w:hAnsi="宋体"/>
          <w:sz w:val="24"/>
          <w:highlight w:val="none"/>
        </w:rPr>
        <w:t>十四、</w:t>
      </w:r>
      <w:bookmarkEnd w:id="252"/>
      <w:bookmarkEnd w:id="253"/>
      <w:bookmarkEnd w:id="254"/>
      <w:r>
        <w:rPr>
          <w:rFonts w:hint="eastAsia" w:ascii="宋体" w:hAnsi="宋体"/>
          <w:sz w:val="24"/>
          <w:highlight w:val="none"/>
        </w:rPr>
        <w:t>资格审查文件</w:t>
      </w:r>
    </w:p>
    <w:p w14:paraId="1A5AA39B">
      <w:pPr>
        <w:spacing w:line="276" w:lineRule="auto"/>
        <w:ind w:firstLine="420" w:firstLineChars="175"/>
        <w:rPr>
          <w:rFonts w:hint="eastAsia" w:ascii="宋体" w:hAnsi="宋体"/>
          <w:sz w:val="24"/>
          <w:highlight w:val="none"/>
        </w:rPr>
      </w:pPr>
      <w:r>
        <w:rPr>
          <w:rFonts w:ascii="宋体" w:hAnsi="宋体"/>
          <w:sz w:val="24"/>
          <w:highlight w:val="none"/>
        </w:rPr>
        <w:tab/>
      </w:r>
    </w:p>
    <w:p w14:paraId="22433D5D">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0895DA47">
      <w:pPr>
        <w:spacing w:line="276" w:lineRule="auto"/>
        <w:ind w:firstLine="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r>
        <w:rPr>
          <w:rFonts w:hint="eastAsia"/>
          <w:sz w:val="30"/>
          <w:szCs w:val="30"/>
          <w:highlight w:val="none"/>
        </w:rPr>
        <w:t xml:space="preserve"> </w:t>
      </w:r>
    </w:p>
    <w:p w14:paraId="77E37FD3">
      <w:pPr>
        <w:pStyle w:val="117"/>
        <w:spacing w:after="0"/>
        <w:ind w:left="0" w:leftChars="0" w:firstLine="3" w:firstLineChars="1"/>
        <w:jc w:val="center"/>
        <w:outlineLvl w:val="1"/>
        <w:rPr>
          <w:rFonts w:hint="eastAsia" w:ascii="宋体" w:hAnsi="宋体"/>
          <w:b/>
          <w:sz w:val="28"/>
          <w:szCs w:val="28"/>
          <w:highlight w:val="none"/>
        </w:rPr>
      </w:pPr>
      <w:bookmarkStart w:id="255" w:name="_Toc17137"/>
      <w:bookmarkStart w:id="256" w:name="_Toc3192"/>
      <w:bookmarkStart w:id="257" w:name="_Toc25801"/>
      <w:r>
        <w:rPr>
          <w:b/>
          <w:sz w:val="30"/>
          <w:szCs w:val="30"/>
          <w:highlight w:val="none"/>
        </w:rPr>
        <w:br w:type="page"/>
      </w:r>
      <w:r>
        <w:rPr>
          <w:rFonts w:hint="eastAsia" w:ascii="宋体" w:hAnsi="宋体"/>
          <w:b/>
          <w:sz w:val="28"/>
          <w:szCs w:val="28"/>
          <w:highlight w:val="none"/>
        </w:rPr>
        <w:t>一、法定代表人资格证明书</w:t>
      </w:r>
      <w:bookmarkEnd w:id="255"/>
      <w:bookmarkEnd w:id="256"/>
      <w:bookmarkEnd w:id="257"/>
      <w:r>
        <w:rPr>
          <w:rFonts w:hint="eastAsia" w:ascii="宋体" w:hAnsi="宋体"/>
          <w:b/>
          <w:sz w:val="28"/>
          <w:szCs w:val="28"/>
          <w:highlight w:val="none"/>
        </w:rPr>
        <w:t>附件1-</w:t>
      </w:r>
      <w:r>
        <w:rPr>
          <w:rFonts w:ascii="宋体" w:hAnsi="宋体"/>
          <w:b/>
          <w:sz w:val="28"/>
          <w:szCs w:val="28"/>
          <w:highlight w:val="none"/>
        </w:rPr>
        <w:t>1</w:t>
      </w:r>
    </w:p>
    <w:p w14:paraId="6DABBE08">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单位名称：</w:t>
      </w:r>
    </w:p>
    <w:p w14:paraId="70A626D3">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单位性质：</w:t>
      </w:r>
    </w:p>
    <w:p w14:paraId="312C587A">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地址：</w:t>
      </w:r>
    </w:p>
    <w:p w14:paraId="0D4B027C">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成立时间：</w:t>
      </w:r>
    </w:p>
    <w:p w14:paraId="11AB1170">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经营期限：</w:t>
      </w:r>
    </w:p>
    <w:p w14:paraId="6AC8A69D">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姓名：性别：年龄：职务：</w:t>
      </w:r>
    </w:p>
    <w:p w14:paraId="2EACC654">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（投标人）</w:t>
      </w:r>
      <w:r>
        <w:rPr>
          <w:rFonts w:hint="eastAsia" w:ascii="宋体" w:hAnsi="宋体"/>
          <w:sz w:val="24"/>
          <w:highlight w:val="none"/>
        </w:rPr>
        <w:t>的法定代表人。</w:t>
      </w:r>
      <w:r>
        <w:rPr>
          <w:rFonts w:hint="eastAsia" w:ascii="宋体" w:hAnsi="宋体"/>
          <w:sz w:val="24"/>
          <w:highlight w:val="none"/>
        </w:rPr>
        <w:cr/>
      </w:r>
    </w:p>
    <w:p w14:paraId="35415092">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特此证明。</w:t>
      </w:r>
    </w:p>
    <w:p w14:paraId="25BCB287">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（附法定代表人身份证复印件）</w:t>
      </w:r>
    </w:p>
    <w:p w14:paraId="5319B571">
      <w:pPr>
        <w:spacing w:before="172" w:beforeLines="50" w:after="172" w:afterLines="50" w:line="360" w:lineRule="auto"/>
        <w:ind w:firstLine="480" w:firstLineChars="200"/>
        <w:rPr>
          <w:rFonts w:hint="eastAsia" w:ascii="宋体" w:hAnsi="宋体"/>
          <w:sz w:val="24"/>
          <w:highlight w:val="none"/>
        </w:rPr>
      </w:pPr>
    </w:p>
    <w:p w14:paraId="1C528612">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投标人签章：[投标人签章]</w:t>
      </w:r>
    </w:p>
    <w:p w14:paraId="24EE2819">
      <w:pPr>
        <w:spacing w:before="172" w:beforeLines="50" w:after="172" w:afterLines="50" w:line="360" w:lineRule="auto"/>
        <w:ind w:firstLine="496" w:firstLineChars="200"/>
        <w:rPr>
          <w:rFonts w:hint="eastAsia" w:ascii="宋体" w:hAnsi="宋体"/>
          <w:sz w:val="24"/>
          <w:highlight w:val="none"/>
        </w:rPr>
      </w:pPr>
      <w:r>
        <w:rPr>
          <w:rFonts w:hint="eastAsia" w:ascii="宋体" w:hAnsi="宋体"/>
          <w:spacing w:val="4"/>
          <w:sz w:val="24"/>
          <w:highlight w:val="none"/>
        </w:rPr>
        <w:t xml:space="preserve">日期：  </w:t>
      </w:r>
      <w:r>
        <w:rPr>
          <w:rFonts w:hint="eastAsia" w:ascii="宋体" w:hAnsi="宋体"/>
          <w:sz w:val="24"/>
          <w:highlight w:val="none"/>
        </w:rPr>
        <w:t>年   月  日</w:t>
      </w:r>
    </w:p>
    <w:p w14:paraId="5F850C77">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bookmarkStart w:id="258" w:name="_Toc26741"/>
      <w:bookmarkStart w:id="259" w:name="_Toc12725"/>
      <w:bookmarkStart w:id="260" w:name="_Toc27720"/>
      <w:r>
        <w:rPr>
          <w:rFonts w:hint="eastAsia" w:ascii="宋体" w:hAnsi="宋体"/>
          <w:b/>
          <w:sz w:val="28"/>
          <w:szCs w:val="28"/>
          <w:highlight w:val="none"/>
        </w:rPr>
        <w:t>二、投标人代表身份证明</w:t>
      </w:r>
    </w:p>
    <w:p w14:paraId="0E3C12B7">
      <w:pPr>
        <w:spacing w:line="440" w:lineRule="exact"/>
        <w:jc w:val="center"/>
        <w:rPr>
          <w:b/>
          <w:sz w:val="32"/>
          <w:szCs w:val="32"/>
          <w:highlight w:val="none"/>
        </w:rPr>
      </w:pPr>
      <w:r>
        <w:rPr>
          <w:rFonts w:hint="eastAsia"/>
          <w:b/>
          <w:sz w:val="32"/>
          <w:szCs w:val="32"/>
          <w:highlight w:val="none"/>
        </w:rPr>
        <w:t>法定代表人授权委托书</w:t>
      </w:r>
      <w:bookmarkEnd w:id="258"/>
      <w:bookmarkEnd w:id="259"/>
      <w:bookmarkEnd w:id="260"/>
      <w:r>
        <w:rPr>
          <w:rFonts w:hint="eastAsia"/>
          <w:b/>
          <w:sz w:val="30"/>
          <w:szCs w:val="30"/>
          <w:highlight w:val="none"/>
        </w:rPr>
        <w:t>附件1-</w:t>
      </w:r>
      <w:r>
        <w:rPr>
          <w:b/>
          <w:sz w:val="30"/>
          <w:szCs w:val="30"/>
          <w:highlight w:val="none"/>
        </w:rPr>
        <w:t>2</w:t>
      </w:r>
    </w:p>
    <w:p w14:paraId="31A6B605">
      <w:pPr>
        <w:spacing w:line="440" w:lineRule="exact"/>
        <w:jc w:val="center"/>
        <w:rPr>
          <w:b/>
          <w:sz w:val="32"/>
          <w:szCs w:val="32"/>
          <w:highlight w:val="none"/>
        </w:rPr>
      </w:pPr>
    </w:p>
    <w:p w14:paraId="63A1B8DA">
      <w:pPr>
        <w:autoSpaceDE w:val="0"/>
        <w:autoSpaceDN w:val="0"/>
        <w:adjustRightInd w:val="0"/>
        <w:spacing w:line="440" w:lineRule="exact"/>
        <w:ind w:firstLine="422"/>
        <w:rPr>
          <w:rFonts w:hint="eastAsia" w:ascii="宋体" w:hAnsi="宋体"/>
          <w:sz w:val="24"/>
          <w:highlight w:val="none"/>
        </w:rPr>
      </w:pPr>
      <w:r>
        <w:rPr>
          <w:rFonts w:hint="eastAsia" w:ascii="宋体" w:hAnsi="宋体"/>
          <w:sz w:val="24"/>
          <w:highlight w:val="none"/>
        </w:rPr>
        <w:t>本授权声明：注册于中华人民共和国的</w:t>
      </w:r>
      <w:r>
        <w:rPr>
          <w:rFonts w:hint="eastAsia" w:ascii="宋体" w:hAnsi="宋体"/>
          <w:sz w:val="24"/>
          <w:highlight w:val="none"/>
          <w:u w:val="single"/>
        </w:rPr>
        <w:t>（投标人名称、住址）</w:t>
      </w:r>
      <w:r>
        <w:rPr>
          <w:rFonts w:hint="eastAsia" w:ascii="宋体" w:hAnsi="宋体"/>
          <w:sz w:val="24"/>
          <w:highlight w:val="none"/>
        </w:rPr>
        <w:t>的法人代表</w:t>
      </w:r>
      <w:r>
        <w:rPr>
          <w:rFonts w:hint="eastAsia" w:ascii="宋体" w:hAnsi="宋体"/>
          <w:sz w:val="24"/>
          <w:highlight w:val="none"/>
          <w:u w:val="single"/>
        </w:rPr>
        <w:t>（法定代表人姓名）</w:t>
      </w:r>
      <w:r>
        <w:rPr>
          <w:rFonts w:hint="eastAsia" w:ascii="宋体" w:hAnsi="宋体"/>
          <w:sz w:val="24"/>
          <w:highlight w:val="none"/>
        </w:rPr>
        <w:t>代表本公司授权在下面签字的</w:t>
      </w:r>
      <w:r>
        <w:rPr>
          <w:rFonts w:hint="eastAsia" w:ascii="宋体" w:hAnsi="宋体"/>
          <w:sz w:val="24"/>
          <w:highlight w:val="none"/>
          <w:u w:val="single"/>
        </w:rPr>
        <w:t>（授权代表姓名）</w:t>
      </w:r>
      <w:r>
        <w:rPr>
          <w:rFonts w:hint="eastAsia" w:ascii="宋体" w:hAnsi="宋体"/>
          <w:sz w:val="24"/>
          <w:highlight w:val="none"/>
        </w:rPr>
        <w:t>为本公司的合法代理人，就此次</w:t>
      </w:r>
      <w:r>
        <w:rPr>
          <w:rFonts w:hint="eastAsia" w:ascii="宋体" w:hAnsi="宋体"/>
          <w:sz w:val="24"/>
          <w:highlight w:val="none"/>
          <w:u w:val="single"/>
        </w:rPr>
        <w:t xml:space="preserve">   项目名称  </w:t>
      </w:r>
      <w:r>
        <w:rPr>
          <w:rFonts w:hint="eastAsia" w:ascii="宋体" w:hAnsi="宋体"/>
          <w:sz w:val="24"/>
          <w:highlight w:val="none"/>
        </w:rPr>
        <w:t>项目，项目编号为（</w:t>
      </w:r>
      <w:r>
        <w:rPr>
          <w:rFonts w:hint="eastAsia" w:ascii="宋体" w:hAnsi="宋体"/>
          <w:sz w:val="24"/>
          <w:highlight w:val="none"/>
          <w:u w:val="single"/>
        </w:rPr>
        <w:t xml:space="preserve">                </w:t>
      </w:r>
      <w:r>
        <w:rPr>
          <w:rFonts w:hint="eastAsia" w:ascii="宋体" w:hAnsi="宋体"/>
          <w:sz w:val="24"/>
          <w:highlight w:val="none"/>
        </w:rPr>
        <w:t>）的投标及相关事务代表本公司处理与之有关的一切事务。</w:t>
      </w:r>
    </w:p>
    <w:p w14:paraId="4E3D77A2">
      <w:pPr>
        <w:autoSpaceDE w:val="0"/>
        <w:autoSpaceDN w:val="0"/>
        <w:adjustRightInd w:val="0"/>
        <w:spacing w:line="440" w:lineRule="exact"/>
        <w:ind w:firstLine="420" w:firstLineChars="175"/>
        <w:rPr>
          <w:rFonts w:hint="eastAsia" w:ascii="宋体" w:hAnsi="宋体"/>
          <w:sz w:val="24"/>
          <w:highlight w:val="none"/>
        </w:rPr>
      </w:pPr>
      <w:r>
        <w:rPr>
          <w:rFonts w:hint="eastAsia" w:ascii="宋体" w:hAnsi="宋体"/>
          <w:sz w:val="24"/>
          <w:highlight w:val="none"/>
        </w:rPr>
        <w:t>本授权书于</w:t>
      </w:r>
      <w:r>
        <w:rPr>
          <w:rFonts w:hint="eastAsia" w:ascii="宋体" w:hAnsi="宋体"/>
          <w:sz w:val="24"/>
          <w:highlight w:val="none"/>
          <w:u w:val="single"/>
        </w:rPr>
        <w:t>年月日</w:t>
      </w:r>
      <w:r>
        <w:rPr>
          <w:rFonts w:hint="eastAsia" w:ascii="宋体" w:hAnsi="宋体"/>
          <w:sz w:val="24"/>
          <w:highlight w:val="none"/>
        </w:rPr>
        <w:t>签字生效，特此声明。</w:t>
      </w:r>
    </w:p>
    <w:p w14:paraId="27236608">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法定代表人签字或盖章：</w:t>
      </w:r>
    </w:p>
    <w:p w14:paraId="140E1521">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授权代表签字或盖章：</w:t>
      </w:r>
    </w:p>
    <w:p w14:paraId="7B4D4CC1">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单位名称：</w:t>
      </w:r>
    </w:p>
    <w:p w14:paraId="5F868A0A">
      <w:pPr>
        <w:spacing w:line="440" w:lineRule="exact"/>
        <w:ind w:firstLine="480"/>
        <w:rPr>
          <w:rFonts w:hint="eastAsia" w:ascii="宋体" w:hAnsi="宋体"/>
          <w:sz w:val="24"/>
          <w:highlight w:val="none"/>
        </w:rPr>
      </w:pPr>
      <w:r>
        <w:rPr>
          <w:rFonts w:hint="eastAsia" w:ascii="宋体" w:hAnsi="宋体"/>
          <w:sz w:val="24"/>
          <w:highlight w:val="none"/>
        </w:rPr>
        <w:t>授权日期：</w:t>
      </w:r>
      <w:r>
        <w:rPr>
          <w:rFonts w:ascii="宋体" w:hAnsi="宋体"/>
          <w:sz w:val="24"/>
          <w:highlight w:val="none"/>
        </w:rPr>
        <w:t>20</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w:t>
      </w:r>
      <w:r>
        <w:rPr>
          <w:rFonts w:hint="eastAsia" w:ascii="宋体" w:hAnsi="宋体"/>
          <w:sz w:val="24"/>
          <w:highlight w:val="none"/>
        </w:rPr>
        <w:t>月</w:t>
      </w:r>
      <w:r>
        <w:rPr>
          <w:rFonts w:hint="eastAsia" w:ascii="宋体" w:hAnsi="宋体"/>
          <w:sz w:val="24"/>
          <w:highlight w:val="none"/>
          <w:u w:val="single"/>
        </w:rPr>
        <w:t>　　</w:t>
      </w:r>
      <w:r>
        <w:rPr>
          <w:rFonts w:hint="eastAsia" w:ascii="宋体" w:hAnsi="宋体"/>
          <w:sz w:val="24"/>
          <w:highlight w:val="none"/>
        </w:rPr>
        <w:t>日</w:t>
      </w:r>
    </w:p>
    <w:p w14:paraId="476A7A46">
      <w:pPr>
        <w:spacing w:line="440" w:lineRule="exact"/>
        <w:ind w:firstLine="480"/>
        <w:rPr>
          <w:rFonts w:hint="eastAsia" w:ascii="宋体" w:hAnsi="宋体"/>
          <w:sz w:val="24"/>
          <w:highlight w:val="none"/>
        </w:rPr>
      </w:pPr>
    </w:p>
    <w:p w14:paraId="5AE1A4B2">
      <w:pPr>
        <w:spacing w:line="440" w:lineRule="exact"/>
        <w:ind w:firstLine="6240" w:firstLineChars="2600"/>
        <w:rPr>
          <w:rFonts w:hint="eastAsia" w:ascii="宋体" w:hAnsi="宋体"/>
          <w:sz w:val="24"/>
          <w:highlight w:val="none"/>
        </w:rPr>
      </w:pPr>
      <w:r>
        <w:rPr>
          <w:rFonts w:hint="eastAsia" w:ascii="宋体" w:hAnsi="宋体"/>
          <w:sz w:val="24"/>
          <w:highlight w:val="none"/>
        </w:rPr>
        <w:t>（单位签章）</w:t>
      </w:r>
    </w:p>
    <w:p w14:paraId="1D7835A1">
      <w:pPr>
        <w:spacing w:line="440" w:lineRule="exact"/>
        <w:ind w:firstLine="6360" w:firstLineChars="26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27AE29B9">
      <w:pPr>
        <w:spacing w:line="440" w:lineRule="exact"/>
        <w:ind w:firstLine="422" w:firstLineChars="200"/>
        <w:rPr>
          <w:b/>
          <w:highlight w:val="none"/>
          <w:em w:val="dot"/>
        </w:rPr>
      </w:pPr>
    </w:p>
    <w:p w14:paraId="5F835594">
      <w:pPr>
        <w:spacing w:line="440" w:lineRule="exact"/>
        <w:rPr>
          <w:b/>
          <w:highlight w:val="none"/>
          <w:em w:val="dot"/>
        </w:rPr>
      </w:pPr>
    </w:p>
    <w:p w14:paraId="4C76F185">
      <w:pPr>
        <w:spacing w:line="440" w:lineRule="exact"/>
        <w:rPr>
          <w:b/>
          <w:highlight w:val="none"/>
          <w:em w:val="dot"/>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7A66477E">
                            <w:pPr>
                              <w:jc w:val="center"/>
                            </w:pPr>
                          </w:p>
                          <w:p w14:paraId="40D1B06C">
                            <w:pPr>
                              <w:jc w:val="center"/>
                              <w:rPr>
                                <w:b/>
                              </w:rPr>
                            </w:pPr>
                          </w:p>
                          <w:p w14:paraId="4769FE9E">
                            <w:pPr>
                              <w:jc w:val="center"/>
                              <w:rPr>
                                <w:b/>
                              </w:rPr>
                            </w:pPr>
                          </w:p>
                          <w:p w14:paraId="4859D601">
                            <w:pPr>
                              <w:jc w:val="center"/>
                              <w:rPr>
                                <w:b/>
                              </w:rPr>
                            </w:pPr>
                            <w:r>
                              <w:rPr>
                                <w:rFonts w:hint="eastAsia"/>
                                <w:b/>
                              </w:rPr>
                              <w:t>此处附</w:t>
                            </w:r>
                            <w:r>
                              <w:rPr>
                                <w:rFonts w:hint="eastAsia"/>
                                <w:b/>
                                <w:em w:val="dot"/>
                              </w:rPr>
                              <w:t>法定代表人</w:t>
                            </w:r>
                            <w:r>
                              <w:rPr>
                                <w:rFonts w:hint="eastAsia"/>
                                <w:b/>
                              </w:rPr>
                              <w:t>身份证复印件正反面</w:t>
                            </w:r>
                          </w:p>
                          <w:p w14:paraId="3973BFB4">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7A66477E">
                      <w:pPr>
                        <w:jc w:val="center"/>
                      </w:pPr>
                    </w:p>
                    <w:p w14:paraId="40D1B06C">
                      <w:pPr>
                        <w:jc w:val="center"/>
                        <w:rPr>
                          <w:b/>
                        </w:rPr>
                      </w:pPr>
                    </w:p>
                    <w:p w14:paraId="4769FE9E">
                      <w:pPr>
                        <w:jc w:val="center"/>
                        <w:rPr>
                          <w:b/>
                        </w:rPr>
                      </w:pPr>
                    </w:p>
                    <w:p w14:paraId="4859D601">
                      <w:pPr>
                        <w:jc w:val="center"/>
                        <w:rPr>
                          <w:b/>
                        </w:rPr>
                      </w:pPr>
                      <w:r>
                        <w:rPr>
                          <w:rFonts w:hint="eastAsia"/>
                          <w:b/>
                        </w:rPr>
                        <w:t>此处附</w:t>
                      </w:r>
                      <w:r>
                        <w:rPr>
                          <w:rFonts w:hint="eastAsia"/>
                          <w:b/>
                          <w:em w:val="dot"/>
                        </w:rPr>
                        <w:t>法定代表人</w:t>
                      </w:r>
                      <w:r>
                        <w:rPr>
                          <w:rFonts w:hint="eastAsia"/>
                          <w:b/>
                        </w:rPr>
                        <w:t>身份证复印件正反面</w:t>
                      </w:r>
                    </w:p>
                    <w:p w14:paraId="3973BFB4">
                      <w:pPr>
                        <w:pStyle w:val="4"/>
                      </w:pPr>
                    </w:p>
                  </w:txbxContent>
                </v:textbox>
              </v:shape>
            </w:pict>
          </mc:Fallback>
        </mc:AlternateContent>
      </w:r>
    </w:p>
    <w:p w14:paraId="0A1C6498">
      <w:pPr>
        <w:spacing w:line="440" w:lineRule="exact"/>
        <w:rPr>
          <w:b/>
          <w:highlight w:val="none"/>
          <w:em w:val="dot"/>
        </w:rPr>
      </w:pPr>
    </w:p>
    <w:p w14:paraId="7E4BD68F">
      <w:pPr>
        <w:spacing w:line="440" w:lineRule="exact"/>
        <w:rPr>
          <w:b/>
          <w:highlight w:val="none"/>
        </w:rPr>
      </w:pPr>
    </w:p>
    <w:p w14:paraId="3E7326C2">
      <w:pPr>
        <w:spacing w:line="440" w:lineRule="exact"/>
        <w:rPr>
          <w:b/>
          <w:highlight w:val="none"/>
        </w:rPr>
      </w:pPr>
    </w:p>
    <w:p w14:paraId="62A2AF39">
      <w:pPr>
        <w:spacing w:line="440" w:lineRule="exact"/>
        <w:rPr>
          <w:b/>
          <w:sz w:val="30"/>
          <w:szCs w:val="30"/>
          <w:highlight w:val="none"/>
        </w:rPr>
      </w:pPr>
    </w:p>
    <w:p w14:paraId="16291A3E">
      <w:pPr>
        <w:spacing w:line="440" w:lineRule="exact"/>
        <w:jc w:val="center"/>
        <w:rPr>
          <w:b/>
          <w:sz w:val="30"/>
          <w:szCs w:val="30"/>
          <w:highlight w:val="none"/>
        </w:rPr>
      </w:pPr>
    </w:p>
    <w:p w14:paraId="41E06BA7">
      <w:pPr>
        <w:spacing w:line="276" w:lineRule="auto"/>
        <w:rPr>
          <w:rFonts w:hint="eastAsia" w:ascii="宋体" w:hAnsi="宋体"/>
          <w:sz w:val="24"/>
          <w:highlight w:val="none"/>
        </w:rPr>
      </w:pPr>
      <w:r>
        <w:rPr>
          <w:highlight w:val="none"/>
        </w:rPr>
        <mc:AlternateContent>
          <mc:Choice Requires="wps">
            <w:drawing>
              <wp:anchor distT="0" distB="0" distL="114300" distR="114300" simplePos="0" relativeHeight="251662336"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6F6D8D83"/>
                          <w:p w14:paraId="58DAD6AB"/>
                          <w:p w14:paraId="5E6A5688">
                            <w:pPr>
                              <w:jc w:val="center"/>
                              <w:rPr>
                                <w:b/>
                              </w:rPr>
                            </w:pPr>
                            <w:r>
                              <w:rPr>
                                <w:rFonts w:hint="eastAsia"/>
                                <w:b/>
                              </w:rPr>
                              <w:t>此处附被授权人身份证复印件正反面</w:t>
                            </w:r>
                          </w:p>
                          <w:p w14:paraId="30867546"/>
                        </w:txbxContent>
                      </wps:txbx>
                      <wps:bodyPr upright="1"/>
                    </wps:wsp>
                  </a:graphicData>
                </a:graphic>
              </wp:anchor>
            </w:drawing>
          </mc:Choice>
          <mc:Fallback>
            <w:pict>
              <v:shape id="Text Box 6" o:spid="_x0000_s1026" o:spt="202" type="#_x0000_t202" style="position:absolute;left:0pt;margin-left:-0.5pt;margin-top:14.3pt;height:124.8pt;width:438.8pt;z-index:251662336;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6F6D8D83"/>
                    <w:p w14:paraId="58DAD6AB"/>
                    <w:p w14:paraId="5E6A5688">
                      <w:pPr>
                        <w:jc w:val="center"/>
                        <w:rPr>
                          <w:b/>
                        </w:rPr>
                      </w:pPr>
                      <w:r>
                        <w:rPr>
                          <w:rFonts w:hint="eastAsia"/>
                          <w:b/>
                        </w:rPr>
                        <w:t>此处附被授权人身份证复印件正反面</w:t>
                      </w:r>
                    </w:p>
                    <w:p w14:paraId="30867546"/>
                  </w:txbxContent>
                </v:textbox>
              </v:shape>
            </w:pict>
          </mc:Fallback>
        </mc:AlternateContent>
      </w:r>
    </w:p>
    <w:p w14:paraId="598EC92C">
      <w:pPr>
        <w:pStyle w:val="3"/>
        <w:keepNext w:val="0"/>
        <w:keepLines w:val="0"/>
        <w:widowControl/>
        <w:shd w:val="clear" w:color="auto" w:fill="FFFFFF"/>
        <w:tabs>
          <w:tab w:val="left" w:pos="576"/>
          <w:tab w:val="left" w:pos="1296"/>
        </w:tabs>
        <w:spacing w:before="0" w:after="150"/>
        <w:jc w:val="center"/>
        <w:rPr>
          <w:b w:val="0"/>
          <w:sz w:val="30"/>
          <w:szCs w:val="30"/>
          <w:highlight w:val="none"/>
        </w:rPr>
        <w:sectPr>
          <w:pgSz w:w="11906" w:h="16838"/>
          <w:pgMar w:top="1134" w:right="1134" w:bottom="1134" w:left="1134" w:header="851" w:footer="992" w:gutter="0"/>
          <w:cols w:space="720" w:num="1"/>
          <w:docGrid w:type="lines" w:linePitch="344" w:charSpace="0"/>
        </w:sectPr>
      </w:pPr>
    </w:p>
    <w:p w14:paraId="55C87F37">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三、提供符合政府采购政策的证明材料</w:t>
      </w:r>
    </w:p>
    <w:p w14:paraId="07C53FD8">
      <w:pPr>
        <w:spacing w:line="440" w:lineRule="exact"/>
        <w:jc w:val="center"/>
        <w:rPr>
          <w:rFonts w:hint="eastAsia" w:ascii="宋体" w:hAnsi="宋体"/>
          <w:kern w:val="0"/>
          <w:sz w:val="24"/>
          <w:highlight w:val="none"/>
        </w:rPr>
      </w:pPr>
      <w:r>
        <w:rPr>
          <w:rFonts w:hint="eastAsia" w:ascii="宋体" w:hAnsi="宋体" w:cs="宋体"/>
          <w:b/>
          <w:kern w:val="0"/>
          <w:sz w:val="28"/>
          <w:szCs w:val="32"/>
          <w:highlight w:val="none"/>
        </w:rPr>
        <w:t>1中小微企业声明函附件</w:t>
      </w:r>
      <w:r>
        <w:rPr>
          <w:rFonts w:hint="eastAsia" w:ascii="宋体" w:hAnsi="宋体"/>
          <w:b/>
          <w:sz w:val="28"/>
          <w:szCs w:val="30"/>
          <w:highlight w:val="none"/>
        </w:rPr>
        <w:t>1-4-1</w:t>
      </w:r>
    </w:p>
    <w:p w14:paraId="352EF34C">
      <w:pPr>
        <w:widowControl/>
        <w:jc w:val="center"/>
        <w:rPr>
          <w:rFonts w:hint="eastAsia" w:ascii="宋体" w:hAnsi="宋体" w:cs="宋体"/>
          <w:kern w:val="0"/>
          <w:sz w:val="28"/>
          <w:szCs w:val="28"/>
          <w:highlight w:val="none"/>
        </w:rPr>
      </w:pPr>
      <w:r>
        <w:rPr>
          <w:rFonts w:ascii="宋体" w:hAnsi="宋体" w:cs="宋体"/>
          <w:kern w:val="0"/>
          <w:sz w:val="28"/>
          <w:szCs w:val="28"/>
          <w:highlight w:val="none"/>
        </w:rPr>
        <w:t>中小企业声明函（货物）</w:t>
      </w:r>
    </w:p>
    <w:p w14:paraId="65387C6E">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本公司（联合体） 郑重声明， 根据《政府采购促进中小企业发展管理办法》（财库﹝ 2020﹞ 46 号） 的规定， 本公司（联合体） 参加（单位名称） 的（项目名称） 采购活动， 提供的货物全部由符合政策要求的中小企业制造。 相关企业（含联合体中的中小企业、 签订分包意向协议的中小企业）的具体情况如下：</w:t>
      </w:r>
    </w:p>
    <w:p w14:paraId="430A6F4A">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1.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（采购文件中明确的所属行业）行业</w:t>
      </w:r>
      <w:r>
        <w:rPr>
          <w:rFonts w:ascii="宋体" w:hAnsi="宋体" w:cs="宋体"/>
          <w:kern w:val="0"/>
          <w:sz w:val="24"/>
          <w:szCs w:val="24"/>
          <w:highlight w:val="none"/>
        </w:rPr>
        <w:t>；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营业收入为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w:t>
      </w:r>
      <w:r>
        <w:rPr>
          <w:rFonts w:ascii="宋体" w:hAnsi="宋体" w:cs="宋体"/>
          <w:kern w:val="0"/>
          <w:sz w:val="24"/>
          <w:szCs w:val="24"/>
          <w:highlight w:val="none"/>
          <w:vertAlign w:val="superscript"/>
        </w:rPr>
        <w:t>1</w:t>
      </w:r>
      <w:r>
        <w:rPr>
          <w:rFonts w:ascii="宋体" w:hAnsi="宋体" w:cs="宋体"/>
          <w:kern w:val="0"/>
          <w:sz w:val="24"/>
          <w:szCs w:val="24"/>
          <w:highlight w:val="none"/>
        </w:rPr>
        <w:t>，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025C2FDF">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2.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w:t>
      </w:r>
      <w:r>
        <w:rPr>
          <w:rFonts w:ascii="宋体" w:hAnsi="宋体" w:cs="宋体"/>
          <w:kern w:val="0"/>
          <w:sz w:val="24"/>
          <w:szCs w:val="24"/>
          <w:highlight w:val="none"/>
        </w:rPr>
        <w:t>行业；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25A52427">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w:t>
      </w:r>
    </w:p>
    <w:p w14:paraId="4B68B11B">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以上企业， 不属于大企业的分支机构， 不存在控股股东为大企业的情形， 也不存在与大企业的负责人为同一人的情形。</w:t>
      </w:r>
    </w:p>
    <w:p w14:paraId="0A5F277D">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本企业对上述声明内容的真实性负责。 如有虚假， 将依法承担相应责任。</w:t>
      </w:r>
    </w:p>
    <w:p w14:paraId="7F7A8F3E">
      <w:pPr>
        <w:widowControl/>
        <w:spacing w:line="360" w:lineRule="auto"/>
        <w:ind w:firstLine="480" w:firstLineChars="200"/>
        <w:jc w:val="right"/>
        <w:rPr>
          <w:rFonts w:hint="eastAsia" w:ascii="宋体" w:hAnsi="宋体" w:cs="宋体"/>
          <w:kern w:val="0"/>
          <w:sz w:val="24"/>
          <w:szCs w:val="24"/>
          <w:highlight w:val="none"/>
        </w:rPr>
      </w:pPr>
    </w:p>
    <w:p w14:paraId="1BD63D81">
      <w:pPr>
        <w:widowControl/>
        <w:spacing w:line="360" w:lineRule="auto"/>
        <w:ind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企业名称（</w:t>
      </w:r>
      <w:r>
        <w:rPr>
          <w:rFonts w:hint="eastAsia" w:ascii="宋体" w:hAnsi="宋体" w:cs="宋体"/>
          <w:kern w:val="0"/>
          <w:sz w:val="24"/>
          <w:szCs w:val="24"/>
          <w:highlight w:val="none"/>
        </w:rPr>
        <w:t>电子签章</w:t>
      </w:r>
      <w:r>
        <w:rPr>
          <w:rFonts w:ascii="宋体" w:hAnsi="宋体" w:cs="宋体"/>
          <w:kern w:val="0"/>
          <w:sz w:val="24"/>
          <w:szCs w:val="24"/>
          <w:highlight w:val="none"/>
        </w:rPr>
        <w:t>）：</w:t>
      </w:r>
      <w:r>
        <w:rPr>
          <w:rFonts w:hint="eastAsia" w:ascii="宋体" w:hAnsi="宋体" w:cs="宋体"/>
          <w:kern w:val="0"/>
          <w:sz w:val="24"/>
          <w:szCs w:val="24"/>
          <w:highlight w:val="none"/>
        </w:rPr>
        <w:t xml:space="preserve">        </w:t>
      </w:r>
    </w:p>
    <w:p w14:paraId="05023AA2">
      <w:pPr>
        <w:widowControl/>
        <w:spacing w:line="360" w:lineRule="auto"/>
        <w:ind w:right="480"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日 期：</w:t>
      </w:r>
      <w:r>
        <w:rPr>
          <w:rFonts w:hint="eastAsia" w:ascii="宋体" w:hAnsi="宋体" w:cs="宋体"/>
          <w:kern w:val="0"/>
          <w:sz w:val="24"/>
          <w:szCs w:val="24"/>
          <w:highlight w:val="none"/>
        </w:rPr>
        <w:t xml:space="preserve">         </w:t>
      </w:r>
    </w:p>
    <w:p w14:paraId="4190183E">
      <w:pPr>
        <w:widowControl/>
        <w:spacing w:line="360" w:lineRule="auto"/>
        <w:ind w:right="480" w:firstLine="480" w:firstLineChars="200"/>
        <w:jc w:val="right"/>
        <w:rPr>
          <w:rFonts w:hint="eastAsia" w:ascii="宋体" w:hAnsi="宋体" w:cs="宋体"/>
          <w:kern w:val="0"/>
          <w:sz w:val="24"/>
          <w:szCs w:val="24"/>
          <w:highlight w:val="none"/>
        </w:rPr>
      </w:pPr>
    </w:p>
    <w:p w14:paraId="4FFECFA0">
      <w:pPr>
        <w:spacing w:line="360" w:lineRule="auto"/>
        <w:ind w:firstLine="480" w:firstLineChars="200"/>
        <w:rPr>
          <w:rFonts w:hint="eastAsia" w:ascii="宋体" w:hAnsi="宋体"/>
          <w:kern w:val="0"/>
          <w:sz w:val="24"/>
          <w:szCs w:val="24"/>
          <w:highlight w:val="none"/>
        </w:rPr>
      </w:pPr>
      <w:r>
        <w:rPr>
          <w:rFonts w:ascii="宋体" w:hAnsi="宋体" w:cs="宋体"/>
          <w:kern w:val="0"/>
          <w:sz w:val="24"/>
          <w:szCs w:val="24"/>
          <w:highlight w:val="none"/>
          <w:vertAlign w:val="superscript"/>
        </w:rPr>
        <w:t>1</w:t>
      </w:r>
      <w:r>
        <w:rPr>
          <w:rFonts w:ascii="宋体" w:hAnsi="宋体" w:cs="宋体"/>
          <w:kern w:val="0"/>
          <w:sz w:val="24"/>
          <w:szCs w:val="24"/>
          <w:highlight w:val="none"/>
        </w:rPr>
        <w:t>从业人员、 营业收入、 资产总额填报上一年度数据， 无上一年度数据的新成立企业可不填报。</w:t>
      </w:r>
    </w:p>
    <w:p w14:paraId="7D700370">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（若响应文件中无上述文件，则在评审时不考虑对该小、微企业的相关优惠。）</w:t>
      </w:r>
      <w:r>
        <w:rPr>
          <w:rFonts w:ascii="宋体" w:hAnsi="宋体"/>
          <w:kern w:val="0"/>
          <w:sz w:val="24"/>
          <w:highlight w:val="none"/>
        </w:rPr>
        <w:t xml:space="preserve"> </w:t>
      </w:r>
    </w:p>
    <w:p w14:paraId="4D40E97B">
      <w:pPr>
        <w:spacing w:line="360" w:lineRule="auto"/>
        <w:ind w:firstLine="480" w:firstLineChars="200"/>
        <w:rPr>
          <w:rFonts w:hint="eastAsia" w:ascii="宋体" w:hAnsi="宋体"/>
          <w:kern w:val="0"/>
          <w:sz w:val="24"/>
          <w:highlight w:val="none"/>
        </w:rPr>
      </w:pPr>
    </w:p>
    <w:p w14:paraId="4E49EF05">
      <w:pPr>
        <w:spacing w:line="360" w:lineRule="auto"/>
        <w:ind w:firstLine="446" w:firstLineChars="200"/>
        <w:rPr>
          <w:rFonts w:hint="eastAsia" w:ascii="宋体" w:hAnsi="宋体"/>
          <w:kern w:val="0"/>
          <w:sz w:val="24"/>
          <w:highlight w:val="none"/>
        </w:rPr>
      </w:pPr>
      <w:r>
        <w:rPr>
          <w:rFonts w:hint="eastAsia" w:cs="宋体"/>
          <w:b/>
          <w:bCs/>
          <w:spacing w:val="6"/>
          <w:szCs w:val="21"/>
          <w:highlight w:val="none"/>
        </w:rPr>
        <w:t>重要提示：供应商应仔细阅读本招标文件最后部分的附件1关于</w:t>
      </w:r>
      <w:r>
        <w:rPr>
          <w:rFonts w:hint="eastAsia" w:cs="宋体"/>
          <w:spacing w:val="-6"/>
          <w:kern w:val="0"/>
          <w:szCs w:val="21"/>
          <w:highlight w:val="none"/>
          <w:lang w:bidi="ar"/>
        </w:rPr>
        <w:t>“</w:t>
      </w:r>
      <w:r>
        <w:rPr>
          <w:rFonts w:hint="eastAsia" w:cs="宋体"/>
          <w:b/>
          <w:bCs/>
          <w:spacing w:val="6"/>
          <w:szCs w:val="21"/>
          <w:highlight w:val="none"/>
        </w:rPr>
        <w:t>中小企业声明函”的填写要求及提交要求，否则，因填写或提交等产生的一切不利后果，须自行承担。</w:t>
      </w:r>
    </w:p>
    <w:p w14:paraId="05637CC5">
      <w:pPr>
        <w:tabs>
          <w:tab w:val="left" w:pos="3777"/>
          <w:tab w:val="center" w:pos="4819"/>
        </w:tabs>
        <w:spacing w:line="360" w:lineRule="auto"/>
        <w:jc w:val="center"/>
        <w:rPr>
          <w:rFonts w:hint="eastAsia" w:ascii="宋体" w:hAnsi="宋体" w:cs="宋体"/>
          <w:b/>
          <w:kern w:val="0"/>
          <w:sz w:val="32"/>
          <w:szCs w:val="32"/>
          <w:highlight w:val="none"/>
        </w:rPr>
      </w:pPr>
      <w:r>
        <w:rPr>
          <w:rFonts w:hint="eastAsia" w:ascii="宋体" w:hAnsi="宋体"/>
          <w:b/>
          <w:sz w:val="32"/>
          <w:szCs w:val="32"/>
          <w:highlight w:val="none"/>
        </w:rPr>
        <w:br w:type="page"/>
      </w:r>
      <w:r>
        <w:rPr>
          <w:rFonts w:ascii="宋体" w:hAnsi="宋体"/>
          <w:b/>
          <w:sz w:val="32"/>
          <w:szCs w:val="32"/>
          <w:highlight w:val="none"/>
        </w:rPr>
        <w:t>2</w:t>
      </w:r>
      <w:r>
        <w:rPr>
          <w:rFonts w:hint="eastAsia" w:ascii="宋体" w:hAnsi="宋体" w:cs="宋体"/>
          <w:b/>
          <w:kern w:val="0"/>
          <w:sz w:val="28"/>
          <w:szCs w:val="32"/>
          <w:highlight w:val="none"/>
        </w:rPr>
        <w:t>监狱企业声明函附件1-4-2</w:t>
      </w:r>
    </w:p>
    <w:p w14:paraId="54B63EE6">
      <w:pPr>
        <w:spacing w:line="360" w:lineRule="auto"/>
        <w:jc w:val="center"/>
        <w:rPr>
          <w:rFonts w:hint="eastAsia" w:ascii="宋体" w:hAnsi="宋体"/>
          <w:kern w:val="0"/>
          <w:sz w:val="24"/>
          <w:highlight w:val="none"/>
        </w:rPr>
      </w:pPr>
      <w:r>
        <w:rPr>
          <w:rFonts w:hint="eastAsia" w:ascii="宋体" w:hAnsi="宋体"/>
          <w:kern w:val="0"/>
          <w:sz w:val="24"/>
          <w:highlight w:val="none"/>
        </w:rPr>
        <w:t>（监狱企业适用）</w:t>
      </w:r>
    </w:p>
    <w:p w14:paraId="6E97D345">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本公司郑重声明，根据《关于政府采购支持监狱企业发展有关问题的通知》（财库</w:t>
      </w:r>
      <w:r>
        <w:rPr>
          <w:rFonts w:ascii="宋体" w:hAnsi="宋体"/>
          <w:kern w:val="0"/>
          <w:sz w:val="24"/>
          <w:highlight w:val="none"/>
        </w:rPr>
        <w:t>[2014]68</w:t>
      </w:r>
      <w:r>
        <w:rPr>
          <w:rFonts w:hint="eastAsia" w:ascii="宋体" w:hAnsi="宋体"/>
          <w:kern w:val="0"/>
          <w:sz w:val="24"/>
          <w:highlight w:val="none"/>
        </w:rPr>
        <w:t>号）的规定，本公司为监狱企业。</w:t>
      </w:r>
    </w:p>
    <w:p w14:paraId="5190F67A">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本公司参加</w:t>
      </w:r>
      <w:r>
        <w:rPr>
          <w:rFonts w:ascii="宋体" w:hAnsi="宋体"/>
          <w:kern w:val="0"/>
          <w:sz w:val="24"/>
          <w:highlight w:val="none"/>
        </w:rPr>
        <w:t>______</w:t>
      </w:r>
      <w:r>
        <w:rPr>
          <w:rFonts w:hint="eastAsia" w:ascii="宋体" w:hAnsi="宋体"/>
          <w:kern w:val="0"/>
          <w:sz w:val="24"/>
          <w:highlight w:val="none"/>
        </w:rPr>
        <w:t>单位的</w:t>
      </w:r>
      <w:r>
        <w:rPr>
          <w:rFonts w:ascii="宋体" w:hAnsi="宋体"/>
          <w:kern w:val="0"/>
          <w:sz w:val="24"/>
          <w:highlight w:val="none"/>
        </w:rPr>
        <w:t>______</w:t>
      </w:r>
      <w:r>
        <w:rPr>
          <w:rFonts w:hint="eastAsia" w:ascii="宋体" w:hAnsi="宋体"/>
          <w:kern w:val="0"/>
          <w:sz w:val="24"/>
          <w:highlight w:val="none"/>
        </w:rPr>
        <w:t>项目采购活动，采购活动提供本企业（填写制造的货物，由本企业承担工程、提供服务）。</w:t>
      </w:r>
    </w:p>
    <w:p w14:paraId="414C7C43">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本条所称货物不包括使用大型企业注册商标的货物和服务。</w:t>
      </w:r>
    </w:p>
    <w:p w14:paraId="2E47FD4B">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本公司对上述声明的真实性负责。如有虚假，将依法承担相应责任。</w:t>
      </w:r>
    </w:p>
    <w:p w14:paraId="1ACCEFC1">
      <w:pPr>
        <w:spacing w:line="360" w:lineRule="auto"/>
        <w:ind w:firstLine="4860" w:firstLineChars="2025"/>
        <w:rPr>
          <w:rFonts w:hint="eastAsia" w:ascii="宋体" w:hAnsi="宋体"/>
          <w:kern w:val="0"/>
          <w:sz w:val="24"/>
          <w:highlight w:val="none"/>
        </w:rPr>
      </w:pPr>
    </w:p>
    <w:p w14:paraId="431679DB">
      <w:pPr>
        <w:spacing w:line="360" w:lineRule="auto"/>
        <w:ind w:firstLine="4860" w:firstLineChars="2025"/>
        <w:rPr>
          <w:rFonts w:hint="eastAsia" w:ascii="宋体" w:hAnsi="宋体"/>
          <w:kern w:val="0"/>
          <w:sz w:val="24"/>
          <w:highlight w:val="none"/>
        </w:rPr>
      </w:pPr>
      <w:r>
        <w:rPr>
          <w:rFonts w:hint="eastAsia" w:ascii="宋体" w:hAnsi="宋体"/>
          <w:kern w:val="0"/>
          <w:sz w:val="24"/>
          <w:highlight w:val="none"/>
        </w:rPr>
        <w:t>企业名称（电子签章）：</w:t>
      </w:r>
    </w:p>
    <w:p w14:paraId="504DAFFB">
      <w:pPr>
        <w:spacing w:line="360" w:lineRule="auto"/>
        <w:jc w:val="right"/>
        <w:rPr>
          <w:rFonts w:hint="eastAsia" w:ascii="宋体" w:hAnsi="宋体"/>
          <w:kern w:val="0"/>
          <w:sz w:val="24"/>
          <w:highlight w:val="none"/>
        </w:rPr>
      </w:pPr>
      <w:r>
        <w:rPr>
          <w:rFonts w:hint="eastAsia" w:ascii="宋体" w:hAnsi="宋体"/>
          <w:kern w:val="0"/>
          <w:sz w:val="24"/>
          <w:highlight w:val="none"/>
        </w:rPr>
        <w:t>法定代表人（负责人）或其授权代表</w:t>
      </w:r>
      <w:r>
        <w:rPr>
          <w:rFonts w:ascii="宋体" w:hAnsi="宋体"/>
          <w:kern w:val="0"/>
          <w:sz w:val="24"/>
          <w:highlight w:val="none"/>
        </w:rPr>
        <w:t>(</w:t>
      </w:r>
      <w:r>
        <w:rPr>
          <w:rFonts w:hint="eastAsia" w:ascii="宋体" w:hAnsi="宋体"/>
          <w:kern w:val="0"/>
          <w:sz w:val="24"/>
          <w:highlight w:val="none"/>
        </w:rPr>
        <w:t>电子签名</w:t>
      </w:r>
      <w:r>
        <w:rPr>
          <w:rFonts w:ascii="宋体" w:hAnsi="宋体"/>
          <w:kern w:val="0"/>
          <w:sz w:val="24"/>
          <w:highlight w:val="none"/>
        </w:rPr>
        <w:t>)</w:t>
      </w:r>
      <w:r>
        <w:rPr>
          <w:rFonts w:hint="eastAsia" w:ascii="宋体" w:hAnsi="宋体"/>
          <w:kern w:val="0"/>
          <w:sz w:val="24"/>
          <w:highlight w:val="none"/>
        </w:rPr>
        <w:t>：</w:t>
      </w:r>
    </w:p>
    <w:p w14:paraId="4F651FD3">
      <w:pPr>
        <w:tabs>
          <w:tab w:val="left" w:pos="2880"/>
        </w:tabs>
        <w:spacing w:line="460" w:lineRule="atLeast"/>
        <w:ind w:firstLine="4800" w:firstLineChars="2000"/>
        <w:rPr>
          <w:rFonts w:hint="eastAsia" w:ascii="宋体" w:hAnsi="宋体"/>
          <w:kern w:val="0"/>
          <w:sz w:val="24"/>
          <w:highlight w:val="none"/>
        </w:rPr>
      </w:pPr>
      <w:r>
        <w:rPr>
          <w:rFonts w:hint="eastAsia" w:ascii="宋体" w:hAnsi="宋体"/>
          <w:kern w:val="0"/>
          <w:sz w:val="24"/>
          <w:highlight w:val="none"/>
        </w:rPr>
        <w:t>日期：</w:t>
      </w:r>
    </w:p>
    <w:p w14:paraId="7582D437">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注：后附监狱企业资格证明文件</w:t>
      </w:r>
    </w:p>
    <w:p w14:paraId="371437C5">
      <w:pPr>
        <w:spacing w:line="440" w:lineRule="exact"/>
        <w:ind w:firstLine="567"/>
        <w:rPr>
          <w:rFonts w:hint="eastAsia" w:ascii="宋体" w:hAnsi="宋体"/>
          <w:sz w:val="24"/>
          <w:highlight w:val="none"/>
        </w:rPr>
      </w:pPr>
      <w:r>
        <w:rPr>
          <w:rFonts w:hint="eastAsia" w:ascii="宋体" w:hAnsi="宋体"/>
          <w:sz w:val="24"/>
          <w:highlight w:val="none"/>
        </w:rPr>
        <w:t>1.</w:t>
      </w:r>
      <w:r>
        <w:rPr>
          <w:rFonts w:hint="eastAsia" w:ascii="宋体" w:hAnsi="宋体"/>
          <w:highlight w:val="none"/>
        </w:rPr>
        <w:t xml:space="preserve"> </w:t>
      </w:r>
      <w:r>
        <w:rPr>
          <w:rFonts w:hint="eastAsia" w:ascii="宋体" w:hAnsi="宋体"/>
          <w:sz w:val="24"/>
          <w:highlight w:val="none"/>
        </w:rPr>
        <w:t>省级以上监狱管理局、戒毒管理局（含新疆生产建设兵团）出具的属于监狱企业的证明文件；</w:t>
      </w:r>
    </w:p>
    <w:p w14:paraId="1DAC48BA">
      <w:pPr>
        <w:tabs>
          <w:tab w:val="left" w:pos="2880"/>
        </w:tabs>
        <w:spacing w:line="460" w:lineRule="atLeast"/>
        <w:ind w:firstLine="566" w:firstLineChars="236"/>
        <w:jc w:val="left"/>
        <w:rPr>
          <w:rFonts w:hint="eastAsia" w:ascii="宋体" w:hAnsi="宋体" w:cs="宋体"/>
          <w:b/>
          <w:kern w:val="0"/>
          <w:sz w:val="24"/>
          <w:highlight w:val="none"/>
        </w:rPr>
      </w:pPr>
      <w:r>
        <w:rPr>
          <w:rFonts w:hint="eastAsia" w:ascii="宋体" w:hAnsi="宋体"/>
          <w:sz w:val="24"/>
          <w:highlight w:val="none"/>
        </w:rPr>
        <w:t>2.证明材料加盖</w:t>
      </w:r>
      <w:r>
        <w:rPr>
          <w:rFonts w:hint="eastAsia" w:ascii="宋体" w:hAnsi="宋体" w:cs="Arial"/>
          <w:kern w:val="0"/>
          <w:sz w:val="24"/>
          <w:szCs w:val="24"/>
          <w:highlight w:val="none"/>
        </w:rPr>
        <w:t>投标人</w:t>
      </w:r>
      <w:r>
        <w:rPr>
          <w:rFonts w:hint="eastAsia" w:ascii="宋体" w:hAnsi="宋体"/>
          <w:sz w:val="24"/>
          <w:highlight w:val="none"/>
        </w:rPr>
        <w:t>公章。</w:t>
      </w:r>
    </w:p>
    <w:p w14:paraId="756EB7F9">
      <w:pPr>
        <w:spacing w:line="360" w:lineRule="auto"/>
        <w:rPr>
          <w:rFonts w:hint="eastAsia" w:ascii="宋体" w:hAnsi="宋体"/>
          <w:kern w:val="0"/>
          <w:sz w:val="24"/>
          <w:highlight w:val="none"/>
        </w:rPr>
      </w:pPr>
      <w:r>
        <w:rPr>
          <w:rFonts w:hint="eastAsia" w:ascii="宋体" w:hAnsi="宋体"/>
          <w:kern w:val="0"/>
          <w:sz w:val="24"/>
          <w:highlight w:val="none"/>
        </w:rPr>
        <w:t xml:space="preserve">（若响应性文件中无上述证明文件，则在评审时不考虑对该监狱企业的相关优惠。） </w:t>
      </w:r>
    </w:p>
    <w:p w14:paraId="3394B256">
      <w:pPr>
        <w:tabs>
          <w:tab w:val="left" w:pos="3600"/>
        </w:tabs>
        <w:adjustRightInd w:val="0"/>
        <w:snapToGrid w:val="0"/>
        <w:spacing w:line="440" w:lineRule="exact"/>
        <w:jc w:val="center"/>
        <w:rPr>
          <w:rFonts w:hint="eastAsia" w:ascii="宋体" w:hAnsi="宋体"/>
          <w:sz w:val="24"/>
          <w:szCs w:val="24"/>
          <w:highlight w:val="none"/>
        </w:rPr>
      </w:pPr>
    </w:p>
    <w:p w14:paraId="6A8A4FDA">
      <w:pPr>
        <w:tabs>
          <w:tab w:val="left" w:pos="3600"/>
        </w:tabs>
        <w:adjustRightInd w:val="0"/>
        <w:snapToGrid w:val="0"/>
        <w:spacing w:line="440" w:lineRule="exact"/>
        <w:jc w:val="center"/>
        <w:rPr>
          <w:rFonts w:hint="eastAsia" w:ascii="宋体" w:hAnsi="宋体" w:cs="??_GB2312"/>
          <w:b/>
          <w:bCs/>
          <w:spacing w:val="6"/>
          <w:kern w:val="0"/>
          <w:sz w:val="32"/>
          <w:szCs w:val="32"/>
          <w:highlight w:val="none"/>
        </w:rPr>
      </w:pPr>
      <w:r>
        <w:rPr>
          <w:rFonts w:ascii="宋体" w:hAnsi="宋体"/>
          <w:b/>
          <w:sz w:val="28"/>
          <w:szCs w:val="30"/>
          <w:highlight w:val="none"/>
        </w:rPr>
        <w:br w:type="page"/>
      </w:r>
      <w:r>
        <w:rPr>
          <w:rFonts w:ascii="宋体" w:hAnsi="宋体"/>
          <w:b/>
          <w:sz w:val="28"/>
          <w:szCs w:val="30"/>
          <w:highlight w:val="none"/>
        </w:rPr>
        <w:t>3</w:t>
      </w:r>
      <w:r>
        <w:rPr>
          <w:rFonts w:hint="eastAsia" w:ascii="宋体" w:hAnsi="宋体" w:cs="宋体"/>
          <w:b/>
          <w:bCs/>
          <w:spacing w:val="6"/>
          <w:kern w:val="0"/>
          <w:sz w:val="28"/>
          <w:szCs w:val="32"/>
          <w:highlight w:val="none"/>
        </w:rPr>
        <w:t>残疾人福利性单位声明函</w:t>
      </w:r>
      <w:r>
        <w:rPr>
          <w:rFonts w:hint="eastAsia" w:ascii="宋体" w:hAnsi="宋体"/>
          <w:b/>
          <w:sz w:val="28"/>
          <w:szCs w:val="30"/>
          <w:highlight w:val="none"/>
        </w:rPr>
        <w:t>附件1-4-3</w:t>
      </w:r>
    </w:p>
    <w:p w14:paraId="57264A64">
      <w:pPr>
        <w:autoSpaceDE w:val="0"/>
        <w:autoSpaceDN w:val="0"/>
        <w:adjustRightInd w:val="0"/>
        <w:spacing w:line="440" w:lineRule="exact"/>
        <w:rPr>
          <w:rFonts w:hint="eastAsia" w:ascii="宋体" w:hAnsi="宋体" w:cs="??_GB2312"/>
          <w:b/>
          <w:bCs/>
          <w:spacing w:val="6"/>
          <w:kern w:val="0"/>
          <w:sz w:val="24"/>
          <w:szCs w:val="24"/>
          <w:highlight w:val="none"/>
        </w:rPr>
      </w:pPr>
    </w:p>
    <w:p w14:paraId="7300C341">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本单位郑重声明，根据《财政部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民政部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中国残疾人联合会关于促进残疾人就业政府采购政策的通知》（财库〔</w:t>
      </w:r>
      <w:r>
        <w:rPr>
          <w:rFonts w:ascii="宋体" w:hAnsi="宋体" w:cs="宋体"/>
          <w:spacing w:val="6"/>
          <w:kern w:val="0"/>
          <w:sz w:val="24"/>
          <w:szCs w:val="24"/>
          <w:highlight w:val="none"/>
        </w:rPr>
        <w:t>2017</w:t>
      </w:r>
      <w:r>
        <w:rPr>
          <w:rFonts w:hint="eastAsia" w:ascii="宋体" w:hAnsi="宋体" w:cs="宋体"/>
          <w:spacing w:val="6"/>
          <w:kern w:val="0"/>
          <w:sz w:val="24"/>
          <w:szCs w:val="24"/>
          <w:highlight w:val="none"/>
        </w:rPr>
        <w:t>〕</w:t>
      </w:r>
      <w:r>
        <w:rPr>
          <w:rFonts w:ascii="宋体" w:hAnsi="宋体" w:cs="宋体"/>
          <w:spacing w:val="6"/>
          <w:kern w:val="0"/>
          <w:sz w:val="24"/>
          <w:szCs w:val="24"/>
          <w:highlight w:val="none"/>
        </w:rPr>
        <w:t xml:space="preserve"> 141</w:t>
      </w:r>
      <w:r>
        <w:rPr>
          <w:rFonts w:hint="eastAsia" w:ascii="宋体" w:hAnsi="宋体" w:cs="宋体"/>
          <w:spacing w:val="6"/>
          <w:kern w:val="0"/>
          <w:sz w:val="24"/>
          <w:szCs w:val="24"/>
          <w:highlight w:val="none"/>
        </w:rPr>
        <w:t>号）的规定，本单位为符合条件的残疾人福利性单位，且本单位参加</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单位的</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项目采购活动提供本单位制造的货物（由本单位承担工程</w:t>
      </w:r>
      <w:r>
        <w:rPr>
          <w:rFonts w:ascii="宋体" w:hAnsi="宋体" w:cs="宋体"/>
          <w:spacing w:val="6"/>
          <w:kern w:val="0"/>
          <w:sz w:val="24"/>
          <w:szCs w:val="24"/>
          <w:highlight w:val="none"/>
        </w:rPr>
        <w:t>/</w:t>
      </w:r>
      <w:r>
        <w:rPr>
          <w:rFonts w:hint="eastAsia" w:ascii="宋体" w:hAnsi="宋体" w:cs="宋体"/>
          <w:spacing w:val="6"/>
          <w:kern w:val="0"/>
          <w:sz w:val="24"/>
          <w:szCs w:val="24"/>
          <w:highlight w:val="none"/>
        </w:rPr>
        <w:t>提供服务），或者提供其他残疾人福利性单位制造的货物（不包括使用非残疾人福利性单位注册商标的货物）。</w:t>
      </w:r>
    </w:p>
    <w:p w14:paraId="7F4F8826">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本单位对上述声明的真实性负责。如有虚假，将依法承担相应责任。</w:t>
      </w:r>
      <w:r>
        <w:rPr>
          <w:rFonts w:ascii="宋体" w:hAnsi="宋体" w:cs="宋体"/>
          <w:spacing w:val="6"/>
          <w:kern w:val="0"/>
          <w:sz w:val="24"/>
          <w:szCs w:val="24"/>
          <w:highlight w:val="none"/>
        </w:rPr>
        <w:t xml:space="preserve"> </w:t>
      </w:r>
    </w:p>
    <w:p w14:paraId="29271D9B">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5CA78A44">
      <w:pPr>
        <w:widowControl/>
        <w:adjustRightInd w:val="0"/>
        <w:snapToGrid w:val="0"/>
        <w:spacing w:line="440" w:lineRule="exact"/>
        <w:ind w:firstLine="5544" w:firstLineChars="2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单位名称（</w:t>
      </w:r>
      <w:r>
        <w:rPr>
          <w:rFonts w:hint="eastAsia" w:ascii="宋体" w:hAnsi="宋体"/>
          <w:kern w:val="0"/>
          <w:sz w:val="24"/>
          <w:highlight w:val="none"/>
        </w:rPr>
        <w:t>电子签章</w:t>
      </w:r>
      <w:r>
        <w:rPr>
          <w:rFonts w:hint="eastAsia" w:ascii="宋体" w:hAnsi="宋体" w:cs="宋体"/>
          <w:spacing w:val="6"/>
          <w:kern w:val="0"/>
          <w:sz w:val="24"/>
          <w:szCs w:val="24"/>
          <w:highlight w:val="none"/>
        </w:rPr>
        <w:t>）：</w:t>
      </w:r>
    </w:p>
    <w:p w14:paraId="22702D12">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日期:</w:t>
      </w:r>
    </w:p>
    <w:p w14:paraId="447DC143">
      <w:pPr>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br w:type="page"/>
      </w:r>
    </w:p>
    <w:p w14:paraId="276C0A3F">
      <w:pPr>
        <w:tabs>
          <w:tab w:val="left" w:pos="3600"/>
        </w:tabs>
        <w:adjustRightInd w:val="0"/>
        <w:snapToGrid w:val="0"/>
        <w:spacing w:line="440" w:lineRule="exact"/>
        <w:jc w:val="center"/>
        <w:rPr>
          <w:rFonts w:hint="eastAsia" w:ascii="宋体" w:hAnsi="宋体" w:cs="宋体"/>
          <w:sz w:val="24"/>
          <w:szCs w:val="24"/>
          <w:highlight w:val="none"/>
        </w:rPr>
      </w:pPr>
      <w:r>
        <w:rPr>
          <w:rFonts w:hint="eastAsia" w:ascii="宋体" w:hAnsi="宋体" w:cs="宋体"/>
          <w:b/>
          <w:bCs/>
          <w:spacing w:val="6"/>
          <w:kern w:val="0"/>
          <w:sz w:val="28"/>
          <w:szCs w:val="32"/>
          <w:highlight w:val="none"/>
        </w:rPr>
        <w:t>4关于符合本国产品标准的声明函1-4-4</w:t>
      </w:r>
    </w:p>
    <w:p w14:paraId="76D1E3BB">
      <w:pPr>
        <w:widowControl/>
        <w:shd w:val="clear" w:color="auto" w:fill="FFFFFF"/>
        <w:wordWrap w:val="0"/>
        <w:spacing w:before="30" w:after="30"/>
        <w:ind w:firstLine="420"/>
        <w:textAlignment w:val="baseline"/>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w:t>
      </w:r>
    </w:p>
    <w:p w14:paraId="6D1A7CC2">
      <w:pPr>
        <w:widowControl/>
        <w:shd w:val="clear" w:color="auto" w:fill="FFFFFF"/>
        <w:wordWrap w:val="0"/>
        <w:spacing w:before="30" w:after="30"/>
        <w:ind w:firstLine="420"/>
        <w:textAlignment w:val="baseline"/>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C311A2F">
      <w:pPr>
        <w:widowControl/>
        <w:shd w:val="clear" w:color="auto" w:fill="FFFFFF"/>
        <w:wordWrap w:val="0"/>
        <w:spacing w:before="30" w:after="30"/>
        <w:ind w:firstLine="420"/>
        <w:textAlignment w:val="baseline"/>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72C652B7">
      <w:pPr>
        <w:widowControl/>
        <w:shd w:val="clear" w:color="auto" w:fill="FFFFFF"/>
        <w:wordWrap w:val="0"/>
        <w:spacing w:before="30" w:after="30"/>
        <w:ind w:firstLine="420"/>
        <w:textAlignment w:val="baseline"/>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3D6027EC">
      <w:pPr>
        <w:widowControl/>
        <w:shd w:val="clear" w:color="auto" w:fill="FFFFFF"/>
        <w:wordWrap w:val="0"/>
        <w:spacing w:before="30" w:after="30"/>
        <w:ind w:firstLine="420"/>
        <w:textAlignment w:val="baseline"/>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w:t>
      </w:r>
    </w:p>
    <w:p w14:paraId="2CE862E0">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本公司（单位）对上述声明内容的真实性负责。如有虚假，愿承担相应法律责任。</w:t>
      </w:r>
    </w:p>
    <w:p w14:paraId="6A25F28E">
      <w:pPr>
        <w:widowControl/>
        <w:shd w:val="clear" w:color="auto" w:fill="FFFFFF"/>
        <w:wordWrap w:val="0"/>
        <w:spacing w:before="30" w:after="3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 </w:t>
      </w:r>
    </w:p>
    <w:p w14:paraId="4CD720DB">
      <w:pPr>
        <w:widowControl/>
        <w:shd w:val="clear" w:color="auto" w:fill="FFFFFF"/>
        <w:wordWrap w:val="0"/>
        <w:spacing w:before="30" w:after="30"/>
        <w:jc w:val="right"/>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公司（单位）名称（盖章）：　        </w:t>
      </w:r>
    </w:p>
    <w:p w14:paraId="74144148">
      <w:pPr>
        <w:widowControl/>
        <w:shd w:val="clear" w:color="auto" w:fill="FFFFFF"/>
        <w:wordWrap w:val="0"/>
        <w:spacing w:before="30" w:after="30"/>
        <w:jc w:val="right"/>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日期：　     年　  月　  日         </w:t>
      </w:r>
    </w:p>
    <w:p w14:paraId="48194B2F">
      <w:pPr>
        <w:widowControl/>
        <w:shd w:val="clear" w:color="auto" w:fill="FFFFFF"/>
        <w:wordWrap w:val="0"/>
        <w:spacing w:before="30" w:after="3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__________________</w:t>
      </w:r>
    </w:p>
    <w:p w14:paraId="0D6636CC">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1.产品如有型号，请在“产品名称”栏一并填写。</w:t>
      </w:r>
    </w:p>
    <w:p w14:paraId="2550F917">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2.生产厂名与厂址应与生产厂营业执照载明的相关信息保持一致。</w:t>
      </w:r>
    </w:p>
    <w:p w14:paraId="2E70BE0D">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3.该产品的中国境内生产的组件成本占比相关要求实施前，“规定比例”栏可不填，下同。</w:t>
      </w:r>
    </w:p>
    <w:p w14:paraId="3637B245">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4.该产品的关键组件要求实施前，“关键组件”栏可不填，下同。</w:t>
      </w:r>
    </w:p>
    <w:p w14:paraId="11BEC7BA">
      <w:pPr>
        <w:widowControl/>
        <w:shd w:val="clear" w:color="auto" w:fill="FFFFFF"/>
        <w:wordWrap w:val="0"/>
        <w:spacing w:before="30" w:after="30"/>
        <w:ind w:firstLine="420"/>
        <w:textAlignment w:val="baseline"/>
        <w:rPr>
          <w:rFonts w:hint="eastAsia" w:ascii="宋体" w:hAnsi="宋体" w:cs="宋体"/>
          <w:sz w:val="24"/>
          <w:szCs w:val="24"/>
          <w:highlight w:val="none"/>
        </w:rPr>
      </w:pPr>
      <w:r>
        <w:rPr>
          <w:rFonts w:hint="eastAsia" w:ascii="宋体" w:hAnsi="宋体" w:cs="宋体"/>
          <w:sz w:val="24"/>
          <w:szCs w:val="24"/>
          <w:highlight w:val="none"/>
          <w:shd w:val="clear" w:color="auto" w:fill="FFFFFF"/>
        </w:rPr>
        <w:t>5.该产品的关键工序要求实施前，“关键工序”栏可不填，下同。</w:t>
      </w:r>
    </w:p>
    <w:p w14:paraId="5F00E90F">
      <w:pPr>
        <w:rPr>
          <w:rFonts w:hint="eastAsia" w:ascii="宋体" w:hAnsi="宋体" w:cs="宋体"/>
          <w:spacing w:val="6"/>
          <w:kern w:val="0"/>
          <w:sz w:val="24"/>
          <w:szCs w:val="24"/>
          <w:highlight w:val="none"/>
        </w:rPr>
      </w:pPr>
      <w:r>
        <w:rPr>
          <w:rFonts w:ascii="宋体" w:hAnsi="宋体" w:cs="宋体"/>
          <w:spacing w:val="6"/>
          <w:kern w:val="0"/>
          <w:sz w:val="24"/>
          <w:szCs w:val="24"/>
          <w:highlight w:val="none"/>
        </w:rPr>
        <w:br w:type="page"/>
      </w:r>
    </w:p>
    <w:p w14:paraId="40F9D105">
      <w:pPr>
        <w:tabs>
          <w:tab w:val="left" w:pos="3600"/>
        </w:tabs>
        <w:adjustRightInd w:val="0"/>
        <w:snapToGrid w:val="0"/>
        <w:spacing w:line="440" w:lineRule="exact"/>
        <w:jc w:val="center"/>
        <w:rPr>
          <w:rFonts w:hint="eastAsia" w:ascii="宋体" w:hAnsi="宋体" w:cs="宋体"/>
          <w:b/>
          <w:bCs/>
          <w:spacing w:val="6"/>
          <w:kern w:val="0"/>
          <w:sz w:val="28"/>
          <w:szCs w:val="32"/>
          <w:highlight w:val="none"/>
        </w:rPr>
      </w:pPr>
      <w:r>
        <w:rPr>
          <w:rFonts w:hint="eastAsia" w:ascii="宋体" w:hAnsi="宋体" w:cs="宋体"/>
          <w:b/>
          <w:bCs/>
          <w:spacing w:val="6"/>
          <w:kern w:val="0"/>
          <w:sz w:val="28"/>
          <w:szCs w:val="32"/>
          <w:highlight w:val="none"/>
        </w:rPr>
        <w:t>5分包意向协议1-4-5</w:t>
      </w:r>
    </w:p>
    <w:p w14:paraId="4AD48E39">
      <w:pPr>
        <w:pStyle w:val="127"/>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5760FFA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3F3C15BD">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7F1AC15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4078CE1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7588641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0C747E41">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C1C4A9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14659D6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195454A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三、接受分包合同的中小企业与分包企业之间（请填写：是否存在）直接控股、管理关系的情形。</w:t>
      </w:r>
    </w:p>
    <w:p w14:paraId="53407B8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四、如因违约过失责任而导致采购人经济损失或被索赔时，（甲公司全称）同意无条件优先清偿采购人的一切债务和经济赔偿。</w:t>
      </w:r>
    </w:p>
    <w:p w14:paraId="6BCF1931">
      <w:pPr>
        <w:spacing w:line="440" w:lineRule="exact"/>
        <w:ind w:firstLine="480" w:firstLineChars="200"/>
        <w:rPr>
          <w:rFonts w:hint="eastAsia" w:ascii="宋体" w:hAnsi="宋体" w:cs="宋体"/>
          <w:kern w:val="0"/>
          <w:sz w:val="24"/>
          <w:szCs w:val="24"/>
          <w:highlight w:val="none"/>
        </w:rPr>
      </w:pPr>
      <w:r>
        <w:rPr>
          <w:rFonts w:hint="eastAsia" w:ascii="宋体" w:hAnsi="宋体" w:cs="宋体"/>
          <w:sz w:val="24"/>
          <w:szCs w:val="24"/>
          <w:highlight w:val="none"/>
        </w:rPr>
        <w:t>五、中小企业合同金</w:t>
      </w:r>
      <w:r>
        <w:rPr>
          <w:rFonts w:hint="eastAsia" w:ascii="宋体" w:hAnsi="宋体" w:cs="宋体"/>
          <w:kern w:val="0"/>
          <w:sz w:val="24"/>
          <w:szCs w:val="24"/>
          <w:highlight w:val="none"/>
        </w:rPr>
        <w:t>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03066D62">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289EF064">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7478F11D">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5EC6CCA3">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0BA560A9">
      <w:pPr>
        <w:spacing w:line="440" w:lineRule="exact"/>
        <w:ind w:left="708" w:hanging="708" w:hangingChars="294"/>
        <w:rPr>
          <w:rFonts w:hint="eastAsia" w:ascii="宋体" w:hAnsi="宋体" w:cs="宋体"/>
          <w:b/>
          <w:sz w:val="24"/>
          <w:szCs w:val="24"/>
          <w:highlight w:val="none"/>
        </w:rPr>
      </w:pPr>
    </w:p>
    <w:p w14:paraId="6279E5E5">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79756C5D">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28CB1463">
      <w:pPr>
        <w:spacing w:line="440" w:lineRule="exact"/>
        <w:ind w:left="617" w:hanging="617" w:hangingChars="294"/>
        <w:rPr>
          <w:sz w:val="32"/>
          <w:szCs w:val="32"/>
          <w:highlight w:val="none"/>
        </w:rPr>
      </w:pPr>
      <w:r>
        <w:rPr>
          <w:rFonts w:hint="eastAsia"/>
          <w:highlight w:val="none"/>
        </w:rPr>
        <w:br w:type="page"/>
      </w:r>
    </w:p>
    <w:p w14:paraId="11D9E353">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四、投标函附件2-</w:t>
      </w:r>
      <w:r>
        <w:rPr>
          <w:rFonts w:ascii="宋体" w:hAnsi="宋体"/>
          <w:b/>
          <w:sz w:val="28"/>
          <w:szCs w:val="28"/>
          <w:highlight w:val="none"/>
        </w:rPr>
        <w:t>1</w:t>
      </w:r>
    </w:p>
    <w:p w14:paraId="6EF293F5">
      <w:pPr>
        <w:spacing w:line="440" w:lineRule="exact"/>
        <w:rPr>
          <w:rFonts w:hint="eastAsia" w:ascii="宋体" w:hAnsi="宋体"/>
          <w:sz w:val="24"/>
          <w:highlight w:val="none"/>
        </w:rPr>
      </w:pPr>
      <w:r>
        <w:rPr>
          <w:rFonts w:hint="eastAsia" w:ascii="宋体" w:hAnsi="宋体"/>
          <w:sz w:val="24"/>
          <w:highlight w:val="none"/>
        </w:rPr>
        <w:t>致：新疆守正项目管理咨询有限公司</w:t>
      </w:r>
    </w:p>
    <w:p w14:paraId="6B230FAB">
      <w:pPr>
        <w:spacing w:line="440" w:lineRule="exact"/>
        <w:ind w:firstLine="555"/>
        <w:rPr>
          <w:rFonts w:hint="eastAsia" w:ascii="宋体" w:hAnsi="宋体"/>
          <w:sz w:val="24"/>
          <w:highlight w:val="none"/>
        </w:rPr>
      </w:pPr>
      <w:r>
        <w:rPr>
          <w:rFonts w:hint="eastAsia" w:ascii="宋体" w:hAnsi="宋体"/>
          <w:sz w:val="24"/>
          <w:highlight w:val="none"/>
        </w:rPr>
        <w:t>根据贵方为项目招标的投标邀请</w:t>
      </w:r>
      <w:r>
        <w:rPr>
          <w:rFonts w:hint="eastAsia" w:ascii="宋体" w:hAnsi="宋体"/>
          <w:sz w:val="24"/>
          <w:highlight w:val="none"/>
          <w:u w:val="single"/>
        </w:rPr>
        <w:t xml:space="preserve"> 项目编号 </w:t>
      </w:r>
      <w:r>
        <w:rPr>
          <w:rFonts w:hint="eastAsia" w:ascii="宋体" w:hAnsi="宋体"/>
          <w:sz w:val="24"/>
          <w:highlight w:val="none"/>
        </w:rPr>
        <w:t>，签字代表</w:t>
      </w:r>
      <w:r>
        <w:rPr>
          <w:rFonts w:hint="eastAsia" w:ascii="宋体" w:hAnsi="宋体"/>
          <w:sz w:val="24"/>
          <w:highlight w:val="none"/>
          <w:u w:val="single"/>
        </w:rPr>
        <w:t>（姓名、职务）</w:t>
      </w:r>
      <w:r>
        <w:rPr>
          <w:rFonts w:hint="eastAsia" w:ascii="宋体" w:hAnsi="宋体"/>
          <w:sz w:val="24"/>
          <w:highlight w:val="none"/>
        </w:rPr>
        <w:t>经正式授权并代表投标人</w:t>
      </w:r>
      <w:r>
        <w:rPr>
          <w:rFonts w:hint="eastAsia" w:ascii="宋体" w:hAnsi="宋体"/>
          <w:sz w:val="24"/>
          <w:highlight w:val="none"/>
          <w:u w:val="single"/>
        </w:rPr>
        <w:t>（投标人名称、地址）</w:t>
      </w:r>
      <w:r>
        <w:rPr>
          <w:rFonts w:hint="eastAsia" w:ascii="宋体" w:hAnsi="宋体"/>
          <w:sz w:val="24"/>
          <w:highlight w:val="none"/>
        </w:rPr>
        <w:t>对此项目进行投标。据此函，签字代表宣布并同意如下：</w:t>
      </w:r>
    </w:p>
    <w:p w14:paraId="3B1D0217">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⒈按照招标文件中的一切要求，提供投标货物、安装及技术服务，投标总价</w:t>
      </w:r>
      <w:r>
        <w:rPr>
          <w:rFonts w:hint="eastAsia" w:ascii="宋体" w:hAnsi="宋体"/>
          <w:spacing w:val="-2"/>
          <w:sz w:val="24"/>
          <w:highlight w:val="none"/>
          <w:u w:val="single"/>
        </w:rPr>
        <w:t xml:space="preserve">        </w:t>
      </w:r>
      <w:r>
        <w:rPr>
          <w:rFonts w:hint="eastAsia" w:ascii="宋体" w:hAnsi="宋体"/>
          <w:spacing w:val="-2"/>
          <w:sz w:val="24"/>
          <w:highlight w:val="none"/>
        </w:rPr>
        <w:t>元（人民币大写）￥：</w:t>
      </w:r>
      <w:r>
        <w:rPr>
          <w:rFonts w:hint="eastAsia" w:ascii="宋体" w:hAnsi="宋体"/>
          <w:spacing w:val="-2"/>
          <w:sz w:val="24"/>
          <w:highlight w:val="none"/>
          <w:u w:val="single"/>
        </w:rPr>
        <w:t xml:space="preserve">          </w:t>
      </w:r>
      <w:r>
        <w:rPr>
          <w:rFonts w:hint="eastAsia" w:ascii="宋体" w:hAnsi="宋体"/>
          <w:spacing w:val="-2"/>
          <w:sz w:val="24"/>
          <w:highlight w:val="none"/>
        </w:rPr>
        <w:t>元（用阿拉伯数字书写）人民币，中小企业合同金额为    ，占合同总金额   %，其中小微企业合同金额为    ，占合同总金额   %。明细见投标产品名称数量报价表。</w:t>
      </w:r>
    </w:p>
    <w:p w14:paraId="62E606A4">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1.我方同意在本项目招标文件中规定的开标日起九十日内遵守本投标文件中的承诺且在此期限期满之前均具有约束力。</w:t>
      </w:r>
    </w:p>
    <w:p w14:paraId="2D99BD10">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w:t>
      </w:r>
      <w:r>
        <w:rPr>
          <w:rFonts w:hint="eastAsia" w:ascii="宋体" w:hAnsi="宋体"/>
          <w:spacing w:val="-2"/>
          <w:sz w:val="24"/>
          <w:highlight w:val="none"/>
        </w:rPr>
        <w:t>若我方中标，我方承诺按投标产品规格向甲方提供供货服务。</w:t>
      </w:r>
    </w:p>
    <w:p w14:paraId="7DF6CF79">
      <w:pPr>
        <w:adjustRightInd w:val="0"/>
        <w:snapToGrid w:val="0"/>
        <w:spacing w:line="440" w:lineRule="exact"/>
        <w:ind w:firstLine="472" w:firstLineChars="200"/>
        <w:rPr>
          <w:rFonts w:hint="eastAsia" w:ascii="宋体" w:hAnsi="宋体"/>
          <w:sz w:val="24"/>
          <w:highlight w:val="none"/>
        </w:rPr>
      </w:pPr>
      <w:r>
        <w:rPr>
          <w:rFonts w:ascii="宋体" w:hAnsi="宋体"/>
          <w:spacing w:val="-2"/>
          <w:sz w:val="24"/>
          <w:highlight w:val="none"/>
        </w:rPr>
        <w:t>3</w:t>
      </w:r>
      <w:r>
        <w:rPr>
          <w:rFonts w:hint="eastAsia" w:ascii="宋体" w:hAnsi="宋体"/>
          <w:spacing w:val="-2"/>
          <w:sz w:val="24"/>
          <w:highlight w:val="none"/>
        </w:rPr>
        <w:t>.已详细审阅全部招标文件(包括招标文件澄清函)，理解投标人须知的所</w:t>
      </w:r>
      <w:r>
        <w:rPr>
          <w:rFonts w:hint="eastAsia" w:ascii="宋体" w:hAnsi="宋体"/>
          <w:sz w:val="24"/>
          <w:highlight w:val="none"/>
        </w:rPr>
        <w:t>有条款。</w:t>
      </w:r>
    </w:p>
    <w:p w14:paraId="00824BCC">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4</w:t>
      </w:r>
      <w:r>
        <w:rPr>
          <w:rFonts w:hint="eastAsia" w:ascii="宋体" w:hAnsi="宋体"/>
          <w:sz w:val="24"/>
          <w:highlight w:val="none"/>
        </w:rPr>
        <w:t>.完全理解贵方“最低报价不能作为中标的保证”的规定。</w:t>
      </w:r>
    </w:p>
    <w:p w14:paraId="21A287E2">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5.</w:t>
      </w:r>
      <w:r>
        <w:rPr>
          <w:rFonts w:hint="eastAsia" w:ascii="宋体" w:hAnsi="宋体"/>
          <w:sz w:val="24"/>
          <w:highlight w:val="none"/>
        </w:rPr>
        <w:t>接受招标文件中全部合同条款，且无任何异议；保证忠实地执行双方所签订的合同，并承担合同规定的责任和义务。</w:t>
      </w:r>
    </w:p>
    <w:p w14:paraId="7343BA79">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6</w:t>
      </w:r>
      <w:r>
        <w:rPr>
          <w:rFonts w:hint="eastAsia" w:ascii="宋体" w:hAnsi="宋体"/>
          <w:sz w:val="24"/>
          <w:highlight w:val="none"/>
        </w:rPr>
        <w:t>.完全满足和响应招标文件中的各项商务和技术要求，若有偏差，已在投标文件中明确说明。</w:t>
      </w:r>
    </w:p>
    <w:p w14:paraId="0855A357">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7</w:t>
      </w:r>
      <w:r>
        <w:rPr>
          <w:rFonts w:hint="eastAsia" w:ascii="宋体" w:hAnsi="宋体"/>
          <w:sz w:val="24"/>
          <w:highlight w:val="none"/>
        </w:rPr>
        <w:t>.愿意提供任何与投标有关的数据、情况和技术资料等。</w:t>
      </w:r>
    </w:p>
    <w:p w14:paraId="586807B6">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8</w:t>
      </w:r>
      <w:r>
        <w:rPr>
          <w:rFonts w:hint="eastAsia" w:ascii="宋体" w:hAnsi="宋体"/>
          <w:sz w:val="24"/>
          <w:highlight w:val="none"/>
        </w:rPr>
        <w:t>.我方已详细审核全部投标文件、参考资料及有关附件，确认无误。</w:t>
      </w:r>
    </w:p>
    <w:p w14:paraId="29FCB96B">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9</w:t>
      </w:r>
      <w:r>
        <w:rPr>
          <w:rFonts w:hint="eastAsia" w:ascii="宋体" w:hAnsi="宋体"/>
          <w:sz w:val="24"/>
          <w:highlight w:val="none"/>
        </w:rPr>
        <w:t>.对本次招标内容及与本项目有关的知识产权、技术资料、商业秘密及相关信息保密。</w:t>
      </w:r>
    </w:p>
    <w:p w14:paraId="5F6211B7">
      <w:pPr>
        <w:adjustRightInd w:val="0"/>
        <w:snapToGrid w:val="0"/>
        <w:spacing w:line="440" w:lineRule="exact"/>
        <w:ind w:firstLine="480" w:firstLineChars="200"/>
        <w:rPr>
          <w:rFonts w:hint="eastAsia"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.与采购人和采购代理机构无任何的隶属关系或者其他利害关系。</w:t>
      </w:r>
    </w:p>
    <w:p w14:paraId="504E7D22">
      <w:pPr>
        <w:adjustRightInd w:val="0"/>
        <w:snapToGrid w:val="0"/>
        <w:spacing w:line="440" w:lineRule="exact"/>
        <w:rPr>
          <w:rFonts w:hint="eastAsia" w:ascii="宋体" w:hAnsi="宋体"/>
          <w:sz w:val="24"/>
          <w:highlight w:val="none"/>
        </w:rPr>
      </w:pPr>
    </w:p>
    <w:p w14:paraId="6E237184">
      <w:pPr>
        <w:spacing w:line="440" w:lineRule="exact"/>
        <w:ind w:firstLine="240" w:firstLineChars="100"/>
        <w:rPr>
          <w:rFonts w:hint="eastAsia" w:ascii="宋体" w:hAnsi="宋体"/>
          <w:sz w:val="24"/>
          <w:highlight w:val="none"/>
        </w:rPr>
      </w:pPr>
      <w:r>
        <w:rPr>
          <w:rFonts w:hint="eastAsia" w:ascii="宋体" w:hAnsi="宋体"/>
          <w:sz w:val="24"/>
          <w:highlight w:val="none"/>
        </w:rPr>
        <w:t>与本投标有关的一切正式往来信函请寄：</w:t>
      </w:r>
    </w:p>
    <w:p w14:paraId="60C6D1EF">
      <w:pPr>
        <w:spacing w:line="440" w:lineRule="exact"/>
        <w:ind w:firstLine="240" w:firstLineChars="100"/>
        <w:rPr>
          <w:rFonts w:hint="eastAsia"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　　　　　　　　　　</w:t>
      </w:r>
      <w:r>
        <w:rPr>
          <w:rFonts w:hint="eastAsia" w:ascii="宋体" w:hAnsi="宋体"/>
          <w:sz w:val="24"/>
          <w:highlight w:val="none"/>
        </w:rPr>
        <w:t>邮编：</w:t>
      </w:r>
      <w:r>
        <w:rPr>
          <w:rFonts w:hint="eastAsia" w:ascii="宋体" w:hAnsi="宋体"/>
          <w:sz w:val="24"/>
          <w:highlight w:val="none"/>
          <w:u w:val="single"/>
        </w:rPr>
        <w:t>　　　　　　　　　</w:t>
      </w:r>
    </w:p>
    <w:p w14:paraId="467096C4">
      <w:pPr>
        <w:spacing w:line="440" w:lineRule="exact"/>
        <w:rPr>
          <w:rFonts w:hint="eastAsia" w:ascii="宋体" w:hAnsi="宋体"/>
          <w:sz w:val="24"/>
          <w:highlight w:val="none"/>
        </w:rPr>
      </w:pPr>
      <w:r>
        <w:rPr>
          <w:rFonts w:hint="eastAsia" w:ascii="宋体" w:hAnsi="宋体"/>
          <w:sz w:val="24"/>
          <w:highlight w:val="none"/>
        </w:rPr>
        <w:t>　电　　　　　话：</w:t>
      </w:r>
      <w:r>
        <w:rPr>
          <w:rFonts w:hint="eastAsia" w:ascii="宋体" w:hAnsi="宋体"/>
          <w:sz w:val="24"/>
          <w:highlight w:val="none"/>
          <w:u w:val="single"/>
        </w:rPr>
        <w:t>　　　　　　　　　　</w:t>
      </w:r>
      <w:r>
        <w:rPr>
          <w:rFonts w:hint="eastAsia" w:ascii="宋体" w:hAnsi="宋体"/>
          <w:sz w:val="24"/>
          <w:highlight w:val="none"/>
        </w:rPr>
        <w:t>传真：</w:t>
      </w:r>
      <w:r>
        <w:rPr>
          <w:rFonts w:hint="eastAsia" w:ascii="宋体" w:hAnsi="宋体"/>
          <w:sz w:val="24"/>
          <w:highlight w:val="none"/>
          <w:u w:val="single"/>
        </w:rPr>
        <w:t>　　　　　　　　　</w:t>
      </w:r>
    </w:p>
    <w:p w14:paraId="6854A7FB">
      <w:pPr>
        <w:spacing w:line="440" w:lineRule="exact"/>
        <w:rPr>
          <w:rFonts w:hint="eastAsia" w:ascii="宋体" w:hAnsi="宋体"/>
          <w:sz w:val="24"/>
          <w:highlight w:val="none"/>
        </w:rPr>
      </w:pPr>
      <w:r>
        <w:rPr>
          <w:rFonts w:hint="eastAsia" w:ascii="宋体" w:hAnsi="宋体"/>
          <w:sz w:val="24"/>
          <w:highlight w:val="none"/>
        </w:rPr>
        <w:t>　投标人代表签字：</w:t>
      </w:r>
      <w:r>
        <w:rPr>
          <w:rFonts w:hint="eastAsia" w:ascii="宋体" w:hAnsi="宋体"/>
          <w:sz w:val="24"/>
          <w:highlight w:val="none"/>
          <w:u w:val="single"/>
        </w:rPr>
        <w:t>　　　　　　　　　　　　　</w:t>
      </w:r>
    </w:p>
    <w:p w14:paraId="12BD2CAA">
      <w:pPr>
        <w:spacing w:line="440" w:lineRule="exact"/>
        <w:rPr>
          <w:rFonts w:hint="eastAsia" w:ascii="宋体" w:hAnsi="宋体"/>
          <w:sz w:val="24"/>
          <w:highlight w:val="none"/>
        </w:rPr>
      </w:pPr>
      <w:r>
        <w:rPr>
          <w:rFonts w:hint="eastAsia" w:ascii="宋体" w:hAnsi="宋体"/>
          <w:sz w:val="24"/>
          <w:highlight w:val="none"/>
        </w:rPr>
        <w:t>　投标人名称：</w:t>
      </w:r>
      <w:r>
        <w:rPr>
          <w:rFonts w:hint="eastAsia" w:ascii="宋体" w:hAnsi="宋体"/>
          <w:sz w:val="24"/>
          <w:highlight w:val="none"/>
          <w:u w:val="single"/>
        </w:rPr>
        <w:t>　　　　　　　　　　</w:t>
      </w:r>
    </w:p>
    <w:p w14:paraId="7E673F7C">
      <w:pPr>
        <w:spacing w:line="440" w:lineRule="exact"/>
        <w:ind w:firstLine="6240" w:firstLineChars="2600"/>
        <w:rPr>
          <w:rFonts w:hint="eastAsia" w:ascii="宋体" w:hAnsi="宋体"/>
          <w:sz w:val="24"/>
          <w:highlight w:val="none"/>
        </w:rPr>
      </w:pPr>
      <w:r>
        <w:rPr>
          <w:rFonts w:hint="eastAsia" w:ascii="宋体" w:hAnsi="宋体"/>
          <w:sz w:val="24"/>
          <w:highlight w:val="none"/>
        </w:rPr>
        <w:t>（单位公章）</w:t>
      </w:r>
    </w:p>
    <w:p w14:paraId="59FB6E0F">
      <w:pPr>
        <w:spacing w:line="440" w:lineRule="exact"/>
        <w:ind w:firstLine="5880" w:firstLineChars="24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1DBA1296">
      <w:pPr>
        <w:adjustRightInd w:val="0"/>
        <w:snapToGrid w:val="0"/>
        <w:spacing w:line="440" w:lineRule="exact"/>
        <w:ind w:firstLine="482" w:firstLineChars="200"/>
        <w:rPr>
          <w:rFonts w:hint="eastAsia" w:ascii="宋体" w:hAnsi="宋体"/>
          <w:b/>
          <w:sz w:val="24"/>
          <w:highlight w:val="none"/>
          <w:em w:val="dot"/>
        </w:rPr>
      </w:pPr>
      <w:r>
        <w:rPr>
          <w:rFonts w:hint="eastAsia" w:ascii="宋体" w:hAnsi="宋体"/>
          <w:b/>
          <w:sz w:val="24"/>
          <w:highlight w:val="none"/>
          <w:em w:val="dot"/>
        </w:rPr>
        <w:t>注：除可填报项目外，对本投标函的任何修改将被视为非实质性响应投标，从而导致该投标被拒绝。</w:t>
      </w:r>
    </w:p>
    <w:p w14:paraId="0667D5DE">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r>
        <w:rPr>
          <w:rFonts w:hint="eastAsia" w:ascii="宋体" w:hAnsi="宋体"/>
          <w:b/>
          <w:sz w:val="28"/>
          <w:szCs w:val="28"/>
          <w:highlight w:val="none"/>
        </w:rPr>
        <w:t>五、反商</w:t>
      </w:r>
      <w:bookmarkStart w:id="261" w:name="OLE_LINK6"/>
      <w:r>
        <w:rPr>
          <w:rFonts w:hint="eastAsia" w:ascii="宋体" w:hAnsi="宋体"/>
          <w:b/>
          <w:sz w:val="28"/>
          <w:szCs w:val="28"/>
          <w:highlight w:val="none"/>
        </w:rPr>
        <w:t>业贿</w:t>
      </w:r>
      <w:bookmarkEnd w:id="261"/>
      <w:r>
        <w:rPr>
          <w:rFonts w:hint="eastAsia" w:ascii="宋体" w:hAnsi="宋体"/>
          <w:b/>
          <w:sz w:val="28"/>
          <w:szCs w:val="28"/>
          <w:highlight w:val="none"/>
        </w:rPr>
        <w:t>赂承诺书附件2-2</w:t>
      </w:r>
    </w:p>
    <w:p w14:paraId="5884632A">
      <w:pPr>
        <w:pStyle w:val="10"/>
        <w:spacing w:line="440" w:lineRule="exact"/>
        <w:ind w:firstLine="482"/>
        <w:rPr>
          <w:rFonts w:hint="eastAsia" w:ascii="宋体" w:hAnsi="宋体"/>
          <w:sz w:val="24"/>
          <w:highlight w:val="none"/>
        </w:rPr>
      </w:pPr>
      <w:r>
        <w:rPr>
          <w:rFonts w:hint="eastAsia" w:ascii="宋体" w:hAnsi="宋体"/>
          <w:sz w:val="24"/>
          <w:highlight w:val="none"/>
        </w:rPr>
        <w:t>我公司承诺在</w:t>
      </w:r>
      <w:r>
        <w:rPr>
          <w:rFonts w:hint="eastAsia" w:ascii="宋体" w:hAnsi="宋体"/>
          <w:sz w:val="24"/>
          <w:highlight w:val="none"/>
          <w:u w:val="single"/>
        </w:rPr>
        <w:t>（项目名称、项目编号）</w:t>
      </w:r>
      <w:r>
        <w:rPr>
          <w:rFonts w:hint="eastAsia" w:ascii="宋体" w:hAnsi="宋体"/>
          <w:sz w:val="24"/>
          <w:highlight w:val="none"/>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69DD20F7">
      <w:pPr>
        <w:pStyle w:val="10"/>
        <w:spacing w:line="440" w:lineRule="exact"/>
        <w:ind w:firstLine="482"/>
        <w:rPr>
          <w:rFonts w:hint="eastAsia" w:ascii="宋体" w:hAnsi="宋体"/>
          <w:sz w:val="24"/>
          <w:highlight w:val="none"/>
        </w:rPr>
      </w:pPr>
      <w:r>
        <w:rPr>
          <w:rFonts w:hint="eastAsia" w:ascii="宋体" w:hAnsi="宋体"/>
          <w:sz w:val="24"/>
          <w:highlight w:val="none"/>
        </w:rPr>
        <w:t>公司法定代表：</w:t>
      </w:r>
    </w:p>
    <w:p w14:paraId="63469459">
      <w:pPr>
        <w:pStyle w:val="10"/>
        <w:spacing w:line="440" w:lineRule="exact"/>
        <w:ind w:firstLine="482"/>
        <w:rPr>
          <w:rFonts w:hint="eastAsia" w:ascii="宋体" w:hAnsi="宋体"/>
          <w:sz w:val="24"/>
          <w:highlight w:val="none"/>
        </w:rPr>
      </w:pPr>
      <w:r>
        <w:rPr>
          <w:rFonts w:hint="eastAsia" w:ascii="宋体" w:hAnsi="宋体"/>
          <w:sz w:val="24"/>
          <w:highlight w:val="none"/>
        </w:rPr>
        <w:t>法人授权代表：</w:t>
      </w:r>
    </w:p>
    <w:p w14:paraId="25B5F466">
      <w:pPr>
        <w:pStyle w:val="10"/>
        <w:spacing w:line="440" w:lineRule="exact"/>
        <w:ind w:firstLine="480" w:firstLineChars="200"/>
        <w:rPr>
          <w:rFonts w:hint="eastAsia" w:ascii="宋体" w:hAnsi="宋体"/>
          <w:sz w:val="24"/>
          <w:highlight w:val="none"/>
        </w:rPr>
      </w:pPr>
      <w:r>
        <w:rPr>
          <w:rFonts w:hint="eastAsia" w:ascii="宋体" w:hAnsi="宋体"/>
          <w:sz w:val="24"/>
          <w:highlight w:val="none"/>
        </w:rPr>
        <w:t>日期：</w:t>
      </w:r>
    </w:p>
    <w:p w14:paraId="506DAD44">
      <w:pPr>
        <w:pStyle w:val="117"/>
        <w:spacing w:after="0"/>
        <w:ind w:left="0" w:leftChars="0" w:firstLine="2" w:firstLineChars="1"/>
        <w:jc w:val="center"/>
        <w:outlineLvl w:val="1"/>
        <w:rPr>
          <w:rFonts w:hint="eastAsia" w:ascii="宋体" w:hAnsi="宋体"/>
          <w:b/>
          <w:sz w:val="28"/>
          <w:szCs w:val="28"/>
          <w:highlight w:val="none"/>
        </w:rPr>
      </w:pPr>
      <w:r>
        <w:rPr>
          <w:highlight w:val="none"/>
        </w:rPr>
        <w:br w:type="page"/>
      </w:r>
      <w:r>
        <w:rPr>
          <w:rFonts w:hint="eastAsia"/>
          <w:highlight w:val="none"/>
        </w:rPr>
        <w:t>六</w:t>
      </w:r>
      <w:r>
        <w:rPr>
          <w:rFonts w:hint="eastAsia" w:ascii="宋体" w:hAnsi="宋体"/>
          <w:b/>
          <w:sz w:val="28"/>
          <w:szCs w:val="28"/>
          <w:highlight w:val="none"/>
        </w:rPr>
        <w:t>、开标一览表附件2-3</w:t>
      </w:r>
      <w:r>
        <w:rPr>
          <w:rFonts w:ascii="宋体" w:hAnsi="宋体"/>
          <w:b/>
          <w:sz w:val="28"/>
          <w:szCs w:val="28"/>
          <w:highlight w:val="none"/>
        </w:rPr>
        <w:t>-1</w:t>
      </w:r>
    </w:p>
    <w:p w14:paraId="1A9CFD18">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招标项目名称：</w:t>
      </w:r>
      <w:r>
        <w:rPr>
          <w:rFonts w:ascii="宋体" w:hAnsi="宋体"/>
          <w:color w:val="auto"/>
          <w:highlight w:val="none"/>
        </w:rPr>
        <w:t xml:space="preserve">                          </w:t>
      </w:r>
      <w:r>
        <w:rPr>
          <w:rFonts w:hint="eastAsia" w:ascii="宋体" w:hAnsi="宋体"/>
          <w:color w:val="auto"/>
          <w:highlight w:val="none"/>
        </w:rPr>
        <w:t>投标单位名称：</w:t>
      </w:r>
      <w:r>
        <w:rPr>
          <w:rFonts w:ascii="宋体" w:hAnsi="宋体"/>
          <w:color w:val="auto"/>
          <w:highlight w:val="none"/>
        </w:rPr>
        <w:t xml:space="preserve">                            </w:t>
      </w:r>
    </w:p>
    <w:p w14:paraId="13A65112">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项目编号：</w:t>
      </w:r>
      <w:r>
        <w:rPr>
          <w:rFonts w:ascii="宋体" w:hAnsi="宋体"/>
          <w:color w:val="auto"/>
          <w:highlight w:val="none"/>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0D15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6E80E0B9">
            <w:pPr>
              <w:spacing w:line="440" w:lineRule="exact"/>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分包序号、名称</w:t>
            </w:r>
          </w:p>
        </w:tc>
        <w:tc>
          <w:tcPr>
            <w:tcW w:w="6687" w:type="dxa"/>
            <w:vAlign w:val="center"/>
          </w:tcPr>
          <w:p w14:paraId="613A1A75">
            <w:pPr>
              <w:spacing w:line="440" w:lineRule="exact"/>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投标总报价</w:t>
            </w:r>
          </w:p>
        </w:tc>
      </w:tr>
      <w:tr w14:paraId="7AB46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1B68AFA8">
            <w:pPr>
              <w:spacing w:line="440" w:lineRule="exact"/>
              <w:jc w:val="center"/>
              <w:rPr>
                <w:rFonts w:hint="eastAsia" w:asciiTheme="minorEastAsia" w:hAnsiTheme="minorEastAsia" w:eastAsiaTheme="minorEastAsia"/>
                <w:sz w:val="24"/>
                <w:szCs w:val="24"/>
                <w:highlight w:val="none"/>
              </w:rPr>
            </w:pPr>
          </w:p>
        </w:tc>
        <w:tc>
          <w:tcPr>
            <w:tcW w:w="6687" w:type="dxa"/>
            <w:vAlign w:val="center"/>
          </w:tcPr>
          <w:p w14:paraId="1A278F62">
            <w:pPr>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小写：￥</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元</w:t>
            </w:r>
            <w:r>
              <w:rPr>
                <w:rFonts w:asciiTheme="minorEastAsia" w:hAnsiTheme="minorEastAsia" w:eastAsiaTheme="minorEastAsia"/>
                <w:sz w:val="24"/>
                <w:szCs w:val="24"/>
                <w:highlight w:val="none"/>
              </w:rPr>
              <w:t xml:space="preserve">     </w:t>
            </w:r>
          </w:p>
        </w:tc>
      </w:tr>
      <w:tr w14:paraId="5CFE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75651745">
            <w:pPr>
              <w:spacing w:line="440" w:lineRule="exact"/>
              <w:jc w:val="center"/>
              <w:rPr>
                <w:rFonts w:hint="eastAsia" w:asciiTheme="minorEastAsia" w:hAnsiTheme="minorEastAsia" w:eastAsiaTheme="minorEastAsia"/>
                <w:sz w:val="24"/>
                <w:szCs w:val="24"/>
                <w:highlight w:val="none"/>
              </w:rPr>
            </w:pPr>
          </w:p>
        </w:tc>
        <w:tc>
          <w:tcPr>
            <w:tcW w:w="6687" w:type="dxa"/>
            <w:vAlign w:val="center"/>
          </w:tcPr>
          <w:p w14:paraId="423A98A5">
            <w:pPr>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大写：</w:t>
            </w:r>
          </w:p>
        </w:tc>
      </w:tr>
      <w:tr w14:paraId="5B86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33F3DF51">
            <w:pPr>
              <w:spacing w:line="440" w:lineRule="exact"/>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质保期</w:t>
            </w:r>
          </w:p>
        </w:tc>
        <w:tc>
          <w:tcPr>
            <w:tcW w:w="6687" w:type="dxa"/>
            <w:vAlign w:val="center"/>
          </w:tcPr>
          <w:p w14:paraId="2DCAE37E">
            <w:pPr>
              <w:spacing w:line="440" w:lineRule="exact"/>
              <w:rPr>
                <w:rFonts w:hint="eastAsia" w:asciiTheme="minorEastAsia" w:hAnsiTheme="minorEastAsia" w:eastAsiaTheme="minorEastAsia"/>
                <w:sz w:val="24"/>
                <w:szCs w:val="24"/>
                <w:highlight w:val="none"/>
              </w:rPr>
            </w:pPr>
          </w:p>
        </w:tc>
      </w:tr>
      <w:tr w14:paraId="4967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6872040">
            <w:pPr>
              <w:spacing w:line="440" w:lineRule="exact"/>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供货周期</w:t>
            </w:r>
          </w:p>
        </w:tc>
        <w:tc>
          <w:tcPr>
            <w:tcW w:w="6687" w:type="dxa"/>
            <w:vAlign w:val="center"/>
          </w:tcPr>
          <w:p w14:paraId="48ED0F11">
            <w:pPr>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w:t>
            </w:r>
          </w:p>
        </w:tc>
      </w:tr>
      <w:tr w14:paraId="2F28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2F50C7E3">
            <w:pPr>
              <w:spacing w:line="440" w:lineRule="exact"/>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交货地点</w:t>
            </w:r>
          </w:p>
        </w:tc>
        <w:tc>
          <w:tcPr>
            <w:tcW w:w="6687" w:type="dxa"/>
            <w:vAlign w:val="center"/>
          </w:tcPr>
          <w:p w14:paraId="49111393">
            <w:pPr>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最终按甲方指定地点验收、交货。</w:t>
            </w:r>
          </w:p>
        </w:tc>
      </w:tr>
    </w:tbl>
    <w:p w14:paraId="4B3A9CD3">
      <w:pPr>
        <w:pStyle w:val="87"/>
        <w:spacing w:line="44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兹声明：以上投标报价在投标有效期内一直有效。</w:t>
      </w:r>
    </w:p>
    <w:p w14:paraId="229F1F53">
      <w:pPr>
        <w:spacing w:line="440" w:lineRule="exact"/>
        <w:rPr>
          <w:sz w:val="24"/>
          <w:szCs w:val="24"/>
          <w:highlight w:val="none"/>
        </w:rPr>
      </w:pPr>
      <w:r>
        <w:rPr>
          <w:rFonts w:hint="eastAsia" w:asciiTheme="minorEastAsia" w:hAnsiTheme="minorEastAsia" w:eastAsiaTheme="minorEastAsia"/>
          <w:sz w:val="24"/>
          <w:szCs w:val="24"/>
          <w:highlight w:val="none"/>
        </w:rPr>
        <w:t>投标人名称（电子签章）：</w:t>
      </w:r>
      <w:r>
        <w:rPr>
          <w:rFonts w:asciiTheme="minorEastAsia" w:hAnsiTheme="minorEastAsia" w:eastAsiaTheme="minorEastAsia"/>
          <w:sz w:val="24"/>
          <w:szCs w:val="24"/>
          <w:highlight w:val="none"/>
          <w:u w:val="single"/>
        </w:rPr>
        <w:t xml:space="preserve">         </w:t>
      </w:r>
      <w:r>
        <w:rPr>
          <w:sz w:val="24"/>
          <w:szCs w:val="24"/>
          <w:highlight w:val="none"/>
          <w:u w:val="single"/>
        </w:rPr>
        <w:t xml:space="preserve">                      </w:t>
      </w:r>
    </w:p>
    <w:p w14:paraId="4D81705E">
      <w:pPr>
        <w:pStyle w:val="91"/>
        <w:keepNext w:val="0"/>
        <w:keepLines w:val="0"/>
        <w:adjustRightInd/>
        <w:spacing w:before="0" w:line="440" w:lineRule="exact"/>
        <w:textAlignment w:val="auto"/>
        <w:outlineLvl w:val="9"/>
        <w:rPr>
          <w:rFonts w:hint="eastAsia"/>
          <w:b w:val="0"/>
          <w:kern w:val="2"/>
          <w:sz w:val="24"/>
          <w:szCs w:val="24"/>
          <w:highlight w:val="none"/>
        </w:rPr>
      </w:pPr>
      <w:bookmarkStart w:id="262" w:name="_Toc5531"/>
      <w:bookmarkStart w:id="263" w:name="_Toc53318128"/>
      <w:bookmarkStart w:id="264" w:name="_Toc53317980"/>
      <w:r>
        <w:rPr>
          <w:rFonts w:hint="eastAsia"/>
          <w:b w:val="0"/>
          <w:sz w:val="24"/>
          <w:szCs w:val="24"/>
          <w:highlight w:val="none"/>
        </w:rPr>
        <w:t>投标人代表（</w:t>
      </w:r>
      <w:r>
        <w:rPr>
          <w:rFonts w:hint="eastAsia"/>
          <w:b w:val="0"/>
          <w:bCs w:val="0"/>
          <w:sz w:val="24"/>
          <w:szCs w:val="24"/>
          <w:highlight w:val="none"/>
        </w:rPr>
        <w:t>电子签名</w:t>
      </w:r>
      <w:r>
        <w:rPr>
          <w:rFonts w:hint="eastAsia"/>
          <w:sz w:val="24"/>
          <w:szCs w:val="24"/>
          <w:highlight w:val="none"/>
        </w:rPr>
        <w:t>）</w:t>
      </w:r>
      <w:r>
        <w:rPr>
          <w:rFonts w:hint="eastAsia"/>
          <w:b w:val="0"/>
          <w:sz w:val="24"/>
          <w:szCs w:val="24"/>
          <w:highlight w:val="none"/>
        </w:rPr>
        <w:t>：</w:t>
      </w:r>
      <w:bookmarkEnd w:id="262"/>
      <w:bookmarkEnd w:id="263"/>
      <w:bookmarkEnd w:id="264"/>
      <w:r>
        <w:rPr>
          <w:b w:val="0"/>
          <w:sz w:val="24"/>
          <w:szCs w:val="24"/>
          <w:highlight w:val="none"/>
          <w:u w:val="single"/>
        </w:rPr>
        <w:t xml:space="preserve">                  </w:t>
      </w:r>
    </w:p>
    <w:p w14:paraId="79C0AF58">
      <w:pPr>
        <w:pStyle w:val="91"/>
        <w:keepNext w:val="0"/>
        <w:keepLines w:val="0"/>
        <w:adjustRightInd/>
        <w:spacing w:before="0" w:line="440" w:lineRule="exact"/>
        <w:textAlignment w:val="auto"/>
        <w:outlineLvl w:val="9"/>
        <w:rPr>
          <w:rFonts w:hint="eastAsia"/>
          <w:b w:val="0"/>
          <w:kern w:val="2"/>
          <w:sz w:val="24"/>
          <w:szCs w:val="24"/>
          <w:highlight w:val="none"/>
        </w:rPr>
      </w:pPr>
      <w:bookmarkStart w:id="265" w:name="_Toc53317981"/>
      <w:bookmarkStart w:id="266" w:name="_Toc10448"/>
      <w:bookmarkStart w:id="267" w:name="_Toc53318129"/>
      <w:r>
        <w:rPr>
          <w:rFonts w:hint="eastAsia"/>
          <w:b w:val="0"/>
          <w:spacing w:val="36"/>
          <w:kern w:val="2"/>
          <w:sz w:val="24"/>
          <w:szCs w:val="24"/>
          <w:highlight w:val="none"/>
        </w:rPr>
        <w:t>日期</w:t>
      </w:r>
      <w:r>
        <w:rPr>
          <w:rFonts w:hint="eastAsia"/>
          <w:b w:val="0"/>
          <w:kern w:val="2"/>
          <w:sz w:val="24"/>
          <w:szCs w:val="24"/>
          <w:highlight w:val="none"/>
        </w:rPr>
        <w:t>：</w:t>
      </w:r>
      <w:r>
        <w:rPr>
          <w:b w:val="0"/>
          <w:kern w:val="2"/>
          <w:sz w:val="24"/>
          <w:szCs w:val="24"/>
          <w:highlight w:val="none"/>
          <w:u w:val="single"/>
        </w:rPr>
        <w:t xml:space="preserve">       </w:t>
      </w:r>
      <w:r>
        <w:rPr>
          <w:rFonts w:hint="eastAsia"/>
          <w:b w:val="0"/>
          <w:kern w:val="2"/>
          <w:sz w:val="24"/>
          <w:szCs w:val="24"/>
          <w:highlight w:val="none"/>
        </w:rPr>
        <w:t>年</w:t>
      </w:r>
      <w:r>
        <w:rPr>
          <w:b w:val="0"/>
          <w:kern w:val="2"/>
          <w:sz w:val="24"/>
          <w:szCs w:val="24"/>
          <w:highlight w:val="none"/>
          <w:u w:val="single"/>
        </w:rPr>
        <w:t xml:space="preserve">     </w:t>
      </w:r>
      <w:r>
        <w:rPr>
          <w:rFonts w:hint="eastAsia"/>
          <w:b w:val="0"/>
          <w:kern w:val="2"/>
          <w:sz w:val="24"/>
          <w:szCs w:val="24"/>
          <w:highlight w:val="none"/>
        </w:rPr>
        <w:t>月</w:t>
      </w:r>
      <w:r>
        <w:rPr>
          <w:b w:val="0"/>
          <w:kern w:val="2"/>
          <w:sz w:val="24"/>
          <w:szCs w:val="24"/>
          <w:highlight w:val="none"/>
          <w:u w:val="single"/>
        </w:rPr>
        <w:t xml:space="preserve">    </w:t>
      </w:r>
      <w:r>
        <w:rPr>
          <w:rFonts w:hint="eastAsia"/>
          <w:b w:val="0"/>
          <w:kern w:val="2"/>
          <w:sz w:val="24"/>
          <w:szCs w:val="24"/>
          <w:highlight w:val="none"/>
        </w:rPr>
        <w:t>日</w:t>
      </w:r>
      <w:bookmarkEnd w:id="265"/>
      <w:bookmarkEnd w:id="266"/>
      <w:bookmarkEnd w:id="267"/>
    </w:p>
    <w:p w14:paraId="7013C411">
      <w:pPr>
        <w:pStyle w:val="91"/>
        <w:keepNext w:val="0"/>
        <w:keepLines w:val="0"/>
        <w:adjustRightInd/>
        <w:spacing w:before="0" w:line="440" w:lineRule="exact"/>
        <w:textAlignment w:val="auto"/>
        <w:outlineLvl w:val="9"/>
        <w:rPr>
          <w:rFonts w:hint="eastAsia"/>
          <w:kern w:val="2"/>
          <w:sz w:val="24"/>
          <w:szCs w:val="24"/>
          <w:highlight w:val="none"/>
        </w:rPr>
      </w:pPr>
      <w:bookmarkStart w:id="268" w:name="_Toc1047"/>
      <w:bookmarkStart w:id="269" w:name="_Toc53317982"/>
      <w:bookmarkStart w:id="270" w:name="_Toc53318130"/>
      <w:r>
        <w:rPr>
          <w:rFonts w:hint="eastAsia"/>
          <w:sz w:val="24"/>
          <w:szCs w:val="24"/>
          <w:highlight w:val="none"/>
        </w:rPr>
        <w:t>注：</w:t>
      </w:r>
      <w:bookmarkEnd w:id="268"/>
      <w:bookmarkEnd w:id="269"/>
      <w:bookmarkEnd w:id="270"/>
      <w:r>
        <w:rPr>
          <w:kern w:val="2"/>
          <w:highlight w:val="none"/>
        </w:rPr>
        <w:t>1</w:t>
      </w:r>
      <w:r>
        <w:rPr>
          <w:rFonts w:hint="eastAsia"/>
          <w:kern w:val="2"/>
          <w:highlight w:val="none"/>
        </w:rPr>
        <w:t>、本表格式不得更改，投标人只能按要求填报。</w:t>
      </w:r>
    </w:p>
    <w:p w14:paraId="4155BF2E">
      <w:pPr>
        <w:spacing w:line="460" w:lineRule="atLeast"/>
        <w:jc w:val="center"/>
        <w:rPr>
          <w:rFonts w:hint="eastAsia" w:ascii="宋体" w:hAnsi="宋体"/>
          <w:sz w:val="24"/>
          <w:szCs w:val="24"/>
          <w:highlight w:val="none"/>
        </w:rPr>
      </w:pPr>
      <w:r>
        <w:rPr>
          <w:highlight w:val="none"/>
        </w:rPr>
        <w:br w:type="page"/>
      </w:r>
      <w:bookmarkStart w:id="271" w:name="_Toc11328"/>
      <w:r>
        <w:rPr>
          <w:rFonts w:hint="eastAsia" w:ascii="宋体" w:hAnsi="宋体"/>
          <w:b/>
          <w:sz w:val="30"/>
          <w:szCs w:val="30"/>
          <w:highlight w:val="none"/>
        </w:rPr>
        <w:t>附件2-3</w:t>
      </w:r>
      <w:r>
        <w:rPr>
          <w:rFonts w:ascii="宋体" w:hAnsi="宋体"/>
          <w:b/>
          <w:sz w:val="30"/>
          <w:szCs w:val="30"/>
          <w:highlight w:val="none"/>
        </w:rPr>
        <w:t>-2</w:t>
      </w:r>
      <w:r>
        <w:rPr>
          <w:rFonts w:hint="eastAsia" w:ascii="宋体" w:hAnsi="宋体"/>
          <w:b/>
          <w:sz w:val="30"/>
          <w:szCs w:val="30"/>
          <w:highlight w:val="none"/>
        </w:rPr>
        <w:t xml:space="preserve">  明细报价表</w:t>
      </w:r>
      <w:bookmarkEnd w:id="271"/>
    </w:p>
    <w:p w14:paraId="11941D0F">
      <w:pPr>
        <w:tabs>
          <w:tab w:val="left" w:pos="5100"/>
        </w:tabs>
        <w:spacing w:line="440" w:lineRule="exact"/>
        <w:ind w:firstLine="352" w:firstLineChars="147"/>
        <w:rPr>
          <w:rFonts w:hint="eastAsia" w:ascii="宋体" w:hAnsi="宋体"/>
          <w:bCs/>
          <w:sz w:val="24"/>
          <w:szCs w:val="24"/>
          <w:highlight w:val="none"/>
        </w:rPr>
      </w:pPr>
      <w:r>
        <w:rPr>
          <w:rFonts w:hint="eastAsia" w:ascii="宋体" w:hAnsi="宋体"/>
          <w:bCs/>
          <w:sz w:val="24"/>
          <w:szCs w:val="24"/>
          <w:highlight w:val="none"/>
        </w:rPr>
        <w:t>项目名称：</w:t>
      </w:r>
      <w:r>
        <w:rPr>
          <w:rFonts w:ascii="宋体" w:hAnsi="宋体"/>
          <w:bCs/>
          <w:sz w:val="24"/>
          <w:szCs w:val="24"/>
          <w:highlight w:val="none"/>
        </w:rPr>
        <w:t xml:space="preserve">                              </w:t>
      </w:r>
      <w:r>
        <w:rPr>
          <w:rFonts w:hint="eastAsia" w:ascii="宋体" w:hAnsi="宋体"/>
          <w:sz w:val="24"/>
          <w:szCs w:val="24"/>
          <w:highlight w:val="none"/>
        </w:rPr>
        <w:t>投标单位名称：</w:t>
      </w:r>
      <w:r>
        <w:rPr>
          <w:rFonts w:ascii="宋体" w:hAnsi="宋体"/>
          <w:sz w:val="24"/>
          <w:szCs w:val="24"/>
          <w:highlight w:val="none"/>
        </w:rPr>
        <w:t xml:space="preserve">  </w:t>
      </w:r>
    </w:p>
    <w:p w14:paraId="7A2B77A7">
      <w:pPr>
        <w:pStyle w:val="87"/>
        <w:spacing w:line="440" w:lineRule="exact"/>
        <w:ind w:left="208" w:leftChars="99" w:firstLine="120" w:firstLineChars="50"/>
        <w:jc w:val="both"/>
        <w:rPr>
          <w:rFonts w:hint="eastAsia" w:ascii="宋体" w:hAnsi="宋体"/>
          <w:bCs/>
          <w:color w:val="auto"/>
          <w:kern w:val="2"/>
          <w:highlight w:val="none"/>
        </w:rPr>
      </w:pPr>
      <w:r>
        <w:rPr>
          <w:rFonts w:hint="eastAsia" w:ascii="宋体" w:hAnsi="宋体"/>
          <w:bCs/>
          <w:color w:val="auto"/>
          <w:kern w:val="2"/>
          <w:highlight w:val="none"/>
        </w:rPr>
        <w:t>招标编号：</w:t>
      </w:r>
      <w:r>
        <w:rPr>
          <w:rFonts w:ascii="宋体" w:hAnsi="宋体"/>
          <w:bCs/>
          <w:color w:val="auto"/>
          <w:kern w:val="2"/>
          <w:highlight w:val="none"/>
        </w:rPr>
        <w:t xml:space="preserve">                            </w:t>
      </w:r>
      <w:r>
        <w:rPr>
          <w:rFonts w:hint="eastAsia" w:ascii="宋体" w:hAnsi="宋体"/>
          <w:bCs/>
          <w:color w:val="auto"/>
          <w:kern w:val="2"/>
          <w:highlight w:val="none"/>
        </w:rPr>
        <w:t xml:space="preserve">  </w:t>
      </w:r>
      <w:r>
        <w:rPr>
          <w:rFonts w:hint="eastAsia" w:ascii="宋体" w:hAnsi="宋体"/>
          <w:color w:val="auto"/>
          <w:highlight w:val="none"/>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6E71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09A2C23">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864" w:type="dxa"/>
            <w:vAlign w:val="center"/>
          </w:tcPr>
          <w:p w14:paraId="659C3F43">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1650" w:type="dxa"/>
            <w:vAlign w:val="center"/>
          </w:tcPr>
          <w:p w14:paraId="3633D39E">
            <w:pPr>
              <w:spacing w:line="440" w:lineRule="exact"/>
              <w:jc w:val="center"/>
              <w:rPr>
                <w:rFonts w:hint="eastAsia" w:ascii="宋体" w:hAnsi="宋体"/>
                <w:sz w:val="24"/>
                <w:szCs w:val="24"/>
                <w:highlight w:val="none"/>
              </w:rPr>
            </w:pPr>
            <w:r>
              <w:rPr>
                <w:rFonts w:hint="eastAsia" w:ascii="宋体" w:hAnsi="宋体"/>
                <w:sz w:val="24"/>
                <w:szCs w:val="24"/>
                <w:highlight w:val="none"/>
              </w:rPr>
              <w:t>规格及型号</w:t>
            </w:r>
          </w:p>
        </w:tc>
        <w:tc>
          <w:tcPr>
            <w:tcW w:w="960" w:type="dxa"/>
            <w:vAlign w:val="center"/>
          </w:tcPr>
          <w:p w14:paraId="7D4A2BE9">
            <w:pPr>
              <w:spacing w:line="440" w:lineRule="exact"/>
              <w:jc w:val="center"/>
              <w:rPr>
                <w:rFonts w:hint="eastAsia" w:ascii="宋体" w:hAnsi="宋体"/>
                <w:sz w:val="24"/>
                <w:szCs w:val="24"/>
                <w:highlight w:val="none"/>
              </w:rPr>
            </w:pPr>
            <w:r>
              <w:rPr>
                <w:rFonts w:hint="eastAsia" w:ascii="宋体" w:hAnsi="宋体"/>
                <w:sz w:val="24"/>
                <w:szCs w:val="24"/>
                <w:highlight w:val="none"/>
              </w:rPr>
              <w:t>单位</w:t>
            </w:r>
          </w:p>
        </w:tc>
        <w:tc>
          <w:tcPr>
            <w:tcW w:w="1129" w:type="dxa"/>
            <w:vAlign w:val="center"/>
          </w:tcPr>
          <w:p w14:paraId="21838FD8">
            <w:pPr>
              <w:spacing w:line="44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1265" w:type="dxa"/>
            <w:vAlign w:val="center"/>
          </w:tcPr>
          <w:p w14:paraId="4F32113B">
            <w:pPr>
              <w:spacing w:line="440" w:lineRule="exact"/>
              <w:jc w:val="center"/>
              <w:rPr>
                <w:rFonts w:hint="eastAsia" w:ascii="宋体" w:hAnsi="宋体"/>
                <w:sz w:val="24"/>
                <w:szCs w:val="24"/>
                <w:highlight w:val="none"/>
              </w:rPr>
            </w:pPr>
            <w:r>
              <w:rPr>
                <w:rFonts w:hint="eastAsia" w:ascii="宋体" w:hAnsi="宋体"/>
                <w:sz w:val="24"/>
                <w:szCs w:val="24"/>
                <w:highlight w:val="none"/>
              </w:rPr>
              <w:t>综合单价（元）</w:t>
            </w:r>
          </w:p>
        </w:tc>
        <w:tc>
          <w:tcPr>
            <w:tcW w:w="991" w:type="dxa"/>
            <w:vAlign w:val="center"/>
          </w:tcPr>
          <w:p w14:paraId="4ECBF460">
            <w:pPr>
              <w:spacing w:line="440" w:lineRule="exact"/>
              <w:jc w:val="center"/>
              <w:rPr>
                <w:rFonts w:hint="eastAsia" w:ascii="宋体" w:hAnsi="宋体"/>
                <w:sz w:val="24"/>
                <w:szCs w:val="24"/>
                <w:highlight w:val="none"/>
              </w:rPr>
            </w:pPr>
            <w:r>
              <w:rPr>
                <w:rFonts w:hint="eastAsia" w:ascii="宋体" w:hAnsi="宋体"/>
                <w:sz w:val="24"/>
                <w:szCs w:val="24"/>
                <w:highlight w:val="none"/>
              </w:rPr>
              <w:t>总价（元）</w:t>
            </w:r>
          </w:p>
        </w:tc>
        <w:tc>
          <w:tcPr>
            <w:tcW w:w="1127" w:type="dxa"/>
            <w:vAlign w:val="center"/>
          </w:tcPr>
          <w:p w14:paraId="016AEEF4">
            <w:pPr>
              <w:spacing w:line="440" w:lineRule="exact"/>
              <w:jc w:val="center"/>
              <w:rPr>
                <w:rFonts w:hint="eastAsia" w:ascii="宋体" w:hAnsi="宋体"/>
                <w:sz w:val="24"/>
                <w:szCs w:val="24"/>
                <w:highlight w:val="none"/>
              </w:rPr>
            </w:pPr>
            <w:r>
              <w:rPr>
                <w:rFonts w:hint="eastAsia" w:ascii="宋体" w:hAnsi="宋体"/>
                <w:sz w:val="24"/>
                <w:szCs w:val="24"/>
                <w:highlight w:val="none"/>
              </w:rPr>
              <w:t>品牌及</w:t>
            </w:r>
          </w:p>
          <w:p w14:paraId="7E5DC594">
            <w:pPr>
              <w:spacing w:line="440" w:lineRule="exact"/>
              <w:jc w:val="center"/>
              <w:rPr>
                <w:rFonts w:hint="eastAsia" w:ascii="宋体" w:hAnsi="宋体"/>
                <w:sz w:val="24"/>
                <w:szCs w:val="24"/>
                <w:highlight w:val="none"/>
              </w:rPr>
            </w:pPr>
            <w:r>
              <w:rPr>
                <w:rFonts w:hint="eastAsia" w:ascii="宋体" w:hAnsi="宋体"/>
                <w:sz w:val="24"/>
                <w:szCs w:val="24"/>
                <w:highlight w:val="none"/>
              </w:rPr>
              <w:t>产地</w:t>
            </w:r>
          </w:p>
        </w:tc>
      </w:tr>
      <w:tr w14:paraId="1C26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A4B2951">
            <w:pPr>
              <w:widowControl/>
              <w:textAlignment w:val="center"/>
              <w:rPr>
                <w:rFonts w:hint="eastAsia" w:ascii="宋体" w:hAnsi="宋体"/>
                <w:sz w:val="24"/>
                <w:szCs w:val="24"/>
                <w:highlight w:val="none"/>
              </w:rPr>
            </w:pPr>
            <w:r>
              <w:rPr>
                <w:rFonts w:hint="eastAsia" w:ascii="宋体" w:hAnsi="宋体" w:cs="宋体"/>
                <w:kern w:val="0"/>
                <w:sz w:val="24"/>
                <w:szCs w:val="24"/>
                <w:highlight w:val="none"/>
                <w:lang w:bidi="ar"/>
              </w:rPr>
              <w:t>1</w:t>
            </w:r>
          </w:p>
        </w:tc>
        <w:tc>
          <w:tcPr>
            <w:tcW w:w="1864" w:type="dxa"/>
            <w:vAlign w:val="center"/>
          </w:tcPr>
          <w:p w14:paraId="507CC93D">
            <w:pPr>
              <w:widowControl/>
              <w:textAlignment w:val="center"/>
              <w:rPr>
                <w:rFonts w:hint="eastAsia" w:ascii="宋体" w:hAnsi="宋体"/>
                <w:sz w:val="24"/>
                <w:szCs w:val="24"/>
                <w:highlight w:val="none"/>
              </w:rPr>
            </w:pPr>
          </w:p>
        </w:tc>
        <w:tc>
          <w:tcPr>
            <w:tcW w:w="1650" w:type="dxa"/>
            <w:vAlign w:val="center"/>
          </w:tcPr>
          <w:p w14:paraId="5E410791">
            <w:pPr>
              <w:rPr>
                <w:rFonts w:hint="eastAsia" w:ascii="宋体" w:hAnsi="宋体"/>
                <w:sz w:val="24"/>
                <w:szCs w:val="24"/>
                <w:highlight w:val="none"/>
              </w:rPr>
            </w:pPr>
          </w:p>
        </w:tc>
        <w:tc>
          <w:tcPr>
            <w:tcW w:w="960" w:type="dxa"/>
            <w:vAlign w:val="center"/>
          </w:tcPr>
          <w:p w14:paraId="7FCC40C8">
            <w:pPr>
              <w:widowControl/>
              <w:textAlignment w:val="center"/>
              <w:rPr>
                <w:rFonts w:hint="eastAsia" w:ascii="宋体" w:hAnsi="宋体"/>
                <w:sz w:val="24"/>
                <w:szCs w:val="24"/>
                <w:highlight w:val="none"/>
              </w:rPr>
            </w:pPr>
          </w:p>
        </w:tc>
        <w:tc>
          <w:tcPr>
            <w:tcW w:w="1129" w:type="dxa"/>
            <w:vAlign w:val="center"/>
          </w:tcPr>
          <w:p w14:paraId="59DE2334">
            <w:pPr>
              <w:widowControl/>
              <w:textAlignment w:val="center"/>
              <w:rPr>
                <w:rFonts w:hint="eastAsia" w:ascii="宋体" w:hAnsi="宋体"/>
                <w:sz w:val="24"/>
                <w:szCs w:val="24"/>
                <w:highlight w:val="none"/>
              </w:rPr>
            </w:pPr>
          </w:p>
        </w:tc>
        <w:tc>
          <w:tcPr>
            <w:tcW w:w="1265" w:type="dxa"/>
            <w:vAlign w:val="center"/>
          </w:tcPr>
          <w:p w14:paraId="39F9671F">
            <w:pPr>
              <w:spacing w:line="440" w:lineRule="exact"/>
              <w:rPr>
                <w:rFonts w:hint="eastAsia" w:ascii="宋体" w:hAnsi="宋体"/>
                <w:sz w:val="24"/>
                <w:szCs w:val="24"/>
                <w:highlight w:val="none"/>
              </w:rPr>
            </w:pPr>
          </w:p>
        </w:tc>
        <w:tc>
          <w:tcPr>
            <w:tcW w:w="991" w:type="dxa"/>
            <w:vAlign w:val="center"/>
          </w:tcPr>
          <w:p w14:paraId="2FF5D2F3">
            <w:pPr>
              <w:spacing w:line="440" w:lineRule="exact"/>
              <w:rPr>
                <w:rFonts w:hint="eastAsia" w:ascii="宋体" w:hAnsi="宋体"/>
                <w:sz w:val="24"/>
                <w:szCs w:val="24"/>
                <w:highlight w:val="none"/>
              </w:rPr>
            </w:pPr>
          </w:p>
        </w:tc>
        <w:tc>
          <w:tcPr>
            <w:tcW w:w="1127" w:type="dxa"/>
            <w:vAlign w:val="center"/>
          </w:tcPr>
          <w:p w14:paraId="04AA8115">
            <w:pPr>
              <w:spacing w:line="440" w:lineRule="exact"/>
              <w:rPr>
                <w:rFonts w:hint="eastAsia" w:ascii="宋体" w:hAnsi="宋体"/>
                <w:sz w:val="24"/>
                <w:szCs w:val="24"/>
                <w:highlight w:val="none"/>
              </w:rPr>
            </w:pPr>
          </w:p>
        </w:tc>
      </w:tr>
      <w:tr w14:paraId="22CD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5304F75">
            <w:pPr>
              <w:widowControl/>
              <w:textAlignment w:val="center"/>
              <w:rPr>
                <w:rFonts w:hint="eastAsia" w:ascii="宋体" w:hAnsi="宋体"/>
                <w:sz w:val="24"/>
                <w:szCs w:val="24"/>
                <w:highlight w:val="none"/>
              </w:rPr>
            </w:pPr>
            <w:r>
              <w:rPr>
                <w:rFonts w:hint="eastAsia" w:ascii="宋体" w:hAnsi="宋体" w:cs="宋体"/>
                <w:kern w:val="0"/>
                <w:sz w:val="24"/>
                <w:szCs w:val="24"/>
                <w:highlight w:val="none"/>
                <w:lang w:bidi="ar"/>
              </w:rPr>
              <w:t>2</w:t>
            </w:r>
          </w:p>
        </w:tc>
        <w:tc>
          <w:tcPr>
            <w:tcW w:w="1864" w:type="dxa"/>
            <w:vAlign w:val="center"/>
          </w:tcPr>
          <w:p w14:paraId="7964EEE7">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302E04FC">
            <w:pPr>
              <w:rPr>
                <w:rFonts w:hint="eastAsia" w:ascii="宋体" w:hAnsi="宋体"/>
                <w:sz w:val="24"/>
                <w:szCs w:val="24"/>
                <w:highlight w:val="none"/>
              </w:rPr>
            </w:pPr>
          </w:p>
        </w:tc>
        <w:tc>
          <w:tcPr>
            <w:tcW w:w="960" w:type="dxa"/>
            <w:vAlign w:val="center"/>
          </w:tcPr>
          <w:p w14:paraId="70821521">
            <w:pPr>
              <w:widowControl/>
              <w:textAlignment w:val="center"/>
              <w:rPr>
                <w:rFonts w:hint="eastAsia" w:ascii="宋体" w:hAnsi="宋体"/>
                <w:sz w:val="24"/>
                <w:szCs w:val="24"/>
                <w:highlight w:val="none"/>
              </w:rPr>
            </w:pPr>
          </w:p>
        </w:tc>
        <w:tc>
          <w:tcPr>
            <w:tcW w:w="1129" w:type="dxa"/>
            <w:vAlign w:val="center"/>
          </w:tcPr>
          <w:p w14:paraId="49718E2C">
            <w:pPr>
              <w:widowControl/>
              <w:textAlignment w:val="center"/>
              <w:rPr>
                <w:rFonts w:hint="eastAsia" w:ascii="宋体" w:hAnsi="宋体"/>
                <w:sz w:val="24"/>
                <w:szCs w:val="24"/>
                <w:highlight w:val="none"/>
              </w:rPr>
            </w:pPr>
          </w:p>
        </w:tc>
        <w:tc>
          <w:tcPr>
            <w:tcW w:w="1265" w:type="dxa"/>
            <w:vAlign w:val="center"/>
          </w:tcPr>
          <w:p w14:paraId="2467F924">
            <w:pPr>
              <w:spacing w:line="440" w:lineRule="exact"/>
              <w:rPr>
                <w:rFonts w:hint="eastAsia" w:ascii="宋体" w:hAnsi="宋体"/>
                <w:sz w:val="24"/>
                <w:szCs w:val="24"/>
                <w:highlight w:val="none"/>
              </w:rPr>
            </w:pPr>
          </w:p>
        </w:tc>
        <w:tc>
          <w:tcPr>
            <w:tcW w:w="991" w:type="dxa"/>
            <w:vAlign w:val="center"/>
          </w:tcPr>
          <w:p w14:paraId="43CD94AC">
            <w:pPr>
              <w:spacing w:line="440" w:lineRule="exact"/>
              <w:rPr>
                <w:rFonts w:hint="eastAsia" w:ascii="宋体" w:hAnsi="宋体"/>
                <w:sz w:val="24"/>
                <w:szCs w:val="24"/>
                <w:highlight w:val="none"/>
              </w:rPr>
            </w:pPr>
          </w:p>
        </w:tc>
        <w:tc>
          <w:tcPr>
            <w:tcW w:w="1127" w:type="dxa"/>
            <w:vAlign w:val="center"/>
          </w:tcPr>
          <w:p w14:paraId="40CD65F9">
            <w:pPr>
              <w:spacing w:line="440" w:lineRule="exact"/>
              <w:rPr>
                <w:rFonts w:hint="eastAsia" w:ascii="宋体" w:hAnsi="宋体"/>
                <w:sz w:val="24"/>
                <w:szCs w:val="24"/>
                <w:highlight w:val="none"/>
              </w:rPr>
            </w:pPr>
          </w:p>
        </w:tc>
      </w:tr>
      <w:tr w14:paraId="7434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4D23B2A3">
            <w:pPr>
              <w:widowControl/>
              <w:textAlignment w:val="center"/>
              <w:rPr>
                <w:rFonts w:hint="eastAsia" w:ascii="宋体" w:hAnsi="宋体"/>
                <w:sz w:val="24"/>
                <w:szCs w:val="24"/>
                <w:highlight w:val="none"/>
              </w:rPr>
            </w:pPr>
            <w:r>
              <w:rPr>
                <w:rFonts w:hint="eastAsia" w:ascii="宋体" w:hAnsi="宋体" w:cs="宋体"/>
                <w:kern w:val="0"/>
                <w:sz w:val="24"/>
                <w:szCs w:val="24"/>
                <w:highlight w:val="none"/>
                <w:lang w:bidi="ar"/>
              </w:rPr>
              <w:t>3</w:t>
            </w:r>
          </w:p>
        </w:tc>
        <w:tc>
          <w:tcPr>
            <w:tcW w:w="1864" w:type="dxa"/>
            <w:vAlign w:val="center"/>
          </w:tcPr>
          <w:p w14:paraId="6D88EDAE">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39131D94">
            <w:pPr>
              <w:rPr>
                <w:rFonts w:hint="eastAsia" w:ascii="宋体" w:hAnsi="宋体"/>
                <w:sz w:val="24"/>
                <w:szCs w:val="24"/>
                <w:highlight w:val="none"/>
              </w:rPr>
            </w:pPr>
          </w:p>
        </w:tc>
        <w:tc>
          <w:tcPr>
            <w:tcW w:w="960" w:type="dxa"/>
            <w:vAlign w:val="center"/>
          </w:tcPr>
          <w:p w14:paraId="2D6289DD">
            <w:pPr>
              <w:widowControl/>
              <w:textAlignment w:val="center"/>
              <w:rPr>
                <w:rFonts w:hint="eastAsia" w:ascii="宋体" w:hAnsi="宋体"/>
                <w:sz w:val="24"/>
                <w:szCs w:val="24"/>
                <w:highlight w:val="none"/>
              </w:rPr>
            </w:pPr>
          </w:p>
        </w:tc>
        <w:tc>
          <w:tcPr>
            <w:tcW w:w="1129" w:type="dxa"/>
            <w:vAlign w:val="center"/>
          </w:tcPr>
          <w:p w14:paraId="384FA79F">
            <w:pPr>
              <w:widowControl/>
              <w:textAlignment w:val="center"/>
              <w:rPr>
                <w:rFonts w:hint="eastAsia" w:ascii="宋体" w:hAnsi="宋体"/>
                <w:sz w:val="24"/>
                <w:szCs w:val="24"/>
                <w:highlight w:val="none"/>
              </w:rPr>
            </w:pPr>
          </w:p>
        </w:tc>
        <w:tc>
          <w:tcPr>
            <w:tcW w:w="1265" w:type="dxa"/>
            <w:vAlign w:val="center"/>
          </w:tcPr>
          <w:p w14:paraId="62DE4B69">
            <w:pPr>
              <w:spacing w:line="440" w:lineRule="exact"/>
              <w:rPr>
                <w:rFonts w:hint="eastAsia" w:ascii="宋体" w:hAnsi="宋体"/>
                <w:sz w:val="24"/>
                <w:szCs w:val="24"/>
                <w:highlight w:val="none"/>
              </w:rPr>
            </w:pPr>
          </w:p>
        </w:tc>
        <w:tc>
          <w:tcPr>
            <w:tcW w:w="991" w:type="dxa"/>
            <w:vAlign w:val="center"/>
          </w:tcPr>
          <w:p w14:paraId="04FFF462">
            <w:pPr>
              <w:spacing w:line="440" w:lineRule="exact"/>
              <w:rPr>
                <w:rFonts w:hint="eastAsia" w:ascii="宋体" w:hAnsi="宋体"/>
                <w:sz w:val="24"/>
                <w:szCs w:val="24"/>
                <w:highlight w:val="none"/>
              </w:rPr>
            </w:pPr>
          </w:p>
        </w:tc>
        <w:tc>
          <w:tcPr>
            <w:tcW w:w="1127" w:type="dxa"/>
            <w:vAlign w:val="center"/>
          </w:tcPr>
          <w:p w14:paraId="6A4F0307">
            <w:pPr>
              <w:spacing w:line="440" w:lineRule="exact"/>
              <w:rPr>
                <w:rFonts w:hint="eastAsia" w:ascii="宋体" w:hAnsi="宋体"/>
                <w:sz w:val="24"/>
                <w:szCs w:val="24"/>
                <w:highlight w:val="none"/>
              </w:rPr>
            </w:pPr>
          </w:p>
        </w:tc>
      </w:tr>
      <w:tr w14:paraId="6F26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0F2C897C">
            <w:pPr>
              <w:widowControl/>
              <w:textAlignment w:val="center"/>
              <w:rPr>
                <w:rFonts w:hint="eastAsia" w:ascii="宋体" w:hAnsi="宋体"/>
                <w:sz w:val="24"/>
                <w:szCs w:val="24"/>
                <w:highlight w:val="none"/>
              </w:rPr>
            </w:pPr>
            <w:r>
              <w:rPr>
                <w:rFonts w:hint="eastAsia" w:ascii="宋体" w:hAnsi="宋体" w:cs="宋体"/>
                <w:kern w:val="0"/>
                <w:sz w:val="24"/>
                <w:szCs w:val="24"/>
                <w:highlight w:val="none"/>
                <w:lang w:bidi="ar"/>
              </w:rPr>
              <w:t>4</w:t>
            </w:r>
          </w:p>
        </w:tc>
        <w:tc>
          <w:tcPr>
            <w:tcW w:w="1864" w:type="dxa"/>
            <w:vAlign w:val="center"/>
          </w:tcPr>
          <w:p w14:paraId="3AA3141E">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1D4793F9">
            <w:pPr>
              <w:rPr>
                <w:rFonts w:hint="eastAsia" w:ascii="宋体" w:hAnsi="宋体"/>
                <w:sz w:val="24"/>
                <w:szCs w:val="24"/>
                <w:highlight w:val="none"/>
              </w:rPr>
            </w:pPr>
          </w:p>
        </w:tc>
        <w:tc>
          <w:tcPr>
            <w:tcW w:w="960" w:type="dxa"/>
            <w:vAlign w:val="center"/>
          </w:tcPr>
          <w:p w14:paraId="5E047F76">
            <w:pPr>
              <w:widowControl/>
              <w:textAlignment w:val="center"/>
              <w:rPr>
                <w:rFonts w:hint="eastAsia" w:ascii="宋体" w:hAnsi="宋体"/>
                <w:sz w:val="24"/>
                <w:szCs w:val="24"/>
                <w:highlight w:val="none"/>
              </w:rPr>
            </w:pPr>
          </w:p>
        </w:tc>
        <w:tc>
          <w:tcPr>
            <w:tcW w:w="1129" w:type="dxa"/>
            <w:vAlign w:val="center"/>
          </w:tcPr>
          <w:p w14:paraId="6D9AC10F">
            <w:pPr>
              <w:widowControl/>
              <w:textAlignment w:val="center"/>
              <w:rPr>
                <w:rFonts w:hint="eastAsia" w:ascii="宋体" w:hAnsi="宋体"/>
                <w:sz w:val="24"/>
                <w:szCs w:val="24"/>
                <w:highlight w:val="none"/>
              </w:rPr>
            </w:pPr>
          </w:p>
        </w:tc>
        <w:tc>
          <w:tcPr>
            <w:tcW w:w="1265" w:type="dxa"/>
            <w:vAlign w:val="center"/>
          </w:tcPr>
          <w:p w14:paraId="64ED4B91">
            <w:pPr>
              <w:spacing w:line="440" w:lineRule="exact"/>
              <w:rPr>
                <w:rFonts w:hint="eastAsia" w:ascii="宋体" w:hAnsi="宋体"/>
                <w:sz w:val="24"/>
                <w:szCs w:val="24"/>
                <w:highlight w:val="none"/>
              </w:rPr>
            </w:pPr>
          </w:p>
        </w:tc>
        <w:tc>
          <w:tcPr>
            <w:tcW w:w="991" w:type="dxa"/>
            <w:vAlign w:val="center"/>
          </w:tcPr>
          <w:p w14:paraId="7E78E1E6">
            <w:pPr>
              <w:spacing w:line="440" w:lineRule="exact"/>
              <w:rPr>
                <w:rFonts w:hint="eastAsia" w:ascii="宋体" w:hAnsi="宋体"/>
                <w:sz w:val="24"/>
                <w:szCs w:val="24"/>
                <w:highlight w:val="none"/>
              </w:rPr>
            </w:pPr>
          </w:p>
        </w:tc>
        <w:tc>
          <w:tcPr>
            <w:tcW w:w="1127" w:type="dxa"/>
            <w:vAlign w:val="center"/>
          </w:tcPr>
          <w:p w14:paraId="7E7F27CA">
            <w:pPr>
              <w:spacing w:line="440" w:lineRule="exact"/>
              <w:rPr>
                <w:rFonts w:hint="eastAsia" w:ascii="宋体" w:hAnsi="宋体"/>
                <w:sz w:val="24"/>
                <w:szCs w:val="24"/>
                <w:highlight w:val="none"/>
              </w:rPr>
            </w:pPr>
          </w:p>
        </w:tc>
      </w:tr>
      <w:tr w14:paraId="2C8A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32D663ED">
            <w:pPr>
              <w:widowControl/>
              <w:textAlignment w:val="center"/>
              <w:rPr>
                <w:rFonts w:hint="eastAsia" w:ascii="宋体" w:hAnsi="宋体"/>
                <w:sz w:val="24"/>
                <w:szCs w:val="24"/>
                <w:highlight w:val="none"/>
              </w:rPr>
            </w:pPr>
            <w:r>
              <w:rPr>
                <w:rFonts w:hint="eastAsia" w:ascii="宋体" w:hAnsi="宋体" w:cs="宋体"/>
                <w:kern w:val="0"/>
                <w:sz w:val="24"/>
                <w:szCs w:val="24"/>
                <w:highlight w:val="none"/>
                <w:lang w:bidi="ar"/>
              </w:rPr>
              <w:t>5</w:t>
            </w:r>
          </w:p>
        </w:tc>
        <w:tc>
          <w:tcPr>
            <w:tcW w:w="1864" w:type="dxa"/>
            <w:vAlign w:val="center"/>
          </w:tcPr>
          <w:p w14:paraId="65C45409">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37D8CE69">
            <w:pPr>
              <w:rPr>
                <w:rFonts w:hint="eastAsia" w:ascii="宋体" w:hAnsi="宋体"/>
                <w:sz w:val="24"/>
                <w:szCs w:val="24"/>
                <w:highlight w:val="none"/>
              </w:rPr>
            </w:pPr>
          </w:p>
        </w:tc>
        <w:tc>
          <w:tcPr>
            <w:tcW w:w="960" w:type="dxa"/>
            <w:vAlign w:val="center"/>
          </w:tcPr>
          <w:p w14:paraId="137376A0">
            <w:pPr>
              <w:widowControl/>
              <w:textAlignment w:val="center"/>
              <w:rPr>
                <w:rFonts w:hint="eastAsia" w:ascii="宋体" w:hAnsi="宋体"/>
                <w:sz w:val="24"/>
                <w:szCs w:val="24"/>
                <w:highlight w:val="none"/>
              </w:rPr>
            </w:pPr>
          </w:p>
        </w:tc>
        <w:tc>
          <w:tcPr>
            <w:tcW w:w="1129" w:type="dxa"/>
            <w:vAlign w:val="center"/>
          </w:tcPr>
          <w:p w14:paraId="4F9AA1DB">
            <w:pPr>
              <w:widowControl/>
              <w:textAlignment w:val="center"/>
              <w:rPr>
                <w:rFonts w:hint="eastAsia" w:ascii="宋体" w:hAnsi="宋体"/>
                <w:sz w:val="24"/>
                <w:szCs w:val="24"/>
                <w:highlight w:val="none"/>
              </w:rPr>
            </w:pPr>
          </w:p>
        </w:tc>
        <w:tc>
          <w:tcPr>
            <w:tcW w:w="1265" w:type="dxa"/>
            <w:vAlign w:val="center"/>
          </w:tcPr>
          <w:p w14:paraId="7A401E34">
            <w:pPr>
              <w:spacing w:line="440" w:lineRule="exact"/>
              <w:rPr>
                <w:rFonts w:hint="eastAsia" w:ascii="宋体" w:hAnsi="宋体"/>
                <w:sz w:val="24"/>
                <w:szCs w:val="24"/>
                <w:highlight w:val="none"/>
              </w:rPr>
            </w:pPr>
          </w:p>
        </w:tc>
        <w:tc>
          <w:tcPr>
            <w:tcW w:w="991" w:type="dxa"/>
            <w:vAlign w:val="center"/>
          </w:tcPr>
          <w:p w14:paraId="08D3B452">
            <w:pPr>
              <w:spacing w:line="440" w:lineRule="exact"/>
              <w:rPr>
                <w:rFonts w:hint="eastAsia" w:ascii="宋体" w:hAnsi="宋体"/>
                <w:sz w:val="24"/>
                <w:szCs w:val="24"/>
                <w:highlight w:val="none"/>
              </w:rPr>
            </w:pPr>
          </w:p>
        </w:tc>
        <w:tc>
          <w:tcPr>
            <w:tcW w:w="1127" w:type="dxa"/>
            <w:vAlign w:val="center"/>
          </w:tcPr>
          <w:p w14:paraId="3CB951FB">
            <w:pPr>
              <w:spacing w:line="440" w:lineRule="exact"/>
              <w:rPr>
                <w:rFonts w:hint="eastAsia" w:ascii="宋体" w:hAnsi="宋体"/>
                <w:sz w:val="24"/>
                <w:szCs w:val="24"/>
                <w:highlight w:val="none"/>
              </w:rPr>
            </w:pPr>
          </w:p>
        </w:tc>
      </w:tr>
      <w:tr w14:paraId="2C23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65D0BD91">
            <w:pPr>
              <w:spacing w:line="440" w:lineRule="exact"/>
              <w:rPr>
                <w:rFonts w:hint="eastAsia" w:ascii="宋体" w:hAnsi="宋体"/>
                <w:sz w:val="24"/>
                <w:szCs w:val="24"/>
                <w:highlight w:val="none"/>
              </w:rPr>
            </w:pPr>
            <w:r>
              <w:rPr>
                <w:rFonts w:hint="eastAsia" w:ascii="宋体" w:hAnsi="宋体"/>
                <w:sz w:val="24"/>
                <w:szCs w:val="24"/>
                <w:highlight w:val="none"/>
              </w:rPr>
              <w:t>合计金额（小写）</w:t>
            </w:r>
          </w:p>
        </w:tc>
        <w:tc>
          <w:tcPr>
            <w:tcW w:w="7122" w:type="dxa"/>
            <w:gridSpan w:val="6"/>
            <w:vAlign w:val="center"/>
          </w:tcPr>
          <w:p w14:paraId="14055891">
            <w:pPr>
              <w:spacing w:line="440" w:lineRule="exact"/>
              <w:rPr>
                <w:rFonts w:hint="eastAsia" w:ascii="宋体" w:hAnsi="宋体"/>
                <w:sz w:val="24"/>
                <w:szCs w:val="24"/>
                <w:highlight w:val="none"/>
              </w:rPr>
            </w:pPr>
          </w:p>
        </w:tc>
      </w:tr>
      <w:tr w14:paraId="3FAB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6723A00B">
            <w:pPr>
              <w:spacing w:line="440" w:lineRule="exact"/>
              <w:rPr>
                <w:rFonts w:hint="eastAsia" w:ascii="宋体" w:hAnsi="宋体"/>
                <w:sz w:val="24"/>
                <w:szCs w:val="24"/>
                <w:highlight w:val="none"/>
              </w:rPr>
            </w:pPr>
            <w:r>
              <w:rPr>
                <w:rFonts w:hint="eastAsia" w:ascii="宋体" w:hAnsi="宋体"/>
                <w:sz w:val="24"/>
                <w:szCs w:val="24"/>
                <w:highlight w:val="none"/>
              </w:rPr>
              <w:t>合计金额（大写）：</w:t>
            </w:r>
          </w:p>
        </w:tc>
        <w:tc>
          <w:tcPr>
            <w:tcW w:w="7122" w:type="dxa"/>
            <w:gridSpan w:val="6"/>
            <w:vAlign w:val="center"/>
          </w:tcPr>
          <w:p w14:paraId="5CBFA860">
            <w:pPr>
              <w:spacing w:line="440" w:lineRule="exact"/>
              <w:rPr>
                <w:rFonts w:hint="eastAsia" w:ascii="宋体" w:hAnsi="宋体"/>
                <w:sz w:val="24"/>
                <w:szCs w:val="24"/>
                <w:highlight w:val="none"/>
              </w:rPr>
            </w:pPr>
          </w:p>
        </w:tc>
      </w:tr>
      <w:tr w14:paraId="5B74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2B4F316F">
            <w:pPr>
              <w:spacing w:line="440" w:lineRule="exact"/>
              <w:rPr>
                <w:rFonts w:hint="eastAsia" w:ascii="宋体" w:hAnsi="宋体"/>
                <w:sz w:val="24"/>
                <w:szCs w:val="24"/>
                <w:highlight w:val="none"/>
              </w:rPr>
            </w:pPr>
            <w:r>
              <w:rPr>
                <w:rFonts w:hint="eastAsia" w:ascii="宋体" w:hAnsi="宋体"/>
                <w:sz w:val="24"/>
                <w:szCs w:val="24"/>
                <w:highlight w:val="none"/>
              </w:rPr>
              <w:t>质保年限</w:t>
            </w:r>
          </w:p>
        </w:tc>
        <w:tc>
          <w:tcPr>
            <w:tcW w:w="7122" w:type="dxa"/>
            <w:gridSpan w:val="6"/>
            <w:vAlign w:val="center"/>
          </w:tcPr>
          <w:p w14:paraId="182841E6">
            <w:pPr>
              <w:spacing w:line="440" w:lineRule="exact"/>
              <w:rPr>
                <w:rFonts w:hint="eastAsia" w:ascii="宋体" w:hAnsi="宋体"/>
                <w:sz w:val="24"/>
                <w:szCs w:val="24"/>
                <w:highlight w:val="none"/>
              </w:rPr>
            </w:pPr>
          </w:p>
        </w:tc>
      </w:tr>
    </w:tbl>
    <w:p w14:paraId="2B21E175">
      <w:pPr>
        <w:spacing w:line="460" w:lineRule="atLeast"/>
        <w:rPr>
          <w:rFonts w:hint="eastAsia" w:ascii="宋体" w:hAnsi="宋体"/>
          <w:sz w:val="24"/>
          <w:szCs w:val="24"/>
          <w:highlight w:val="none"/>
        </w:rPr>
      </w:pPr>
    </w:p>
    <w:p w14:paraId="4DD315C0">
      <w:pPr>
        <w:spacing w:line="460" w:lineRule="atLeas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35F65532">
      <w:pPr>
        <w:spacing w:line="460" w:lineRule="atLeast"/>
        <w:rPr>
          <w:rFonts w:hint="eastAsia" w:ascii="宋体" w:hAnsi="宋体"/>
          <w:sz w:val="24"/>
          <w:szCs w:val="24"/>
          <w:highlight w:val="none"/>
        </w:rPr>
      </w:pPr>
      <w:r>
        <w:rPr>
          <w:rFonts w:hint="eastAsia" w:ascii="宋体" w:hAnsi="宋体"/>
          <w:sz w:val="24"/>
          <w:szCs w:val="24"/>
          <w:highlight w:val="none"/>
        </w:rPr>
        <w:t>日期：</w:t>
      </w:r>
    </w:p>
    <w:p w14:paraId="462F2EF6">
      <w:pPr>
        <w:pStyle w:val="91"/>
        <w:keepNext w:val="0"/>
        <w:keepLines w:val="0"/>
        <w:adjustRightInd/>
        <w:spacing w:before="0" w:line="440" w:lineRule="exact"/>
        <w:textAlignment w:val="auto"/>
        <w:outlineLvl w:val="9"/>
        <w:rPr>
          <w:rFonts w:hint="eastAsia"/>
          <w:sz w:val="24"/>
          <w:szCs w:val="24"/>
          <w:highlight w:val="none"/>
        </w:rPr>
      </w:pPr>
    </w:p>
    <w:p w14:paraId="1B297E5E">
      <w:pPr>
        <w:spacing w:line="440" w:lineRule="exact"/>
        <w:rPr>
          <w:rFonts w:hint="eastAsia" w:ascii="宋体" w:hAnsi="宋体"/>
          <w:sz w:val="24"/>
          <w:szCs w:val="24"/>
          <w:highlight w:val="none"/>
        </w:rPr>
      </w:pPr>
      <w:r>
        <w:rPr>
          <w:rFonts w:hint="eastAsia" w:ascii="宋体" w:hAnsi="宋体"/>
          <w:sz w:val="24"/>
          <w:szCs w:val="24"/>
          <w:highlight w:val="none"/>
        </w:rPr>
        <w:t>注：</w:t>
      </w:r>
      <w:r>
        <w:rPr>
          <w:rFonts w:ascii="宋体" w:hAnsi="宋体"/>
          <w:sz w:val="24"/>
          <w:szCs w:val="24"/>
          <w:highlight w:val="none"/>
        </w:rPr>
        <w:t>1</w:t>
      </w:r>
      <w:r>
        <w:rPr>
          <w:rFonts w:hint="eastAsia" w:ascii="宋体" w:hAnsi="宋体"/>
          <w:sz w:val="24"/>
          <w:szCs w:val="24"/>
          <w:highlight w:val="none"/>
        </w:rPr>
        <w:t>、合计金额应为各分项价格之和。</w:t>
      </w:r>
    </w:p>
    <w:p w14:paraId="21E19E50">
      <w:pPr>
        <w:spacing w:line="440" w:lineRule="exact"/>
        <w:ind w:firstLine="480" w:firstLineChars="200"/>
        <w:rPr>
          <w:rFonts w:hint="eastAsia"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、上述报价包含一切由供方承担的费用。</w:t>
      </w:r>
    </w:p>
    <w:p w14:paraId="67832572">
      <w:pPr>
        <w:spacing w:line="440" w:lineRule="exact"/>
        <w:ind w:firstLine="470" w:firstLineChars="196"/>
        <w:rPr>
          <w:rFonts w:hint="eastAsia" w:ascii="宋体" w:hAnsi="宋体"/>
          <w:sz w:val="24"/>
          <w:szCs w:val="24"/>
          <w:highlight w:val="none"/>
        </w:rPr>
      </w:pPr>
      <w:r>
        <w:rPr>
          <w:rFonts w:hint="eastAsia" w:ascii="宋体" w:hAnsi="宋体"/>
          <w:sz w:val="24"/>
          <w:szCs w:val="24"/>
          <w:highlight w:val="none"/>
        </w:rPr>
        <w:t>3、请各投标人根据投标方案，在本表中详细写明所有产品型号规格、主要技术参数、数量、综合单价、总价及品牌和产地。</w:t>
      </w:r>
    </w:p>
    <w:p w14:paraId="2D408412">
      <w:pPr>
        <w:spacing w:line="360" w:lineRule="auto"/>
        <w:ind w:firstLine="470" w:firstLineChars="196"/>
        <w:rPr>
          <w:rFonts w:hint="eastAsia" w:ascii="宋体" w:hAnsi="宋体"/>
          <w:b/>
          <w:sz w:val="24"/>
          <w:szCs w:val="24"/>
          <w:highlight w:val="none"/>
        </w:rPr>
      </w:pPr>
      <w:r>
        <w:rPr>
          <w:rFonts w:hint="eastAsia" w:ascii="宋体" w:hAnsi="宋体"/>
          <w:sz w:val="24"/>
          <w:szCs w:val="24"/>
          <w:highlight w:val="none"/>
        </w:rPr>
        <w:t>4、综合单价必须包括货物、安装、调试、技术支持、运输、保险、售后服务、培训及其它必需服务的报价。</w:t>
      </w:r>
    </w:p>
    <w:p w14:paraId="1F177178">
      <w:pPr>
        <w:pStyle w:val="117"/>
        <w:spacing w:after="0"/>
        <w:ind w:left="0" w:leftChars="0" w:firstLine="2" w:firstLineChars="1"/>
        <w:jc w:val="center"/>
        <w:outlineLvl w:val="1"/>
        <w:rPr>
          <w:rFonts w:hint="eastAsia" w:ascii="宋体" w:hAnsi="宋体"/>
          <w:b/>
          <w:sz w:val="28"/>
          <w:szCs w:val="28"/>
          <w:highlight w:val="none"/>
        </w:rPr>
      </w:pPr>
      <w:r>
        <w:rPr>
          <w:rFonts w:hint="eastAsia"/>
          <w:highlight w:val="none"/>
        </w:rPr>
        <w:br w:type="page"/>
      </w:r>
      <w:r>
        <w:rPr>
          <w:rFonts w:hint="eastAsia"/>
          <w:highlight w:val="none"/>
        </w:rPr>
        <w:t>七</w:t>
      </w:r>
      <w:r>
        <w:rPr>
          <w:rFonts w:hint="eastAsia" w:ascii="宋体" w:hAnsi="宋体"/>
          <w:b/>
          <w:sz w:val="28"/>
          <w:szCs w:val="28"/>
          <w:highlight w:val="none"/>
        </w:rPr>
        <w:t>、商务条款偏离表附件2-4</w:t>
      </w:r>
    </w:p>
    <w:p w14:paraId="6168D4A5">
      <w:pPr>
        <w:spacing w:line="440" w:lineRule="exact"/>
        <w:ind w:firstLine="120" w:firstLineChars="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0DB2A5CC">
      <w:pPr>
        <w:spacing w:line="440" w:lineRule="exact"/>
        <w:ind w:firstLine="120" w:firstLineChars="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56E0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198F2D26">
            <w:pPr>
              <w:spacing w:line="440" w:lineRule="exact"/>
              <w:rPr>
                <w:rFonts w:hint="eastAsia" w:ascii="宋体" w:hAnsi="宋体"/>
                <w:sz w:val="24"/>
                <w:szCs w:val="24"/>
                <w:highlight w:val="none"/>
              </w:rPr>
            </w:pPr>
            <w:r>
              <w:rPr>
                <w:rFonts w:hint="eastAsia" w:ascii="宋体" w:hAnsi="宋体"/>
                <w:sz w:val="24"/>
                <w:szCs w:val="24"/>
                <w:highlight w:val="none"/>
              </w:rPr>
              <w:t>序号</w:t>
            </w:r>
          </w:p>
        </w:tc>
        <w:tc>
          <w:tcPr>
            <w:tcW w:w="1602" w:type="dxa"/>
            <w:vAlign w:val="center"/>
          </w:tcPr>
          <w:p w14:paraId="24C3BA76">
            <w:pPr>
              <w:spacing w:line="440" w:lineRule="exact"/>
              <w:rPr>
                <w:rFonts w:hint="eastAsia" w:ascii="宋体" w:hAnsi="宋体"/>
                <w:sz w:val="24"/>
                <w:szCs w:val="24"/>
                <w:highlight w:val="none"/>
              </w:rPr>
            </w:pPr>
            <w:r>
              <w:rPr>
                <w:rFonts w:hint="eastAsia" w:ascii="宋体" w:hAnsi="宋体"/>
                <w:sz w:val="24"/>
                <w:szCs w:val="24"/>
                <w:highlight w:val="none"/>
              </w:rPr>
              <w:t>招标文件</w:t>
            </w:r>
          </w:p>
          <w:p w14:paraId="03D5086D">
            <w:pPr>
              <w:spacing w:line="440" w:lineRule="exact"/>
              <w:rPr>
                <w:rFonts w:hint="eastAsia" w:ascii="宋体" w:hAnsi="宋体"/>
                <w:sz w:val="24"/>
                <w:szCs w:val="24"/>
                <w:highlight w:val="none"/>
              </w:rPr>
            </w:pPr>
            <w:r>
              <w:rPr>
                <w:rFonts w:hint="eastAsia" w:ascii="宋体" w:hAnsi="宋体"/>
                <w:sz w:val="24"/>
                <w:szCs w:val="24"/>
                <w:highlight w:val="none"/>
              </w:rPr>
              <w:t>条目号</w:t>
            </w:r>
          </w:p>
        </w:tc>
        <w:tc>
          <w:tcPr>
            <w:tcW w:w="2458" w:type="dxa"/>
            <w:vAlign w:val="center"/>
          </w:tcPr>
          <w:p w14:paraId="1EB102FC">
            <w:pPr>
              <w:spacing w:line="440" w:lineRule="exact"/>
              <w:rPr>
                <w:rFonts w:hint="eastAsia" w:ascii="宋体" w:hAnsi="宋体"/>
                <w:sz w:val="24"/>
                <w:szCs w:val="24"/>
                <w:highlight w:val="none"/>
              </w:rPr>
            </w:pPr>
            <w:r>
              <w:rPr>
                <w:rFonts w:hint="eastAsia" w:ascii="宋体" w:hAnsi="宋体"/>
                <w:sz w:val="24"/>
                <w:szCs w:val="24"/>
                <w:highlight w:val="none"/>
              </w:rPr>
              <w:t>招标文件的商务条款</w:t>
            </w:r>
          </w:p>
        </w:tc>
        <w:tc>
          <w:tcPr>
            <w:tcW w:w="2885" w:type="dxa"/>
            <w:vAlign w:val="center"/>
          </w:tcPr>
          <w:p w14:paraId="07CC38AB">
            <w:pPr>
              <w:spacing w:line="440" w:lineRule="exact"/>
              <w:rPr>
                <w:rFonts w:hint="eastAsia" w:ascii="宋体" w:hAnsi="宋体"/>
                <w:sz w:val="24"/>
                <w:szCs w:val="24"/>
                <w:highlight w:val="none"/>
              </w:rPr>
            </w:pPr>
            <w:r>
              <w:rPr>
                <w:rFonts w:hint="eastAsia" w:ascii="宋体" w:hAnsi="宋体"/>
                <w:sz w:val="24"/>
                <w:szCs w:val="24"/>
                <w:highlight w:val="none"/>
              </w:rPr>
              <w:t>投标文件的商务条款</w:t>
            </w:r>
          </w:p>
        </w:tc>
        <w:tc>
          <w:tcPr>
            <w:tcW w:w="2018" w:type="dxa"/>
            <w:vAlign w:val="center"/>
          </w:tcPr>
          <w:p w14:paraId="40A6B7A9">
            <w:pPr>
              <w:spacing w:line="440" w:lineRule="exact"/>
              <w:rPr>
                <w:rFonts w:hint="eastAsia" w:ascii="宋体" w:hAnsi="宋体"/>
                <w:sz w:val="24"/>
                <w:szCs w:val="24"/>
                <w:highlight w:val="none"/>
              </w:rPr>
            </w:pPr>
            <w:r>
              <w:rPr>
                <w:rFonts w:hint="eastAsia" w:ascii="宋体" w:hAnsi="宋体"/>
                <w:sz w:val="24"/>
                <w:szCs w:val="24"/>
                <w:highlight w:val="none"/>
              </w:rPr>
              <w:t>说明</w:t>
            </w:r>
          </w:p>
        </w:tc>
      </w:tr>
      <w:tr w14:paraId="18EC3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3D0D567">
            <w:pPr>
              <w:jc w:val="center"/>
              <w:rPr>
                <w:rFonts w:hint="eastAsia" w:ascii="宋体" w:hAnsi="宋体"/>
                <w:sz w:val="24"/>
                <w:szCs w:val="24"/>
                <w:highlight w:val="none"/>
              </w:rPr>
            </w:pPr>
            <w:r>
              <w:rPr>
                <w:rFonts w:hint="eastAsia" w:ascii="宋体" w:hAnsi="宋体"/>
                <w:sz w:val="24"/>
                <w:szCs w:val="24"/>
                <w:highlight w:val="none"/>
              </w:rPr>
              <w:t>1</w:t>
            </w:r>
          </w:p>
        </w:tc>
        <w:tc>
          <w:tcPr>
            <w:tcW w:w="1602" w:type="dxa"/>
          </w:tcPr>
          <w:p w14:paraId="7D978E3B">
            <w:pPr>
              <w:spacing w:line="440" w:lineRule="exact"/>
              <w:jc w:val="center"/>
              <w:rPr>
                <w:rFonts w:hint="eastAsia" w:ascii="宋体" w:hAnsi="宋体"/>
                <w:sz w:val="24"/>
                <w:szCs w:val="24"/>
                <w:highlight w:val="none"/>
              </w:rPr>
            </w:pPr>
          </w:p>
        </w:tc>
        <w:tc>
          <w:tcPr>
            <w:tcW w:w="2458" w:type="dxa"/>
          </w:tcPr>
          <w:p w14:paraId="3A386804">
            <w:pPr>
              <w:spacing w:line="440" w:lineRule="exact"/>
              <w:rPr>
                <w:rFonts w:hint="eastAsia" w:ascii="宋体" w:hAnsi="宋体"/>
                <w:sz w:val="24"/>
                <w:szCs w:val="24"/>
                <w:highlight w:val="none"/>
              </w:rPr>
            </w:pPr>
          </w:p>
        </w:tc>
        <w:tc>
          <w:tcPr>
            <w:tcW w:w="2885" w:type="dxa"/>
          </w:tcPr>
          <w:p w14:paraId="20FB4197">
            <w:pPr>
              <w:spacing w:line="440" w:lineRule="exact"/>
              <w:rPr>
                <w:rFonts w:hint="eastAsia" w:ascii="宋体" w:hAnsi="宋体"/>
                <w:sz w:val="24"/>
                <w:szCs w:val="24"/>
                <w:highlight w:val="none"/>
              </w:rPr>
            </w:pPr>
          </w:p>
        </w:tc>
        <w:tc>
          <w:tcPr>
            <w:tcW w:w="2018" w:type="dxa"/>
          </w:tcPr>
          <w:p w14:paraId="620FF30E">
            <w:pPr>
              <w:spacing w:line="440" w:lineRule="exact"/>
              <w:rPr>
                <w:rFonts w:hint="eastAsia" w:ascii="宋体" w:hAnsi="宋体"/>
                <w:sz w:val="24"/>
                <w:szCs w:val="24"/>
                <w:highlight w:val="none"/>
              </w:rPr>
            </w:pPr>
          </w:p>
        </w:tc>
      </w:tr>
      <w:tr w14:paraId="56A3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39434D19">
            <w:pPr>
              <w:jc w:val="center"/>
              <w:rPr>
                <w:rFonts w:hint="eastAsia" w:ascii="宋体" w:hAnsi="宋体"/>
                <w:sz w:val="24"/>
                <w:szCs w:val="24"/>
                <w:highlight w:val="none"/>
              </w:rPr>
            </w:pPr>
            <w:r>
              <w:rPr>
                <w:rFonts w:hint="eastAsia" w:ascii="宋体" w:hAnsi="宋体"/>
                <w:sz w:val="24"/>
                <w:szCs w:val="24"/>
                <w:highlight w:val="none"/>
              </w:rPr>
              <w:t>2</w:t>
            </w:r>
          </w:p>
        </w:tc>
        <w:tc>
          <w:tcPr>
            <w:tcW w:w="1602" w:type="dxa"/>
          </w:tcPr>
          <w:p w14:paraId="65F18EEC">
            <w:pPr>
              <w:spacing w:line="440" w:lineRule="exact"/>
              <w:rPr>
                <w:rFonts w:hint="eastAsia" w:ascii="宋体" w:hAnsi="宋体"/>
                <w:sz w:val="24"/>
                <w:szCs w:val="24"/>
                <w:highlight w:val="none"/>
              </w:rPr>
            </w:pPr>
          </w:p>
        </w:tc>
        <w:tc>
          <w:tcPr>
            <w:tcW w:w="2458" w:type="dxa"/>
          </w:tcPr>
          <w:p w14:paraId="7F04E193">
            <w:pPr>
              <w:spacing w:line="440" w:lineRule="exact"/>
              <w:rPr>
                <w:rFonts w:hint="eastAsia" w:ascii="宋体" w:hAnsi="宋体"/>
                <w:sz w:val="24"/>
                <w:szCs w:val="24"/>
                <w:highlight w:val="none"/>
              </w:rPr>
            </w:pPr>
          </w:p>
        </w:tc>
        <w:tc>
          <w:tcPr>
            <w:tcW w:w="2885" w:type="dxa"/>
          </w:tcPr>
          <w:p w14:paraId="794ECF8A">
            <w:pPr>
              <w:spacing w:line="440" w:lineRule="exact"/>
              <w:rPr>
                <w:rFonts w:hint="eastAsia" w:ascii="宋体" w:hAnsi="宋体"/>
                <w:sz w:val="24"/>
                <w:szCs w:val="24"/>
                <w:highlight w:val="none"/>
              </w:rPr>
            </w:pPr>
          </w:p>
        </w:tc>
        <w:tc>
          <w:tcPr>
            <w:tcW w:w="2018" w:type="dxa"/>
          </w:tcPr>
          <w:p w14:paraId="5F7CED2C">
            <w:pPr>
              <w:spacing w:line="440" w:lineRule="exact"/>
              <w:rPr>
                <w:rFonts w:hint="eastAsia" w:ascii="宋体" w:hAnsi="宋体"/>
                <w:sz w:val="24"/>
                <w:szCs w:val="24"/>
                <w:highlight w:val="none"/>
              </w:rPr>
            </w:pPr>
          </w:p>
        </w:tc>
      </w:tr>
      <w:tr w14:paraId="5506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5DE031FE">
            <w:pPr>
              <w:jc w:val="center"/>
              <w:rPr>
                <w:rFonts w:hint="eastAsia" w:ascii="宋体" w:hAnsi="宋体"/>
                <w:sz w:val="24"/>
                <w:szCs w:val="24"/>
                <w:highlight w:val="none"/>
              </w:rPr>
            </w:pPr>
            <w:r>
              <w:rPr>
                <w:rFonts w:hint="eastAsia" w:ascii="宋体" w:hAnsi="宋体"/>
                <w:sz w:val="24"/>
                <w:szCs w:val="24"/>
                <w:highlight w:val="none"/>
              </w:rPr>
              <w:t>3</w:t>
            </w:r>
          </w:p>
        </w:tc>
        <w:tc>
          <w:tcPr>
            <w:tcW w:w="1602" w:type="dxa"/>
          </w:tcPr>
          <w:p w14:paraId="7CEABC34">
            <w:pPr>
              <w:spacing w:line="440" w:lineRule="exact"/>
              <w:rPr>
                <w:rFonts w:hint="eastAsia" w:ascii="宋体" w:hAnsi="宋体"/>
                <w:sz w:val="24"/>
                <w:szCs w:val="24"/>
                <w:highlight w:val="none"/>
              </w:rPr>
            </w:pPr>
          </w:p>
        </w:tc>
        <w:tc>
          <w:tcPr>
            <w:tcW w:w="2458" w:type="dxa"/>
            <w:vAlign w:val="center"/>
          </w:tcPr>
          <w:p w14:paraId="54431C69">
            <w:pPr>
              <w:spacing w:line="440" w:lineRule="exact"/>
              <w:rPr>
                <w:rFonts w:hint="eastAsia" w:ascii="宋体" w:hAnsi="宋体"/>
                <w:sz w:val="24"/>
                <w:szCs w:val="24"/>
                <w:highlight w:val="none"/>
              </w:rPr>
            </w:pPr>
          </w:p>
        </w:tc>
        <w:tc>
          <w:tcPr>
            <w:tcW w:w="2885" w:type="dxa"/>
          </w:tcPr>
          <w:p w14:paraId="2DA5DC5C">
            <w:pPr>
              <w:spacing w:line="440" w:lineRule="exact"/>
              <w:rPr>
                <w:rFonts w:hint="eastAsia" w:ascii="宋体" w:hAnsi="宋体"/>
                <w:sz w:val="24"/>
                <w:szCs w:val="24"/>
                <w:highlight w:val="none"/>
              </w:rPr>
            </w:pPr>
          </w:p>
        </w:tc>
        <w:tc>
          <w:tcPr>
            <w:tcW w:w="2018" w:type="dxa"/>
          </w:tcPr>
          <w:p w14:paraId="4F0384B2">
            <w:pPr>
              <w:spacing w:line="440" w:lineRule="exact"/>
              <w:rPr>
                <w:rFonts w:hint="eastAsia" w:ascii="宋体" w:hAnsi="宋体"/>
                <w:sz w:val="24"/>
                <w:szCs w:val="24"/>
                <w:highlight w:val="none"/>
              </w:rPr>
            </w:pPr>
          </w:p>
        </w:tc>
      </w:tr>
      <w:tr w14:paraId="769A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75992CE5">
            <w:pPr>
              <w:jc w:val="center"/>
              <w:rPr>
                <w:rFonts w:hint="eastAsia" w:ascii="宋体" w:hAnsi="宋体"/>
                <w:sz w:val="24"/>
                <w:szCs w:val="24"/>
                <w:highlight w:val="none"/>
              </w:rPr>
            </w:pPr>
            <w:r>
              <w:rPr>
                <w:rFonts w:hint="eastAsia" w:ascii="宋体" w:hAnsi="宋体"/>
                <w:sz w:val="24"/>
                <w:szCs w:val="24"/>
                <w:highlight w:val="none"/>
              </w:rPr>
              <w:t>4</w:t>
            </w:r>
          </w:p>
        </w:tc>
        <w:tc>
          <w:tcPr>
            <w:tcW w:w="1602" w:type="dxa"/>
          </w:tcPr>
          <w:p w14:paraId="105C3352">
            <w:pPr>
              <w:spacing w:line="440" w:lineRule="exact"/>
              <w:rPr>
                <w:rFonts w:hint="eastAsia" w:ascii="宋体" w:hAnsi="宋体"/>
                <w:sz w:val="24"/>
                <w:szCs w:val="24"/>
                <w:highlight w:val="none"/>
              </w:rPr>
            </w:pPr>
          </w:p>
        </w:tc>
        <w:tc>
          <w:tcPr>
            <w:tcW w:w="2458" w:type="dxa"/>
            <w:vAlign w:val="center"/>
          </w:tcPr>
          <w:p w14:paraId="3C299A72">
            <w:pPr>
              <w:pStyle w:val="80"/>
              <w:spacing w:line="440" w:lineRule="exact"/>
              <w:rPr>
                <w:rFonts w:hint="eastAsia" w:cs="Times New Roman"/>
                <w:kern w:val="2"/>
                <w:highlight w:val="none"/>
              </w:rPr>
            </w:pPr>
          </w:p>
        </w:tc>
        <w:tc>
          <w:tcPr>
            <w:tcW w:w="2885" w:type="dxa"/>
          </w:tcPr>
          <w:p w14:paraId="2316D019">
            <w:pPr>
              <w:spacing w:line="440" w:lineRule="exact"/>
              <w:rPr>
                <w:rFonts w:hint="eastAsia" w:ascii="宋体" w:hAnsi="宋体"/>
                <w:sz w:val="24"/>
                <w:szCs w:val="24"/>
                <w:highlight w:val="none"/>
              </w:rPr>
            </w:pPr>
          </w:p>
        </w:tc>
        <w:tc>
          <w:tcPr>
            <w:tcW w:w="2018" w:type="dxa"/>
          </w:tcPr>
          <w:p w14:paraId="3D3A09E7">
            <w:pPr>
              <w:spacing w:line="440" w:lineRule="exact"/>
              <w:rPr>
                <w:rFonts w:hint="eastAsia" w:ascii="宋体" w:hAnsi="宋体"/>
                <w:sz w:val="24"/>
                <w:szCs w:val="24"/>
                <w:highlight w:val="none"/>
              </w:rPr>
            </w:pPr>
          </w:p>
        </w:tc>
      </w:tr>
      <w:tr w14:paraId="142D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6E9AB70">
            <w:pPr>
              <w:jc w:val="center"/>
              <w:rPr>
                <w:rFonts w:hint="eastAsia" w:ascii="宋体" w:hAnsi="宋体"/>
                <w:sz w:val="24"/>
                <w:szCs w:val="24"/>
                <w:highlight w:val="none"/>
              </w:rPr>
            </w:pPr>
            <w:r>
              <w:rPr>
                <w:rFonts w:hint="eastAsia" w:ascii="宋体" w:hAnsi="宋体"/>
                <w:sz w:val="24"/>
                <w:szCs w:val="24"/>
                <w:highlight w:val="none"/>
              </w:rPr>
              <w:t>5</w:t>
            </w:r>
          </w:p>
        </w:tc>
        <w:tc>
          <w:tcPr>
            <w:tcW w:w="1602" w:type="dxa"/>
          </w:tcPr>
          <w:p w14:paraId="6D62B456">
            <w:pPr>
              <w:spacing w:line="440" w:lineRule="exact"/>
              <w:rPr>
                <w:rFonts w:hint="eastAsia" w:ascii="宋体" w:hAnsi="宋体"/>
                <w:sz w:val="24"/>
                <w:szCs w:val="24"/>
                <w:highlight w:val="none"/>
              </w:rPr>
            </w:pPr>
          </w:p>
        </w:tc>
        <w:tc>
          <w:tcPr>
            <w:tcW w:w="2458" w:type="dxa"/>
          </w:tcPr>
          <w:p w14:paraId="7EAD4079">
            <w:pPr>
              <w:spacing w:line="440" w:lineRule="exact"/>
              <w:rPr>
                <w:rFonts w:hint="eastAsia" w:ascii="宋体" w:hAnsi="宋体"/>
                <w:sz w:val="24"/>
                <w:szCs w:val="24"/>
                <w:highlight w:val="none"/>
              </w:rPr>
            </w:pPr>
          </w:p>
        </w:tc>
        <w:tc>
          <w:tcPr>
            <w:tcW w:w="2885" w:type="dxa"/>
          </w:tcPr>
          <w:p w14:paraId="578F5E43">
            <w:pPr>
              <w:spacing w:line="440" w:lineRule="exact"/>
              <w:rPr>
                <w:rFonts w:hint="eastAsia" w:ascii="宋体" w:hAnsi="宋体"/>
                <w:sz w:val="24"/>
                <w:szCs w:val="24"/>
                <w:highlight w:val="none"/>
              </w:rPr>
            </w:pPr>
          </w:p>
        </w:tc>
        <w:tc>
          <w:tcPr>
            <w:tcW w:w="2018" w:type="dxa"/>
          </w:tcPr>
          <w:p w14:paraId="3220175E">
            <w:pPr>
              <w:spacing w:line="440" w:lineRule="exact"/>
              <w:rPr>
                <w:rFonts w:hint="eastAsia" w:ascii="宋体" w:hAnsi="宋体"/>
                <w:sz w:val="24"/>
                <w:szCs w:val="24"/>
                <w:highlight w:val="none"/>
              </w:rPr>
            </w:pPr>
          </w:p>
        </w:tc>
      </w:tr>
      <w:tr w14:paraId="697C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73B4DC0">
            <w:pPr>
              <w:jc w:val="center"/>
              <w:rPr>
                <w:rFonts w:hint="eastAsia" w:ascii="宋体" w:hAnsi="宋体"/>
                <w:sz w:val="24"/>
                <w:szCs w:val="24"/>
                <w:highlight w:val="none"/>
              </w:rPr>
            </w:pPr>
            <w:r>
              <w:rPr>
                <w:rFonts w:hint="eastAsia" w:ascii="宋体" w:hAnsi="宋体"/>
                <w:sz w:val="24"/>
                <w:szCs w:val="24"/>
                <w:highlight w:val="none"/>
              </w:rPr>
              <w:t>6</w:t>
            </w:r>
          </w:p>
        </w:tc>
        <w:tc>
          <w:tcPr>
            <w:tcW w:w="1602" w:type="dxa"/>
          </w:tcPr>
          <w:p w14:paraId="29228230">
            <w:pPr>
              <w:spacing w:line="440" w:lineRule="exact"/>
              <w:rPr>
                <w:rFonts w:hint="eastAsia" w:ascii="宋体" w:hAnsi="宋体"/>
                <w:sz w:val="24"/>
                <w:szCs w:val="24"/>
                <w:highlight w:val="none"/>
              </w:rPr>
            </w:pPr>
          </w:p>
        </w:tc>
        <w:tc>
          <w:tcPr>
            <w:tcW w:w="2458" w:type="dxa"/>
          </w:tcPr>
          <w:p w14:paraId="2BE93133">
            <w:pPr>
              <w:snapToGrid w:val="0"/>
              <w:spacing w:line="440" w:lineRule="exact"/>
              <w:ind w:firstLine="480" w:firstLineChars="200"/>
              <w:rPr>
                <w:rFonts w:hint="eastAsia" w:ascii="宋体" w:hAnsi="宋体"/>
                <w:sz w:val="24"/>
                <w:szCs w:val="24"/>
                <w:highlight w:val="none"/>
              </w:rPr>
            </w:pPr>
          </w:p>
        </w:tc>
        <w:tc>
          <w:tcPr>
            <w:tcW w:w="2885" w:type="dxa"/>
          </w:tcPr>
          <w:p w14:paraId="2C112920">
            <w:pPr>
              <w:spacing w:line="440" w:lineRule="exact"/>
              <w:rPr>
                <w:rFonts w:hint="eastAsia" w:ascii="宋体" w:hAnsi="宋体"/>
                <w:sz w:val="24"/>
                <w:szCs w:val="24"/>
                <w:highlight w:val="none"/>
              </w:rPr>
            </w:pPr>
          </w:p>
        </w:tc>
        <w:tc>
          <w:tcPr>
            <w:tcW w:w="2018" w:type="dxa"/>
          </w:tcPr>
          <w:p w14:paraId="296381ED">
            <w:pPr>
              <w:spacing w:line="440" w:lineRule="exact"/>
              <w:rPr>
                <w:rFonts w:hint="eastAsia" w:ascii="宋体" w:hAnsi="宋体"/>
                <w:sz w:val="24"/>
                <w:szCs w:val="24"/>
                <w:highlight w:val="none"/>
              </w:rPr>
            </w:pPr>
          </w:p>
        </w:tc>
      </w:tr>
      <w:tr w14:paraId="545A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58A3F7C5">
            <w:pPr>
              <w:jc w:val="center"/>
              <w:rPr>
                <w:rFonts w:hint="eastAsia" w:ascii="宋体" w:hAnsi="宋体"/>
                <w:sz w:val="24"/>
                <w:szCs w:val="24"/>
                <w:highlight w:val="none"/>
              </w:rPr>
            </w:pPr>
            <w:r>
              <w:rPr>
                <w:rFonts w:hint="eastAsia" w:ascii="宋体" w:hAnsi="宋体"/>
                <w:sz w:val="24"/>
                <w:szCs w:val="24"/>
                <w:highlight w:val="none"/>
              </w:rPr>
              <w:t>7</w:t>
            </w:r>
          </w:p>
        </w:tc>
        <w:tc>
          <w:tcPr>
            <w:tcW w:w="1602" w:type="dxa"/>
          </w:tcPr>
          <w:p w14:paraId="256530D0">
            <w:pPr>
              <w:spacing w:line="440" w:lineRule="exact"/>
              <w:rPr>
                <w:rFonts w:hint="eastAsia" w:ascii="宋体" w:hAnsi="宋体"/>
                <w:sz w:val="24"/>
                <w:szCs w:val="24"/>
                <w:highlight w:val="none"/>
              </w:rPr>
            </w:pPr>
          </w:p>
        </w:tc>
        <w:tc>
          <w:tcPr>
            <w:tcW w:w="2458" w:type="dxa"/>
          </w:tcPr>
          <w:p w14:paraId="360E52C9">
            <w:pPr>
              <w:snapToGrid w:val="0"/>
              <w:spacing w:line="440" w:lineRule="exact"/>
              <w:rPr>
                <w:rFonts w:hint="eastAsia" w:ascii="宋体" w:hAnsi="宋体" w:cs="仿宋"/>
                <w:sz w:val="24"/>
                <w:szCs w:val="24"/>
                <w:highlight w:val="none"/>
              </w:rPr>
            </w:pPr>
          </w:p>
        </w:tc>
        <w:tc>
          <w:tcPr>
            <w:tcW w:w="2885" w:type="dxa"/>
          </w:tcPr>
          <w:p w14:paraId="5E8ABDD6">
            <w:pPr>
              <w:spacing w:line="440" w:lineRule="exact"/>
              <w:rPr>
                <w:rFonts w:hint="eastAsia" w:ascii="宋体" w:hAnsi="宋体"/>
                <w:sz w:val="24"/>
                <w:szCs w:val="24"/>
                <w:highlight w:val="none"/>
              </w:rPr>
            </w:pPr>
          </w:p>
        </w:tc>
        <w:tc>
          <w:tcPr>
            <w:tcW w:w="2018" w:type="dxa"/>
          </w:tcPr>
          <w:p w14:paraId="0BA1AC43">
            <w:pPr>
              <w:spacing w:line="440" w:lineRule="exact"/>
              <w:rPr>
                <w:rFonts w:hint="eastAsia" w:ascii="宋体" w:hAnsi="宋体"/>
                <w:sz w:val="24"/>
                <w:szCs w:val="24"/>
                <w:highlight w:val="none"/>
              </w:rPr>
            </w:pPr>
          </w:p>
        </w:tc>
      </w:tr>
      <w:tr w14:paraId="79E4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579EC50">
            <w:pPr>
              <w:jc w:val="center"/>
              <w:rPr>
                <w:rFonts w:hint="eastAsia" w:ascii="宋体" w:hAnsi="宋体"/>
                <w:sz w:val="24"/>
                <w:szCs w:val="24"/>
                <w:highlight w:val="none"/>
              </w:rPr>
            </w:pPr>
            <w:r>
              <w:rPr>
                <w:rFonts w:ascii="宋体" w:hAnsi="宋体"/>
                <w:sz w:val="24"/>
                <w:szCs w:val="24"/>
                <w:highlight w:val="none"/>
              </w:rPr>
              <w:t>…</w:t>
            </w:r>
          </w:p>
        </w:tc>
        <w:tc>
          <w:tcPr>
            <w:tcW w:w="1602" w:type="dxa"/>
          </w:tcPr>
          <w:p w14:paraId="516B8A95">
            <w:pPr>
              <w:spacing w:line="440" w:lineRule="exact"/>
              <w:rPr>
                <w:rFonts w:hint="eastAsia" w:ascii="宋体" w:hAnsi="宋体"/>
                <w:sz w:val="24"/>
                <w:szCs w:val="24"/>
                <w:highlight w:val="none"/>
              </w:rPr>
            </w:pPr>
          </w:p>
        </w:tc>
        <w:tc>
          <w:tcPr>
            <w:tcW w:w="2458" w:type="dxa"/>
          </w:tcPr>
          <w:p w14:paraId="25B067F2">
            <w:pPr>
              <w:spacing w:line="440" w:lineRule="exact"/>
              <w:rPr>
                <w:rFonts w:hint="eastAsia" w:ascii="宋体" w:hAnsi="宋体"/>
                <w:sz w:val="24"/>
                <w:szCs w:val="24"/>
                <w:highlight w:val="none"/>
              </w:rPr>
            </w:pPr>
          </w:p>
        </w:tc>
        <w:tc>
          <w:tcPr>
            <w:tcW w:w="2885" w:type="dxa"/>
          </w:tcPr>
          <w:p w14:paraId="7B908561">
            <w:pPr>
              <w:spacing w:line="440" w:lineRule="exact"/>
              <w:rPr>
                <w:rFonts w:hint="eastAsia" w:ascii="宋体" w:hAnsi="宋体"/>
                <w:sz w:val="24"/>
                <w:szCs w:val="24"/>
                <w:highlight w:val="none"/>
              </w:rPr>
            </w:pPr>
          </w:p>
        </w:tc>
        <w:tc>
          <w:tcPr>
            <w:tcW w:w="2018" w:type="dxa"/>
          </w:tcPr>
          <w:p w14:paraId="7259CB9A">
            <w:pPr>
              <w:spacing w:line="440" w:lineRule="exact"/>
              <w:rPr>
                <w:rFonts w:hint="eastAsia" w:ascii="宋体" w:hAnsi="宋体"/>
                <w:sz w:val="24"/>
                <w:szCs w:val="24"/>
                <w:highlight w:val="none"/>
              </w:rPr>
            </w:pPr>
          </w:p>
        </w:tc>
      </w:tr>
    </w:tbl>
    <w:p w14:paraId="59827631">
      <w:pPr>
        <w:spacing w:line="440" w:lineRule="exac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7CFD097E">
      <w:pPr>
        <w:spacing w:line="440" w:lineRule="exact"/>
        <w:rPr>
          <w:rFonts w:hint="eastAsia" w:ascii="宋体" w:hAnsi="宋体"/>
          <w:sz w:val="24"/>
          <w:szCs w:val="24"/>
          <w:highlight w:val="none"/>
        </w:rPr>
      </w:pPr>
      <w:r>
        <w:rPr>
          <w:rFonts w:hint="eastAsia" w:ascii="宋体" w:hAnsi="宋体"/>
          <w:sz w:val="24"/>
          <w:szCs w:val="24"/>
          <w:highlight w:val="none"/>
        </w:rPr>
        <w:t>日期：</w:t>
      </w:r>
      <w:r>
        <w:rPr>
          <w:rFonts w:ascii="宋体" w:hAnsi="宋体"/>
          <w:sz w:val="24"/>
          <w:szCs w:val="24"/>
          <w:highlight w:val="none"/>
        </w:rPr>
        <w:t>20</w:t>
      </w:r>
      <w:r>
        <w:rPr>
          <w:rFonts w:hint="eastAsia" w:ascii="宋体" w:hAnsi="宋体"/>
          <w:sz w:val="24"/>
          <w:szCs w:val="24"/>
          <w:highlight w:val="none"/>
        </w:rPr>
        <w:t>年</w:t>
      </w:r>
      <w:r>
        <w:rPr>
          <w:rFonts w:hint="eastAsia" w:ascii="宋体" w:hAnsi="宋体"/>
          <w:sz w:val="24"/>
          <w:szCs w:val="24"/>
          <w:highlight w:val="none"/>
          <w:u w:val="single"/>
        </w:rPr>
        <w:t>　</w:t>
      </w:r>
      <w:r>
        <w:rPr>
          <w:rFonts w:hint="eastAsia" w:ascii="宋体" w:hAnsi="宋体"/>
          <w:sz w:val="24"/>
          <w:szCs w:val="24"/>
          <w:highlight w:val="none"/>
        </w:rPr>
        <w:t>月</w:t>
      </w:r>
      <w:r>
        <w:rPr>
          <w:rFonts w:hint="eastAsia" w:ascii="宋体" w:hAnsi="宋体"/>
          <w:sz w:val="24"/>
          <w:szCs w:val="24"/>
          <w:highlight w:val="none"/>
          <w:u w:val="single"/>
        </w:rPr>
        <w:t>　</w:t>
      </w:r>
      <w:r>
        <w:rPr>
          <w:rFonts w:hint="eastAsia" w:ascii="宋体" w:hAnsi="宋体"/>
          <w:sz w:val="24"/>
          <w:szCs w:val="24"/>
          <w:highlight w:val="none"/>
        </w:rPr>
        <w:t>日　</w:t>
      </w:r>
    </w:p>
    <w:p w14:paraId="126222DC">
      <w:pPr>
        <w:pStyle w:val="117"/>
        <w:spacing w:after="0"/>
        <w:ind w:left="0" w:leftChars="0" w:firstLine="0" w:firstLineChars="0"/>
        <w:jc w:val="center"/>
        <w:outlineLvl w:val="1"/>
        <w:rPr>
          <w:rFonts w:hint="eastAsia" w:ascii="宋体" w:hAnsi="宋体"/>
          <w:b/>
          <w:sz w:val="28"/>
          <w:szCs w:val="28"/>
          <w:highlight w:val="none"/>
        </w:rPr>
      </w:pPr>
      <w:r>
        <w:rPr>
          <w:highlight w:val="none"/>
        </w:rPr>
        <w:br w:type="page"/>
      </w:r>
      <w:r>
        <w:rPr>
          <w:rFonts w:hint="eastAsia"/>
          <w:highlight w:val="none"/>
        </w:rPr>
        <w:t>八</w:t>
      </w:r>
      <w:r>
        <w:rPr>
          <w:rFonts w:hint="eastAsia" w:ascii="宋体" w:hAnsi="宋体"/>
          <w:b/>
          <w:sz w:val="28"/>
          <w:szCs w:val="28"/>
          <w:highlight w:val="none"/>
        </w:rPr>
        <w:t>、产品简要说明一览表附件2-</w:t>
      </w:r>
      <w:r>
        <w:rPr>
          <w:rFonts w:ascii="宋体" w:hAnsi="宋体"/>
          <w:b/>
          <w:sz w:val="28"/>
          <w:szCs w:val="28"/>
          <w:highlight w:val="none"/>
        </w:rPr>
        <w:t>5</w:t>
      </w:r>
    </w:p>
    <w:p w14:paraId="59DFFD9B">
      <w:pPr>
        <w:spacing w:line="440" w:lineRule="exact"/>
        <w:ind w:firstLine="360" w:firstLineChars="1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0110F92E">
      <w:pPr>
        <w:spacing w:line="440" w:lineRule="exact"/>
        <w:ind w:firstLine="360" w:firstLineChars="1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189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03341356">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464" w:type="dxa"/>
            <w:vAlign w:val="center"/>
          </w:tcPr>
          <w:p w14:paraId="7FD67181">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2783" w:type="dxa"/>
            <w:vAlign w:val="center"/>
          </w:tcPr>
          <w:p w14:paraId="60CD4E18">
            <w:pPr>
              <w:spacing w:line="440" w:lineRule="exact"/>
              <w:jc w:val="center"/>
              <w:rPr>
                <w:rFonts w:hint="eastAsia" w:ascii="宋体" w:hAnsi="宋体"/>
                <w:sz w:val="24"/>
                <w:szCs w:val="24"/>
                <w:highlight w:val="none"/>
              </w:rPr>
            </w:pPr>
            <w:r>
              <w:rPr>
                <w:rFonts w:hint="eastAsia" w:ascii="宋体" w:hAnsi="宋体"/>
                <w:sz w:val="24"/>
                <w:szCs w:val="24"/>
                <w:highlight w:val="none"/>
              </w:rPr>
              <w:t>规格型号及主要技术参数</w:t>
            </w:r>
          </w:p>
        </w:tc>
        <w:tc>
          <w:tcPr>
            <w:tcW w:w="3082" w:type="dxa"/>
            <w:vAlign w:val="center"/>
          </w:tcPr>
          <w:p w14:paraId="3F39D359">
            <w:pPr>
              <w:spacing w:line="440" w:lineRule="exact"/>
              <w:jc w:val="center"/>
              <w:rPr>
                <w:rFonts w:hint="eastAsia" w:ascii="宋体" w:hAnsi="宋体"/>
                <w:sz w:val="24"/>
                <w:szCs w:val="24"/>
                <w:highlight w:val="none"/>
              </w:rPr>
            </w:pPr>
            <w:r>
              <w:rPr>
                <w:rFonts w:hint="eastAsia" w:ascii="宋体" w:hAnsi="宋体"/>
                <w:sz w:val="24"/>
                <w:szCs w:val="24"/>
                <w:highlight w:val="none"/>
              </w:rPr>
              <w:t>性能说明</w:t>
            </w:r>
          </w:p>
        </w:tc>
        <w:tc>
          <w:tcPr>
            <w:tcW w:w="1579" w:type="dxa"/>
            <w:vAlign w:val="center"/>
          </w:tcPr>
          <w:p w14:paraId="286DD500">
            <w:pPr>
              <w:spacing w:line="440" w:lineRule="exact"/>
              <w:jc w:val="center"/>
              <w:rPr>
                <w:rFonts w:hint="eastAsia" w:ascii="宋体" w:hAnsi="宋体"/>
                <w:sz w:val="24"/>
                <w:szCs w:val="24"/>
                <w:highlight w:val="none"/>
              </w:rPr>
            </w:pPr>
            <w:r>
              <w:rPr>
                <w:rFonts w:hint="eastAsia" w:ascii="宋体" w:hAnsi="宋体"/>
                <w:sz w:val="24"/>
                <w:szCs w:val="24"/>
                <w:highlight w:val="none"/>
              </w:rPr>
              <w:t>供货厂（商）</w:t>
            </w:r>
          </w:p>
        </w:tc>
      </w:tr>
      <w:tr w14:paraId="0E1FA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13C7FB98">
            <w:pPr>
              <w:spacing w:line="440" w:lineRule="exact"/>
              <w:jc w:val="center"/>
              <w:rPr>
                <w:rFonts w:hint="eastAsia" w:ascii="宋体" w:hAnsi="宋体"/>
                <w:sz w:val="24"/>
                <w:szCs w:val="24"/>
                <w:highlight w:val="none"/>
              </w:rPr>
            </w:pPr>
            <w:r>
              <w:rPr>
                <w:rFonts w:ascii="宋体" w:hAnsi="宋体"/>
                <w:sz w:val="24"/>
                <w:szCs w:val="24"/>
                <w:highlight w:val="none"/>
              </w:rPr>
              <w:t>1</w:t>
            </w:r>
          </w:p>
        </w:tc>
        <w:tc>
          <w:tcPr>
            <w:tcW w:w="1464" w:type="dxa"/>
            <w:vAlign w:val="center"/>
          </w:tcPr>
          <w:p w14:paraId="7A0BB993">
            <w:pPr>
              <w:spacing w:line="440" w:lineRule="exact"/>
              <w:jc w:val="center"/>
              <w:rPr>
                <w:rFonts w:hint="eastAsia" w:ascii="宋体" w:hAnsi="宋体"/>
                <w:sz w:val="24"/>
                <w:szCs w:val="24"/>
                <w:highlight w:val="none"/>
              </w:rPr>
            </w:pPr>
          </w:p>
        </w:tc>
        <w:tc>
          <w:tcPr>
            <w:tcW w:w="2783" w:type="dxa"/>
            <w:vAlign w:val="center"/>
          </w:tcPr>
          <w:p w14:paraId="2EDB47EC">
            <w:pPr>
              <w:spacing w:line="440" w:lineRule="exact"/>
              <w:jc w:val="center"/>
              <w:rPr>
                <w:rFonts w:hint="eastAsia" w:ascii="宋体" w:hAnsi="宋体"/>
                <w:sz w:val="24"/>
                <w:szCs w:val="24"/>
                <w:highlight w:val="none"/>
              </w:rPr>
            </w:pPr>
          </w:p>
        </w:tc>
        <w:tc>
          <w:tcPr>
            <w:tcW w:w="3082" w:type="dxa"/>
            <w:vAlign w:val="center"/>
          </w:tcPr>
          <w:p w14:paraId="2D62E49B">
            <w:pPr>
              <w:spacing w:line="440" w:lineRule="exact"/>
              <w:jc w:val="center"/>
              <w:rPr>
                <w:rFonts w:hint="eastAsia" w:ascii="宋体" w:hAnsi="宋体"/>
                <w:sz w:val="24"/>
                <w:szCs w:val="24"/>
                <w:highlight w:val="none"/>
              </w:rPr>
            </w:pPr>
          </w:p>
        </w:tc>
        <w:tc>
          <w:tcPr>
            <w:tcW w:w="1579" w:type="dxa"/>
            <w:vAlign w:val="center"/>
          </w:tcPr>
          <w:p w14:paraId="45E8C6CE">
            <w:pPr>
              <w:spacing w:line="440" w:lineRule="exact"/>
              <w:jc w:val="center"/>
              <w:rPr>
                <w:rFonts w:hint="eastAsia" w:ascii="宋体" w:hAnsi="宋体"/>
                <w:sz w:val="24"/>
                <w:szCs w:val="24"/>
                <w:highlight w:val="none"/>
              </w:rPr>
            </w:pPr>
          </w:p>
        </w:tc>
      </w:tr>
      <w:tr w14:paraId="27BB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6F0ACF5D">
            <w:pPr>
              <w:spacing w:line="440" w:lineRule="exact"/>
              <w:jc w:val="center"/>
              <w:rPr>
                <w:rFonts w:hint="eastAsia" w:ascii="宋体" w:hAnsi="宋体"/>
                <w:sz w:val="24"/>
                <w:szCs w:val="24"/>
                <w:highlight w:val="none"/>
              </w:rPr>
            </w:pPr>
            <w:r>
              <w:rPr>
                <w:rFonts w:ascii="宋体" w:hAnsi="宋体"/>
                <w:sz w:val="24"/>
                <w:szCs w:val="24"/>
                <w:highlight w:val="none"/>
              </w:rPr>
              <w:t>2</w:t>
            </w:r>
          </w:p>
        </w:tc>
        <w:tc>
          <w:tcPr>
            <w:tcW w:w="1464" w:type="dxa"/>
            <w:vAlign w:val="center"/>
          </w:tcPr>
          <w:p w14:paraId="0CC20A1D">
            <w:pPr>
              <w:spacing w:line="440" w:lineRule="exact"/>
              <w:jc w:val="center"/>
              <w:rPr>
                <w:rFonts w:hint="eastAsia" w:ascii="宋体" w:hAnsi="宋体"/>
                <w:sz w:val="24"/>
                <w:szCs w:val="24"/>
                <w:highlight w:val="none"/>
              </w:rPr>
            </w:pPr>
          </w:p>
        </w:tc>
        <w:tc>
          <w:tcPr>
            <w:tcW w:w="2783" w:type="dxa"/>
            <w:vAlign w:val="center"/>
          </w:tcPr>
          <w:p w14:paraId="0B0AC099">
            <w:pPr>
              <w:spacing w:line="440" w:lineRule="exact"/>
              <w:jc w:val="center"/>
              <w:rPr>
                <w:rFonts w:hint="eastAsia" w:ascii="宋体" w:hAnsi="宋体"/>
                <w:sz w:val="24"/>
                <w:szCs w:val="24"/>
                <w:highlight w:val="none"/>
              </w:rPr>
            </w:pPr>
          </w:p>
        </w:tc>
        <w:tc>
          <w:tcPr>
            <w:tcW w:w="3082" w:type="dxa"/>
            <w:vAlign w:val="center"/>
          </w:tcPr>
          <w:p w14:paraId="368B5AB1">
            <w:pPr>
              <w:spacing w:line="440" w:lineRule="exact"/>
              <w:jc w:val="center"/>
              <w:rPr>
                <w:rFonts w:hint="eastAsia" w:ascii="宋体" w:hAnsi="宋体"/>
                <w:sz w:val="24"/>
                <w:szCs w:val="24"/>
                <w:highlight w:val="none"/>
              </w:rPr>
            </w:pPr>
          </w:p>
        </w:tc>
        <w:tc>
          <w:tcPr>
            <w:tcW w:w="1579" w:type="dxa"/>
            <w:vAlign w:val="center"/>
          </w:tcPr>
          <w:p w14:paraId="1B22F91E">
            <w:pPr>
              <w:spacing w:line="440" w:lineRule="exact"/>
              <w:jc w:val="center"/>
              <w:rPr>
                <w:rFonts w:hint="eastAsia" w:ascii="宋体" w:hAnsi="宋体"/>
                <w:sz w:val="24"/>
                <w:szCs w:val="24"/>
                <w:highlight w:val="none"/>
              </w:rPr>
            </w:pPr>
          </w:p>
        </w:tc>
      </w:tr>
      <w:tr w14:paraId="4DF6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65C037A8">
            <w:pPr>
              <w:spacing w:line="440" w:lineRule="exact"/>
              <w:jc w:val="center"/>
              <w:rPr>
                <w:rFonts w:hint="eastAsia" w:ascii="宋体" w:hAnsi="宋体"/>
                <w:sz w:val="24"/>
                <w:szCs w:val="24"/>
                <w:highlight w:val="none"/>
              </w:rPr>
            </w:pPr>
            <w:r>
              <w:rPr>
                <w:rFonts w:ascii="宋体" w:hAnsi="宋体"/>
                <w:sz w:val="24"/>
                <w:szCs w:val="24"/>
                <w:highlight w:val="none"/>
              </w:rPr>
              <w:t>3</w:t>
            </w:r>
          </w:p>
        </w:tc>
        <w:tc>
          <w:tcPr>
            <w:tcW w:w="1464" w:type="dxa"/>
            <w:vAlign w:val="center"/>
          </w:tcPr>
          <w:p w14:paraId="1A241295">
            <w:pPr>
              <w:spacing w:line="440" w:lineRule="exact"/>
              <w:jc w:val="center"/>
              <w:rPr>
                <w:rFonts w:hint="eastAsia" w:ascii="宋体" w:hAnsi="宋体"/>
                <w:sz w:val="24"/>
                <w:szCs w:val="24"/>
                <w:highlight w:val="none"/>
              </w:rPr>
            </w:pPr>
          </w:p>
        </w:tc>
        <w:tc>
          <w:tcPr>
            <w:tcW w:w="2783" w:type="dxa"/>
            <w:vAlign w:val="center"/>
          </w:tcPr>
          <w:p w14:paraId="74E99CD7">
            <w:pPr>
              <w:spacing w:line="440" w:lineRule="exact"/>
              <w:jc w:val="center"/>
              <w:rPr>
                <w:rFonts w:hint="eastAsia" w:ascii="宋体" w:hAnsi="宋体"/>
                <w:sz w:val="24"/>
                <w:szCs w:val="24"/>
                <w:highlight w:val="none"/>
              </w:rPr>
            </w:pPr>
          </w:p>
        </w:tc>
        <w:tc>
          <w:tcPr>
            <w:tcW w:w="3082" w:type="dxa"/>
            <w:vAlign w:val="center"/>
          </w:tcPr>
          <w:p w14:paraId="4132E595">
            <w:pPr>
              <w:spacing w:line="440" w:lineRule="exact"/>
              <w:jc w:val="center"/>
              <w:rPr>
                <w:rFonts w:hint="eastAsia" w:ascii="宋体" w:hAnsi="宋体"/>
                <w:sz w:val="24"/>
                <w:szCs w:val="24"/>
                <w:highlight w:val="none"/>
              </w:rPr>
            </w:pPr>
          </w:p>
        </w:tc>
        <w:tc>
          <w:tcPr>
            <w:tcW w:w="1579" w:type="dxa"/>
            <w:vAlign w:val="center"/>
          </w:tcPr>
          <w:p w14:paraId="589E5A2C">
            <w:pPr>
              <w:spacing w:line="440" w:lineRule="exact"/>
              <w:jc w:val="center"/>
              <w:rPr>
                <w:rFonts w:hint="eastAsia" w:ascii="宋体" w:hAnsi="宋体"/>
                <w:sz w:val="24"/>
                <w:szCs w:val="24"/>
                <w:highlight w:val="none"/>
              </w:rPr>
            </w:pPr>
          </w:p>
        </w:tc>
      </w:tr>
      <w:tr w14:paraId="6E51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7B7BC96">
            <w:pPr>
              <w:spacing w:line="440" w:lineRule="exact"/>
              <w:jc w:val="center"/>
              <w:rPr>
                <w:rFonts w:hint="eastAsia" w:ascii="宋体" w:hAnsi="宋体"/>
                <w:sz w:val="24"/>
                <w:szCs w:val="24"/>
                <w:highlight w:val="none"/>
              </w:rPr>
            </w:pPr>
            <w:r>
              <w:rPr>
                <w:rFonts w:ascii="宋体" w:hAnsi="宋体"/>
                <w:sz w:val="24"/>
                <w:szCs w:val="24"/>
                <w:highlight w:val="none"/>
              </w:rPr>
              <w:t>4</w:t>
            </w:r>
          </w:p>
        </w:tc>
        <w:tc>
          <w:tcPr>
            <w:tcW w:w="1464" w:type="dxa"/>
            <w:vAlign w:val="center"/>
          </w:tcPr>
          <w:p w14:paraId="5ECAC977">
            <w:pPr>
              <w:spacing w:line="440" w:lineRule="exact"/>
              <w:jc w:val="center"/>
              <w:rPr>
                <w:rFonts w:hint="eastAsia" w:ascii="宋体" w:hAnsi="宋体"/>
                <w:sz w:val="24"/>
                <w:szCs w:val="24"/>
                <w:highlight w:val="none"/>
              </w:rPr>
            </w:pPr>
          </w:p>
        </w:tc>
        <w:tc>
          <w:tcPr>
            <w:tcW w:w="2783" w:type="dxa"/>
            <w:vAlign w:val="center"/>
          </w:tcPr>
          <w:p w14:paraId="249FC78E">
            <w:pPr>
              <w:spacing w:line="440" w:lineRule="exact"/>
              <w:jc w:val="center"/>
              <w:rPr>
                <w:rFonts w:hint="eastAsia" w:ascii="宋体" w:hAnsi="宋体"/>
                <w:sz w:val="24"/>
                <w:szCs w:val="24"/>
                <w:highlight w:val="none"/>
              </w:rPr>
            </w:pPr>
          </w:p>
        </w:tc>
        <w:tc>
          <w:tcPr>
            <w:tcW w:w="3082" w:type="dxa"/>
            <w:vAlign w:val="center"/>
          </w:tcPr>
          <w:p w14:paraId="20B74697">
            <w:pPr>
              <w:spacing w:line="440" w:lineRule="exact"/>
              <w:jc w:val="center"/>
              <w:rPr>
                <w:rFonts w:hint="eastAsia" w:ascii="宋体" w:hAnsi="宋体"/>
                <w:sz w:val="24"/>
                <w:szCs w:val="24"/>
                <w:highlight w:val="none"/>
              </w:rPr>
            </w:pPr>
          </w:p>
        </w:tc>
        <w:tc>
          <w:tcPr>
            <w:tcW w:w="1579" w:type="dxa"/>
            <w:vAlign w:val="center"/>
          </w:tcPr>
          <w:p w14:paraId="321BC495">
            <w:pPr>
              <w:spacing w:line="440" w:lineRule="exact"/>
              <w:jc w:val="center"/>
              <w:rPr>
                <w:rFonts w:hint="eastAsia" w:ascii="宋体" w:hAnsi="宋体"/>
                <w:sz w:val="24"/>
                <w:szCs w:val="24"/>
                <w:highlight w:val="none"/>
              </w:rPr>
            </w:pPr>
          </w:p>
        </w:tc>
      </w:tr>
      <w:tr w14:paraId="2126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EC44B55">
            <w:pPr>
              <w:spacing w:line="440" w:lineRule="exact"/>
              <w:jc w:val="center"/>
              <w:rPr>
                <w:rFonts w:hint="eastAsia" w:ascii="宋体" w:hAnsi="宋体"/>
                <w:sz w:val="24"/>
                <w:szCs w:val="24"/>
                <w:highlight w:val="none"/>
              </w:rPr>
            </w:pPr>
            <w:r>
              <w:rPr>
                <w:rFonts w:ascii="宋体" w:hAnsi="宋体"/>
                <w:sz w:val="24"/>
                <w:szCs w:val="24"/>
                <w:highlight w:val="none"/>
              </w:rPr>
              <w:t>5</w:t>
            </w:r>
          </w:p>
        </w:tc>
        <w:tc>
          <w:tcPr>
            <w:tcW w:w="1464" w:type="dxa"/>
            <w:vAlign w:val="center"/>
          </w:tcPr>
          <w:p w14:paraId="0B8AD56C">
            <w:pPr>
              <w:spacing w:line="440" w:lineRule="exact"/>
              <w:jc w:val="center"/>
              <w:rPr>
                <w:rFonts w:hint="eastAsia" w:ascii="宋体" w:hAnsi="宋体"/>
                <w:sz w:val="24"/>
                <w:szCs w:val="24"/>
                <w:highlight w:val="none"/>
              </w:rPr>
            </w:pPr>
          </w:p>
        </w:tc>
        <w:tc>
          <w:tcPr>
            <w:tcW w:w="2783" w:type="dxa"/>
            <w:vAlign w:val="center"/>
          </w:tcPr>
          <w:p w14:paraId="682A4608">
            <w:pPr>
              <w:spacing w:line="440" w:lineRule="exact"/>
              <w:jc w:val="center"/>
              <w:rPr>
                <w:rFonts w:hint="eastAsia" w:ascii="宋体" w:hAnsi="宋体"/>
                <w:sz w:val="24"/>
                <w:szCs w:val="24"/>
                <w:highlight w:val="none"/>
              </w:rPr>
            </w:pPr>
          </w:p>
        </w:tc>
        <w:tc>
          <w:tcPr>
            <w:tcW w:w="3082" w:type="dxa"/>
            <w:vAlign w:val="center"/>
          </w:tcPr>
          <w:p w14:paraId="38CD8AC8">
            <w:pPr>
              <w:spacing w:line="440" w:lineRule="exact"/>
              <w:jc w:val="center"/>
              <w:rPr>
                <w:rFonts w:hint="eastAsia" w:ascii="宋体" w:hAnsi="宋体"/>
                <w:sz w:val="24"/>
                <w:szCs w:val="24"/>
                <w:highlight w:val="none"/>
              </w:rPr>
            </w:pPr>
          </w:p>
        </w:tc>
        <w:tc>
          <w:tcPr>
            <w:tcW w:w="1579" w:type="dxa"/>
            <w:vAlign w:val="center"/>
          </w:tcPr>
          <w:p w14:paraId="4051E762">
            <w:pPr>
              <w:spacing w:line="440" w:lineRule="exact"/>
              <w:jc w:val="center"/>
              <w:rPr>
                <w:rFonts w:hint="eastAsia" w:ascii="宋体" w:hAnsi="宋体"/>
                <w:sz w:val="24"/>
                <w:szCs w:val="24"/>
                <w:highlight w:val="none"/>
              </w:rPr>
            </w:pPr>
          </w:p>
        </w:tc>
      </w:tr>
      <w:tr w14:paraId="31E5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5B4DE4B9">
            <w:pPr>
              <w:spacing w:line="440" w:lineRule="exact"/>
              <w:jc w:val="center"/>
              <w:rPr>
                <w:rFonts w:hint="eastAsia" w:ascii="宋体" w:hAnsi="宋体"/>
                <w:sz w:val="24"/>
                <w:szCs w:val="24"/>
                <w:highlight w:val="none"/>
              </w:rPr>
            </w:pPr>
            <w:r>
              <w:rPr>
                <w:rFonts w:ascii="宋体" w:hAnsi="宋体"/>
                <w:sz w:val="24"/>
                <w:szCs w:val="24"/>
                <w:highlight w:val="none"/>
              </w:rPr>
              <w:t>6</w:t>
            </w:r>
          </w:p>
        </w:tc>
        <w:tc>
          <w:tcPr>
            <w:tcW w:w="1464" w:type="dxa"/>
            <w:vAlign w:val="center"/>
          </w:tcPr>
          <w:p w14:paraId="564C6698">
            <w:pPr>
              <w:spacing w:line="440" w:lineRule="exact"/>
              <w:jc w:val="center"/>
              <w:rPr>
                <w:rFonts w:hint="eastAsia" w:ascii="宋体" w:hAnsi="宋体"/>
                <w:sz w:val="24"/>
                <w:szCs w:val="24"/>
                <w:highlight w:val="none"/>
              </w:rPr>
            </w:pPr>
          </w:p>
        </w:tc>
        <w:tc>
          <w:tcPr>
            <w:tcW w:w="2783" w:type="dxa"/>
            <w:vAlign w:val="center"/>
          </w:tcPr>
          <w:p w14:paraId="4C08C9CF">
            <w:pPr>
              <w:spacing w:line="440" w:lineRule="exact"/>
              <w:jc w:val="center"/>
              <w:rPr>
                <w:rFonts w:hint="eastAsia" w:ascii="宋体" w:hAnsi="宋体"/>
                <w:sz w:val="24"/>
                <w:szCs w:val="24"/>
                <w:highlight w:val="none"/>
              </w:rPr>
            </w:pPr>
          </w:p>
        </w:tc>
        <w:tc>
          <w:tcPr>
            <w:tcW w:w="3082" w:type="dxa"/>
            <w:vAlign w:val="center"/>
          </w:tcPr>
          <w:p w14:paraId="0832D5F5">
            <w:pPr>
              <w:spacing w:line="440" w:lineRule="exact"/>
              <w:jc w:val="center"/>
              <w:rPr>
                <w:rFonts w:hint="eastAsia" w:ascii="宋体" w:hAnsi="宋体"/>
                <w:sz w:val="24"/>
                <w:szCs w:val="24"/>
                <w:highlight w:val="none"/>
              </w:rPr>
            </w:pPr>
          </w:p>
        </w:tc>
        <w:tc>
          <w:tcPr>
            <w:tcW w:w="1579" w:type="dxa"/>
            <w:vAlign w:val="center"/>
          </w:tcPr>
          <w:p w14:paraId="2146BD9F">
            <w:pPr>
              <w:spacing w:line="440" w:lineRule="exact"/>
              <w:jc w:val="center"/>
              <w:rPr>
                <w:rFonts w:hint="eastAsia" w:ascii="宋体" w:hAnsi="宋体"/>
                <w:sz w:val="24"/>
                <w:szCs w:val="24"/>
                <w:highlight w:val="none"/>
              </w:rPr>
            </w:pPr>
          </w:p>
        </w:tc>
      </w:tr>
      <w:tr w14:paraId="1FB5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418699AD">
            <w:pPr>
              <w:spacing w:line="440" w:lineRule="exact"/>
              <w:jc w:val="center"/>
              <w:rPr>
                <w:rFonts w:hint="eastAsia" w:ascii="宋体" w:hAnsi="宋体"/>
                <w:sz w:val="24"/>
                <w:szCs w:val="24"/>
                <w:highlight w:val="none"/>
              </w:rPr>
            </w:pPr>
            <w:r>
              <w:rPr>
                <w:rFonts w:hint="eastAsia" w:ascii="宋体" w:hAnsi="宋体"/>
                <w:sz w:val="24"/>
                <w:szCs w:val="24"/>
                <w:highlight w:val="none"/>
              </w:rPr>
              <w:t>…</w:t>
            </w:r>
          </w:p>
        </w:tc>
        <w:tc>
          <w:tcPr>
            <w:tcW w:w="1464" w:type="dxa"/>
            <w:vAlign w:val="center"/>
          </w:tcPr>
          <w:p w14:paraId="63C2577D">
            <w:pPr>
              <w:spacing w:line="440" w:lineRule="exact"/>
              <w:jc w:val="center"/>
              <w:rPr>
                <w:rFonts w:hint="eastAsia" w:ascii="宋体" w:hAnsi="宋体"/>
                <w:sz w:val="24"/>
                <w:szCs w:val="24"/>
                <w:highlight w:val="none"/>
              </w:rPr>
            </w:pPr>
          </w:p>
        </w:tc>
        <w:tc>
          <w:tcPr>
            <w:tcW w:w="2783" w:type="dxa"/>
            <w:vAlign w:val="center"/>
          </w:tcPr>
          <w:p w14:paraId="31A347DA">
            <w:pPr>
              <w:spacing w:line="440" w:lineRule="exact"/>
              <w:jc w:val="center"/>
              <w:rPr>
                <w:rFonts w:hint="eastAsia" w:ascii="宋体" w:hAnsi="宋体"/>
                <w:sz w:val="24"/>
                <w:szCs w:val="24"/>
                <w:highlight w:val="none"/>
              </w:rPr>
            </w:pPr>
          </w:p>
        </w:tc>
        <w:tc>
          <w:tcPr>
            <w:tcW w:w="3082" w:type="dxa"/>
            <w:vAlign w:val="center"/>
          </w:tcPr>
          <w:p w14:paraId="6008502F">
            <w:pPr>
              <w:spacing w:line="440" w:lineRule="exact"/>
              <w:jc w:val="center"/>
              <w:rPr>
                <w:rFonts w:hint="eastAsia" w:ascii="宋体" w:hAnsi="宋体"/>
                <w:sz w:val="24"/>
                <w:szCs w:val="24"/>
                <w:highlight w:val="none"/>
              </w:rPr>
            </w:pPr>
          </w:p>
        </w:tc>
        <w:tc>
          <w:tcPr>
            <w:tcW w:w="1579" w:type="dxa"/>
            <w:vAlign w:val="center"/>
          </w:tcPr>
          <w:p w14:paraId="39F8FAAF">
            <w:pPr>
              <w:spacing w:line="440" w:lineRule="exact"/>
              <w:jc w:val="center"/>
              <w:rPr>
                <w:rFonts w:hint="eastAsia" w:ascii="宋体" w:hAnsi="宋体"/>
                <w:sz w:val="24"/>
                <w:szCs w:val="24"/>
                <w:highlight w:val="none"/>
              </w:rPr>
            </w:pPr>
          </w:p>
        </w:tc>
      </w:tr>
    </w:tbl>
    <w:p w14:paraId="1EE1742F">
      <w:pPr>
        <w:tabs>
          <w:tab w:val="left" w:pos="2880"/>
        </w:tabs>
        <w:spacing w:line="460" w:lineRule="atLeast"/>
        <w:rPr>
          <w:rFonts w:hint="eastAsia" w:ascii="宋体" w:hAnsi="宋体"/>
          <w:sz w:val="24"/>
          <w:szCs w:val="24"/>
          <w:highlight w:val="none"/>
        </w:rPr>
      </w:pPr>
      <w:r>
        <w:rPr>
          <w:rFonts w:hint="eastAsia" w:ascii="宋体" w:hAnsi="宋体"/>
          <w:sz w:val="24"/>
          <w:szCs w:val="24"/>
          <w:highlight w:val="none"/>
        </w:rPr>
        <w:t>注：此表需详列投标的每种设备。</w:t>
      </w:r>
    </w:p>
    <w:p w14:paraId="4A32F3C8">
      <w:pPr>
        <w:pStyle w:val="87"/>
        <w:spacing w:line="440" w:lineRule="exact"/>
        <w:ind w:firstLine="470" w:firstLineChars="196"/>
        <w:rPr>
          <w:rFonts w:hint="eastAsia" w:ascii="宋体" w:hAnsi="宋体"/>
          <w:bCs/>
          <w:color w:val="auto"/>
          <w:kern w:val="2"/>
          <w:highlight w:val="none"/>
        </w:rPr>
      </w:pPr>
    </w:p>
    <w:p w14:paraId="1FBF2F27">
      <w:pPr>
        <w:spacing w:line="440" w:lineRule="exact"/>
        <w:rPr>
          <w:rFonts w:hint="eastAsia" w:ascii="宋体" w:hAnsi="宋体"/>
          <w:sz w:val="24"/>
          <w:szCs w:val="24"/>
          <w:highlight w:val="none"/>
          <w:u w:val="single"/>
        </w:rPr>
      </w:pPr>
      <w:r>
        <w:rPr>
          <w:rFonts w:hint="eastAsia" w:ascii="宋体" w:hAnsi="宋体"/>
          <w:sz w:val="24"/>
          <w:szCs w:val="24"/>
          <w:highlight w:val="none"/>
        </w:rPr>
        <w:t>投标人代表（电子签名）：</w:t>
      </w:r>
      <w:r>
        <w:rPr>
          <w:rFonts w:hint="eastAsia" w:ascii="宋体" w:hAnsi="宋体"/>
          <w:sz w:val="24"/>
          <w:szCs w:val="24"/>
          <w:highlight w:val="none"/>
          <w:u w:val="single"/>
        </w:rPr>
        <w:t>　　　　　　　　　</w:t>
      </w:r>
    </w:p>
    <w:p w14:paraId="0480A970">
      <w:pPr>
        <w:spacing w:line="440" w:lineRule="exact"/>
        <w:rPr>
          <w:rFonts w:hint="eastAsia" w:ascii="宋体" w:hAnsi="宋体"/>
          <w:bCs/>
          <w:sz w:val="24"/>
          <w:szCs w:val="24"/>
          <w:highlight w:val="none"/>
        </w:rPr>
      </w:pPr>
      <w:r>
        <w:rPr>
          <w:rFonts w:hint="eastAsia" w:ascii="宋体" w:hAnsi="宋体"/>
          <w:sz w:val="24"/>
          <w:szCs w:val="24"/>
          <w:highlight w:val="none"/>
        </w:rPr>
        <w:t>日期：</w:t>
      </w:r>
      <w:r>
        <w:rPr>
          <w:rFonts w:ascii="宋体" w:hAnsi="宋体"/>
          <w:bCs/>
          <w:sz w:val="24"/>
          <w:szCs w:val="24"/>
          <w:highlight w:val="none"/>
        </w:rPr>
        <w:t>20</w:t>
      </w:r>
      <w:r>
        <w:rPr>
          <w:rFonts w:hint="eastAsia" w:ascii="宋体" w:hAnsi="宋体"/>
          <w:sz w:val="24"/>
          <w:szCs w:val="24"/>
          <w:highlight w:val="none"/>
          <w:u w:val="single"/>
        </w:rPr>
        <w:t xml:space="preserve">　 </w:t>
      </w:r>
      <w:r>
        <w:rPr>
          <w:rFonts w:hint="eastAsia" w:ascii="宋体" w:hAnsi="宋体"/>
          <w:bCs/>
          <w:sz w:val="24"/>
          <w:szCs w:val="24"/>
          <w:highlight w:val="none"/>
        </w:rPr>
        <w:t>年</w:t>
      </w:r>
      <w:r>
        <w:rPr>
          <w:rFonts w:hint="eastAsia" w:ascii="宋体" w:hAnsi="宋体"/>
          <w:bCs/>
          <w:sz w:val="24"/>
          <w:szCs w:val="24"/>
          <w:highlight w:val="none"/>
          <w:u w:val="single"/>
        </w:rPr>
        <w:t>　</w:t>
      </w:r>
      <w:r>
        <w:rPr>
          <w:rFonts w:hint="eastAsia" w:ascii="宋体" w:hAnsi="宋体"/>
          <w:bCs/>
          <w:sz w:val="24"/>
          <w:szCs w:val="24"/>
          <w:highlight w:val="none"/>
        </w:rPr>
        <w:t>月</w:t>
      </w:r>
      <w:r>
        <w:rPr>
          <w:rFonts w:hint="eastAsia" w:ascii="宋体" w:hAnsi="宋体"/>
          <w:bCs/>
          <w:sz w:val="24"/>
          <w:szCs w:val="24"/>
          <w:highlight w:val="none"/>
          <w:u w:val="single"/>
        </w:rPr>
        <w:t>　</w:t>
      </w:r>
      <w:r>
        <w:rPr>
          <w:rFonts w:hint="eastAsia" w:ascii="宋体" w:hAnsi="宋体"/>
          <w:bCs/>
          <w:sz w:val="24"/>
          <w:szCs w:val="24"/>
          <w:highlight w:val="none"/>
        </w:rPr>
        <w:t>日</w:t>
      </w:r>
    </w:p>
    <w:p w14:paraId="56F0DEFD">
      <w:pPr>
        <w:spacing w:line="440" w:lineRule="exact"/>
        <w:rPr>
          <w:b/>
          <w:sz w:val="32"/>
          <w:szCs w:val="32"/>
          <w:highlight w:val="none"/>
        </w:rPr>
        <w:sectPr>
          <w:pgSz w:w="11906" w:h="16838"/>
          <w:pgMar w:top="1134" w:right="1134" w:bottom="1134" w:left="1134" w:header="851" w:footer="992" w:gutter="0"/>
          <w:cols w:space="720" w:num="1"/>
          <w:docGrid w:type="lines" w:linePitch="344" w:charSpace="0"/>
        </w:sectPr>
      </w:pPr>
    </w:p>
    <w:p w14:paraId="71A77DAD">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九、产品技术支持文件（包含但不限于产品检测报告、产品彩页或技术白皮书等）</w:t>
      </w:r>
    </w:p>
    <w:p w14:paraId="418D5A05">
      <w:pPr>
        <w:pStyle w:val="47"/>
        <w:rPr>
          <w:highlight w:val="none"/>
          <w:lang w:eastAsia="zh-CN"/>
        </w:rPr>
      </w:pPr>
    </w:p>
    <w:p w14:paraId="66C35B8A">
      <w:pPr>
        <w:pStyle w:val="47"/>
        <w:rPr>
          <w:b/>
          <w:bCs/>
          <w:highlight w:val="none"/>
          <w:lang w:eastAsia="zh-CN"/>
        </w:rPr>
        <w:sectPr>
          <w:pgSz w:w="11906" w:h="16838"/>
          <w:pgMar w:top="1134" w:right="1134" w:bottom="1134" w:left="1134" w:header="851" w:footer="992" w:gutter="0"/>
          <w:cols w:space="720" w:num="1"/>
          <w:docGrid w:type="lines" w:linePitch="344" w:charSpace="0"/>
        </w:sectPr>
      </w:pPr>
      <w:r>
        <w:rPr>
          <w:b/>
          <w:bCs/>
          <w:highlight w:val="none"/>
          <w:lang w:eastAsia="zh-CN"/>
        </w:rPr>
        <w:t>(</w:t>
      </w:r>
      <w:r>
        <w:rPr>
          <w:rFonts w:hint="eastAsia"/>
          <w:b/>
          <w:bCs/>
          <w:highlight w:val="none"/>
          <w:lang w:eastAsia="zh-CN"/>
        </w:rPr>
        <w:t>格式自拟)</w:t>
      </w:r>
    </w:p>
    <w:p w14:paraId="6F9BA249">
      <w:pPr>
        <w:pStyle w:val="47"/>
        <w:rPr>
          <w:highlight w:val="none"/>
          <w:lang w:eastAsia="zh-CN"/>
        </w:rPr>
      </w:pPr>
    </w:p>
    <w:p w14:paraId="40ADAC9A">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十、技术参数偏离表附件2-</w:t>
      </w:r>
      <w:r>
        <w:rPr>
          <w:rFonts w:ascii="宋体" w:hAnsi="宋体"/>
          <w:b/>
          <w:sz w:val="28"/>
          <w:szCs w:val="28"/>
          <w:highlight w:val="none"/>
        </w:rPr>
        <w:t>6</w:t>
      </w:r>
    </w:p>
    <w:p w14:paraId="61C360F1">
      <w:pPr>
        <w:spacing w:line="440" w:lineRule="exact"/>
        <w:rPr>
          <w:highlight w:val="none"/>
        </w:rPr>
      </w:pPr>
    </w:p>
    <w:p w14:paraId="1F6AE4F4">
      <w:pPr>
        <w:spacing w:line="440" w:lineRule="exact"/>
        <w:rPr>
          <w:rFonts w:hint="eastAsia" w:ascii="宋体" w:hAnsi="宋体"/>
          <w:sz w:val="24"/>
          <w:highlight w:val="none"/>
          <w:u w:val="single"/>
        </w:rPr>
      </w:pPr>
      <w:r>
        <w:rPr>
          <w:rFonts w:hint="eastAsia" w:ascii="宋体" w:hAnsi="宋体"/>
          <w:sz w:val="24"/>
          <w:highlight w:val="none"/>
        </w:rPr>
        <w:t>投标人名称（</w:t>
      </w:r>
      <w:r>
        <w:rPr>
          <w:rFonts w:hint="eastAsia" w:ascii="宋体" w:hAnsi="宋体"/>
          <w:sz w:val="24"/>
          <w:szCs w:val="24"/>
          <w:highlight w:val="none"/>
        </w:rPr>
        <w:t>电子签</w:t>
      </w:r>
      <w:r>
        <w:rPr>
          <w:rFonts w:hint="eastAsia" w:ascii="宋体" w:hAnsi="宋体"/>
          <w:sz w:val="24"/>
          <w:highlight w:val="none"/>
        </w:rPr>
        <w:t>章）：</w:t>
      </w:r>
      <w:r>
        <w:rPr>
          <w:rFonts w:hint="eastAsia" w:ascii="宋体" w:hAnsi="宋体"/>
          <w:sz w:val="24"/>
          <w:highlight w:val="none"/>
          <w:u w:val="single"/>
        </w:rPr>
        <w:t xml:space="preserve">　　　　　             </w:t>
      </w:r>
      <w:r>
        <w:rPr>
          <w:rFonts w:hint="eastAsia" w:ascii="宋体" w:hAnsi="宋体"/>
          <w:sz w:val="24"/>
          <w:highlight w:val="none"/>
        </w:rPr>
        <w:t>招标编号：</w:t>
      </w:r>
      <w:r>
        <w:rPr>
          <w:rFonts w:hint="eastAsia" w:ascii="宋体" w:hAnsi="宋体"/>
          <w:sz w:val="24"/>
          <w:highlight w:val="none"/>
          <w:u w:val="single"/>
        </w:rPr>
        <w:t xml:space="preserve">　　　　           </w:t>
      </w:r>
    </w:p>
    <w:p w14:paraId="62DE3197">
      <w:pPr>
        <w:spacing w:line="440" w:lineRule="exact"/>
        <w:rPr>
          <w:rFonts w:hint="eastAsia" w:ascii="宋体" w:hAnsi="宋体"/>
          <w:sz w:val="24"/>
          <w:highlight w:val="none"/>
          <w:u w:val="single"/>
        </w:rPr>
      </w:pPr>
      <w:r>
        <w:rPr>
          <w:rFonts w:hint="eastAsia" w:ascii="宋体" w:hAnsi="宋体"/>
          <w:sz w:val="24"/>
          <w:highlight w:val="none"/>
        </w:rPr>
        <w:t>分包序号、名称：</w:t>
      </w:r>
      <w:r>
        <w:rPr>
          <w:rFonts w:hint="eastAsia" w:ascii="宋体" w:hAnsi="宋体"/>
          <w:sz w:val="24"/>
          <w:highlight w:val="none"/>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7799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01215C9B">
            <w:pPr>
              <w:spacing w:line="440" w:lineRule="exact"/>
              <w:jc w:val="center"/>
              <w:rPr>
                <w:rFonts w:hint="eastAsia" w:ascii="宋体" w:hAnsi="宋体"/>
                <w:sz w:val="24"/>
                <w:highlight w:val="none"/>
              </w:rPr>
            </w:pPr>
            <w:r>
              <w:rPr>
                <w:rFonts w:hint="eastAsia" w:ascii="宋体" w:hAnsi="宋体"/>
                <w:sz w:val="24"/>
                <w:highlight w:val="none"/>
              </w:rPr>
              <w:t>序号</w:t>
            </w:r>
          </w:p>
        </w:tc>
        <w:tc>
          <w:tcPr>
            <w:tcW w:w="1740" w:type="dxa"/>
            <w:vAlign w:val="center"/>
          </w:tcPr>
          <w:p w14:paraId="77EA4540">
            <w:pPr>
              <w:spacing w:line="440" w:lineRule="exact"/>
              <w:jc w:val="center"/>
              <w:rPr>
                <w:rFonts w:hint="eastAsia" w:ascii="宋体" w:hAnsi="宋体"/>
                <w:sz w:val="24"/>
                <w:highlight w:val="none"/>
              </w:rPr>
            </w:pPr>
            <w:r>
              <w:rPr>
                <w:rFonts w:hint="eastAsia" w:ascii="宋体" w:hAnsi="宋体"/>
                <w:sz w:val="24"/>
                <w:highlight w:val="none"/>
              </w:rPr>
              <w:t>招标文件规格条目号</w:t>
            </w:r>
          </w:p>
        </w:tc>
        <w:tc>
          <w:tcPr>
            <w:tcW w:w="2056" w:type="dxa"/>
            <w:vAlign w:val="center"/>
          </w:tcPr>
          <w:p w14:paraId="716FA920">
            <w:pPr>
              <w:spacing w:line="440" w:lineRule="exact"/>
              <w:jc w:val="center"/>
              <w:rPr>
                <w:rFonts w:hint="eastAsia" w:ascii="宋体" w:hAnsi="宋体"/>
                <w:sz w:val="24"/>
                <w:highlight w:val="none"/>
              </w:rPr>
            </w:pPr>
            <w:r>
              <w:rPr>
                <w:rFonts w:hint="eastAsia" w:ascii="宋体" w:hAnsi="宋体"/>
                <w:sz w:val="24"/>
                <w:highlight w:val="none"/>
              </w:rPr>
              <w:t>招标规格</w:t>
            </w:r>
          </w:p>
        </w:tc>
        <w:tc>
          <w:tcPr>
            <w:tcW w:w="2393" w:type="dxa"/>
            <w:vAlign w:val="center"/>
          </w:tcPr>
          <w:p w14:paraId="63B82630">
            <w:pPr>
              <w:spacing w:line="440" w:lineRule="exact"/>
              <w:jc w:val="center"/>
              <w:rPr>
                <w:rFonts w:hint="eastAsia" w:ascii="宋体" w:hAnsi="宋体"/>
                <w:sz w:val="24"/>
                <w:highlight w:val="none"/>
              </w:rPr>
            </w:pPr>
            <w:r>
              <w:rPr>
                <w:rFonts w:hint="eastAsia" w:ascii="宋体" w:hAnsi="宋体"/>
                <w:sz w:val="24"/>
                <w:highlight w:val="none"/>
              </w:rPr>
              <w:t>投标规格</w:t>
            </w:r>
          </w:p>
        </w:tc>
        <w:tc>
          <w:tcPr>
            <w:tcW w:w="1721" w:type="dxa"/>
            <w:vAlign w:val="center"/>
          </w:tcPr>
          <w:p w14:paraId="2A9DD921">
            <w:pPr>
              <w:spacing w:line="440" w:lineRule="exact"/>
              <w:jc w:val="center"/>
              <w:rPr>
                <w:rFonts w:hint="eastAsia" w:ascii="宋体" w:hAnsi="宋体"/>
                <w:sz w:val="24"/>
                <w:highlight w:val="none"/>
              </w:rPr>
            </w:pPr>
            <w:r>
              <w:rPr>
                <w:rFonts w:hint="eastAsia" w:ascii="宋体" w:hAnsi="宋体"/>
                <w:sz w:val="24"/>
                <w:highlight w:val="none"/>
              </w:rPr>
              <w:t>偏离</w:t>
            </w:r>
          </w:p>
        </w:tc>
        <w:tc>
          <w:tcPr>
            <w:tcW w:w="1218" w:type="dxa"/>
            <w:vAlign w:val="center"/>
          </w:tcPr>
          <w:p w14:paraId="049F8ABA">
            <w:pPr>
              <w:spacing w:line="440" w:lineRule="exact"/>
              <w:jc w:val="center"/>
              <w:rPr>
                <w:rFonts w:hint="eastAsia" w:ascii="宋体" w:hAnsi="宋体"/>
                <w:sz w:val="24"/>
                <w:highlight w:val="none"/>
              </w:rPr>
            </w:pPr>
            <w:r>
              <w:rPr>
                <w:rFonts w:hint="eastAsia" w:ascii="宋体" w:hAnsi="宋体"/>
                <w:sz w:val="24"/>
                <w:highlight w:val="none"/>
              </w:rPr>
              <w:t>说明</w:t>
            </w:r>
          </w:p>
        </w:tc>
      </w:tr>
      <w:tr w14:paraId="1995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5FEE5194">
            <w:pPr>
              <w:spacing w:line="440" w:lineRule="exact"/>
              <w:rPr>
                <w:rFonts w:hint="eastAsia" w:ascii="宋体" w:hAnsi="宋体"/>
                <w:sz w:val="24"/>
                <w:highlight w:val="none"/>
              </w:rPr>
            </w:pPr>
            <w:r>
              <w:rPr>
                <w:rFonts w:ascii="宋体" w:hAnsi="宋体"/>
                <w:sz w:val="24"/>
                <w:highlight w:val="none"/>
              </w:rPr>
              <w:t>1</w:t>
            </w:r>
          </w:p>
        </w:tc>
        <w:tc>
          <w:tcPr>
            <w:tcW w:w="1740" w:type="dxa"/>
          </w:tcPr>
          <w:p w14:paraId="54BC9413">
            <w:pPr>
              <w:spacing w:line="440" w:lineRule="exact"/>
              <w:rPr>
                <w:rFonts w:hint="eastAsia" w:ascii="宋体" w:hAnsi="宋体"/>
                <w:sz w:val="24"/>
                <w:highlight w:val="none"/>
              </w:rPr>
            </w:pPr>
          </w:p>
        </w:tc>
        <w:tc>
          <w:tcPr>
            <w:tcW w:w="2056" w:type="dxa"/>
          </w:tcPr>
          <w:p w14:paraId="618979A9">
            <w:pPr>
              <w:spacing w:line="440" w:lineRule="exact"/>
              <w:rPr>
                <w:rFonts w:hint="eastAsia" w:ascii="宋体" w:hAnsi="宋体"/>
                <w:sz w:val="24"/>
                <w:highlight w:val="none"/>
              </w:rPr>
            </w:pPr>
          </w:p>
        </w:tc>
        <w:tc>
          <w:tcPr>
            <w:tcW w:w="2393" w:type="dxa"/>
          </w:tcPr>
          <w:p w14:paraId="720D43A6">
            <w:pPr>
              <w:spacing w:line="440" w:lineRule="exact"/>
              <w:rPr>
                <w:rFonts w:hint="eastAsia" w:ascii="宋体" w:hAnsi="宋体"/>
                <w:sz w:val="24"/>
                <w:highlight w:val="none"/>
              </w:rPr>
            </w:pPr>
          </w:p>
        </w:tc>
        <w:tc>
          <w:tcPr>
            <w:tcW w:w="1721" w:type="dxa"/>
          </w:tcPr>
          <w:p w14:paraId="01E92FCB">
            <w:pPr>
              <w:spacing w:line="440" w:lineRule="exact"/>
              <w:rPr>
                <w:rFonts w:hint="eastAsia" w:ascii="宋体" w:hAnsi="宋体"/>
                <w:sz w:val="24"/>
                <w:highlight w:val="none"/>
              </w:rPr>
            </w:pPr>
          </w:p>
        </w:tc>
        <w:tc>
          <w:tcPr>
            <w:tcW w:w="1218" w:type="dxa"/>
          </w:tcPr>
          <w:p w14:paraId="69DB3537">
            <w:pPr>
              <w:spacing w:line="440" w:lineRule="exact"/>
              <w:rPr>
                <w:rFonts w:hint="eastAsia" w:ascii="宋体" w:hAnsi="宋体"/>
                <w:sz w:val="24"/>
                <w:highlight w:val="none"/>
              </w:rPr>
            </w:pPr>
          </w:p>
        </w:tc>
      </w:tr>
      <w:tr w14:paraId="387CC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178AB343">
            <w:pPr>
              <w:spacing w:line="440" w:lineRule="exact"/>
              <w:rPr>
                <w:rFonts w:hint="eastAsia" w:ascii="宋体" w:hAnsi="宋体"/>
                <w:sz w:val="24"/>
                <w:highlight w:val="none"/>
              </w:rPr>
            </w:pPr>
            <w:r>
              <w:rPr>
                <w:rFonts w:ascii="宋体" w:hAnsi="宋体"/>
                <w:sz w:val="24"/>
                <w:highlight w:val="none"/>
              </w:rPr>
              <w:t>2</w:t>
            </w:r>
          </w:p>
        </w:tc>
        <w:tc>
          <w:tcPr>
            <w:tcW w:w="1740" w:type="dxa"/>
          </w:tcPr>
          <w:p w14:paraId="3F0BBF1F">
            <w:pPr>
              <w:spacing w:line="440" w:lineRule="exact"/>
              <w:rPr>
                <w:rFonts w:hint="eastAsia" w:ascii="宋体" w:hAnsi="宋体"/>
                <w:sz w:val="24"/>
                <w:highlight w:val="none"/>
              </w:rPr>
            </w:pPr>
          </w:p>
        </w:tc>
        <w:tc>
          <w:tcPr>
            <w:tcW w:w="2056" w:type="dxa"/>
          </w:tcPr>
          <w:p w14:paraId="40AFE16D">
            <w:pPr>
              <w:spacing w:line="440" w:lineRule="exact"/>
              <w:rPr>
                <w:rFonts w:hint="eastAsia" w:ascii="宋体" w:hAnsi="宋体"/>
                <w:sz w:val="24"/>
                <w:highlight w:val="none"/>
              </w:rPr>
            </w:pPr>
          </w:p>
        </w:tc>
        <w:tc>
          <w:tcPr>
            <w:tcW w:w="2393" w:type="dxa"/>
          </w:tcPr>
          <w:p w14:paraId="3667F248">
            <w:pPr>
              <w:spacing w:line="440" w:lineRule="exact"/>
              <w:rPr>
                <w:rFonts w:hint="eastAsia" w:ascii="宋体" w:hAnsi="宋体"/>
                <w:sz w:val="24"/>
                <w:highlight w:val="none"/>
              </w:rPr>
            </w:pPr>
          </w:p>
        </w:tc>
        <w:tc>
          <w:tcPr>
            <w:tcW w:w="1721" w:type="dxa"/>
          </w:tcPr>
          <w:p w14:paraId="4CC68C45">
            <w:pPr>
              <w:spacing w:line="440" w:lineRule="exact"/>
              <w:rPr>
                <w:rFonts w:hint="eastAsia" w:ascii="宋体" w:hAnsi="宋体"/>
                <w:sz w:val="24"/>
                <w:highlight w:val="none"/>
              </w:rPr>
            </w:pPr>
          </w:p>
        </w:tc>
        <w:tc>
          <w:tcPr>
            <w:tcW w:w="1218" w:type="dxa"/>
          </w:tcPr>
          <w:p w14:paraId="78002448">
            <w:pPr>
              <w:spacing w:line="440" w:lineRule="exact"/>
              <w:rPr>
                <w:rFonts w:hint="eastAsia" w:ascii="宋体" w:hAnsi="宋体"/>
                <w:sz w:val="24"/>
                <w:highlight w:val="none"/>
              </w:rPr>
            </w:pPr>
          </w:p>
        </w:tc>
      </w:tr>
      <w:tr w14:paraId="2D031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64F0512">
            <w:pPr>
              <w:spacing w:line="440" w:lineRule="exact"/>
              <w:rPr>
                <w:rFonts w:hint="eastAsia" w:ascii="宋体" w:hAnsi="宋体"/>
                <w:sz w:val="24"/>
                <w:highlight w:val="none"/>
              </w:rPr>
            </w:pPr>
            <w:r>
              <w:rPr>
                <w:rFonts w:ascii="宋体" w:hAnsi="宋体"/>
                <w:sz w:val="24"/>
                <w:highlight w:val="none"/>
              </w:rPr>
              <w:t>3</w:t>
            </w:r>
          </w:p>
        </w:tc>
        <w:tc>
          <w:tcPr>
            <w:tcW w:w="1740" w:type="dxa"/>
          </w:tcPr>
          <w:p w14:paraId="40823B23">
            <w:pPr>
              <w:spacing w:line="440" w:lineRule="exact"/>
              <w:rPr>
                <w:rFonts w:hint="eastAsia" w:ascii="宋体" w:hAnsi="宋体"/>
                <w:sz w:val="24"/>
                <w:highlight w:val="none"/>
              </w:rPr>
            </w:pPr>
          </w:p>
        </w:tc>
        <w:tc>
          <w:tcPr>
            <w:tcW w:w="2056" w:type="dxa"/>
          </w:tcPr>
          <w:p w14:paraId="5F237F03">
            <w:pPr>
              <w:spacing w:line="440" w:lineRule="exact"/>
              <w:rPr>
                <w:rFonts w:hint="eastAsia" w:ascii="宋体" w:hAnsi="宋体"/>
                <w:sz w:val="24"/>
                <w:highlight w:val="none"/>
              </w:rPr>
            </w:pPr>
          </w:p>
        </w:tc>
        <w:tc>
          <w:tcPr>
            <w:tcW w:w="2393" w:type="dxa"/>
          </w:tcPr>
          <w:p w14:paraId="6FCC7300">
            <w:pPr>
              <w:spacing w:line="440" w:lineRule="exact"/>
              <w:rPr>
                <w:rFonts w:hint="eastAsia" w:ascii="宋体" w:hAnsi="宋体"/>
                <w:sz w:val="24"/>
                <w:highlight w:val="none"/>
              </w:rPr>
            </w:pPr>
          </w:p>
        </w:tc>
        <w:tc>
          <w:tcPr>
            <w:tcW w:w="1721" w:type="dxa"/>
          </w:tcPr>
          <w:p w14:paraId="1164A9D5">
            <w:pPr>
              <w:spacing w:line="440" w:lineRule="exact"/>
              <w:rPr>
                <w:rFonts w:hint="eastAsia" w:ascii="宋体" w:hAnsi="宋体"/>
                <w:sz w:val="24"/>
                <w:highlight w:val="none"/>
              </w:rPr>
            </w:pPr>
          </w:p>
        </w:tc>
        <w:tc>
          <w:tcPr>
            <w:tcW w:w="1218" w:type="dxa"/>
          </w:tcPr>
          <w:p w14:paraId="5DD41A55">
            <w:pPr>
              <w:spacing w:line="440" w:lineRule="exact"/>
              <w:rPr>
                <w:rFonts w:hint="eastAsia" w:ascii="宋体" w:hAnsi="宋体"/>
                <w:sz w:val="24"/>
                <w:highlight w:val="none"/>
              </w:rPr>
            </w:pPr>
          </w:p>
        </w:tc>
      </w:tr>
      <w:tr w14:paraId="3CA5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A0D5A05">
            <w:pPr>
              <w:spacing w:line="440" w:lineRule="exact"/>
              <w:rPr>
                <w:rFonts w:hint="eastAsia" w:ascii="宋体" w:hAnsi="宋体"/>
                <w:sz w:val="24"/>
                <w:highlight w:val="none"/>
              </w:rPr>
            </w:pPr>
            <w:r>
              <w:rPr>
                <w:rFonts w:hint="eastAsia" w:ascii="宋体" w:hAnsi="宋体"/>
                <w:sz w:val="24"/>
                <w:highlight w:val="none"/>
              </w:rPr>
              <w:t>…</w:t>
            </w:r>
          </w:p>
        </w:tc>
        <w:tc>
          <w:tcPr>
            <w:tcW w:w="1740" w:type="dxa"/>
          </w:tcPr>
          <w:p w14:paraId="1D4363B6">
            <w:pPr>
              <w:spacing w:line="440" w:lineRule="exact"/>
              <w:rPr>
                <w:rFonts w:hint="eastAsia" w:ascii="宋体" w:hAnsi="宋体"/>
                <w:sz w:val="24"/>
                <w:highlight w:val="none"/>
              </w:rPr>
            </w:pPr>
          </w:p>
        </w:tc>
        <w:tc>
          <w:tcPr>
            <w:tcW w:w="2056" w:type="dxa"/>
          </w:tcPr>
          <w:p w14:paraId="3D54F431">
            <w:pPr>
              <w:spacing w:line="440" w:lineRule="exact"/>
              <w:rPr>
                <w:rFonts w:hint="eastAsia" w:ascii="宋体" w:hAnsi="宋体"/>
                <w:sz w:val="24"/>
                <w:highlight w:val="none"/>
              </w:rPr>
            </w:pPr>
          </w:p>
        </w:tc>
        <w:tc>
          <w:tcPr>
            <w:tcW w:w="2393" w:type="dxa"/>
          </w:tcPr>
          <w:p w14:paraId="7F28C2AE">
            <w:pPr>
              <w:spacing w:line="440" w:lineRule="exact"/>
              <w:rPr>
                <w:rFonts w:hint="eastAsia" w:ascii="宋体" w:hAnsi="宋体"/>
                <w:sz w:val="24"/>
                <w:highlight w:val="none"/>
              </w:rPr>
            </w:pPr>
          </w:p>
        </w:tc>
        <w:tc>
          <w:tcPr>
            <w:tcW w:w="1721" w:type="dxa"/>
          </w:tcPr>
          <w:p w14:paraId="59C186F8">
            <w:pPr>
              <w:spacing w:line="440" w:lineRule="exact"/>
              <w:rPr>
                <w:rFonts w:hint="eastAsia" w:ascii="宋体" w:hAnsi="宋体"/>
                <w:sz w:val="24"/>
                <w:highlight w:val="none"/>
              </w:rPr>
            </w:pPr>
          </w:p>
        </w:tc>
        <w:tc>
          <w:tcPr>
            <w:tcW w:w="1218" w:type="dxa"/>
          </w:tcPr>
          <w:p w14:paraId="7063B860">
            <w:pPr>
              <w:spacing w:line="440" w:lineRule="exact"/>
              <w:rPr>
                <w:rFonts w:hint="eastAsia" w:ascii="宋体" w:hAnsi="宋体"/>
                <w:sz w:val="24"/>
                <w:highlight w:val="none"/>
              </w:rPr>
            </w:pPr>
          </w:p>
        </w:tc>
      </w:tr>
    </w:tbl>
    <w:p w14:paraId="26714720">
      <w:pPr>
        <w:spacing w:line="440" w:lineRule="exact"/>
        <w:rPr>
          <w:rFonts w:hint="eastAsia" w:ascii="宋体" w:hAnsi="宋体"/>
          <w:sz w:val="24"/>
          <w:highlight w:val="none"/>
        </w:rPr>
      </w:pPr>
      <w:r>
        <w:rPr>
          <w:rFonts w:hint="eastAsia" w:ascii="宋体" w:hAnsi="宋体"/>
          <w:sz w:val="24"/>
          <w:highlight w:val="none"/>
        </w:rPr>
        <w:t>注：与招标文件要求逐条对应填写。</w:t>
      </w:r>
    </w:p>
    <w:p w14:paraId="62C25EB4">
      <w:pPr>
        <w:spacing w:line="440" w:lineRule="exact"/>
        <w:rPr>
          <w:rFonts w:hint="eastAsia" w:ascii="宋体" w:hAnsi="宋体"/>
          <w:sz w:val="24"/>
          <w:highlight w:val="none"/>
          <w:u w:val="single"/>
        </w:rPr>
      </w:pPr>
      <w:r>
        <w:rPr>
          <w:rFonts w:hint="eastAsia" w:ascii="宋体" w:hAnsi="宋体"/>
          <w:sz w:val="24"/>
          <w:highlight w:val="none"/>
        </w:rPr>
        <w:t>投标人代表</w:t>
      </w:r>
      <w:r>
        <w:rPr>
          <w:rFonts w:hint="eastAsia" w:ascii="宋体" w:hAnsi="宋体"/>
          <w:sz w:val="24"/>
          <w:szCs w:val="24"/>
          <w:highlight w:val="none"/>
        </w:rPr>
        <w:t>（电子签名）</w:t>
      </w:r>
      <w:r>
        <w:rPr>
          <w:rFonts w:hint="eastAsia" w:ascii="宋体" w:hAnsi="宋体"/>
          <w:sz w:val="24"/>
          <w:highlight w:val="none"/>
        </w:rPr>
        <w:t>：</w:t>
      </w:r>
    </w:p>
    <w:p w14:paraId="55B8158D">
      <w:pPr>
        <w:spacing w:line="440" w:lineRule="exact"/>
        <w:rPr>
          <w:rFonts w:hint="eastAsia" w:ascii="宋体" w:hAnsi="宋体"/>
          <w:b/>
          <w:sz w:val="24"/>
          <w:highlight w:val="none"/>
        </w:rPr>
      </w:pPr>
      <w:r>
        <w:rPr>
          <w:rFonts w:hint="eastAsia" w:ascii="宋体" w:hAnsi="宋体"/>
          <w:sz w:val="24"/>
          <w:highlight w:val="none"/>
        </w:rPr>
        <w:t>日期：</w:t>
      </w:r>
      <w:r>
        <w:rPr>
          <w:rFonts w:ascii="宋体" w:hAnsi="宋体"/>
          <w:bCs/>
          <w:sz w:val="24"/>
          <w:highlight w:val="none"/>
        </w:rPr>
        <w:t>20</w:t>
      </w:r>
      <w:r>
        <w:rPr>
          <w:rFonts w:hint="eastAsia" w:ascii="宋体" w:hAnsi="宋体"/>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p w14:paraId="121FAD39">
      <w:pPr>
        <w:spacing w:line="440" w:lineRule="exact"/>
        <w:rPr>
          <w:rFonts w:hint="eastAsia" w:ascii="宋体" w:hAnsi="宋体"/>
          <w:b/>
          <w:sz w:val="40"/>
          <w:szCs w:val="32"/>
          <w:highlight w:val="none"/>
        </w:rPr>
      </w:pPr>
    </w:p>
    <w:p w14:paraId="644525DE">
      <w:pPr>
        <w:pStyle w:val="117"/>
        <w:spacing w:after="0"/>
        <w:ind w:left="0" w:leftChars="0" w:firstLine="3" w:firstLineChars="1"/>
        <w:jc w:val="center"/>
        <w:outlineLvl w:val="1"/>
        <w:rPr>
          <w:rFonts w:hint="eastAsia" w:ascii="宋体" w:hAnsi="宋体"/>
          <w:b/>
          <w:sz w:val="32"/>
          <w:szCs w:val="32"/>
          <w:highlight w:val="none"/>
        </w:rPr>
      </w:pPr>
      <w:r>
        <w:rPr>
          <w:rFonts w:ascii="宋体" w:hAnsi="宋体"/>
          <w:b/>
          <w:sz w:val="32"/>
          <w:szCs w:val="32"/>
          <w:highlight w:val="none"/>
        </w:rPr>
        <w:br w:type="page"/>
      </w:r>
    </w:p>
    <w:p w14:paraId="4BCA9E66">
      <w:pPr>
        <w:pStyle w:val="116"/>
        <w:rPr>
          <w:highlight w:val="none"/>
        </w:rPr>
      </w:pPr>
    </w:p>
    <w:p w14:paraId="372B8659">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十一、售后服务</w:t>
      </w:r>
    </w:p>
    <w:p w14:paraId="1BCDCF43">
      <w:pPr>
        <w:rPr>
          <w:highlight w:val="none"/>
        </w:rPr>
      </w:pPr>
    </w:p>
    <w:p w14:paraId="41950964">
      <w:pPr>
        <w:pStyle w:val="11"/>
        <w:rPr>
          <w:highlight w:val="none"/>
        </w:rPr>
      </w:pPr>
      <w:r>
        <w:rPr>
          <w:rFonts w:hint="eastAsia"/>
          <w:b/>
          <w:bCs/>
          <w:sz w:val="24"/>
          <w:szCs w:val="24"/>
          <w:highlight w:val="none"/>
        </w:rPr>
        <w:t>（格式自拟）</w:t>
      </w:r>
    </w:p>
    <w:p w14:paraId="0D96292F">
      <w:pPr>
        <w:pStyle w:val="114"/>
        <w:rPr>
          <w:highlight w:val="none"/>
        </w:rPr>
      </w:pPr>
    </w:p>
    <w:p w14:paraId="54B69A1C">
      <w:pPr>
        <w:pStyle w:val="114"/>
        <w:rPr>
          <w:highlight w:val="none"/>
        </w:rPr>
      </w:pPr>
    </w:p>
    <w:p w14:paraId="7C42FA30">
      <w:pPr>
        <w:pStyle w:val="114"/>
        <w:rPr>
          <w:highlight w:val="none"/>
        </w:rPr>
      </w:pPr>
    </w:p>
    <w:p w14:paraId="3084F15C">
      <w:pPr>
        <w:pStyle w:val="114"/>
        <w:rPr>
          <w:highlight w:val="none"/>
        </w:rPr>
      </w:pPr>
    </w:p>
    <w:p w14:paraId="772C1BE1">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十二、项目实施方案</w:t>
      </w:r>
    </w:p>
    <w:p w14:paraId="72366F30">
      <w:pPr>
        <w:pStyle w:val="11"/>
        <w:rPr>
          <w:b/>
          <w:bCs/>
          <w:sz w:val="24"/>
          <w:szCs w:val="24"/>
          <w:highlight w:val="none"/>
        </w:rPr>
      </w:pPr>
      <w:r>
        <w:rPr>
          <w:rFonts w:hint="eastAsia"/>
          <w:b/>
          <w:bCs/>
          <w:sz w:val="24"/>
          <w:szCs w:val="24"/>
          <w:highlight w:val="none"/>
        </w:rPr>
        <w:t>（格式自拟）</w:t>
      </w:r>
    </w:p>
    <w:p w14:paraId="2D54665F">
      <w:pPr>
        <w:pStyle w:val="114"/>
        <w:rPr>
          <w:highlight w:val="none"/>
        </w:rPr>
      </w:pPr>
    </w:p>
    <w:p w14:paraId="19E80D93">
      <w:pPr>
        <w:pStyle w:val="114"/>
        <w:rPr>
          <w:highlight w:val="none"/>
        </w:rPr>
      </w:pPr>
    </w:p>
    <w:p w14:paraId="765D89AE">
      <w:pPr>
        <w:pStyle w:val="114"/>
        <w:rPr>
          <w:highlight w:val="none"/>
        </w:rPr>
      </w:pPr>
    </w:p>
    <w:p w14:paraId="7D77CAC6">
      <w:pPr>
        <w:pStyle w:val="114"/>
        <w:rPr>
          <w:highlight w:val="none"/>
        </w:rPr>
      </w:pPr>
    </w:p>
    <w:p w14:paraId="77AB03CA">
      <w:pPr>
        <w:pStyle w:val="114"/>
        <w:rPr>
          <w:highlight w:val="none"/>
        </w:rPr>
      </w:pPr>
    </w:p>
    <w:p w14:paraId="76BD51F1">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十三、业绩</w:t>
      </w:r>
    </w:p>
    <w:p w14:paraId="57FD8A9A">
      <w:pPr>
        <w:pStyle w:val="10"/>
        <w:rPr>
          <w:highlight w:val="none"/>
        </w:rPr>
      </w:pPr>
    </w:p>
    <w:p w14:paraId="34BB201F">
      <w:pPr>
        <w:pStyle w:val="11"/>
        <w:rPr>
          <w:b/>
          <w:bCs/>
          <w:sz w:val="24"/>
          <w:szCs w:val="24"/>
          <w:highlight w:val="none"/>
        </w:rPr>
      </w:pPr>
      <w:r>
        <w:rPr>
          <w:rFonts w:hint="eastAsia"/>
          <w:b/>
          <w:bCs/>
          <w:sz w:val="24"/>
          <w:szCs w:val="24"/>
          <w:highlight w:val="none"/>
        </w:rPr>
        <w:t>（格式自拟）</w:t>
      </w:r>
    </w:p>
    <w:p w14:paraId="09CC0781">
      <w:pPr>
        <w:pStyle w:val="11"/>
        <w:ind w:left="0" w:leftChars="0" w:firstLine="0"/>
        <w:jc w:val="center"/>
        <w:rPr>
          <w:b/>
          <w:bCs/>
          <w:sz w:val="24"/>
          <w:szCs w:val="24"/>
          <w:highlight w:val="none"/>
        </w:rPr>
      </w:pPr>
    </w:p>
    <w:p w14:paraId="734882DA">
      <w:pPr>
        <w:pStyle w:val="11"/>
        <w:ind w:left="0" w:leftChars="0" w:firstLine="0"/>
        <w:jc w:val="center"/>
        <w:rPr>
          <w:b/>
          <w:bCs/>
          <w:sz w:val="24"/>
          <w:szCs w:val="24"/>
          <w:highlight w:val="none"/>
        </w:rPr>
      </w:pPr>
    </w:p>
    <w:p w14:paraId="3FD0DEBB">
      <w:pPr>
        <w:pStyle w:val="11"/>
        <w:ind w:left="0" w:leftChars="0" w:firstLine="0"/>
        <w:jc w:val="center"/>
        <w:rPr>
          <w:b/>
          <w:bCs/>
          <w:sz w:val="24"/>
          <w:szCs w:val="24"/>
          <w:highlight w:val="none"/>
        </w:rPr>
      </w:pPr>
    </w:p>
    <w:p w14:paraId="4AFD7763">
      <w:pPr>
        <w:pStyle w:val="11"/>
        <w:ind w:left="0" w:leftChars="0" w:firstLine="0"/>
        <w:jc w:val="center"/>
        <w:rPr>
          <w:b/>
          <w:bCs/>
          <w:sz w:val="24"/>
          <w:szCs w:val="24"/>
          <w:highlight w:val="none"/>
        </w:rPr>
      </w:pPr>
    </w:p>
    <w:p w14:paraId="78D9E76E">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十四、资格审查文件</w:t>
      </w:r>
    </w:p>
    <w:p w14:paraId="5A905853">
      <w:pPr>
        <w:pStyle w:val="10"/>
        <w:ind w:left="0" w:leftChars="0"/>
        <w:rPr>
          <w:sz w:val="24"/>
          <w:szCs w:val="24"/>
          <w:highlight w:val="none"/>
        </w:rPr>
      </w:pPr>
      <w:r>
        <w:rPr>
          <w:rFonts w:hint="eastAsia"/>
          <w:sz w:val="24"/>
          <w:szCs w:val="24"/>
          <w:highlight w:val="none"/>
        </w:rPr>
        <w:t>供应商需按照资格审查要求提供资格审查文件。</w:t>
      </w:r>
    </w:p>
    <w:p w14:paraId="6E99619C">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0D428860">
      <w:pPr>
        <w:spacing w:line="276" w:lineRule="auto"/>
        <w:ind w:left="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p>
    <w:p w14:paraId="4C76712A">
      <w:pPr>
        <w:pStyle w:val="20"/>
        <w:rPr>
          <w:highlight w:val="none"/>
        </w:rPr>
      </w:pPr>
    </w:p>
    <w:p w14:paraId="76E02B20">
      <w:pPr>
        <w:spacing w:line="360" w:lineRule="exact"/>
        <w:rPr>
          <w:b/>
          <w:bCs/>
          <w:highlight w:val="none"/>
        </w:rPr>
      </w:pPr>
      <w:r>
        <w:rPr>
          <w:rFonts w:hint="eastAsia"/>
          <w:highlight w:val="none"/>
        </w:rPr>
        <w:br w:type="page"/>
      </w:r>
      <w:r>
        <w:rPr>
          <w:rFonts w:hint="eastAsia"/>
          <w:b/>
          <w:bCs/>
          <w:highlight w:val="none"/>
        </w:rPr>
        <w:t xml:space="preserve">附件1 </w:t>
      </w:r>
    </w:p>
    <w:p w14:paraId="10E366C9">
      <w:pPr>
        <w:widowControl/>
        <w:ind w:firstLine="562" w:firstLineChars="200"/>
        <w:jc w:val="left"/>
        <w:rPr>
          <w:rStyle w:val="27"/>
          <w:rFonts w:hint="eastAsia" w:ascii="宋体" w:hAnsi="宋体" w:cs="宋体"/>
          <w:kern w:val="0"/>
          <w:sz w:val="28"/>
          <w:szCs w:val="28"/>
          <w:highlight w:val="none"/>
          <w:lang w:bidi="ar"/>
        </w:rPr>
      </w:pPr>
    </w:p>
    <w:p w14:paraId="7EEADFBE">
      <w:pPr>
        <w:widowControl/>
        <w:ind w:firstLine="482" w:firstLineChars="200"/>
        <w:jc w:val="left"/>
        <w:rPr>
          <w:rStyle w:val="27"/>
          <w:rFonts w:hint="eastAsia" w:ascii="宋体" w:hAnsi="宋体" w:cs="宋体"/>
          <w:kern w:val="0"/>
          <w:sz w:val="24"/>
          <w:szCs w:val="24"/>
          <w:highlight w:val="none"/>
          <w:lang w:bidi="ar"/>
        </w:rPr>
      </w:pPr>
      <w:r>
        <w:rPr>
          <w:rStyle w:val="27"/>
          <w:rFonts w:hint="eastAsia" w:ascii="宋体" w:hAnsi="宋体" w:cs="宋体"/>
          <w:kern w:val="0"/>
          <w:sz w:val="24"/>
          <w:szCs w:val="24"/>
          <w:highlight w:val="none"/>
          <w:lang w:bidi="ar"/>
        </w:rPr>
        <w:t>（一）关于“中小企业声明函”的填写要求</w:t>
      </w:r>
    </w:p>
    <w:p w14:paraId="13967B1B">
      <w:pPr>
        <w:widowControl/>
        <w:spacing w:line="360" w:lineRule="auto"/>
        <w:ind w:firstLine="480" w:firstLineChars="200"/>
        <w:jc w:val="left"/>
        <w:rPr>
          <w:rFonts w:hint="eastAsia" w:ascii="宋体" w:hAnsi="宋体" w:cs="宋体"/>
          <w:kern w:val="0"/>
          <w:sz w:val="24"/>
          <w:szCs w:val="24"/>
          <w:highlight w:val="none"/>
          <w:lang w:bidi="ar"/>
        </w:rPr>
      </w:pP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中小企业声明函”具体填写要求如下：</w:t>
      </w:r>
    </w:p>
    <w:p w14:paraId="0EFD70AF">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1.“单位名称”应填写采购人名称。</w:t>
      </w:r>
    </w:p>
    <w:p w14:paraId="2BD8B40E">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338045B1">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5AFE7183">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4.“采购文件中明确的所属行业”应填写采购文件中明确的采购标的所属行业。</w:t>
      </w:r>
    </w:p>
    <w:p w14:paraId="6E55A31A">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对于分包方式面向中小企业采购的项目，“采购文件中明确的所属行业”应按照采购文件中注明的分包给中小企业的采购标的所属行业填写。</w:t>
      </w:r>
    </w:p>
    <w:p w14:paraId="665F079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对于以联合体方式面向中小企业采购的项目，“采购文件中明确的所属行业”应按照采购文件中注明的联合体中中小企业承担的采购标的所属行业填写。</w:t>
      </w:r>
    </w:p>
    <w:p w14:paraId="66B3227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5.“企业名称”应填写投标（响应）的货物制造商/服务承接商/工程承建商（根据项目属性确定）。</w:t>
      </w:r>
    </w:p>
    <w:p w14:paraId="013E1DAE">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对于分包方式面向中小企业采购的项目，“企业名称”应填写分包部分采购标的对应的货物制造商/服务承接商/工程承建商（根据项目属性确定）。</w:t>
      </w:r>
    </w:p>
    <w:p w14:paraId="470545A5">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对于以联合体方式面向中小企业采购的项目，“企业名称”应填写联合体中中小企业承担采购标的对应的货物制造商/服务承接商/工程承建商（根据项目属性确定）。</w:t>
      </w:r>
    </w:p>
    <w:p w14:paraId="304DB5F1">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6.从业人员、资产总额指标以上年度末数据为依据，营业收入指标以上年度累计数据为依据。无上年度数据的新成立企业可不填报。</w:t>
      </w:r>
    </w:p>
    <w:p w14:paraId="3049AC2E">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7.“中型企业/小型企业/微型企业”部分，供应商应依据企业上年度从业人员、营业收入、资产总额等指标，按照《中小企业划型标准规定》（工信部联企业〔2011〕300号），判断“中小企业声明函”载明的货物制造商/服务承接商/工程承建商（根据项目属性确定）是否属于采购文件所属行业的中型企业/小型企业/微型企业。</w:t>
      </w:r>
    </w:p>
    <w:p w14:paraId="155F1B15">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8. 从业人员、营业收入、资产总额应按照上年度末实际情况填报，并应确保在争议纠纷处理时，可提供相关数据的来源依据。</w:t>
      </w:r>
    </w:p>
    <w:p w14:paraId="7C9EBB35">
      <w:pPr>
        <w:widowControl/>
        <w:ind w:firstLine="422" w:firstLineChars="200"/>
        <w:jc w:val="left"/>
        <w:rPr>
          <w:b/>
          <w:bCs/>
          <w:highlight w:val="none"/>
          <w:lang w:bidi="ar"/>
        </w:rPr>
      </w:pPr>
      <w:r>
        <w:rPr>
          <w:b/>
          <w:bCs/>
          <w:highlight w:val="none"/>
          <w:lang w:bidi="ar"/>
        </w:rPr>
        <w:t>（二）关于</w:t>
      </w:r>
      <w:r>
        <w:rPr>
          <w:rFonts w:ascii="宋体" w:hAnsi="宋体"/>
          <w:b/>
          <w:bCs/>
          <w:highlight w:val="none"/>
          <w:lang w:bidi="ar"/>
        </w:rPr>
        <w:t>“</w:t>
      </w:r>
      <w:r>
        <w:rPr>
          <w:b/>
          <w:bCs/>
          <w:sz w:val="24"/>
          <w:highlight w:val="none"/>
          <w:lang w:bidi="ar"/>
        </w:rPr>
        <w:t>中小企业声明</w:t>
      </w:r>
      <w:r>
        <w:rPr>
          <w:b/>
          <w:bCs/>
          <w:highlight w:val="none"/>
          <w:lang w:bidi="ar"/>
        </w:rPr>
        <w:t>函</w:t>
      </w:r>
      <w:r>
        <w:rPr>
          <w:rFonts w:ascii="宋体" w:hAnsi="宋体"/>
          <w:b/>
          <w:bCs/>
          <w:highlight w:val="none"/>
          <w:lang w:bidi="ar"/>
        </w:rPr>
        <w:t>”</w:t>
      </w:r>
      <w:r>
        <w:rPr>
          <w:b/>
          <w:bCs/>
          <w:highlight w:val="none"/>
          <w:lang w:bidi="ar"/>
        </w:rPr>
        <w:t>的提交要求</w:t>
      </w:r>
    </w:p>
    <w:p w14:paraId="7080E480">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投标（响应）供应商对“中小企业声明函”的真实性负责。投标（响应）供应商应当核实投标（响应）的货物制造商/服务承接商/工程承建商（根据项目属性确定）的相关信息，如对相关信息了解不充分，或者不能确定相关信息真实、准确的，不建议出具“中小企业声明函”。</w:t>
      </w:r>
    </w:p>
    <w:p w14:paraId="1BCAF345">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2.鼓励供应商在投标（响应）时一并提供对货物制造商、服务承接商、工程承建商相关信息的核实核验情况以及其他佐证材料。</w:t>
      </w:r>
    </w:p>
    <w:p w14:paraId="53E35FC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如供应商提供的“中小企业声明函”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4DE3A98">
      <w:pPr>
        <w:rPr>
          <w:rFonts w:hint="eastAsia" w:ascii="宋体" w:hAnsi="宋体" w:cs="宋体"/>
          <w:kern w:val="0"/>
          <w:sz w:val="24"/>
          <w:szCs w:val="24"/>
          <w:highlight w:val="none"/>
          <w:lang w:bidi="ar"/>
        </w:rPr>
      </w:pPr>
    </w:p>
    <w:p w14:paraId="6C7AC93C">
      <w:pPr>
        <w:spacing w:line="360" w:lineRule="exact"/>
        <w:rPr>
          <w:b/>
          <w:bCs/>
          <w:highlight w:val="none"/>
        </w:rPr>
      </w:pPr>
      <w:r>
        <w:rPr>
          <w:rFonts w:hint="eastAsia" w:ascii="宋体" w:hAnsi="宋体" w:cs="宋体"/>
          <w:kern w:val="0"/>
          <w:sz w:val="24"/>
          <w:szCs w:val="24"/>
          <w:highlight w:val="none"/>
          <w:lang w:bidi="ar"/>
        </w:rPr>
        <w:br w:type="page"/>
      </w:r>
      <w:r>
        <w:rPr>
          <w:rFonts w:hint="eastAsia"/>
          <w:b/>
          <w:bCs/>
          <w:highlight w:val="none"/>
        </w:rPr>
        <w:t>附件2：</w:t>
      </w:r>
    </w:p>
    <w:p w14:paraId="3D86F1D7">
      <w:pPr>
        <w:pStyle w:val="13"/>
        <w:jc w:val="center"/>
        <w:rPr>
          <w:rFonts w:hint="eastAsia" w:hAnsi="宋体" w:cs="宋体"/>
          <w:b/>
          <w:sz w:val="32"/>
          <w:szCs w:val="32"/>
          <w:highlight w:val="none"/>
        </w:rPr>
      </w:pPr>
      <w:r>
        <w:rPr>
          <w:rFonts w:hint="eastAsia" w:hAnsi="宋体" w:cs="宋体"/>
          <w:b/>
          <w:sz w:val="32"/>
          <w:szCs w:val="32"/>
          <w:highlight w:val="none"/>
        </w:rPr>
        <w:t>关于印发中小企业划型标准规定的通知</w:t>
      </w:r>
    </w:p>
    <w:p w14:paraId="7CF8A66F">
      <w:pPr>
        <w:spacing w:line="360" w:lineRule="exact"/>
        <w:jc w:val="center"/>
        <w:rPr>
          <w:rStyle w:val="27"/>
          <w:rFonts w:hint="eastAsia" w:ascii="宋体" w:hAnsi="宋体" w:cs="宋体"/>
          <w:b w:val="0"/>
          <w:sz w:val="24"/>
          <w:szCs w:val="24"/>
          <w:highlight w:val="none"/>
        </w:rPr>
      </w:pPr>
      <w:r>
        <w:rPr>
          <w:rStyle w:val="27"/>
          <w:rFonts w:hint="eastAsia" w:ascii="宋体" w:hAnsi="宋体" w:cs="宋体"/>
          <w:b w:val="0"/>
          <w:sz w:val="24"/>
          <w:szCs w:val="24"/>
          <w:highlight w:val="none"/>
        </w:rPr>
        <w:t>工信部联企业〔2011〕300号</w:t>
      </w:r>
    </w:p>
    <w:p w14:paraId="6A15EEA7">
      <w:pPr>
        <w:spacing w:line="360" w:lineRule="exact"/>
        <w:jc w:val="center"/>
        <w:rPr>
          <w:rStyle w:val="27"/>
          <w:rFonts w:hint="eastAsia" w:ascii="宋体" w:hAnsi="宋体" w:cs="宋体"/>
          <w:b w:val="0"/>
          <w:sz w:val="24"/>
          <w:szCs w:val="24"/>
          <w:highlight w:val="none"/>
        </w:rPr>
      </w:pPr>
    </w:p>
    <w:p w14:paraId="66716019">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sz w:val="24"/>
          <w:szCs w:val="24"/>
          <w:highlight w:val="none"/>
        </w:rPr>
        <w:t>各省、自治区、直辖市</w:t>
      </w:r>
      <w:r>
        <w:rPr>
          <w:rStyle w:val="27"/>
          <w:rFonts w:hint="eastAsia" w:ascii="宋体" w:hAnsi="宋体" w:cs="宋体"/>
          <w:b w:val="0"/>
          <w:bCs w:val="0"/>
          <w:sz w:val="24"/>
          <w:szCs w:val="24"/>
          <w:highlight w:val="none"/>
        </w:rPr>
        <w:t>人民政府，国务院各部委、各直属机构及有关单位：</w:t>
      </w:r>
    </w:p>
    <w:p w14:paraId="26807A59">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9E264F3">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工业和信息化部　国家统计局</w:t>
      </w:r>
    </w:p>
    <w:p w14:paraId="6D479617">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国家发展和改革委员会　财政部</w:t>
      </w:r>
    </w:p>
    <w:p w14:paraId="6E55EC0F">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二○一一年六月十八日</w:t>
      </w:r>
    </w:p>
    <w:p w14:paraId="714DF774">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xml:space="preserve"> </w:t>
      </w:r>
    </w:p>
    <w:p w14:paraId="571B0EA8">
      <w:pPr>
        <w:spacing w:line="400" w:lineRule="exact"/>
        <w:jc w:val="center"/>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中小企业划型标准规定</w:t>
      </w:r>
    </w:p>
    <w:p w14:paraId="440E2410">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一、根据《中华人民共和国中小企业促进法》和《国务院关于进一步促进中小企业发展的若干意见》(国发〔2009〕36号)，制定本规定。</w:t>
      </w:r>
    </w:p>
    <w:p w14:paraId="6D8A5C44">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二、中小企业划分为中型、小型、微型三种类型，具体标准根据企业从业人员、营业收入、资产总额等指标，结合行业特点制定。</w:t>
      </w:r>
    </w:p>
    <w:p w14:paraId="70029077">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D6D177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四、各行业划型标准为：</w:t>
      </w:r>
    </w:p>
    <w:p w14:paraId="4D2B3D20">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0ED4D43D">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w:t>
      </w:r>
      <w:r>
        <w:rPr>
          <w:rStyle w:val="27"/>
          <w:rFonts w:hint="eastAsia" w:ascii="宋体" w:hAnsi="宋体" w:cs="宋体"/>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5DED2F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4F5CE4">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AB5B8A">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BE38644">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2A29CF8">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36CADC3">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B52D940">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46523B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174D63">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400B41E">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A0AC4FC">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A33A21B">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9DEC63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2680999">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2C44FA97">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五、企业类型的划分以统计部门的统计数据为依据。</w:t>
      </w:r>
    </w:p>
    <w:p w14:paraId="6D4E3BA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六、本规定适用于在中华人民共和国境内依法设立的各类所有制和各种组织形式的企业。个体工商户和本规定以外的行业，参照本规定进行划型。</w:t>
      </w:r>
    </w:p>
    <w:p w14:paraId="6D5497B1">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614C4986">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八、本规定由工业和信息化部、国家统计局会同有关部门根据《国民经济行业分类》修订情况和企业发展变化情况适时修订。</w:t>
      </w:r>
    </w:p>
    <w:p w14:paraId="46AD8CF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九、本规定由工业和信息化部、国家统计局会同有关部门负责解释。</w:t>
      </w:r>
    </w:p>
    <w:p w14:paraId="0B06DB05">
      <w:pPr>
        <w:spacing w:line="400" w:lineRule="exact"/>
        <w:rPr>
          <w:rFonts w:cs="宋体"/>
          <w:spacing w:val="6"/>
          <w:szCs w:val="21"/>
          <w:highlight w:val="none"/>
        </w:rPr>
      </w:pPr>
      <w:r>
        <w:rPr>
          <w:rStyle w:val="27"/>
          <w:rFonts w:hint="eastAsia" w:ascii="宋体" w:hAnsi="宋体" w:cs="宋体"/>
          <w:b w:val="0"/>
          <w:bCs w:val="0"/>
          <w:sz w:val="24"/>
          <w:szCs w:val="24"/>
          <w:highlight w:val="none"/>
        </w:rPr>
        <w:t>十、本规定自发布之日起执行，原国家经贸委、原国家计委、财政部和国家统计局2003年颁布的《中小企业标准暂行规定》同时废止。</w:t>
      </w:r>
    </w:p>
    <w:p w14:paraId="210D1421">
      <w:pPr>
        <w:widowControl/>
        <w:spacing w:line="480" w:lineRule="atLeast"/>
        <w:ind w:firstLine="480"/>
        <w:jc w:val="left"/>
        <w:rPr>
          <w:rFonts w:hint="eastAsia" w:ascii="仿宋" w:hAnsi="仿宋" w:eastAsia="仿宋" w:cs="宋体"/>
          <w:kern w:val="0"/>
          <w:sz w:val="24"/>
          <w:highlight w:val="none"/>
        </w:rPr>
      </w:pPr>
    </w:p>
    <w:p w14:paraId="0DC9EA24">
      <w:pPr>
        <w:tabs>
          <w:tab w:val="left" w:pos="1929"/>
        </w:tabs>
        <w:rPr>
          <w:highlight w:val="none"/>
        </w:rPr>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Courier">
    <w:altName w:val="Courier New"/>
    <w:panose1 w:val="02060409020205020404"/>
    <w:charset w:val="00"/>
    <w:family w:val="modern"/>
    <w:pitch w:val="default"/>
    <w:sig w:usb0="00000000" w:usb1="00000000" w:usb2="00000000" w:usb3="00000000" w:csb0="00000093" w:csb1="00000000"/>
  </w:font>
  <w:font w:name="Mincho">
    <w:altName w:val="Segoe Print"/>
    <w:panose1 w:val="02020609040305080305"/>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Segoe UI Emoji">
    <w:panose1 w:val="020B0502040204020203"/>
    <w:charset w:val="00"/>
    <w:family w:val="swiss"/>
    <w:pitch w:val="default"/>
    <w:sig w:usb0="00000001" w:usb1="02000000" w:usb2="08000000" w:usb3="00000000" w:csb0="00000001" w:csb1="00000000"/>
  </w:font>
  <w:font w:name="微软雅黑">
    <w:panose1 w:val="020B0503020204020204"/>
    <w:charset w:val="86"/>
    <w:family w:val="swiss"/>
    <w:pitch w:val="default"/>
    <w:sig w:usb0="80000287" w:usb1="2ACF3C50" w:usb2="00000016" w:usb3="00000000" w:csb0="0004001F" w:csb1="00000000"/>
  </w:font>
  <w:font w:name="仿宋-简">
    <w:altName w:val="仿宋"/>
    <w:panose1 w:val="00000000000000000000"/>
    <w:charset w:val="86"/>
    <w:family w:val="auto"/>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15C83">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A73716">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0BA7371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B3FD0">
    <w:pPr>
      <w:pStyle w:val="17"/>
      <w:framePr w:wrap="around" w:vAnchor="text" w:hAnchor="margin" w:xAlign="center" w:y="1"/>
      <w:rPr>
        <w:rStyle w:val="28"/>
      </w:rPr>
    </w:pPr>
    <w:r>
      <w:fldChar w:fldCharType="begin"/>
    </w:r>
    <w:r>
      <w:rPr>
        <w:rStyle w:val="28"/>
      </w:rPr>
      <w:instrText xml:space="preserve">PAGE  </w:instrText>
    </w:r>
    <w:r>
      <w:fldChar w:fldCharType="end"/>
    </w:r>
  </w:p>
  <w:p w14:paraId="4B6BF883">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FAA73">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58A9E49">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758A9E49">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41BAE03C">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2D3BD">
    <w:pPr>
      <w:pStyle w:val="17"/>
      <w:framePr w:wrap="around" w:vAnchor="text" w:hAnchor="margin" w:xAlign="center" w:y="1"/>
      <w:rPr>
        <w:rStyle w:val="28"/>
      </w:rPr>
    </w:pPr>
    <w:r>
      <w:fldChar w:fldCharType="begin"/>
    </w:r>
    <w:r>
      <w:rPr>
        <w:rStyle w:val="28"/>
      </w:rPr>
      <w:instrText xml:space="preserve">PAGE  </w:instrText>
    </w:r>
    <w:r>
      <w:fldChar w:fldCharType="end"/>
    </w:r>
  </w:p>
  <w:p w14:paraId="6A11B12E">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31EAB">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24853">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FEAFB">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FF3D">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CB83">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35C20">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B0F5A">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F99A89"/>
    <w:multiLevelType w:val="singleLevel"/>
    <w:tmpl w:val="D1F99A89"/>
    <w:lvl w:ilvl="0" w:tentative="0">
      <w:start w:val="7"/>
      <w:numFmt w:val="decimal"/>
      <w:suff w:val="nothing"/>
      <w:lvlText w:val="%1、"/>
      <w:lvlJc w:val="left"/>
    </w:lvl>
  </w:abstractNum>
  <w:abstractNum w:abstractNumId="1">
    <w:nsid w:val="079219E3"/>
    <w:multiLevelType w:val="multilevel"/>
    <w:tmpl w:val="079219E3"/>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167474B"/>
    <w:multiLevelType w:val="multilevel"/>
    <w:tmpl w:val="1167474B"/>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1938CAF5"/>
    <w:multiLevelType w:val="singleLevel"/>
    <w:tmpl w:val="1938CAF5"/>
    <w:lvl w:ilvl="0" w:tentative="0">
      <w:start w:val="3"/>
      <w:numFmt w:val="decimal"/>
      <w:suff w:val="space"/>
      <w:lvlText w:val="%1."/>
      <w:lvlJc w:val="left"/>
    </w:lvl>
  </w:abstractNum>
  <w:abstractNum w:abstractNumId="5">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abstractNum w:abstractNumId="6">
    <w:nsid w:val="64043140"/>
    <w:multiLevelType w:val="multilevel"/>
    <w:tmpl w:val="64043140"/>
    <w:lvl w:ilvl="0" w:tentative="0">
      <w:start w:val="1"/>
      <w:numFmt w:val="decimal"/>
      <w:lvlText w:val="%1."/>
      <w:lvlJc w:val="left"/>
      <w:pPr>
        <w:tabs>
          <w:tab w:val="left" w:pos="420"/>
        </w:tabs>
        <w:ind w:left="420" w:hanging="420"/>
      </w:pPr>
      <w:rPr>
        <w:rFonts w:hint="eastAsia"/>
        <w:b/>
      </w:rPr>
    </w:lvl>
    <w:lvl w:ilvl="1" w:tentative="0">
      <w:start w:val="1"/>
      <w:numFmt w:val="decimal"/>
      <w:isLgl/>
      <w:lvlText w:val="%1.%2"/>
      <w:lvlJc w:val="left"/>
      <w:pPr>
        <w:tabs>
          <w:tab w:val="left" w:pos="420"/>
        </w:tabs>
        <w:ind w:left="420" w:hanging="420"/>
      </w:pPr>
      <w:rPr>
        <w:rFonts w:hint="eastAsia"/>
        <w:b w:val="0"/>
        <w:color w:val="000000"/>
        <w:sz w:val="21"/>
        <w:szCs w:val="21"/>
      </w:rPr>
    </w:lvl>
    <w:lvl w:ilvl="2" w:tentative="0">
      <w:start w:val="1"/>
      <w:numFmt w:val="decimal"/>
      <w:isLgl/>
      <w:lvlText w:val="%1.%2.%3"/>
      <w:lvlJc w:val="left"/>
      <w:pPr>
        <w:tabs>
          <w:tab w:val="left" w:pos="720"/>
        </w:tabs>
        <w:ind w:left="720" w:hanging="720"/>
      </w:pPr>
      <w:rPr>
        <w:rFonts w:hint="default" w:ascii="Times New Roman" w:hAnsi="Times New Roman" w:cs="Times New Roman"/>
        <w:color w:val="000000"/>
      </w:rPr>
    </w:lvl>
    <w:lvl w:ilvl="3" w:tentative="0">
      <w:start w:val="1"/>
      <w:numFmt w:val="decimal"/>
      <w:isLgl/>
      <w:lvlText w:val="%1.%2.%3.%4"/>
      <w:lvlJc w:val="left"/>
      <w:pPr>
        <w:tabs>
          <w:tab w:val="left" w:pos="720"/>
        </w:tabs>
        <w:ind w:left="720" w:hanging="72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080"/>
        </w:tabs>
        <w:ind w:left="1080" w:hanging="108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440"/>
        </w:tabs>
        <w:ind w:left="1440" w:hanging="144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7">
    <w:nsid w:val="7812FE32"/>
    <w:multiLevelType w:val="singleLevel"/>
    <w:tmpl w:val="7812FE32"/>
    <w:lvl w:ilvl="0" w:tentative="0">
      <w:start w:val="1"/>
      <w:numFmt w:val="decimal"/>
      <w:lvlText w:val="%1."/>
      <w:lvlJc w:val="left"/>
      <w:pPr>
        <w:tabs>
          <w:tab w:val="left" w:pos="312"/>
        </w:tabs>
      </w:pPr>
    </w:lvl>
  </w:abstractNum>
  <w:abstractNum w:abstractNumId="8">
    <w:nsid w:val="7FC16E9E"/>
    <w:multiLevelType w:val="multilevel"/>
    <w:tmpl w:val="7FC16E9E"/>
    <w:lvl w:ilvl="0" w:tentative="0">
      <w:start w:val="1"/>
      <w:numFmt w:val="decimal"/>
      <w:lvlText w:val="%1．"/>
      <w:lvlJc w:val="left"/>
      <w:pPr>
        <w:tabs>
          <w:tab w:val="left" w:pos="540"/>
        </w:tabs>
        <w:ind w:left="54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5"/>
  </w:num>
  <w:num w:numId="3">
    <w:abstractNumId w:val="2"/>
  </w:num>
  <w:num w:numId="4">
    <w:abstractNumId w:val="1"/>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72"/>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17512"/>
    <w:rsid w:val="000200EF"/>
    <w:rsid w:val="00020F99"/>
    <w:rsid w:val="000214E5"/>
    <w:rsid w:val="00021580"/>
    <w:rsid w:val="00021826"/>
    <w:rsid w:val="00021D4C"/>
    <w:rsid w:val="00021DD1"/>
    <w:rsid w:val="00022402"/>
    <w:rsid w:val="0002253E"/>
    <w:rsid w:val="00022556"/>
    <w:rsid w:val="0002267A"/>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2AB"/>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46B"/>
    <w:rsid w:val="00046D90"/>
    <w:rsid w:val="00046F97"/>
    <w:rsid w:val="0004705F"/>
    <w:rsid w:val="00047902"/>
    <w:rsid w:val="00050527"/>
    <w:rsid w:val="000505FF"/>
    <w:rsid w:val="0005081A"/>
    <w:rsid w:val="0005094D"/>
    <w:rsid w:val="00050BA5"/>
    <w:rsid w:val="00051638"/>
    <w:rsid w:val="0005166A"/>
    <w:rsid w:val="00051D1F"/>
    <w:rsid w:val="000528C9"/>
    <w:rsid w:val="00052C67"/>
    <w:rsid w:val="00052C72"/>
    <w:rsid w:val="00052C96"/>
    <w:rsid w:val="0005343A"/>
    <w:rsid w:val="00053500"/>
    <w:rsid w:val="000536EE"/>
    <w:rsid w:val="00053D48"/>
    <w:rsid w:val="00053E30"/>
    <w:rsid w:val="000542FD"/>
    <w:rsid w:val="00054621"/>
    <w:rsid w:val="0005521A"/>
    <w:rsid w:val="000554A7"/>
    <w:rsid w:val="00055D55"/>
    <w:rsid w:val="0005650E"/>
    <w:rsid w:val="00056B3D"/>
    <w:rsid w:val="00057081"/>
    <w:rsid w:val="000571D6"/>
    <w:rsid w:val="0005777E"/>
    <w:rsid w:val="00057E72"/>
    <w:rsid w:val="00060493"/>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200"/>
    <w:rsid w:val="00066450"/>
    <w:rsid w:val="00066822"/>
    <w:rsid w:val="0006704B"/>
    <w:rsid w:val="00067AD3"/>
    <w:rsid w:val="00067BC6"/>
    <w:rsid w:val="0007037D"/>
    <w:rsid w:val="00070A3A"/>
    <w:rsid w:val="0007136C"/>
    <w:rsid w:val="00071F67"/>
    <w:rsid w:val="000720A6"/>
    <w:rsid w:val="000721BF"/>
    <w:rsid w:val="00072996"/>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0F9"/>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07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2F5"/>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24"/>
    <w:rsid w:val="000A28E1"/>
    <w:rsid w:val="000A2A3D"/>
    <w:rsid w:val="000A2C99"/>
    <w:rsid w:val="000A3331"/>
    <w:rsid w:val="000A3400"/>
    <w:rsid w:val="000A411F"/>
    <w:rsid w:val="000A4261"/>
    <w:rsid w:val="000A4627"/>
    <w:rsid w:val="000A4B04"/>
    <w:rsid w:val="000A5144"/>
    <w:rsid w:val="000A5177"/>
    <w:rsid w:val="000A52F5"/>
    <w:rsid w:val="000A530A"/>
    <w:rsid w:val="000A54AC"/>
    <w:rsid w:val="000A5763"/>
    <w:rsid w:val="000A581D"/>
    <w:rsid w:val="000A5A40"/>
    <w:rsid w:val="000A5FBA"/>
    <w:rsid w:val="000A6A56"/>
    <w:rsid w:val="000A6B6A"/>
    <w:rsid w:val="000A726E"/>
    <w:rsid w:val="000A7520"/>
    <w:rsid w:val="000A779D"/>
    <w:rsid w:val="000A7DBF"/>
    <w:rsid w:val="000A7E5F"/>
    <w:rsid w:val="000B090D"/>
    <w:rsid w:val="000B0AB7"/>
    <w:rsid w:val="000B0F50"/>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589"/>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3AA"/>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ABF"/>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1CF6"/>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98E"/>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697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25D"/>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2E94"/>
    <w:rsid w:val="0013422C"/>
    <w:rsid w:val="0013423D"/>
    <w:rsid w:val="00134991"/>
    <w:rsid w:val="00134A8B"/>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41B"/>
    <w:rsid w:val="00176C93"/>
    <w:rsid w:val="00176F1D"/>
    <w:rsid w:val="00177126"/>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14"/>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6879"/>
    <w:rsid w:val="001A7CAD"/>
    <w:rsid w:val="001B04CF"/>
    <w:rsid w:val="001B0BF3"/>
    <w:rsid w:val="001B1176"/>
    <w:rsid w:val="001B15B2"/>
    <w:rsid w:val="001B16F5"/>
    <w:rsid w:val="001B1D9D"/>
    <w:rsid w:val="001B213E"/>
    <w:rsid w:val="001B2815"/>
    <w:rsid w:val="001B2E51"/>
    <w:rsid w:val="001B424D"/>
    <w:rsid w:val="001B4ACF"/>
    <w:rsid w:val="001B4D39"/>
    <w:rsid w:val="001B4E01"/>
    <w:rsid w:val="001B55E0"/>
    <w:rsid w:val="001B5A2D"/>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85F"/>
    <w:rsid w:val="001C3D41"/>
    <w:rsid w:val="001C443D"/>
    <w:rsid w:val="001C447A"/>
    <w:rsid w:val="001C4956"/>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6BC"/>
    <w:rsid w:val="001E1810"/>
    <w:rsid w:val="001E1844"/>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6B9"/>
    <w:rsid w:val="0020190B"/>
    <w:rsid w:val="002021D9"/>
    <w:rsid w:val="00202602"/>
    <w:rsid w:val="002028CF"/>
    <w:rsid w:val="00202E45"/>
    <w:rsid w:val="002030AC"/>
    <w:rsid w:val="0020375A"/>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4DB0"/>
    <w:rsid w:val="002151DA"/>
    <w:rsid w:val="002156C1"/>
    <w:rsid w:val="00215A95"/>
    <w:rsid w:val="00215B8F"/>
    <w:rsid w:val="00215DE0"/>
    <w:rsid w:val="00216366"/>
    <w:rsid w:val="00216523"/>
    <w:rsid w:val="0021682B"/>
    <w:rsid w:val="002176D8"/>
    <w:rsid w:val="00217928"/>
    <w:rsid w:val="002209C3"/>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1B24"/>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6EFD"/>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6E1"/>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5EEB"/>
    <w:rsid w:val="002762A0"/>
    <w:rsid w:val="00276441"/>
    <w:rsid w:val="00277574"/>
    <w:rsid w:val="00277814"/>
    <w:rsid w:val="00277819"/>
    <w:rsid w:val="00277B5D"/>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5A"/>
    <w:rsid w:val="00287C7E"/>
    <w:rsid w:val="00287DE3"/>
    <w:rsid w:val="00287EE3"/>
    <w:rsid w:val="002903F6"/>
    <w:rsid w:val="00290459"/>
    <w:rsid w:val="00290907"/>
    <w:rsid w:val="002910DB"/>
    <w:rsid w:val="0029113A"/>
    <w:rsid w:val="002919BA"/>
    <w:rsid w:val="002924C6"/>
    <w:rsid w:val="00292611"/>
    <w:rsid w:val="002927C9"/>
    <w:rsid w:val="00292AB7"/>
    <w:rsid w:val="0029318A"/>
    <w:rsid w:val="00293416"/>
    <w:rsid w:val="00293604"/>
    <w:rsid w:val="00293658"/>
    <w:rsid w:val="0029385B"/>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1F2F"/>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B52"/>
    <w:rsid w:val="002C6E39"/>
    <w:rsid w:val="002C6E69"/>
    <w:rsid w:val="002C733C"/>
    <w:rsid w:val="002C747C"/>
    <w:rsid w:val="002C7682"/>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A55"/>
    <w:rsid w:val="002D5BA2"/>
    <w:rsid w:val="002D631B"/>
    <w:rsid w:val="002D6543"/>
    <w:rsid w:val="002D6836"/>
    <w:rsid w:val="002D6B84"/>
    <w:rsid w:val="002D6D2E"/>
    <w:rsid w:val="002D7D94"/>
    <w:rsid w:val="002D7E91"/>
    <w:rsid w:val="002E00D8"/>
    <w:rsid w:val="002E0284"/>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2F7B"/>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587"/>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A39"/>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E03"/>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643"/>
    <w:rsid w:val="003A420B"/>
    <w:rsid w:val="003A4353"/>
    <w:rsid w:val="003A4626"/>
    <w:rsid w:val="003A4FD1"/>
    <w:rsid w:val="003A51CC"/>
    <w:rsid w:val="003A5334"/>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0A9"/>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361"/>
    <w:rsid w:val="003C35B3"/>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2EFC"/>
    <w:rsid w:val="003D35F7"/>
    <w:rsid w:val="003D363A"/>
    <w:rsid w:val="003D3830"/>
    <w:rsid w:val="003D39BC"/>
    <w:rsid w:val="003D3E1B"/>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16E"/>
    <w:rsid w:val="003F4685"/>
    <w:rsid w:val="003F4A37"/>
    <w:rsid w:val="003F4E8E"/>
    <w:rsid w:val="003F5704"/>
    <w:rsid w:val="003F5EB2"/>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3907"/>
    <w:rsid w:val="004040DD"/>
    <w:rsid w:val="004042DE"/>
    <w:rsid w:val="00404646"/>
    <w:rsid w:val="00405007"/>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C85"/>
    <w:rsid w:val="00455D9E"/>
    <w:rsid w:val="004562B6"/>
    <w:rsid w:val="00456538"/>
    <w:rsid w:val="00456B2F"/>
    <w:rsid w:val="00456E19"/>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4194"/>
    <w:rsid w:val="00475E1A"/>
    <w:rsid w:val="004761E0"/>
    <w:rsid w:val="00476A05"/>
    <w:rsid w:val="00477D57"/>
    <w:rsid w:val="0048002C"/>
    <w:rsid w:val="004800AF"/>
    <w:rsid w:val="0048029E"/>
    <w:rsid w:val="0048069A"/>
    <w:rsid w:val="00480A4B"/>
    <w:rsid w:val="00481116"/>
    <w:rsid w:val="00481719"/>
    <w:rsid w:val="0048193A"/>
    <w:rsid w:val="00481F2D"/>
    <w:rsid w:val="00481F9C"/>
    <w:rsid w:val="004831C0"/>
    <w:rsid w:val="00483576"/>
    <w:rsid w:val="0048378A"/>
    <w:rsid w:val="00484617"/>
    <w:rsid w:val="004846E3"/>
    <w:rsid w:val="00484CE2"/>
    <w:rsid w:val="00485049"/>
    <w:rsid w:val="004851FE"/>
    <w:rsid w:val="0048547E"/>
    <w:rsid w:val="0048549E"/>
    <w:rsid w:val="00485E05"/>
    <w:rsid w:val="00486436"/>
    <w:rsid w:val="00486531"/>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4237"/>
    <w:rsid w:val="00494AF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1FE4"/>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3C9"/>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5E71"/>
    <w:rsid w:val="004D697A"/>
    <w:rsid w:val="004D7360"/>
    <w:rsid w:val="004D75FC"/>
    <w:rsid w:val="004D7624"/>
    <w:rsid w:val="004D7727"/>
    <w:rsid w:val="004E0356"/>
    <w:rsid w:val="004E0456"/>
    <w:rsid w:val="004E06E9"/>
    <w:rsid w:val="004E09F2"/>
    <w:rsid w:val="004E0C6D"/>
    <w:rsid w:val="004E0D6F"/>
    <w:rsid w:val="004E1208"/>
    <w:rsid w:val="004E12F2"/>
    <w:rsid w:val="004E15BE"/>
    <w:rsid w:val="004E19CA"/>
    <w:rsid w:val="004E1E34"/>
    <w:rsid w:val="004E1E7B"/>
    <w:rsid w:val="004E220E"/>
    <w:rsid w:val="004E2DC7"/>
    <w:rsid w:val="004E2E1F"/>
    <w:rsid w:val="004E2F31"/>
    <w:rsid w:val="004E300D"/>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215F"/>
    <w:rsid w:val="00503039"/>
    <w:rsid w:val="00504615"/>
    <w:rsid w:val="0050473E"/>
    <w:rsid w:val="0050525F"/>
    <w:rsid w:val="00505411"/>
    <w:rsid w:val="00505ADB"/>
    <w:rsid w:val="005062EE"/>
    <w:rsid w:val="00506624"/>
    <w:rsid w:val="005066ED"/>
    <w:rsid w:val="005069E4"/>
    <w:rsid w:val="00506FB8"/>
    <w:rsid w:val="005070EC"/>
    <w:rsid w:val="0050730E"/>
    <w:rsid w:val="00507356"/>
    <w:rsid w:val="00507ACB"/>
    <w:rsid w:val="00507B30"/>
    <w:rsid w:val="0051047C"/>
    <w:rsid w:val="005106B8"/>
    <w:rsid w:val="005106F2"/>
    <w:rsid w:val="005107D3"/>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77B"/>
    <w:rsid w:val="00520A7E"/>
    <w:rsid w:val="00520A81"/>
    <w:rsid w:val="00520E3F"/>
    <w:rsid w:val="005214E7"/>
    <w:rsid w:val="00521998"/>
    <w:rsid w:val="00521BC0"/>
    <w:rsid w:val="005230E0"/>
    <w:rsid w:val="00523589"/>
    <w:rsid w:val="005239C4"/>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5CF"/>
    <w:rsid w:val="005426E8"/>
    <w:rsid w:val="00542F18"/>
    <w:rsid w:val="0054304E"/>
    <w:rsid w:val="00543308"/>
    <w:rsid w:val="0054341E"/>
    <w:rsid w:val="00543427"/>
    <w:rsid w:val="00543726"/>
    <w:rsid w:val="00543822"/>
    <w:rsid w:val="005440BA"/>
    <w:rsid w:val="00544366"/>
    <w:rsid w:val="005445F7"/>
    <w:rsid w:val="005449A2"/>
    <w:rsid w:val="00544EBA"/>
    <w:rsid w:val="00545257"/>
    <w:rsid w:val="00545985"/>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25"/>
    <w:rsid w:val="00574CA0"/>
    <w:rsid w:val="00575306"/>
    <w:rsid w:val="0057593B"/>
    <w:rsid w:val="00575952"/>
    <w:rsid w:val="00575DC2"/>
    <w:rsid w:val="00576087"/>
    <w:rsid w:val="005761C8"/>
    <w:rsid w:val="00576224"/>
    <w:rsid w:val="0057670D"/>
    <w:rsid w:val="00576DC8"/>
    <w:rsid w:val="00576EC0"/>
    <w:rsid w:val="0057795C"/>
    <w:rsid w:val="00577D1D"/>
    <w:rsid w:val="00580191"/>
    <w:rsid w:val="00580679"/>
    <w:rsid w:val="00580F5C"/>
    <w:rsid w:val="00580F9D"/>
    <w:rsid w:val="005811EF"/>
    <w:rsid w:val="005811F8"/>
    <w:rsid w:val="00581209"/>
    <w:rsid w:val="0058122A"/>
    <w:rsid w:val="00581552"/>
    <w:rsid w:val="005816D3"/>
    <w:rsid w:val="00581A73"/>
    <w:rsid w:val="00581AB2"/>
    <w:rsid w:val="00582E47"/>
    <w:rsid w:val="00582F8B"/>
    <w:rsid w:val="00583945"/>
    <w:rsid w:val="00583B6D"/>
    <w:rsid w:val="00584065"/>
    <w:rsid w:val="0058443C"/>
    <w:rsid w:val="005844C5"/>
    <w:rsid w:val="0058458B"/>
    <w:rsid w:val="00584AF3"/>
    <w:rsid w:val="00584B88"/>
    <w:rsid w:val="00584EA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36"/>
    <w:rsid w:val="005A23AC"/>
    <w:rsid w:val="005A291A"/>
    <w:rsid w:val="005A2A52"/>
    <w:rsid w:val="005A37D9"/>
    <w:rsid w:val="005A37F9"/>
    <w:rsid w:val="005A3B06"/>
    <w:rsid w:val="005A400A"/>
    <w:rsid w:val="005A4293"/>
    <w:rsid w:val="005A441E"/>
    <w:rsid w:val="005A51CF"/>
    <w:rsid w:val="005A5B86"/>
    <w:rsid w:val="005A5DA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6CE4"/>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875"/>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1A59"/>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6D3"/>
    <w:rsid w:val="00605D12"/>
    <w:rsid w:val="00605F41"/>
    <w:rsid w:val="00606743"/>
    <w:rsid w:val="006068E7"/>
    <w:rsid w:val="00606986"/>
    <w:rsid w:val="00606C2F"/>
    <w:rsid w:val="00606F56"/>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2F63"/>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207"/>
    <w:rsid w:val="00640A3C"/>
    <w:rsid w:val="00641242"/>
    <w:rsid w:val="006416A1"/>
    <w:rsid w:val="00641754"/>
    <w:rsid w:val="00641B51"/>
    <w:rsid w:val="00641D43"/>
    <w:rsid w:val="00641F40"/>
    <w:rsid w:val="00642351"/>
    <w:rsid w:val="00642530"/>
    <w:rsid w:val="00642574"/>
    <w:rsid w:val="00642DC8"/>
    <w:rsid w:val="00643120"/>
    <w:rsid w:val="00643361"/>
    <w:rsid w:val="0064374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47AEA"/>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50D"/>
    <w:rsid w:val="00660618"/>
    <w:rsid w:val="00660F4F"/>
    <w:rsid w:val="0066147F"/>
    <w:rsid w:val="00661D33"/>
    <w:rsid w:val="00661F2C"/>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5DB"/>
    <w:rsid w:val="006727DF"/>
    <w:rsid w:val="006727F3"/>
    <w:rsid w:val="00672808"/>
    <w:rsid w:val="0067339E"/>
    <w:rsid w:val="006734D9"/>
    <w:rsid w:val="00673C6F"/>
    <w:rsid w:val="006740A3"/>
    <w:rsid w:val="0067410F"/>
    <w:rsid w:val="006743FE"/>
    <w:rsid w:val="0067442D"/>
    <w:rsid w:val="006752C8"/>
    <w:rsid w:val="006764FD"/>
    <w:rsid w:val="006766EF"/>
    <w:rsid w:val="00676D57"/>
    <w:rsid w:val="00676F19"/>
    <w:rsid w:val="00676F9D"/>
    <w:rsid w:val="00677079"/>
    <w:rsid w:val="00677719"/>
    <w:rsid w:val="00680424"/>
    <w:rsid w:val="00680B7D"/>
    <w:rsid w:val="00680D02"/>
    <w:rsid w:val="00680DE3"/>
    <w:rsid w:val="00680E6D"/>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771"/>
    <w:rsid w:val="006A282A"/>
    <w:rsid w:val="006A2CED"/>
    <w:rsid w:val="006A307A"/>
    <w:rsid w:val="006A3A04"/>
    <w:rsid w:val="006A3AC4"/>
    <w:rsid w:val="006A400A"/>
    <w:rsid w:val="006A412F"/>
    <w:rsid w:val="006A44E6"/>
    <w:rsid w:val="006A46CB"/>
    <w:rsid w:val="006A4DEC"/>
    <w:rsid w:val="006A5338"/>
    <w:rsid w:val="006A539F"/>
    <w:rsid w:val="006A5A39"/>
    <w:rsid w:val="006A5A81"/>
    <w:rsid w:val="006A657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147F"/>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6FDE"/>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90"/>
    <w:rsid w:val="006F06D8"/>
    <w:rsid w:val="006F0BAE"/>
    <w:rsid w:val="006F113B"/>
    <w:rsid w:val="006F15E3"/>
    <w:rsid w:val="006F1C4A"/>
    <w:rsid w:val="006F22BB"/>
    <w:rsid w:val="006F243B"/>
    <w:rsid w:val="006F252C"/>
    <w:rsid w:val="006F258E"/>
    <w:rsid w:val="006F27B4"/>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3F70"/>
    <w:rsid w:val="00714449"/>
    <w:rsid w:val="00715773"/>
    <w:rsid w:val="00715D93"/>
    <w:rsid w:val="0071611B"/>
    <w:rsid w:val="00716154"/>
    <w:rsid w:val="00716830"/>
    <w:rsid w:val="00716969"/>
    <w:rsid w:val="00716B59"/>
    <w:rsid w:val="00716DC7"/>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70D1"/>
    <w:rsid w:val="0072744D"/>
    <w:rsid w:val="00730022"/>
    <w:rsid w:val="007305F3"/>
    <w:rsid w:val="007306B7"/>
    <w:rsid w:val="007307DF"/>
    <w:rsid w:val="00730846"/>
    <w:rsid w:val="00730AB4"/>
    <w:rsid w:val="00730DC6"/>
    <w:rsid w:val="00730DCB"/>
    <w:rsid w:val="00731101"/>
    <w:rsid w:val="00731503"/>
    <w:rsid w:val="00731B72"/>
    <w:rsid w:val="00731E73"/>
    <w:rsid w:val="00731EAF"/>
    <w:rsid w:val="0073223F"/>
    <w:rsid w:val="007323FB"/>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260C"/>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67584"/>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891"/>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8C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868"/>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34"/>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5E3"/>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1D8"/>
    <w:rsid w:val="007F5605"/>
    <w:rsid w:val="007F5A97"/>
    <w:rsid w:val="007F5CFC"/>
    <w:rsid w:val="007F610D"/>
    <w:rsid w:val="007F68AC"/>
    <w:rsid w:val="007F6AC6"/>
    <w:rsid w:val="007F6C6F"/>
    <w:rsid w:val="007F6E8D"/>
    <w:rsid w:val="007F78A4"/>
    <w:rsid w:val="007F7A8D"/>
    <w:rsid w:val="007F7AE3"/>
    <w:rsid w:val="007F7F60"/>
    <w:rsid w:val="008002FB"/>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027"/>
    <w:rsid w:val="00813805"/>
    <w:rsid w:val="00813914"/>
    <w:rsid w:val="00813FC6"/>
    <w:rsid w:val="008140FC"/>
    <w:rsid w:val="00815420"/>
    <w:rsid w:val="0081669C"/>
    <w:rsid w:val="008173EF"/>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31D"/>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0BD"/>
    <w:rsid w:val="00841221"/>
    <w:rsid w:val="00841659"/>
    <w:rsid w:val="008422AD"/>
    <w:rsid w:val="00842CFD"/>
    <w:rsid w:val="008430BB"/>
    <w:rsid w:val="008435B1"/>
    <w:rsid w:val="0084457D"/>
    <w:rsid w:val="00844718"/>
    <w:rsid w:val="008453C6"/>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4E2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49"/>
    <w:rsid w:val="008744B9"/>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0EF9"/>
    <w:rsid w:val="008D1837"/>
    <w:rsid w:val="008D19EA"/>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0E7"/>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6F40"/>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8F756E"/>
    <w:rsid w:val="00900351"/>
    <w:rsid w:val="00900833"/>
    <w:rsid w:val="00900DDD"/>
    <w:rsid w:val="00901128"/>
    <w:rsid w:val="00901B6D"/>
    <w:rsid w:val="00901CE4"/>
    <w:rsid w:val="00902034"/>
    <w:rsid w:val="00902114"/>
    <w:rsid w:val="009022D9"/>
    <w:rsid w:val="009024AC"/>
    <w:rsid w:val="00902693"/>
    <w:rsid w:val="009028FB"/>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5E45"/>
    <w:rsid w:val="009164FA"/>
    <w:rsid w:val="00916508"/>
    <w:rsid w:val="009166E8"/>
    <w:rsid w:val="00916CCE"/>
    <w:rsid w:val="00916CD3"/>
    <w:rsid w:val="00916DFF"/>
    <w:rsid w:val="0091713C"/>
    <w:rsid w:val="009176AF"/>
    <w:rsid w:val="00917A22"/>
    <w:rsid w:val="00917BD3"/>
    <w:rsid w:val="00920D81"/>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1AB"/>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5B0E"/>
    <w:rsid w:val="0094696B"/>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2DB2"/>
    <w:rsid w:val="00952FB4"/>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56DD"/>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9A2"/>
    <w:rsid w:val="009D2014"/>
    <w:rsid w:val="009D222C"/>
    <w:rsid w:val="009D2556"/>
    <w:rsid w:val="009D2601"/>
    <w:rsid w:val="009D2654"/>
    <w:rsid w:val="009D2ABC"/>
    <w:rsid w:val="009D2E14"/>
    <w:rsid w:val="009D4417"/>
    <w:rsid w:val="009D4FF8"/>
    <w:rsid w:val="009D5063"/>
    <w:rsid w:val="009D51BE"/>
    <w:rsid w:val="009D542A"/>
    <w:rsid w:val="009D554B"/>
    <w:rsid w:val="009D58C6"/>
    <w:rsid w:val="009D5F1B"/>
    <w:rsid w:val="009D5FAF"/>
    <w:rsid w:val="009D61F4"/>
    <w:rsid w:val="009D666D"/>
    <w:rsid w:val="009D69BA"/>
    <w:rsid w:val="009D6A78"/>
    <w:rsid w:val="009D6CC3"/>
    <w:rsid w:val="009D6F77"/>
    <w:rsid w:val="009D7283"/>
    <w:rsid w:val="009D773A"/>
    <w:rsid w:val="009D7922"/>
    <w:rsid w:val="009D7A28"/>
    <w:rsid w:val="009E0092"/>
    <w:rsid w:val="009E0724"/>
    <w:rsid w:val="009E0966"/>
    <w:rsid w:val="009E13BF"/>
    <w:rsid w:val="009E1C76"/>
    <w:rsid w:val="009E29AA"/>
    <w:rsid w:val="009E2F3C"/>
    <w:rsid w:val="009E3167"/>
    <w:rsid w:val="009E3351"/>
    <w:rsid w:val="009E4000"/>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9B8"/>
    <w:rsid w:val="00A03EEB"/>
    <w:rsid w:val="00A04449"/>
    <w:rsid w:val="00A0451F"/>
    <w:rsid w:val="00A04673"/>
    <w:rsid w:val="00A048D8"/>
    <w:rsid w:val="00A04B35"/>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2ED"/>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302"/>
    <w:rsid w:val="00A31599"/>
    <w:rsid w:val="00A31680"/>
    <w:rsid w:val="00A31D68"/>
    <w:rsid w:val="00A329FC"/>
    <w:rsid w:val="00A32C1F"/>
    <w:rsid w:val="00A32EB0"/>
    <w:rsid w:val="00A33477"/>
    <w:rsid w:val="00A3356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6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991"/>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232"/>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6AC"/>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AB3"/>
    <w:rsid w:val="00A76C53"/>
    <w:rsid w:val="00A7728A"/>
    <w:rsid w:val="00A7749F"/>
    <w:rsid w:val="00A775BF"/>
    <w:rsid w:val="00A77658"/>
    <w:rsid w:val="00A77DF6"/>
    <w:rsid w:val="00A8050B"/>
    <w:rsid w:val="00A80CB4"/>
    <w:rsid w:val="00A81114"/>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B3"/>
    <w:rsid w:val="00AA10F7"/>
    <w:rsid w:val="00AA14D0"/>
    <w:rsid w:val="00AA1C0F"/>
    <w:rsid w:val="00AA1C29"/>
    <w:rsid w:val="00AA2F1B"/>
    <w:rsid w:val="00AA3A00"/>
    <w:rsid w:val="00AA3C7C"/>
    <w:rsid w:val="00AA40B2"/>
    <w:rsid w:val="00AA4268"/>
    <w:rsid w:val="00AA4733"/>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B7FF5"/>
    <w:rsid w:val="00AC00F9"/>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65C"/>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8B7"/>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170D0"/>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3E24"/>
    <w:rsid w:val="00B3421A"/>
    <w:rsid w:val="00B342DD"/>
    <w:rsid w:val="00B342FF"/>
    <w:rsid w:val="00B344D8"/>
    <w:rsid w:val="00B345B8"/>
    <w:rsid w:val="00B3537F"/>
    <w:rsid w:val="00B35B55"/>
    <w:rsid w:val="00B35CE0"/>
    <w:rsid w:val="00B35D0E"/>
    <w:rsid w:val="00B35E8A"/>
    <w:rsid w:val="00B36272"/>
    <w:rsid w:val="00B363D6"/>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21B"/>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48B"/>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3F0"/>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4C98"/>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729A"/>
    <w:rsid w:val="00B87408"/>
    <w:rsid w:val="00B87713"/>
    <w:rsid w:val="00B87F02"/>
    <w:rsid w:val="00B90DE9"/>
    <w:rsid w:val="00B914BC"/>
    <w:rsid w:val="00B91DC5"/>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674B"/>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A50"/>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05"/>
    <w:rsid w:val="00BF4EF7"/>
    <w:rsid w:val="00BF4F79"/>
    <w:rsid w:val="00BF4F81"/>
    <w:rsid w:val="00BF53B1"/>
    <w:rsid w:val="00BF544D"/>
    <w:rsid w:val="00BF6107"/>
    <w:rsid w:val="00BF6561"/>
    <w:rsid w:val="00BF6626"/>
    <w:rsid w:val="00BF7E8B"/>
    <w:rsid w:val="00C00125"/>
    <w:rsid w:val="00C00246"/>
    <w:rsid w:val="00C005BE"/>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6E67"/>
    <w:rsid w:val="00C1783E"/>
    <w:rsid w:val="00C17890"/>
    <w:rsid w:val="00C17957"/>
    <w:rsid w:val="00C17BFA"/>
    <w:rsid w:val="00C17FD8"/>
    <w:rsid w:val="00C20636"/>
    <w:rsid w:val="00C20A67"/>
    <w:rsid w:val="00C21BC0"/>
    <w:rsid w:val="00C220C9"/>
    <w:rsid w:val="00C227DB"/>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157"/>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61B7"/>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A69"/>
    <w:rsid w:val="00C87D14"/>
    <w:rsid w:val="00C90058"/>
    <w:rsid w:val="00C90475"/>
    <w:rsid w:val="00C9058C"/>
    <w:rsid w:val="00C91684"/>
    <w:rsid w:val="00C91FE2"/>
    <w:rsid w:val="00C920CA"/>
    <w:rsid w:val="00C92C55"/>
    <w:rsid w:val="00C92EB8"/>
    <w:rsid w:val="00C9343F"/>
    <w:rsid w:val="00C93860"/>
    <w:rsid w:val="00C939A3"/>
    <w:rsid w:val="00C93AEB"/>
    <w:rsid w:val="00C93C0D"/>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060C"/>
    <w:rsid w:val="00CA123F"/>
    <w:rsid w:val="00CA1259"/>
    <w:rsid w:val="00CA1BFB"/>
    <w:rsid w:val="00CA1DC6"/>
    <w:rsid w:val="00CA2953"/>
    <w:rsid w:val="00CA3276"/>
    <w:rsid w:val="00CA34DE"/>
    <w:rsid w:val="00CA3567"/>
    <w:rsid w:val="00CA3AC7"/>
    <w:rsid w:val="00CA3B91"/>
    <w:rsid w:val="00CA4606"/>
    <w:rsid w:val="00CA53EC"/>
    <w:rsid w:val="00CA55BB"/>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2949"/>
    <w:rsid w:val="00CB30E5"/>
    <w:rsid w:val="00CB4B23"/>
    <w:rsid w:val="00CB4CB5"/>
    <w:rsid w:val="00CB5180"/>
    <w:rsid w:val="00CB5423"/>
    <w:rsid w:val="00CB550A"/>
    <w:rsid w:val="00CB5663"/>
    <w:rsid w:val="00CB62A8"/>
    <w:rsid w:val="00CB6420"/>
    <w:rsid w:val="00CB6DFF"/>
    <w:rsid w:val="00CB7D9E"/>
    <w:rsid w:val="00CC0798"/>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1C2"/>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02A"/>
    <w:rsid w:val="00CF3467"/>
    <w:rsid w:val="00CF36CA"/>
    <w:rsid w:val="00CF3C52"/>
    <w:rsid w:val="00CF4A5F"/>
    <w:rsid w:val="00CF546B"/>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B8A"/>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4D87"/>
    <w:rsid w:val="00D354C8"/>
    <w:rsid w:val="00D35526"/>
    <w:rsid w:val="00D36621"/>
    <w:rsid w:val="00D36E52"/>
    <w:rsid w:val="00D371F2"/>
    <w:rsid w:val="00D3723D"/>
    <w:rsid w:val="00D37282"/>
    <w:rsid w:val="00D374E5"/>
    <w:rsid w:val="00D37575"/>
    <w:rsid w:val="00D3796B"/>
    <w:rsid w:val="00D379CA"/>
    <w:rsid w:val="00D40095"/>
    <w:rsid w:val="00D404D8"/>
    <w:rsid w:val="00D40D11"/>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5F1"/>
    <w:rsid w:val="00D64881"/>
    <w:rsid w:val="00D64D68"/>
    <w:rsid w:val="00D64FC5"/>
    <w:rsid w:val="00D65B6A"/>
    <w:rsid w:val="00D667D9"/>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8A1"/>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0B01"/>
    <w:rsid w:val="00DA0FA9"/>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147"/>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2869"/>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78"/>
    <w:rsid w:val="00DF768B"/>
    <w:rsid w:val="00DF76AC"/>
    <w:rsid w:val="00DF7718"/>
    <w:rsid w:val="00E00E7E"/>
    <w:rsid w:val="00E01A0D"/>
    <w:rsid w:val="00E02258"/>
    <w:rsid w:val="00E027E5"/>
    <w:rsid w:val="00E03117"/>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2AF4"/>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5CC4"/>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1EF"/>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6D4"/>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418"/>
    <w:rsid w:val="00E747E3"/>
    <w:rsid w:val="00E74AA4"/>
    <w:rsid w:val="00E75125"/>
    <w:rsid w:val="00E75171"/>
    <w:rsid w:val="00E7521D"/>
    <w:rsid w:val="00E75B03"/>
    <w:rsid w:val="00E75EF2"/>
    <w:rsid w:val="00E76A0E"/>
    <w:rsid w:val="00E76C24"/>
    <w:rsid w:val="00E77613"/>
    <w:rsid w:val="00E77B7F"/>
    <w:rsid w:val="00E80039"/>
    <w:rsid w:val="00E80044"/>
    <w:rsid w:val="00E80160"/>
    <w:rsid w:val="00E807BD"/>
    <w:rsid w:val="00E807DC"/>
    <w:rsid w:val="00E81A9F"/>
    <w:rsid w:val="00E81B82"/>
    <w:rsid w:val="00E81BAA"/>
    <w:rsid w:val="00E81D65"/>
    <w:rsid w:val="00E82B27"/>
    <w:rsid w:val="00E83406"/>
    <w:rsid w:val="00E835C3"/>
    <w:rsid w:val="00E83E27"/>
    <w:rsid w:val="00E84796"/>
    <w:rsid w:val="00E847B6"/>
    <w:rsid w:val="00E84A7C"/>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4BF7"/>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69D"/>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6E"/>
    <w:rsid w:val="00F04CC7"/>
    <w:rsid w:val="00F0592A"/>
    <w:rsid w:val="00F05E8C"/>
    <w:rsid w:val="00F05FFB"/>
    <w:rsid w:val="00F0615A"/>
    <w:rsid w:val="00F063BC"/>
    <w:rsid w:val="00F06500"/>
    <w:rsid w:val="00F06867"/>
    <w:rsid w:val="00F0748A"/>
    <w:rsid w:val="00F07996"/>
    <w:rsid w:val="00F07F5B"/>
    <w:rsid w:val="00F107EA"/>
    <w:rsid w:val="00F116EC"/>
    <w:rsid w:val="00F11BCC"/>
    <w:rsid w:val="00F11D6F"/>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48B5"/>
    <w:rsid w:val="00F25038"/>
    <w:rsid w:val="00F25329"/>
    <w:rsid w:val="00F25DDD"/>
    <w:rsid w:val="00F25F4E"/>
    <w:rsid w:val="00F26C15"/>
    <w:rsid w:val="00F276FB"/>
    <w:rsid w:val="00F27EDC"/>
    <w:rsid w:val="00F30470"/>
    <w:rsid w:val="00F305E6"/>
    <w:rsid w:val="00F30976"/>
    <w:rsid w:val="00F309C4"/>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7D6"/>
    <w:rsid w:val="00F368F0"/>
    <w:rsid w:val="00F36B8A"/>
    <w:rsid w:val="00F37090"/>
    <w:rsid w:val="00F37B38"/>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5746A"/>
    <w:rsid w:val="00F60577"/>
    <w:rsid w:val="00F60D06"/>
    <w:rsid w:val="00F60EFB"/>
    <w:rsid w:val="00F614DF"/>
    <w:rsid w:val="00F615D4"/>
    <w:rsid w:val="00F61D28"/>
    <w:rsid w:val="00F62BA4"/>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0BBC"/>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D2F"/>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39"/>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6B7"/>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482A"/>
    <w:rsid w:val="00FD5507"/>
    <w:rsid w:val="00FD5695"/>
    <w:rsid w:val="00FD6BD7"/>
    <w:rsid w:val="00FD7082"/>
    <w:rsid w:val="00FD708C"/>
    <w:rsid w:val="00FD7390"/>
    <w:rsid w:val="00FE138C"/>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338"/>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2C387E"/>
    <w:rsid w:val="01422176"/>
    <w:rsid w:val="016521D3"/>
    <w:rsid w:val="01C936D4"/>
    <w:rsid w:val="021047DD"/>
    <w:rsid w:val="02302B58"/>
    <w:rsid w:val="0250441F"/>
    <w:rsid w:val="025C201D"/>
    <w:rsid w:val="02694276"/>
    <w:rsid w:val="029C58B6"/>
    <w:rsid w:val="02CD1F13"/>
    <w:rsid w:val="02F079B0"/>
    <w:rsid w:val="02F4124E"/>
    <w:rsid w:val="02F831F6"/>
    <w:rsid w:val="03056415"/>
    <w:rsid w:val="030E5384"/>
    <w:rsid w:val="03863E70"/>
    <w:rsid w:val="03D930DC"/>
    <w:rsid w:val="04271E23"/>
    <w:rsid w:val="04564960"/>
    <w:rsid w:val="048F7CF9"/>
    <w:rsid w:val="04C66C1A"/>
    <w:rsid w:val="04D255BF"/>
    <w:rsid w:val="04DA67E3"/>
    <w:rsid w:val="04EC0E37"/>
    <w:rsid w:val="051F5D1E"/>
    <w:rsid w:val="05237BC9"/>
    <w:rsid w:val="05504736"/>
    <w:rsid w:val="056337EB"/>
    <w:rsid w:val="05B607CF"/>
    <w:rsid w:val="05DB66F5"/>
    <w:rsid w:val="062A31D9"/>
    <w:rsid w:val="062A4F87"/>
    <w:rsid w:val="06505C9D"/>
    <w:rsid w:val="06723038"/>
    <w:rsid w:val="06874187"/>
    <w:rsid w:val="06E93094"/>
    <w:rsid w:val="072B7BD7"/>
    <w:rsid w:val="0733249E"/>
    <w:rsid w:val="075524D7"/>
    <w:rsid w:val="07A03568"/>
    <w:rsid w:val="07BC60B3"/>
    <w:rsid w:val="07CE4A46"/>
    <w:rsid w:val="07DD49A7"/>
    <w:rsid w:val="07FE2B6F"/>
    <w:rsid w:val="080774C4"/>
    <w:rsid w:val="083107E4"/>
    <w:rsid w:val="08395955"/>
    <w:rsid w:val="086B2EB8"/>
    <w:rsid w:val="087F43B6"/>
    <w:rsid w:val="08844E22"/>
    <w:rsid w:val="089B7413"/>
    <w:rsid w:val="09212671"/>
    <w:rsid w:val="092579F1"/>
    <w:rsid w:val="09336C26"/>
    <w:rsid w:val="09C676BC"/>
    <w:rsid w:val="09D43B87"/>
    <w:rsid w:val="09EB6E0F"/>
    <w:rsid w:val="09EF09C1"/>
    <w:rsid w:val="0A1B17B6"/>
    <w:rsid w:val="0A2C3CFF"/>
    <w:rsid w:val="0A6C2012"/>
    <w:rsid w:val="0AB8072D"/>
    <w:rsid w:val="0B0A4D29"/>
    <w:rsid w:val="0B725406"/>
    <w:rsid w:val="0B7E2125"/>
    <w:rsid w:val="0BA7412C"/>
    <w:rsid w:val="0BB6273C"/>
    <w:rsid w:val="0BC63207"/>
    <w:rsid w:val="0BDE3195"/>
    <w:rsid w:val="0C013E53"/>
    <w:rsid w:val="0C0372E5"/>
    <w:rsid w:val="0C0849EC"/>
    <w:rsid w:val="0C4452AF"/>
    <w:rsid w:val="0C4C20FB"/>
    <w:rsid w:val="0C526FE5"/>
    <w:rsid w:val="0C545E99"/>
    <w:rsid w:val="0C8B18B5"/>
    <w:rsid w:val="0C9646E6"/>
    <w:rsid w:val="0D162709"/>
    <w:rsid w:val="0D1B1ACD"/>
    <w:rsid w:val="0D492A74"/>
    <w:rsid w:val="0D5D5C42"/>
    <w:rsid w:val="0DC363ED"/>
    <w:rsid w:val="0DD3123D"/>
    <w:rsid w:val="0DD3583C"/>
    <w:rsid w:val="0DDA3736"/>
    <w:rsid w:val="0E1E7AC7"/>
    <w:rsid w:val="0E250E55"/>
    <w:rsid w:val="0E4D3F08"/>
    <w:rsid w:val="0E501D2F"/>
    <w:rsid w:val="0E7476E7"/>
    <w:rsid w:val="0EAF0F09"/>
    <w:rsid w:val="0EE84006"/>
    <w:rsid w:val="0F594F25"/>
    <w:rsid w:val="0FA579EC"/>
    <w:rsid w:val="0FC93A62"/>
    <w:rsid w:val="0FDC19E8"/>
    <w:rsid w:val="101F1ADF"/>
    <w:rsid w:val="10401F77"/>
    <w:rsid w:val="105800E6"/>
    <w:rsid w:val="11146F5F"/>
    <w:rsid w:val="11230F50"/>
    <w:rsid w:val="11292A0B"/>
    <w:rsid w:val="11A00E6A"/>
    <w:rsid w:val="11BF25DA"/>
    <w:rsid w:val="11CC783A"/>
    <w:rsid w:val="1209283C"/>
    <w:rsid w:val="121C60CC"/>
    <w:rsid w:val="122E0441"/>
    <w:rsid w:val="12607F5F"/>
    <w:rsid w:val="127801BF"/>
    <w:rsid w:val="128A572B"/>
    <w:rsid w:val="12E74675"/>
    <w:rsid w:val="12EA33B0"/>
    <w:rsid w:val="12FE5A4C"/>
    <w:rsid w:val="1318290F"/>
    <w:rsid w:val="13280AA0"/>
    <w:rsid w:val="13427DB4"/>
    <w:rsid w:val="13471AC2"/>
    <w:rsid w:val="134753CA"/>
    <w:rsid w:val="13626075"/>
    <w:rsid w:val="13C133CE"/>
    <w:rsid w:val="13E618E5"/>
    <w:rsid w:val="141F3619"/>
    <w:rsid w:val="143811B7"/>
    <w:rsid w:val="144C7774"/>
    <w:rsid w:val="148B18BC"/>
    <w:rsid w:val="14952165"/>
    <w:rsid w:val="152A4FA3"/>
    <w:rsid w:val="154E24EE"/>
    <w:rsid w:val="1593014F"/>
    <w:rsid w:val="15BF56EC"/>
    <w:rsid w:val="15C43586"/>
    <w:rsid w:val="15FD4CF1"/>
    <w:rsid w:val="15FF3D3A"/>
    <w:rsid w:val="161A0B74"/>
    <w:rsid w:val="163868AA"/>
    <w:rsid w:val="16BA5EB3"/>
    <w:rsid w:val="16E318AE"/>
    <w:rsid w:val="16F455B8"/>
    <w:rsid w:val="17620A24"/>
    <w:rsid w:val="176C00A9"/>
    <w:rsid w:val="17836BED"/>
    <w:rsid w:val="17A50911"/>
    <w:rsid w:val="17C35302"/>
    <w:rsid w:val="17D4049A"/>
    <w:rsid w:val="17DE2FB7"/>
    <w:rsid w:val="17EB6C6C"/>
    <w:rsid w:val="18687698"/>
    <w:rsid w:val="188173BB"/>
    <w:rsid w:val="18F460C2"/>
    <w:rsid w:val="18FE477D"/>
    <w:rsid w:val="191E1227"/>
    <w:rsid w:val="193463F1"/>
    <w:rsid w:val="19440AE2"/>
    <w:rsid w:val="194524AE"/>
    <w:rsid w:val="19831126"/>
    <w:rsid w:val="19AF3CC9"/>
    <w:rsid w:val="19BB20AC"/>
    <w:rsid w:val="19BB441C"/>
    <w:rsid w:val="19D159ED"/>
    <w:rsid w:val="1A0C4C78"/>
    <w:rsid w:val="1A1A4BE8"/>
    <w:rsid w:val="1A604FC3"/>
    <w:rsid w:val="1A620D3B"/>
    <w:rsid w:val="1A766595"/>
    <w:rsid w:val="1A9825AB"/>
    <w:rsid w:val="1AD27C6F"/>
    <w:rsid w:val="1AE63A6C"/>
    <w:rsid w:val="1BB43819"/>
    <w:rsid w:val="1BD712B5"/>
    <w:rsid w:val="1C163B8C"/>
    <w:rsid w:val="1C542906"/>
    <w:rsid w:val="1C633C68"/>
    <w:rsid w:val="1C787101"/>
    <w:rsid w:val="1C821221"/>
    <w:rsid w:val="1CB02232"/>
    <w:rsid w:val="1D506B65"/>
    <w:rsid w:val="1DB16262"/>
    <w:rsid w:val="1E330118"/>
    <w:rsid w:val="1EAA7B96"/>
    <w:rsid w:val="1EEB4FBD"/>
    <w:rsid w:val="1F0265C3"/>
    <w:rsid w:val="1F036342"/>
    <w:rsid w:val="1F664E2A"/>
    <w:rsid w:val="1FB17124"/>
    <w:rsid w:val="1FBE07C2"/>
    <w:rsid w:val="1FD56960"/>
    <w:rsid w:val="1FDE70B6"/>
    <w:rsid w:val="1FEA4231"/>
    <w:rsid w:val="200E6725"/>
    <w:rsid w:val="20392703"/>
    <w:rsid w:val="203B433A"/>
    <w:rsid w:val="204A497F"/>
    <w:rsid w:val="20621F0A"/>
    <w:rsid w:val="20BB31CA"/>
    <w:rsid w:val="2100305C"/>
    <w:rsid w:val="212D20A3"/>
    <w:rsid w:val="214E3B8E"/>
    <w:rsid w:val="21790498"/>
    <w:rsid w:val="21936CA6"/>
    <w:rsid w:val="21BF4BEF"/>
    <w:rsid w:val="21DD7016"/>
    <w:rsid w:val="21E604A4"/>
    <w:rsid w:val="21F6651A"/>
    <w:rsid w:val="220B1BC2"/>
    <w:rsid w:val="22342FBD"/>
    <w:rsid w:val="227640E7"/>
    <w:rsid w:val="22A11821"/>
    <w:rsid w:val="22BD058C"/>
    <w:rsid w:val="22DF2115"/>
    <w:rsid w:val="22EF5136"/>
    <w:rsid w:val="22FD42C4"/>
    <w:rsid w:val="23040BE2"/>
    <w:rsid w:val="23137077"/>
    <w:rsid w:val="23486D36"/>
    <w:rsid w:val="235C0A1E"/>
    <w:rsid w:val="23607DE2"/>
    <w:rsid w:val="23921869"/>
    <w:rsid w:val="23B87254"/>
    <w:rsid w:val="24B146FC"/>
    <w:rsid w:val="24C06D8A"/>
    <w:rsid w:val="24E27946"/>
    <w:rsid w:val="24E567F1"/>
    <w:rsid w:val="24F12B89"/>
    <w:rsid w:val="24F425B5"/>
    <w:rsid w:val="251F752E"/>
    <w:rsid w:val="2547125A"/>
    <w:rsid w:val="25557376"/>
    <w:rsid w:val="255B2F57"/>
    <w:rsid w:val="255E0351"/>
    <w:rsid w:val="256D11F2"/>
    <w:rsid w:val="257007B0"/>
    <w:rsid w:val="257A162F"/>
    <w:rsid w:val="25826C83"/>
    <w:rsid w:val="25DD2180"/>
    <w:rsid w:val="260929B3"/>
    <w:rsid w:val="261A2945"/>
    <w:rsid w:val="263B32FF"/>
    <w:rsid w:val="263E265D"/>
    <w:rsid w:val="266A3CEA"/>
    <w:rsid w:val="268F4C66"/>
    <w:rsid w:val="26924756"/>
    <w:rsid w:val="26A30712"/>
    <w:rsid w:val="26C5799C"/>
    <w:rsid w:val="272517AC"/>
    <w:rsid w:val="274556D9"/>
    <w:rsid w:val="27AA5AD0"/>
    <w:rsid w:val="27B0416A"/>
    <w:rsid w:val="285D38C4"/>
    <w:rsid w:val="28AC5FA3"/>
    <w:rsid w:val="28CA0E3C"/>
    <w:rsid w:val="28CA642A"/>
    <w:rsid w:val="293E2974"/>
    <w:rsid w:val="297645D7"/>
    <w:rsid w:val="29787C34"/>
    <w:rsid w:val="29A44ECD"/>
    <w:rsid w:val="29B665AC"/>
    <w:rsid w:val="29BB0FAF"/>
    <w:rsid w:val="29DB01C2"/>
    <w:rsid w:val="2A1470AB"/>
    <w:rsid w:val="2A703001"/>
    <w:rsid w:val="2A790107"/>
    <w:rsid w:val="2A905451"/>
    <w:rsid w:val="2AD73080"/>
    <w:rsid w:val="2AE707A6"/>
    <w:rsid w:val="2AF8509F"/>
    <w:rsid w:val="2B110340"/>
    <w:rsid w:val="2B517DEF"/>
    <w:rsid w:val="2B54022C"/>
    <w:rsid w:val="2BA56CDA"/>
    <w:rsid w:val="2BAE37AF"/>
    <w:rsid w:val="2C144DE1"/>
    <w:rsid w:val="2CBC29C6"/>
    <w:rsid w:val="2CC913E4"/>
    <w:rsid w:val="2CFA6929"/>
    <w:rsid w:val="2D035522"/>
    <w:rsid w:val="2D451035"/>
    <w:rsid w:val="2D5B685D"/>
    <w:rsid w:val="2D5C5331"/>
    <w:rsid w:val="2DD04A0F"/>
    <w:rsid w:val="2E0C4DEE"/>
    <w:rsid w:val="2E496043"/>
    <w:rsid w:val="2E4C34F7"/>
    <w:rsid w:val="2E527FF3"/>
    <w:rsid w:val="2E8B665B"/>
    <w:rsid w:val="2EB4175F"/>
    <w:rsid w:val="2EDE3201"/>
    <w:rsid w:val="2EED4C20"/>
    <w:rsid w:val="2F7A4C84"/>
    <w:rsid w:val="2F8C268B"/>
    <w:rsid w:val="2FB35292"/>
    <w:rsid w:val="2FCC2ADD"/>
    <w:rsid w:val="2FE23E63"/>
    <w:rsid w:val="2FFA3A98"/>
    <w:rsid w:val="301601A6"/>
    <w:rsid w:val="30760C45"/>
    <w:rsid w:val="308F0036"/>
    <w:rsid w:val="30BA4FD6"/>
    <w:rsid w:val="30D75B88"/>
    <w:rsid w:val="30DD2A72"/>
    <w:rsid w:val="310A72C9"/>
    <w:rsid w:val="310F3573"/>
    <w:rsid w:val="313B5C41"/>
    <w:rsid w:val="316513E5"/>
    <w:rsid w:val="31AF11F9"/>
    <w:rsid w:val="31EC5663"/>
    <w:rsid w:val="31F462C5"/>
    <w:rsid w:val="320A67AD"/>
    <w:rsid w:val="32851872"/>
    <w:rsid w:val="328F681A"/>
    <w:rsid w:val="32A777DC"/>
    <w:rsid w:val="32C57C62"/>
    <w:rsid w:val="32E54217"/>
    <w:rsid w:val="32F553A9"/>
    <w:rsid w:val="33044755"/>
    <w:rsid w:val="33054010"/>
    <w:rsid w:val="3321372A"/>
    <w:rsid w:val="333E257D"/>
    <w:rsid w:val="334E7C57"/>
    <w:rsid w:val="338C085C"/>
    <w:rsid w:val="33B51A84"/>
    <w:rsid w:val="33F3569D"/>
    <w:rsid w:val="3404068C"/>
    <w:rsid w:val="343045AA"/>
    <w:rsid w:val="34811922"/>
    <w:rsid w:val="34934D35"/>
    <w:rsid w:val="34D815A9"/>
    <w:rsid w:val="352E5399"/>
    <w:rsid w:val="35636441"/>
    <w:rsid w:val="356E638F"/>
    <w:rsid w:val="35957994"/>
    <w:rsid w:val="36062A6B"/>
    <w:rsid w:val="36401AD9"/>
    <w:rsid w:val="36533A30"/>
    <w:rsid w:val="3667175C"/>
    <w:rsid w:val="36721EAF"/>
    <w:rsid w:val="368340BC"/>
    <w:rsid w:val="36B44A6A"/>
    <w:rsid w:val="36C26992"/>
    <w:rsid w:val="36D74AA8"/>
    <w:rsid w:val="37166D54"/>
    <w:rsid w:val="37342019"/>
    <w:rsid w:val="375262CF"/>
    <w:rsid w:val="376B0DD8"/>
    <w:rsid w:val="3793032E"/>
    <w:rsid w:val="37DF0336"/>
    <w:rsid w:val="37EB3CC7"/>
    <w:rsid w:val="38262F51"/>
    <w:rsid w:val="38286CC9"/>
    <w:rsid w:val="38957B7A"/>
    <w:rsid w:val="38AA3B82"/>
    <w:rsid w:val="38B05970"/>
    <w:rsid w:val="38C35A27"/>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630DEE"/>
    <w:rsid w:val="3B807F2A"/>
    <w:rsid w:val="3B826A16"/>
    <w:rsid w:val="3B936B4F"/>
    <w:rsid w:val="3BCB3171"/>
    <w:rsid w:val="3BD74C8E"/>
    <w:rsid w:val="3BF33A92"/>
    <w:rsid w:val="3C065573"/>
    <w:rsid w:val="3C073099"/>
    <w:rsid w:val="3C1F6635"/>
    <w:rsid w:val="3C4165AB"/>
    <w:rsid w:val="3C5207B8"/>
    <w:rsid w:val="3C7E15AD"/>
    <w:rsid w:val="3CBE19AA"/>
    <w:rsid w:val="3D184757"/>
    <w:rsid w:val="3D232155"/>
    <w:rsid w:val="3D670293"/>
    <w:rsid w:val="3D772BB6"/>
    <w:rsid w:val="3DB96542"/>
    <w:rsid w:val="3ED454B4"/>
    <w:rsid w:val="3EEC30E5"/>
    <w:rsid w:val="3F051B12"/>
    <w:rsid w:val="3F375CE0"/>
    <w:rsid w:val="3F406FEE"/>
    <w:rsid w:val="3F4A39C9"/>
    <w:rsid w:val="3F8811D3"/>
    <w:rsid w:val="3FA72BC9"/>
    <w:rsid w:val="3FAA4467"/>
    <w:rsid w:val="3FF42B09"/>
    <w:rsid w:val="40387CC5"/>
    <w:rsid w:val="406960D0"/>
    <w:rsid w:val="40753892"/>
    <w:rsid w:val="408B6047"/>
    <w:rsid w:val="41431A3E"/>
    <w:rsid w:val="415E375B"/>
    <w:rsid w:val="41774B95"/>
    <w:rsid w:val="41923943"/>
    <w:rsid w:val="41A43E58"/>
    <w:rsid w:val="41A945C9"/>
    <w:rsid w:val="41B42324"/>
    <w:rsid w:val="41C67829"/>
    <w:rsid w:val="41EF2091"/>
    <w:rsid w:val="42312C1E"/>
    <w:rsid w:val="42A338A7"/>
    <w:rsid w:val="43106CD7"/>
    <w:rsid w:val="433A3D54"/>
    <w:rsid w:val="434B6508"/>
    <w:rsid w:val="439416B6"/>
    <w:rsid w:val="43960849"/>
    <w:rsid w:val="43E30E9C"/>
    <w:rsid w:val="447E086E"/>
    <w:rsid w:val="44867251"/>
    <w:rsid w:val="448D19A9"/>
    <w:rsid w:val="44A26055"/>
    <w:rsid w:val="44DB4B1F"/>
    <w:rsid w:val="44E77751"/>
    <w:rsid w:val="452E136A"/>
    <w:rsid w:val="452E1696"/>
    <w:rsid w:val="453E5D7D"/>
    <w:rsid w:val="454669E0"/>
    <w:rsid w:val="457E31A4"/>
    <w:rsid w:val="459909CE"/>
    <w:rsid w:val="45BA29E5"/>
    <w:rsid w:val="461E795D"/>
    <w:rsid w:val="46325936"/>
    <w:rsid w:val="46605A53"/>
    <w:rsid w:val="46BC33FE"/>
    <w:rsid w:val="46BF4C9C"/>
    <w:rsid w:val="46C16C66"/>
    <w:rsid w:val="46C47C5A"/>
    <w:rsid w:val="472E6612"/>
    <w:rsid w:val="474D674C"/>
    <w:rsid w:val="47761748"/>
    <w:rsid w:val="477B33F6"/>
    <w:rsid w:val="4792415F"/>
    <w:rsid w:val="48050DD4"/>
    <w:rsid w:val="481B4154"/>
    <w:rsid w:val="4829252D"/>
    <w:rsid w:val="482C6361"/>
    <w:rsid w:val="488D7AAE"/>
    <w:rsid w:val="48B53457"/>
    <w:rsid w:val="48BA1BBF"/>
    <w:rsid w:val="48C4659A"/>
    <w:rsid w:val="48D163DC"/>
    <w:rsid w:val="49220CE4"/>
    <w:rsid w:val="49710F64"/>
    <w:rsid w:val="497847C6"/>
    <w:rsid w:val="498521CD"/>
    <w:rsid w:val="49906437"/>
    <w:rsid w:val="499F1A0D"/>
    <w:rsid w:val="49B36701"/>
    <w:rsid w:val="4A176B9D"/>
    <w:rsid w:val="4A890996"/>
    <w:rsid w:val="4AAA6A80"/>
    <w:rsid w:val="4AB3528F"/>
    <w:rsid w:val="4AD30D16"/>
    <w:rsid w:val="4AE922E8"/>
    <w:rsid w:val="4B044DE2"/>
    <w:rsid w:val="4B0727BC"/>
    <w:rsid w:val="4B4C61C0"/>
    <w:rsid w:val="4B607F0F"/>
    <w:rsid w:val="4B7E0D23"/>
    <w:rsid w:val="4BB075EA"/>
    <w:rsid w:val="4BDD5A2A"/>
    <w:rsid w:val="4BDF36EB"/>
    <w:rsid w:val="4C03387D"/>
    <w:rsid w:val="4C0C2706"/>
    <w:rsid w:val="4C6F1289"/>
    <w:rsid w:val="4CCE5C39"/>
    <w:rsid w:val="4CD06E80"/>
    <w:rsid w:val="4CE92A73"/>
    <w:rsid w:val="4D3A1520"/>
    <w:rsid w:val="4D447CA9"/>
    <w:rsid w:val="4D5C1497"/>
    <w:rsid w:val="4D6A08C1"/>
    <w:rsid w:val="4DD243FB"/>
    <w:rsid w:val="4DD3102D"/>
    <w:rsid w:val="4DEA5FE1"/>
    <w:rsid w:val="4E0B07C7"/>
    <w:rsid w:val="4E2875CB"/>
    <w:rsid w:val="4E2A58C3"/>
    <w:rsid w:val="4E2B460E"/>
    <w:rsid w:val="4E685C19"/>
    <w:rsid w:val="4E9E1967"/>
    <w:rsid w:val="4EB23B13"/>
    <w:rsid w:val="4EC217CD"/>
    <w:rsid w:val="4ECA2430"/>
    <w:rsid w:val="4EFF59B6"/>
    <w:rsid w:val="4F1149DD"/>
    <w:rsid w:val="4F29184C"/>
    <w:rsid w:val="4F2E462B"/>
    <w:rsid w:val="4F691C49"/>
    <w:rsid w:val="4F710AFD"/>
    <w:rsid w:val="4F860B05"/>
    <w:rsid w:val="4F9D333D"/>
    <w:rsid w:val="4FC60E49"/>
    <w:rsid w:val="4FF15F35"/>
    <w:rsid w:val="4FF75635"/>
    <w:rsid w:val="5015592D"/>
    <w:rsid w:val="501F67AB"/>
    <w:rsid w:val="50357D7D"/>
    <w:rsid w:val="50AD025B"/>
    <w:rsid w:val="50BB4726"/>
    <w:rsid w:val="50CE5E0A"/>
    <w:rsid w:val="50DA3146"/>
    <w:rsid w:val="50FE23F8"/>
    <w:rsid w:val="51043834"/>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715B9"/>
    <w:rsid w:val="52FB4C31"/>
    <w:rsid w:val="530028C4"/>
    <w:rsid w:val="53023555"/>
    <w:rsid w:val="53195734"/>
    <w:rsid w:val="531F5A09"/>
    <w:rsid w:val="5335162E"/>
    <w:rsid w:val="53472AD9"/>
    <w:rsid w:val="537975F9"/>
    <w:rsid w:val="53FD32A8"/>
    <w:rsid w:val="54216F96"/>
    <w:rsid w:val="546D2E6B"/>
    <w:rsid w:val="54DE5EBD"/>
    <w:rsid w:val="54E310D2"/>
    <w:rsid w:val="54E337C4"/>
    <w:rsid w:val="54EE3D97"/>
    <w:rsid w:val="54F11878"/>
    <w:rsid w:val="55061CE8"/>
    <w:rsid w:val="55102E38"/>
    <w:rsid w:val="55480552"/>
    <w:rsid w:val="5551615B"/>
    <w:rsid w:val="55593010"/>
    <w:rsid w:val="55B46F97"/>
    <w:rsid w:val="55DB0099"/>
    <w:rsid w:val="565847C5"/>
    <w:rsid w:val="5665387A"/>
    <w:rsid w:val="56786C15"/>
    <w:rsid w:val="56B714EC"/>
    <w:rsid w:val="573B036F"/>
    <w:rsid w:val="57476D14"/>
    <w:rsid w:val="57502121"/>
    <w:rsid w:val="57536CC6"/>
    <w:rsid w:val="57833AC4"/>
    <w:rsid w:val="5789732C"/>
    <w:rsid w:val="57A26B81"/>
    <w:rsid w:val="57B91294"/>
    <w:rsid w:val="57CB1644"/>
    <w:rsid w:val="57EC3A91"/>
    <w:rsid w:val="580F5357"/>
    <w:rsid w:val="583848AE"/>
    <w:rsid w:val="584451D7"/>
    <w:rsid w:val="587A09A5"/>
    <w:rsid w:val="587D6E68"/>
    <w:rsid w:val="58896EB8"/>
    <w:rsid w:val="58A1428B"/>
    <w:rsid w:val="58C04415"/>
    <w:rsid w:val="58C43C29"/>
    <w:rsid w:val="590824D3"/>
    <w:rsid w:val="590E4F6C"/>
    <w:rsid w:val="59367040"/>
    <w:rsid w:val="593815B6"/>
    <w:rsid w:val="593B6F6F"/>
    <w:rsid w:val="59837DAB"/>
    <w:rsid w:val="599C3A15"/>
    <w:rsid w:val="59AD6BD6"/>
    <w:rsid w:val="59CC39A6"/>
    <w:rsid w:val="59DA18AC"/>
    <w:rsid w:val="59EE6755"/>
    <w:rsid w:val="59FB3DE5"/>
    <w:rsid w:val="59FC23B2"/>
    <w:rsid w:val="5A054C64"/>
    <w:rsid w:val="5A0F30B0"/>
    <w:rsid w:val="5A153C28"/>
    <w:rsid w:val="5A1F5D26"/>
    <w:rsid w:val="5A551748"/>
    <w:rsid w:val="5A84202D"/>
    <w:rsid w:val="5A8B13CB"/>
    <w:rsid w:val="5B013F5E"/>
    <w:rsid w:val="5B3C6463"/>
    <w:rsid w:val="5B8B267A"/>
    <w:rsid w:val="5B920779"/>
    <w:rsid w:val="5B9B5880"/>
    <w:rsid w:val="5BB632BD"/>
    <w:rsid w:val="5BCF70D5"/>
    <w:rsid w:val="5BDB4945"/>
    <w:rsid w:val="5C05719D"/>
    <w:rsid w:val="5C430EF4"/>
    <w:rsid w:val="5C5617A7"/>
    <w:rsid w:val="5CCA40B3"/>
    <w:rsid w:val="5CDA1592"/>
    <w:rsid w:val="5CE15514"/>
    <w:rsid w:val="5D053352"/>
    <w:rsid w:val="5D071EEE"/>
    <w:rsid w:val="5D423AD9"/>
    <w:rsid w:val="5DDC7A8A"/>
    <w:rsid w:val="5DE00733"/>
    <w:rsid w:val="5DE731E4"/>
    <w:rsid w:val="5DEA03F9"/>
    <w:rsid w:val="5DF70D68"/>
    <w:rsid w:val="5E2C10D5"/>
    <w:rsid w:val="5E40626B"/>
    <w:rsid w:val="5E482FBE"/>
    <w:rsid w:val="5E733A52"/>
    <w:rsid w:val="5E8B6D01"/>
    <w:rsid w:val="5E9E77E0"/>
    <w:rsid w:val="5EB17168"/>
    <w:rsid w:val="5ECE4B71"/>
    <w:rsid w:val="5F4366D9"/>
    <w:rsid w:val="5F58362A"/>
    <w:rsid w:val="5FAA6092"/>
    <w:rsid w:val="5FC26AA0"/>
    <w:rsid w:val="5FE550F4"/>
    <w:rsid w:val="5FF852DD"/>
    <w:rsid w:val="602A0293"/>
    <w:rsid w:val="60345DD1"/>
    <w:rsid w:val="610466BA"/>
    <w:rsid w:val="61443E46"/>
    <w:rsid w:val="61B65ADA"/>
    <w:rsid w:val="625E643D"/>
    <w:rsid w:val="62B64D4D"/>
    <w:rsid w:val="62BD432E"/>
    <w:rsid w:val="62C950FF"/>
    <w:rsid w:val="62CD4A8E"/>
    <w:rsid w:val="62ED7E84"/>
    <w:rsid w:val="63046813"/>
    <w:rsid w:val="633F216E"/>
    <w:rsid w:val="63506F50"/>
    <w:rsid w:val="63917771"/>
    <w:rsid w:val="639332E1"/>
    <w:rsid w:val="63972A16"/>
    <w:rsid w:val="639D0223"/>
    <w:rsid w:val="63B15515"/>
    <w:rsid w:val="63FF4024"/>
    <w:rsid w:val="643842D4"/>
    <w:rsid w:val="64630F05"/>
    <w:rsid w:val="64634A61"/>
    <w:rsid w:val="647E2BF2"/>
    <w:rsid w:val="648D7D30"/>
    <w:rsid w:val="64920E2E"/>
    <w:rsid w:val="64DE67DD"/>
    <w:rsid w:val="64DF3C9A"/>
    <w:rsid w:val="650D5257"/>
    <w:rsid w:val="651346D9"/>
    <w:rsid w:val="65310E21"/>
    <w:rsid w:val="65314B5F"/>
    <w:rsid w:val="655B3561"/>
    <w:rsid w:val="655B398A"/>
    <w:rsid w:val="6578453C"/>
    <w:rsid w:val="658B6DC7"/>
    <w:rsid w:val="659D1DBC"/>
    <w:rsid w:val="65AA7E46"/>
    <w:rsid w:val="65B337C6"/>
    <w:rsid w:val="65BF482E"/>
    <w:rsid w:val="65CA511A"/>
    <w:rsid w:val="65D8147F"/>
    <w:rsid w:val="660109D5"/>
    <w:rsid w:val="661204ED"/>
    <w:rsid w:val="661A3903"/>
    <w:rsid w:val="663D12E2"/>
    <w:rsid w:val="66456B14"/>
    <w:rsid w:val="66863D8F"/>
    <w:rsid w:val="668A7AAF"/>
    <w:rsid w:val="66BA201C"/>
    <w:rsid w:val="66F978FF"/>
    <w:rsid w:val="67135A65"/>
    <w:rsid w:val="671D04B7"/>
    <w:rsid w:val="677F5616"/>
    <w:rsid w:val="67BF12CC"/>
    <w:rsid w:val="67DE610B"/>
    <w:rsid w:val="681C38A5"/>
    <w:rsid w:val="684A4382"/>
    <w:rsid w:val="68694610"/>
    <w:rsid w:val="68D32820"/>
    <w:rsid w:val="69E93980"/>
    <w:rsid w:val="69F66377"/>
    <w:rsid w:val="69FA25A1"/>
    <w:rsid w:val="6A334ED5"/>
    <w:rsid w:val="6A681023"/>
    <w:rsid w:val="6A694D9B"/>
    <w:rsid w:val="6A9B6D2E"/>
    <w:rsid w:val="6AA22798"/>
    <w:rsid w:val="6B23319C"/>
    <w:rsid w:val="6B3B477B"/>
    <w:rsid w:val="6B635476"/>
    <w:rsid w:val="6B9145AA"/>
    <w:rsid w:val="6BAC3191"/>
    <w:rsid w:val="6BF863D7"/>
    <w:rsid w:val="6C276CBC"/>
    <w:rsid w:val="6C3C0563"/>
    <w:rsid w:val="6C3C2767"/>
    <w:rsid w:val="6C6B3F54"/>
    <w:rsid w:val="6C702411"/>
    <w:rsid w:val="6C7A6CC4"/>
    <w:rsid w:val="6C8930B0"/>
    <w:rsid w:val="6CA914B7"/>
    <w:rsid w:val="6CCA7D73"/>
    <w:rsid w:val="6CDF1345"/>
    <w:rsid w:val="6CFC1EF7"/>
    <w:rsid w:val="6D2138C3"/>
    <w:rsid w:val="6D3A657B"/>
    <w:rsid w:val="6D635AD2"/>
    <w:rsid w:val="6D7165A7"/>
    <w:rsid w:val="6D793547"/>
    <w:rsid w:val="6D8B377D"/>
    <w:rsid w:val="6D8C32E7"/>
    <w:rsid w:val="6D9B5FF9"/>
    <w:rsid w:val="6DA93E2C"/>
    <w:rsid w:val="6DCF4F15"/>
    <w:rsid w:val="6DCF7BD6"/>
    <w:rsid w:val="6DD864C0"/>
    <w:rsid w:val="6DF332FA"/>
    <w:rsid w:val="6DF523F6"/>
    <w:rsid w:val="6E0C74E9"/>
    <w:rsid w:val="6E472F85"/>
    <w:rsid w:val="6E590230"/>
    <w:rsid w:val="6E681094"/>
    <w:rsid w:val="6EDB3973"/>
    <w:rsid w:val="6F1B75A6"/>
    <w:rsid w:val="6F274FBB"/>
    <w:rsid w:val="6F314216"/>
    <w:rsid w:val="6F5C6C7D"/>
    <w:rsid w:val="6F8D3411"/>
    <w:rsid w:val="6F975436"/>
    <w:rsid w:val="6FA26D85"/>
    <w:rsid w:val="6FB47548"/>
    <w:rsid w:val="6FCC5BB0"/>
    <w:rsid w:val="6FCC6779"/>
    <w:rsid w:val="70105C56"/>
    <w:rsid w:val="70187047"/>
    <w:rsid w:val="707B6DF7"/>
    <w:rsid w:val="70AC7790"/>
    <w:rsid w:val="70BE10E3"/>
    <w:rsid w:val="70E433CD"/>
    <w:rsid w:val="71145A61"/>
    <w:rsid w:val="71342848"/>
    <w:rsid w:val="71C06E4D"/>
    <w:rsid w:val="71D64DAB"/>
    <w:rsid w:val="71E9647C"/>
    <w:rsid w:val="724A3704"/>
    <w:rsid w:val="725031DA"/>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CE1F56"/>
    <w:rsid w:val="75D532E5"/>
    <w:rsid w:val="76053BCA"/>
    <w:rsid w:val="760D238E"/>
    <w:rsid w:val="766C3C49"/>
    <w:rsid w:val="76796366"/>
    <w:rsid w:val="768E0063"/>
    <w:rsid w:val="76CF5F86"/>
    <w:rsid w:val="76D8308D"/>
    <w:rsid w:val="77423369"/>
    <w:rsid w:val="77447586"/>
    <w:rsid w:val="77470212"/>
    <w:rsid w:val="779D6084"/>
    <w:rsid w:val="77B70EF4"/>
    <w:rsid w:val="77C03A05"/>
    <w:rsid w:val="781B05C0"/>
    <w:rsid w:val="782D11B6"/>
    <w:rsid w:val="785034EF"/>
    <w:rsid w:val="788D7EA7"/>
    <w:rsid w:val="78A31461"/>
    <w:rsid w:val="78A63E85"/>
    <w:rsid w:val="78B421EB"/>
    <w:rsid w:val="78FA4480"/>
    <w:rsid w:val="79256331"/>
    <w:rsid w:val="793C3027"/>
    <w:rsid w:val="794744F9"/>
    <w:rsid w:val="79766B8D"/>
    <w:rsid w:val="79D8213D"/>
    <w:rsid w:val="79DA0F42"/>
    <w:rsid w:val="79DD61E6"/>
    <w:rsid w:val="7A006904"/>
    <w:rsid w:val="7A09667E"/>
    <w:rsid w:val="7A3456BF"/>
    <w:rsid w:val="7A8A3819"/>
    <w:rsid w:val="7AAC0949"/>
    <w:rsid w:val="7ADA3086"/>
    <w:rsid w:val="7ADB2C08"/>
    <w:rsid w:val="7B043031"/>
    <w:rsid w:val="7B1851AF"/>
    <w:rsid w:val="7B52292A"/>
    <w:rsid w:val="7B5455AE"/>
    <w:rsid w:val="7BC63555"/>
    <w:rsid w:val="7C093CE8"/>
    <w:rsid w:val="7C624616"/>
    <w:rsid w:val="7CE56503"/>
    <w:rsid w:val="7D4274B2"/>
    <w:rsid w:val="7D9121E7"/>
    <w:rsid w:val="7DB62A4C"/>
    <w:rsid w:val="7DCB53EE"/>
    <w:rsid w:val="7DEB3451"/>
    <w:rsid w:val="7E085C95"/>
    <w:rsid w:val="7E665422"/>
    <w:rsid w:val="7E7A3A8F"/>
    <w:rsid w:val="7EAE76C8"/>
    <w:rsid w:val="7ECF746B"/>
    <w:rsid w:val="7EE13EB9"/>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99"/>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qFormat/>
    <w:uiPriority w:val="0"/>
  </w:style>
  <w:style w:type="paragraph" w:customStyle="1" w:styleId="113">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4">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5">
    <w:name w:val="正文缩进_0"/>
    <w:basedOn w:val="116"/>
    <w:unhideWhenUsed/>
    <w:qFormat/>
    <w:uiPriority w:val="0"/>
    <w:pPr>
      <w:ind w:firstLine="420" w:firstLineChars="200"/>
    </w:pPr>
  </w:style>
  <w:style w:type="paragraph" w:customStyle="1" w:styleId="11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7">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8">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19">
    <w:name w:val="7）页眉页脚"/>
    <w:qFormat/>
    <w:uiPriority w:val="0"/>
    <w:rPr>
      <w:rFonts w:ascii="仿宋_GB2312" w:eastAsia="仿宋_GB2312"/>
      <w:b/>
      <w:i/>
      <w:sz w:val="18"/>
      <w:vertAlign w:val="baseline"/>
    </w:rPr>
  </w:style>
  <w:style w:type="character" w:customStyle="1" w:styleId="120">
    <w:name w:val="font41"/>
    <w:qFormat/>
    <w:uiPriority w:val="0"/>
    <w:rPr>
      <w:rFonts w:hint="eastAsia" w:ascii="宋体" w:hAnsi="宋体" w:eastAsia="宋体" w:cs="宋体"/>
      <w:color w:val="000000"/>
      <w:sz w:val="24"/>
      <w:szCs w:val="24"/>
      <w:u w:val="none"/>
    </w:rPr>
  </w:style>
  <w:style w:type="character" w:customStyle="1" w:styleId="121">
    <w:name w:val="font11"/>
    <w:qFormat/>
    <w:uiPriority w:val="0"/>
    <w:rPr>
      <w:rFonts w:hint="eastAsia" w:ascii="宋体" w:hAnsi="宋体" w:eastAsia="宋体" w:cs="宋体"/>
      <w:b/>
      <w:bCs/>
      <w:color w:val="000000"/>
      <w:sz w:val="24"/>
      <w:szCs w:val="24"/>
      <w:u w:val="none"/>
    </w:rPr>
  </w:style>
  <w:style w:type="character" w:customStyle="1" w:styleId="122">
    <w:name w:val="font31"/>
    <w:qFormat/>
    <w:uiPriority w:val="0"/>
    <w:rPr>
      <w:rFonts w:hint="eastAsia" w:ascii="宋体" w:hAnsi="宋体" w:eastAsia="宋体" w:cs="宋体"/>
      <w:color w:val="000000"/>
      <w:sz w:val="24"/>
      <w:szCs w:val="24"/>
      <w:u w:val="none"/>
    </w:rPr>
  </w:style>
  <w:style w:type="character" w:customStyle="1" w:styleId="123">
    <w:name w:val="font51"/>
    <w:qFormat/>
    <w:uiPriority w:val="0"/>
    <w:rPr>
      <w:rFonts w:hint="eastAsia" w:ascii="宋体" w:hAnsi="宋体" w:eastAsia="宋体" w:cs="宋体"/>
      <w:b/>
      <w:bCs/>
      <w:color w:val="000000"/>
      <w:sz w:val="24"/>
      <w:szCs w:val="24"/>
      <w:u w:val="none"/>
    </w:rPr>
  </w:style>
  <w:style w:type="character" w:customStyle="1" w:styleId="124">
    <w:name w:val="font21"/>
    <w:qFormat/>
    <w:uiPriority w:val="0"/>
    <w:rPr>
      <w:rFonts w:hint="eastAsia" w:ascii="宋体" w:hAnsi="宋体" w:eastAsia="宋体" w:cs="宋体"/>
      <w:b/>
      <w:bCs/>
      <w:color w:val="000000"/>
      <w:sz w:val="22"/>
      <w:szCs w:val="22"/>
      <w:u w:val="none"/>
    </w:rPr>
  </w:style>
  <w:style w:type="character" w:customStyle="1" w:styleId="125">
    <w:name w:val="font01"/>
    <w:qFormat/>
    <w:uiPriority w:val="0"/>
    <w:rPr>
      <w:rFonts w:hint="eastAsia" w:ascii="宋体" w:hAnsi="宋体" w:eastAsia="宋体" w:cs="宋体"/>
      <w:color w:val="000000"/>
      <w:sz w:val="22"/>
      <w:szCs w:val="22"/>
      <w:u w:val="none"/>
    </w:rPr>
  </w:style>
  <w:style w:type="paragraph" w:customStyle="1" w:styleId="126">
    <w:name w:val="Table Text"/>
    <w:basedOn w:val="1"/>
    <w:semiHidden/>
    <w:qFormat/>
    <w:uiPriority w:val="0"/>
    <w:rPr>
      <w:rFonts w:ascii="宋体" w:hAnsi="宋体" w:cs="宋体"/>
      <w:sz w:val="36"/>
      <w:szCs w:val="36"/>
      <w:lang w:eastAsia="en-US"/>
    </w:rPr>
  </w:style>
  <w:style w:type="paragraph" w:customStyle="1" w:styleId="127">
    <w:name w:val="正文文本1"/>
    <w:basedOn w:val="1"/>
    <w:qFormat/>
    <w:uiPriority w:val="0"/>
    <w:pPr>
      <w:spacing w:after="480" w:line="444" w:lineRule="auto"/>
      <w:ind w:firstLine="400"/>
    </w:pPr>
    <w:rPr>
      <w:rFonts w:ascii="宋体" w:hAnsi="宋体"/>
      <w:sz w:val="22"/>
      <w:lang w:val="zh-CN" w:bidi="zh-CN"/>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styleId="129">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130">
    <w:name w:val="font61"/>
    <w:basedOn w:val="26"/>
    <w:qFormat/>
    <w:uiPriority w:val="0"/>
    <w:rPr>
      <w:rFonts w:ascii="Calibri" w:hAnsi="Calibri" w:cs="Calibri"/>
      <w:color w:val="000000"/>
      <w:sz w:val="20"/>
      <w:szCs w:val="20"/>
      <w:u w:val="none"/>
    </w:rPr>
  </w:style>
  <w:style w:type="character" w:customStyle="1" w:styleId="131">
    <w:name w:val="font71"/>
    <w:basedOn w:val="26"/>
    <w:qFormat/>
    <w:uiPriority w:val="0"/>
    <w:rPr>
      <w:rFonts w:ascii="Cambria Math" w:hAnsi="Cambria Math" w:eastAsia="Cambria Math" w:cs="Cambria Math"/>
      <w:color w:val="000000"/>
      <w:sz w:val="20"/>
      <w:szCs w:val="20"/>
      <w:u w:val="none"/>
    </w:rPr>
  </w:style>
  <w:style w:type="character" w:customStyle="1" w:styleId="132">
    <w:name w:val="font81"/>
    <w:basedOn w:val="26"/>
    <w:qFormat/>
    <w:uiPriority w:val="0"/>
    <w:rPr>
      <w:rFonts w:hint="default" w:ascii="Calibri" w:hAnsi="Calibri" w:cs="Calibri"/>
      <w:color w:val="000000"/>
      <w:sz w:val="20"/>
      <w:szCs w:val="20"/>
      <w:u w:val="none"/>
    </w:rPr>
  </w:style>
  <w:style w:type="paragraph" w:customStyle="1" w:styleId="133">
    <w:name w:val="修订1"/>
    <w:hidden/>
    <w:semiHidden/>
    <w:qFormat/>
    <w:uiPriority w:val="99"/>
    <w:rPr>
      <w:rFonts w:ascii="Times New Roman" w:hAnsi="Times New Roman" w:eastAsia="宋体" w:cs="Times New Roman"/>
      <w:kern w:val="2"/>
      <w:sz w:val="21"/>
      <w:lang w:val="en-US" w:eastAsia="zh-CN" w:bidi="ar-SA"/>
    </w:rPr>
  </w:style>
  <w:style w:type="paragraph" w:customStyle="1" w:styleId="134">
    <w:name w:val="タイトル:  1-1"/>
    <w:basedOn w:val="1"/>
    <w:qFormat/>
    <w:uiPriority w:val="0"/>
    <w:pPr>
      <w:adjustRightInd w:val="0"/>
      <w:spacing w:line="240" w:lineRule="atLeast"/>
      <w:ind w:left="709" w:hanging="709"/>
      <w:jc w:val="left"/>
      <w:textAlignment w:val="baseline"/>
    </w:pPr>
    <w:rPr>
      <w:rFonts w:ascii="Courier New" w:hAnsi="Courier" w:eastAsia="Mincho"/>
      <w:b/>
      <w:kern w:val="0"/>
      <w:sz w:val="24"/>
      <w:lang w:eastAsia="ja-JP"/>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91</Pages>
  <Words>14802</Words>
  <Characters>16274</Characters>
  <Lines>458</Lines>
  <Paragraphs>129</Paragraphs>
  <TotalTime>426</TotalTime>
  <ScaleCrop>false</ScaleCrop>
  <LinksUpToDate>false</LinksUpToDate>
  <CharactersWithSpaces>16541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李霆</dc:creator>
  <cp:lastModifiedBy>LTSC</cp:lastModifiedBy>
  <cp:lastPrinted>2023-04-04T04:31:00Z</cp:lastPrinted>
  <dcterms:modified xsi:type="dcterms:W3CDTF">2026-06-24T10:25:19Z</dcterms:modified>
  <dc:title>新疆维吾尔自治区政府采购中心</dc:title>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549E7019415C4EFE90B80756427B5EF6_13</vt:lpwstr>
  </property>
  <property fmtid="{D5CDD505-2E9C-101B-9397-08002B2CF9AE}" pid="4" name="KSOTemplateDocerSaveRecord">
    <vt:lpwstr>eyJoZGlkIjoiNjFhMzZiMTJlZDJhNzVjZjA3OWMwZjI1ZDkyMWIxOWIiLCJ1c2VySWQiOiI1NTU0OTg4In0=</vt:lpwstr>
  </property>
</Properties>
</file>