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DF828C">
      <w:pPr>
        <w:adjustRightInd w:val="0"/>
        <w:snapToGrid w:val="0"/>
        <w:jc w:val="left"/>
        <w:rPr>
          <w:rFonts w:hint="eastAsia" w:ascii="仿宋" w:hAnsi="仿宋" w:eastAsia="仿宋" w:cs="仿宋"/>
          <w:color w:val="auto"/>
          <w:highlight w:val="none"/>
        </w:rPr>
      </w:pPr>
      <w:r>
        <w:rPr>
          <w:rFonts w:hint="eastAsia" w:ascii="仿宋" w:hAnsi="仿宋" w:eastAsia="仿宋" w:cs="仿宋"/>
          <w:color w:val="auto"/>
          <w:highlight w:val="none"/>
        </w:rPr>
        <w:drawing>
          <wp:inline distT="0" distB="0" distL="114300" distR="114300">
            <wp:extent cx="977900" cy="795020"/>
            <wp:effectExtent l="0" t="0" r="12700" b="508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11"/>
                    <a:stretch>
                      <a:fillRect/>
                    </a:stretch>
                  </pic:blipFill>
                  <pic:spPr>
                    <a:xfrm>
                      <a:off x="0" y="0"/>
                      <a:ext cx="977900" cy="795020"/>
                    </a:xfrm>
                    <a:prstGeom prst="rect">
                      <a:avLst/>
                    </a:prstGeom>
                    <a:noFill/>
                    <a:ln>
                      <a:noFill/>
                    </a:ln>
                  </pic:spPr>
                </pic:pic>
              </a:graphicData>
            </a:graphic>
          </wp:inline>
        </w:drawing>
      </w:r>
      <w:r>
        <w:rPr>
          <w:rFonts w:hint="eastAsia" w:ascii="仿宋" w:hAnsi="仿宋" w:eastAsia="仿宋" w:cs="仿宋"/>
          <w:color w:val="auto"/>
          <w:highlight w:val="none"/>
        </w:rPr>
        <w:t xml:space="preserve"> </w:t>
      </w:r>
    </w:p>
    <w:p w14:paraId="1FA00556">
      <w:pPr>
        <w:adjustRightInd w:val="0"/>
        <w:snapToGrid w:val="0"/>
        <w:spacing w:line="480" w:lineRule="exact"/>
        <w:jc w:val="center"/>
        <w:rPr>
          <w:rFonts w:hint="eastAsia" w:ascii="仿宋" w:hAnsi="仿宋" w:eastAsia="仿宋" w:cs="仿宋"/>
          <w:bCs/>
          <w:color w:val="auto"/>
          <w:sz w:val="48"/>
          <w:szCs w:val="48"/>
          <w:highlight w:val="none"/>
        </w:rPr>
      </w:pPr>
    </w:p>
    <w:p w14:paraId="58F96ADD">
      <w:pPr>
        <w:adjustRightInd w:val="0"/>
        <w:snapToGrid w:val="0"/>
        <w:spacing w:line="480" w:lineRule="exact"/>
        <w:jc w:val="center"/>
        <w:rPr>
          <w:rFonts w:hint="eastAsia" w:ascii="仿宋" w:hAnsi="仿宋" w:eastAsia="仿宋" w:cs="仿宋"/>
          <w:bCs/>
          <w:color w:val="auto"/>
          <w:sz w:val="48"/>
          <w:szCs w:val="48"/>
          <w:highlight w:val="none"/>
        </w:rPr>
      </w:pPr>
      <w:r>
        <w:rPr>
          <w:rFonts w:hint="eastAsia" w:ascii="仿宋" w:hAnsi="仿宋" w:eastAsia="仿宋" w:cs="仿宋"/>
          <w:bCs/>
          <w:color w:val="auto"/>
          <w:sz w:val="48"/>
          <w:szCs w:val="48"/>
          <w:highlight w:val="none"/>
        </w:rPr>
        <w:t>采 购 文 件</w:t>
      </w:r>
    </w:p>
    <w:p w14:paraId="73858A15">
      <w:pPr>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（竞争性谈判-货物）</w:t>
      </w:r>
    </w:p>
    <w:p w14:paraId="650F33C0">
      <w:pPr>
        <w:ind w:left="1574" w:right="-191" w:rightChars="-91" w:hanging="1574" w:hangingChars="492"/>
        <w:rPr>
          <w:rFonts w:hint="eastAsia" w:ascii="仿宋" w:hAnsi="仿宋" w:eastAsia="仿宋" w:cs="仿宋"/>
          <w:bCs/>
          <w:color w:val="auto"/>
          <w:kern w:val="0"/>
          <w:sz w:val="32"/>
          <w:szCs w:val="32"/>
          <w:highlight w:val="none"/>
        </w:rPr>
      </w:pPr>
    </w:p>
    <w:p w14:paraId="13412ACA">
      <w:pPr>
        <w:adjustRightInd w:val="0"/>
        <w:snapToGrid w:val="0"/>
        <w:spacing w:line="480" w:lineRule="exact"/>
        <w:ind w:left="1600" w:hanging="1600" w:hangingChars="500"/>
        <w:rPr>
          <w:rFonts w:hint="eastAsia" w:ascii="仿宋" w:hAnsi="仿宋" w:eastAsia="仿宋" w:cs="仿宋"/>
          <w:bCs/>
          <w:color w:val="auto"/>
          <w:kern w:val="0"/>
          <w:sz w:val="32"/>
          <w:szCs w:val="32"/>
          <w:highlight w:val="none"/>
        </w:rPr>
      </w:pPr>
    </w:p>
    <w:p w14:paraId="46133949">
      <w:pPr>
        <w:adjustRightInd w:val="0"/>
        <w:snapToGrid w:val="0"/>
        <w:spacing w:line="480" w:lineRule="exact"/>
        <w:ind w:left="1600" w:hanging="1600" w:hangingChars="500"/>
        <w:rPr>
          <w:rFonts w:hint="eastAsia" w:ascii="仿宋" w:hAnsi="仿宋" w:eastAsia="仿宋" w:cs="仿宋"/>
          <w:bCs/>
          <w:color w:val="auto"/>
          <w:kern w:val="0"/>
          <w:sz w:val="32"/>
          <w:szCs w:val="32"/>
          <w:highlight w:val="none"/>
        </w:rPr>
      </w:pPr>
      <w:r>
        <w:rPr>
          <w:rFonts w:hint="eastAsia" w:ascii="仿宋" w:hAnsi="仿宋" w:eastAsia="仿宋" w:cs="仿宋"/>
          <w:bCs/>
          <w:color w:val="auto"/>
          <w:kern w:val="0"/>
          <w:sz w:val="32"/>
          <w:szCs w:val="32"/>
          <w:highlight w:val="none"/>
        </w:rPr>
        <w:t>项目名称：新疆农业大学“新疆草食动物新药研究与创制重点实验室”仪器设备采购</w:t>
      </w:r>
    </w:p>
    <w:p w14:paraId="6A897E4F">
      <w:pPr>
        <w:adjustRightInd w:val="0"/>
        <w:snapToGrid w:val="0"/>
        <w:spacing w:line="480" w:lineRule="exact"/>
        <w:rPr>
          <w:rFonts w:hint="eastAsia" w:ascii="仿宋" w:hAnsi="仿宋" w:eastAsia="仿宋" w:cs="仿宋"/>
          <w:bCs/>
          <w:color w:val="auto"/>
          <w:kern w:val="0"/>
          <w:sz w:val="32"/>
          <w:szCs w:val="32"/>
          <w:highlight w:val="none"/>
        </w:rPr>
      </w:pPr>
    </w:p>
    <w:p w14:paraId="37BF7FE8">
      <w:pPr>
        <w:adjustRightInd w:val="0"/>
        <w:snapToGrid w:val="0"/>
        <w:spacing w:line="480" w:lineRule="exact"/>
        <w:rPr>
          <w:rFonts w:hint="eastAsia" w:ascii="仿宋" w:hAnsi="仿宋" w:eastAsia="仿宋" w:cs="仿宋"/>
          <w:bCs/>
          <w:color w:val="auto"/>
          <w:kern w:val="0"/>
          <w:sz w:val="32"/>
          <w:szCs w:val="32"/>
          <w:highlight w:val="none"/>
        </w:rPr>
      </w:pPr>
      <w:r>
        <w:rPr>
          <w:rFonts w:hint="eastAsia" w:ascii="仿宋" w:hAnsi="仿宋" w:eastAsia="仿宋" w:cs="仿宋"/>
          <w:bCs/>
          <w:color w:val="auto"/>
          <w:kern w:val="0"/>
          <w:sz w:val="32"/>
          <w:szCs w:val="32"/>
          <w:highlight w:val="none"/>
        </w:rPr>
        <w:t>采购人(盖章)：</w:t>
      </w:r>
      <w:r>
        <w:rPr>
          <w:rFonts w:hint="eastAsia" w:ascii="仿宋" w:hAnsi="仿宋" w:eastAsia="仿宋" w:cs="仿宋"/>
          <w:bCs/>
          <w:color w:val="auto"/>
          <w:sz w:val="32"/>
          <w:highlight w:val="none"/>
        </w:rPr>
        <w:t>新疆农业大学</w:t>
      </w:r>
    </w:p>
    <w:p w14:paraId="489AADA4">
      <w:pPr>
        <w:adjustRightInd w:val="0"/>
        <w:snapToGrid w:val="0"/>
        <w:spacing w:line="480" w:lineRule="exact"/>
        <w:rPr>
          <w:rFonts w:hint="eastAsia" w:ascii="仿宋" w:hAnsi="仿宋" w:eastAsia="仿宋" w:cs="仿宋"/>
          <w:bCs/>
          <w:color w:val="auto"/>
          <w:sz w:val="32"/>
          <w:szCs w:val="32"/>
          <w:highlight w:val="none"/>
        </w:rPr>
      </w:pPr>
    </w:p>
    <w:p w14:paraId="7104358E">
      <w:pPr>
        <w:adjustRightInd w:val="0"/>
        <w:snapToGrid w:val="0"/>
        <w:spacing w:line="276" w:lineRule="auto"/>
        <w:rPr>
          <w:rFonts w:hint="eastAsia" w:ascii="仿宋" w:hAnsi="仿宋" w:eastAsia="仿宋" w:cs="仿宋"/>
          <w:bCs/>
          <w:color w:val="auto"/>
          <w:sz w:val="32"/>
          <w:szCs w:val="24"/>
          <w:highlight w:val="none"/>
        </w:rPr>
      </w:pPr>
      <w:r>
        <w:rPr>
          <w:rFonts w:hint="eastAsia" w:ascii="仿宋" w:hAnsi="仿宋" w:eastAsia="仿宋" w:cs="仿宋"/>
          <w:bCs/>
          <w:color w:val="auto"/>
          <w:sz w:val="32"/>
          <w:szCs w:val="24"/>
          <w:highlight w:val="none"/>
        </w:rPr>
        <w:t>联系人：陈万昭</w:t>
      </w:r>
    </w:p>
    <w:p w14:paraId="498785A4">
      <w:pPr>
        <w:adjustRightInd w:val="0"/>
        <w:snapToGrid w:val="0"/>
        <w:spacing w:line="276" w:lineRule="auto"/>
        <w:rPr>
          <w:rFonts w:hint="eastAsia" w:ascii="仿宋" w:hAnsi="仿宋" w:eastAsia="仿宋" w:cs="仿宋"/>
          <w:bCs/>
          <w:color w:val="auto"/>
          <w:sz w:val="32"/>
          <w:szCs w:val="24"/>
          <w:highlight w:val="none"/>
        </w:rPr>
      </w:pPr>
    </w:p>
    <w:p w14:paraId="6F1EC48F">
      <w:pPr>
        <w:adjustRightInd w:val="0"/>
        <w:snapToGrid w:val="0"/>
        <w:spacing w:line="276" w:lineRule="auto"/>
        <w:jc w:val="left"/>
        <w:rPr>
          <w:rFonts w:hint="eastAsia" w:ascii="仿宋" w:hAnsi="仿宋" w:eastAsia="仿宋" w:cs="仿宋"/>
          <w:bCs/>
          <w:color w:val="auto"/>
          <w:sz w:val="32"/>
          <w:szCs w:val="24"/>
          <w:highlight w:val="none"/>
        </w:rPr>
      </w:pPr>
      <w:r>
        <w:rPr>
          <w:rFonts w:hint="eastAsia" w:ascii="仿宋" w:hAnsi="仿宋" w:eastAsia="仿宋" w:cs="仿宋"/>
          <w:bCs/>
          <w:color w:val="auto"/>
          <w:sz w:val="32"/>
          <w:szCs w:val="24"/>
          <w:highlight w:val="none"/>
        </w:rPr>
        <w:t>电话：15554726537</w:t>
      </w:r>
    </w:p>
    <w:p w14:paraId="0A6795F1">
      <w:pPr>
        <w:rPr>
          <w:rFonts w:hint="eastAsia" w:ascii="仿宋" w:hAnsi="仿宋" w:eastAsia="仿宋" w:cs="仿宋"/>
          <w:color w:val="auto"/>
          <w:highlight w:val="none"/>
        </w:rPr>
      </w:pPr>
    </w:p>
    <w:p w14:paraId="42EFF8EC">
      <w:pPr>
        <w:adjustRightInd w:val="0"/>
        <w:snapToGrid w:val="0"/>
        <w:spacing w:line="480" w:lineRule="exact"/>
        <w:jc w:val="left"/>
        <w:rPr>
          <w:rFonts w:hint="eastAsia" w:ascii="仿宋" w:hAnsi="仿宋" w:eastAsia="仿宋" w:cs="仿宋"/>
          <w:bCs/>
          <w:color w:val="auto"/>
          <w:kern w:val="0"/>
          <w:sz w:val="32"/>
          <w:szCs w:val="32"/>
          <w:highlight w:val="none"/>
        </w:rPr>
      </w:pPr>
      <w:r>
        <w:rPr>
          <w:rFonts w:hint="eastAsia" w:ascii="仿宋" w:hAnsi="仿宋" w:eastAsia="仿宋" w:cs="仿宋"/>
          <w:bCs/>
          <w:color w:val="auto"/>
          <w:kern w:val="0"/>
          <w:sz w:val="32"/>
          <w:szCs w:val="32"/>
          <w:highlight w:val="none"/>
        </w:rPr>
        <w:t>——————————————————————————</w:t>
      </w:r>
    </w:p>
    <w:p w14:paraId="0B2D3C52">
      <w:pPr>
        <w:adjustRightInd w:val="0"/>
        <w:snapToGrid w:val="0"/>
        <w:spacing w:line="480" w:lineRule="exact"/>
        <w:jc w:val="center"/>
        <w:rPr>
          <w:rFonts w:hint="eastAsia" w:ascii="仿宋" w:hAnsi="仿宋" w:eastAsia="仿宋" w:cs="仿宋"/>
          <w:bCs/>
          <w:color w:val="auto"/>
          <w:sz w:val="32"/>
          <w:szCs w:val="32"/>
          <w:highlight w:val="none"/>
        </w:rPr>
      </w:pPr>
    </w:p>
    <w:p w14:paraId="616FCD4F">
      <w:pPr>
        <w:adjustRightInd w:val="0"/>
        <w:snapToGrid w:val="0"/>
        <w:spacing w:line="480" w:lineRule="exact"/>
        <w:rPr>
          <w:rFonts w:hint="eastAsia" w:ascii="仿宋" w:hAnsi="仿宋" w:eastAsia="仿宋" w:cs="仿宋"/>
          <w:bCs/>
          <w:color w:val="auto"/>
          <w:sz w:val="32"/>
          <w:szCs w:val="32"/>
          <w:highlight w:val="none"/>
        </w:rPr>
      </w:pPr>
    </w:p>
    <w:p w14:paraId="19244065">
      <w:pPr>
        <w:adjustRightInd w:val="0"/>
        <w:snapToGrid w:val="0"/>
        <w:spacing w:line="480" w:lineRule="exact"/>
        <w:rPr>
          <w:rFonts w:hint="eastAsia" w:ascii="仿宋" w:hAnsi="仿宋" w:eastAsia="仿宋" w:cs="仿宋"/>
          <w:bCs/>
          <w:color w:val="auto"/>
          <w:sz w:val="32"/>
          <w:szCs w:val="32"/>
          <w:highlight w:val="none"/>
        </w:rPr>
      </w:pPr>
      <w:r>
        <w:rPr>
          <w:rFonts w:hint="eastAsia" w:ascii="仿宋" w:hAnsi="仿宋" w:eastAsia="仿宋" w:cs="仿宋"/>
          <w:bCs/>
          <w:color w:val="auto"/>
          <w:sz w:val="32"/>
          <w:szCs w:val="32"/>
          <w:highlight w:val="none"/>
        </w:rPr>
        <w:t>采购代理机构</w:t>
      </w:r>
      <w:r>
        <w:rPr>
          <w:rFonts w:hint="eastAsia" w:ascii="仿宋" w:hAnsi="仿宋" w:eastAsia="仿宋" w:cs="仿宋"/>
          <w:color w:val="auto"/>
          <w:sz w:val="32"/>
          <w:szCs w:val="32"/>
          <w:highlight w:val="none"/>
        </w:rPr>
        <w:t>(盖章)</w:t>
      </w:r>
      <w:r>
        <w:rPr>
          <w:rFonts w:hint="eastAsia" w:ascii="仿宋" w:hAnsi="仿宋" w:eastAsia="仿宋" w:cs="仿宋"/>
          <w:bCs/>
          <w:color w:val="auto"/>
          <w:sz w:val="32"/>
          <w:szCs w:val="32"/>
          <w:highlight w:val="none"/>
        </w:rPr>
        <w:t>：新疆新世纪招标有限公司</w:t>
      </w:r>
    </w:p>
    <w:p w14:paraId="1EC71D5D">
      <w:pPr>
        <w:adjustRightInd w:val="0"/>
        <w:snapToGrid w:val="0"/>
        <w:spacing w:line="480" w:lineRule="exact"/>
        <w:rPr>
          <w:rFonts w:hint="eastAsia" w:ascii="仿宋" w:hAnsi="仿宋" w:eastAsia="仿宋" w:cs="仿宋"/>
          <w:bCs/>
          <w:color w:val="auto"/>
          <w:sz w:val="32"/>
          <w:szCs w:val="32"/>
          <w:highlight w:val="none"/>
        </w:rPr>
      </w:pPr>
    </w:p>
    <w:p w14:paraId="57BE34E0">
      <w:pPr>
        <w:adjustRightInd w:val="0"/>
        <w:snapToGrid w:val="0"/>
        <w:spacing w:line="480" w:lineRule="exact"/>
        <w:rPr>
          <w:rFonts w:hint="eastAsia" w:ascii="仿宋" w:hAnsi="仿宋" w:eastAsia="仿宋" w:cs="仿宋"/>
          <w:bCs/>
          <w:color w:val="auto"/>
          <w:sz w:val="32"/>
          <w:szCs w:val="32"/>
          <w:highlight w:val="none"/>
        </w:rPr>
      </w:pPr>
      <w:r>
        <w:rPr>
          <w:rFonts w:hint="eastAsia" w:ascii="仿宋" w:hAnsi="仿宋" w:eastAsia="仿宋" w:cs="仿宋"/>
          <w:bCs/>
          <w:color w:val="auto"/>
          <w:sz w:val="32"/>
          <w:szCs w:val="32"/>
          <w:highlight w:val="none"/>
        </w:rPr>
        <w:t>联系人：马丹阳</w:t>
      </w:r>
    </w:p>
    <w:p w14:paraId="36FF6924">
      <w:pPr>
        <w:adjustRightInd w:val="0"/>
        <w:snapToGrid w:val="0"/>
        <w:spacing w:line="480" w:lineRule="exact"/>
        <w:jc w:val="center"/>
        <w:rPr>
          <w:rFonts w:hint="eastAsia" w:ascii="仿宋" w:hAnsi="仿宋" w:eastAsia="仿宋" w:cs="仿宋"/>
          <w:bCs/>
          <w:color w:val="auto"/>
          <w:sz w:val="32"/>
          <w:szCs w:val="32"/>
          <w:highlight w:val="none"/>
        </w:rPr>
      </w:pPr>
    </w:p>
    <w:p w14:paraId="7F7155E7">
      <w:pPr>
        <w:adjustRightInd w:val="0"/>
        <w:snapToGrid w:val="0"/>
        <w:spacing w:line="480" w:lineRule="exact"/>
        <w:rPr>
          <w:rFonts w:hint="eastAsia" w:ascii="仿宋" w:hAnsi="仿宋" w:eastAsia="仿宋" w:cs="仿宋"/>
          <w:bCs/>
          <w:color w:val="auto"/>
          <w:sz w:val="32"/>
          <w:szCs w:val="32"/>
          <w:highlight w:val="none"/>
        </w:rPr>
      </w:pPr>
      <w:r>
        <w:rPr>
          <w:rFonts w:hint="eastAsia" w:ascii="仿宋" w:hAnsi="仿宋" w:eastAsia="仿宋" w:cs="仿宋"/>
          <w:bCs/>
          <w:color w:val="auto"/>
          <w:kern w:val="0"/>
          <w:sz w:val="32"/>
          <w:szCs w:val="32"/>
          <w:highlight w:val="none"/>
        </w:rPr>
        <w:t>电话</w:t>
      </w:r>
      <w:r>
        <w:rPr>
          <w:rFonts w:hint="eastAsia" w:ascii="仿宋" w:hAnsi="仿宋" w:eastAsia="仿宋" w:cs="仿宋"/>
          <w:bCs/>
          <w:color w:val="auto"/>
          <w:sz w:val="32"/>
          <w:szCs w:val="32"/>
          <w:highlight w:val="none"/>
        </w:rPr>
        <w:t>：0991-4661782</w:t>
      </w:r>
    </w:p>
    <w:p w14:paraId="39F9783A">
      <w:pPr>
        <w:adjustRightInd w:val="0"/>
        <w:snapToGrid w:val="0"/>
        <w:spacing w:line="480" w:lineRule="exact"/>
        <w:rPr>
          <w:rFonts w:hint="eastAsia" w:ascii="仿宋" w:hAnsi="仿宋" w:eastAsia="仿宋" w:cs="仿宋"/>
          <w:bCs/>
          <w:color w:val="auto"/>
          <w:sz w:val="32"/>
          <w:szCs w:val="32"/>
          <w:highlight w:val="none"/>
        </w:rPr>
      </w:pPr>
    </w:p>
    <w:p w14:paraId="328625E8">
      <w:pPr>
        <w:adjustRightInd w:val="0"/>
        <w:snapToGrid w:val="0"/>
        <w:spacing w:line="480" w:lineRule="exact"/>
        <w:rPr>
          <w:rFonts w:hint="eastAsia" w:ascii="仿宋" w:hAnsi="仿宋" w:eastAsia="仿宋" w:cs="仿宋"/>
          <w:bCs/>
          <w:color w:val="auto"/>
          <w:sz w:val="32"/>
          <w:szCs w:val="32"/>
          <w:highlight w:val="none"/>
        </w:rPr>
      </w:pPr>
      <w:r>
        <w:rPr>
          <w:rFonts w:hint="eastAsia" w:ascii="仿宋" w:hAnsi="仿宋" w:eastAsia="仿宋" w:cs="仿宋"/>
          <w:bCs/>
          <w:color w:val="auto"/>
          <w:sz w:val="32"/>
          <w:szCs w:val="32"/>
          <w:highlight w:val="none"/>
        </w:rPr>
        <w:t>地址：乌鲁木齐市新兴街20号凤凰大厦五楼</w:t>
      </w:r>
    </w:p>
    <w:p w14:paraId="5F691124">
      <w:pPr>
        <w:widowControl/>
        <w:jc w:val="left"/>
        <w:rPr>
          <w:rFonts w:hint="eastAsia" w:ascii="仿宋" w:hAnsi="仿宋" w:eastAsia="仿宋" w:cs="仿宋"/>
          <w:b/>
          <w:bCs/>
          <w:color w:val="auto"/>
          <w:sz w:val="24"/>
          <w:szCs w:val="24"/>
          <w:highlight w:val="none"/>
        </w:rPr>
      </w:pPr>
    </w:p>
    <w:p w14:paraId="5CC38671">
      <w:pPr>
        <w:widowControl/>
        <w:jc w:val="left"/>
        <w:rPr>
          <w:rFonts w:hint="eastAsia" w:ascii="仿宋" w:hAnsi="仿宋" w:eastAsia="仿宋" w:cs="仿宋"/>
          <w:bCs/>
          <w:color w:val="auto"/>
          <w:sz w:val="32"/>
          <w:szCs w:val="32"/>
          <w:highlight w:val="none"/>
        </w:rPr>
      </w:pPr>
      <w:r>
        <w:rPr>
          <w:rFonts w:hint="eastAsia" w:ascii="仿宋" w:hAnsi="仿宋" w:eastAsia="仿宋" w:cs="仿宋"/>
          <w:bCs/>
          <w:color w:val="auto"/>
          <w:sz w:val="32"/>
          <w:szCs w:val="32"/>
          <w:highlight w:val="none"/>
        </w:rPr>
        <w:br w:type="page"/>
      </w:r>
    </w:p>
    <w:p w14:paraId="54097A43">
      <w:pPr>
        <w:jc w:val="center"/>
        <w:rPr>
          <w:rFonts w:hint="eastAsia" w:ascii="仿宋" w:hAnsi="仿宋" w:eastAsia="仿宋" w:cs="仿宋"/>
          <w:b/>
          <w:bCs/>
          <w:color w:val="auto"/>
          <w:sz w:val="24"/>
          <w:szCs w:val="24"/>
          <w:highlight w:val="none"/>
          <w:shd w:val="clear" w:color="auto" w:fill="FFFFFF" w:themeFill="background1"/>
        </w:rPr>
      </w:pPr>
      <w:r>
        <w:rPr>
          <w:rFonts w:hint="eastAsia" w:ascii="仿宋" w:hAnsi="仿宋" w:eastAsia="仿宋" w:cs="仿宋"/>
          <w:b/>
          <w:bCs/>
          <w:color w:val="auto"/>
          <w:sz w:val="24"/>
          <w:szCs w:val="24"/>
          <w:highlight w:val="none"/>
          <w:shd w:val="clear" w:color="auto" w:fill="FFFFFF" w:themeFill="background1"/>
        </w:rPr>
        <w:t>目 录</w:t>
      </w:r>
    </w:p>
    <w:p w14:paraId="0AA434AF">
      <w:pPr>
        <w:pStyle w:val="25"/>
        <w:tabs>
          <w:tab w:val="right" w:leader="dot" w:pos="8550"/>
        </w:tabs>
        <w:rPr>
          <w:color w:val="auto"/>
          <w:highlight w:val="none"/>
        </w:rPr>
      </w:pPr>
      <w:r>
        <w:rPr>
          <w:rFonts w:hint="eastAsia" w:ascii="仿宋" w:hAnsi="仿宋" w:eastAsia="仿宋" w:cs="仿宋"/>
          <w:color w:val="auto"/>
          <w:sz w:val="24"/>
          <w:highlight w:val="none"/>
          <w:shd w:val="clear" w:color="auto" w:fill="FFFFFF" w:themeFill="background1"/>
        </w:rPr>
        <w:fldChar w:fldCharType="begin"/>
      </w:r>
      <w:r>
        <w:rPr>
          <w:rFonts w:hint="eastAsia" w:ascii="仿宋" w:hAnsi="仿宋" w:eastAsia="仿宋" w:cs="仿宋"/>
          <w:color w:val="auto"/>
          <w:sz w:val="24"/>
          <w:highlight w:val="none"/>
          <w:shd w:val="clear" w:color="auto" w:fill="FFFFFF" w:themeFill="background1"/>
        </w:rPr>
        <w:instrText xml:space="preserve">TOC \o "1-3" \h \u </w:instrText>
      </w:r>
      <w:r>
        <w:rPr>
          <w:rFonts w:hint="eastAsia" w:ascii="仿宋" w:hAnsi="仿宋" w:eastAsia="仿宋" w:cs="仿宋"/>
          <w:color w:val="auto"/>
          <w:sz w:val="24"/>
          <w:highlight w:val="none"/>
          <w:shd w:val="clear" w:color="auto" w:fill="FFFFFF" w:themeFill="background1"/>
        </w:rPr>
        <w:fldChar w:fldCharType="separate"/>
      </w:r>
      <w:r>
        <w:rPr>
          <w:color w:val="auto"/>
          <w:highlight w:val="none"/>
        </w:rPr>
        <w:fldChar w:fldCharType="begin"/>
      </w:r>
      <w:r>
        <w:rPr>
          <w:color w:val="auto"/>
          <w:highlight w:val="none"/>
        </w:rPr>
        <w:instrText xml:space="preserve"> HYPERLINK \l "_Toc4151" </w:instrText>
      </w:r>
      <w:r>
        <w:rPr>
          <w:color w:val="auto"/>
          <w:highlight w:val="none"/>
        </w:rPr>
        <w:fldChar w:fldCharType="separate"/>
      </w:r>
      <w:r>
        <w:rPr>
          <w:rFonts w:hint="eastAsia" w:ascii="仿宋" w:hAnsi="仿宋" w:eastAsia="仿宋" w:cs="仿宋"/>
          <w:bCs/>
          <w:color w:val="auto"/>
          <w:szCs w:val="32"/>
          <w:highlight w:val="none"/>
        </w:rPr>
        <w:t>谈判公告</w:t>
      </w:r>
      <w:r>
        <w:rPr>
          <w:color w:val="auto"/>
          <w:highlight w:val="none"/>
        </w:rPr>
        <w:tab/>
      </w:r>
      <w:r>
        <w:rPr>
          <w:color w:val="auto"/>
          <w:highlight w:val="none"/>
        </w:rPr>
        <w:fldChar w:fldCharType="begin"/>
      </w:r>
      <w:r>
        <w:rPr>
          <w:color w:val="auto"/>
          <w:highlight w:val="none"/>
        </w:rPr>
        <w:instrText xml:space="preserve"> PAGEREF _Toc4151 \h </w:instrText>
      </w:r>
      <w:r>
        <w:rPr>
          <w:color w:val="auto"/>
          <w:highlight w:val="none"/>
        </w:rPr>
        <w:fldChar w:fldCharType="separate"/>
      </w:r>
      <w:r>
        <w:rPr>
          <w:color w:val="auto"/>
          <w:highlight w:val="none"/>
        </w:rPr>
        <w:t>1</w:t>
      </w:r>
      <w:r>
        <w:rPr>
          <w:color w:val="auto"/>
          <w:highlight w:val="none"/>
        </w:rPr>
        <w:fldChar w:fldCharType="end"/>
      </w:r>
      <w:r>
        <w:rPr>
          <w:color w:val="auto"/>
          <w:highlight w:val="none"/>
        </w:rPr>
        <w:fldChar w:fldCharType="end"/>
      </w:r>
    </w:p>
    <w:p w14:paraId="5885D6F8">
      <w:pPr>
        <w:pStyle w:val="25"/>
        <w:tabs>
          <w:tab w:val="right" w:leader="dot" w:pos="8550"/>
        </w:tabs>
        <w:rPr>
          <w:color w:val="auto"/>
          <w:highlight w:val="none"/>
        </w:rPr>
      </w:pPr>
      <w:r>
        <w:rPr>
          <w:color w:val="auto"/>
          <w:highlight w:val="none"/>
        </w:rPr>
        <w:fldChar w:fldCharType="begin"/>
      </w:r>
      <w:r>
        <w:rPr>
          <w:color w:val="auto"/>
          <w:highlight w:val="none"/>
        </w:rPr>
        <w:instrText xml:space="preserve"> HYPERLINK \l "_Toc29740" </w:instrText>
      </w:r>
      <w:r>
        <w:rPr>
          <w:color w:val="auto"/>
          <w:highlight w:val="none"/>
        </w:rPr>
        <w:fldChar w:fldCharType="separate"/>
      </w:r>
      <w:r>
        <w:rPr>
          <w:rFonts w:hint="eastAsia" w:ascii="仿宋" w:hAnsi="仿宋" w:eastAsia="仿宋" w:cs="仿宋"/>
          <w:color w:val="auto"/>
          <w:highlight w:val="none"/>
          <w:shd w:val="clear" w:color="auto" w:fill="FFFFFF" w:themeFill="background1"/>
        </w:rPr>
        <w:t>供应商须知前附表</w:t>
      </w:r>
      <w:r>
        <w:rPr>
          <w:color w:val="auto"/>
          <w:highlight w:val="none"/>
        </w:rPr>
        <w:tab/>
      </w:r>
      <w:r>
        <w:rPr>
          <w:color w:val="auto"/>
          <w:highlight w:val="none"/>
        </w:rPr>
        <w:fldChar w:fldCharType="begin"/>
      </w:r>
      <w:r>
        <w:rPr>
          <w:color w:val="auto"/>
          <w:highlight w:val="none"/>
        </w:rPr>
        <w:instrText xml:space="preserve"> PAGEREF _Toc29740 \h </w:instrText>
      </w:r>
      <w:r>
        <w:rPr>
          <w:color w:val="auto"/>
          <w:highlight w:val="none"/>
        </w:rPr>
        <w:fldChar w:fldCharType="separate"/>
      </w:r>
      <w:r>
        <w:rPr>
          <w:color w:val="auto"/>
          <w:highlight w:val="none"/>
        </w:rPr>
        <w:t>3</w:t>
      </w:r>
      <w:r>
        <w:rPr>
          <w:color w:val="auto"/>
          <w:highlight w:val="none"/>
        </w:rPr>
        <w:fldChar w:fldCharType="end"/>
      </w:r>
      <w:r>
        <w:rPr>
          <w:color w:val="auto"/>
          <w:highlight w:val="none"/>
        </w:rPr>
        <w:fldChar w:fldCharType="end"/>
      </w:r>
    </w:p>
    <w:p w14:paraId="2194C72E">
      <w:pPr>
        <w:pStyle w:val="25"/>
        <w:tabs>
          <w:tab w:val="right" w:leader="dot" w:pos="8550"/>
        </w:tabs>
        <w:rPr>
          <w:color w:val="auto"/>
          <w:highlight w:val="none"/>
        </w:rPr>
      </w:pPr>
      <w:r>
        <w:rPr>
          <w:color w:val="auto"/>
          <w:highlight w:val="none"/>
        </w:rPr>
        <w:fldChar w:fldCharType="begin"/>
      </w:r>
      <w:r>
        <w:rPr>
          <w:color w:val="auto"/>
          <w:highlight w:val="none"/>
        </w:rPr>
        <w:instrText xml:space="preserve"> HYPERLINK \l "_Toc21790" </w:instrText>
      </w:r>
      <w:r>
        <w:rPr>
          <w:color w:val="auto"/>
          <w:highlight w:val="none"/>
        </w:rPr>
        <w:fldChar w:fldCharType="separate"/>
      </w:r>
      <w:r>
        <w:rPr>
          <w:rFonts w:hint="eastAsia" w:ascii="仿宋" w:hAnsi="仿宋" w:eastAsia="仿宋" w:cs="仿宋"/>
          <w:color w:val="auto"/>
          <w:highlight w:val="none"/>
          <w:shd w:val="clear" w:color="auto" w:fill="FFFFFF" w:themeFill="background1"/>
        </w:rPr>
        <w:t>第一章 供应商须知</w:t>
      </w:r>
      <w:r>
        <w:rPr>
          <w:color w:val="auto"/>
          <w:highlight w:val="none"/>
        </w:rPr>
        <w:tab/>
      </w:r>
      <w:r>
        <w:rPr>
          <w:color w:val="auto"/>
          <w:highlight w:val="none"/>
        </w:rPr>
        <w:fldChar w:fldCharType="begin"/>
      </w:r>
      <w:r>
        <w:rPr>
          <w:color w:val="auto"/>
          <w:highlight w:val="none"/>
        </w:rPr>
        <w:instrText xml:space="preserve"> PAGEREF _Toc21790 \h </w:instrText>
      </w:r>
      <w:r>
        <w:rPr>
          <w:color w:val="auto"/>
          <w:highlight w:val="none"/>
        </w:rPr>
        <w:fldChar w:fldCharType="separate"/>
      </w:r>
      <w:r>
        <w:rPr>
          <w:color w:val="auto"/>
          <w:highlight w:val="none"/>
        </w:rPr>
        <w:t>7</w:t>
      </w:r>
      <w:r>
        <w:rPr>
          <w:color w:val="auto"/>
          <w:highlight w:val="none"/>
        </w:rPr>
        <w:fldChar w:fldCharType="end"/>
      </w:r>
      <w:r>
        <w:rPr>
          <w:color w:val="auto"/>
          <w:highlight w:val="none"/>
        </w:rPr>
        <w:fldChar w:fldCharType="end"/>
      </w:r>
    </w:p>
    <w:p w14:paraId="63A9F671">
      <w:pPr>
        <w:pStyle w:val="32"/>
        <w:tabs>
          <w:tab w:val="right" w:leader="dot" w:pos="8550"/>
        </w:tabs>
        <w:rPr>
          <w:color w:val="auto"/>
          <w:highlight w:val="none"/>
        </w:rPr>
      </w:pPr>
      <w:r>
        <w:rPr>
          <w:color w:val="auto"/>
          <w:highlight w:val="none"/>
        </w:rPr>
        <w:fldChar w:fldCharType="begin"/>
      </w:r>
      <w:r>
        <w:rPr>
          <w:color w:val="auto"/>
          <w:highlight w:val="none"/>
        </w:rPr>
        <w:instrText xml:space="preserve"> HYPERLINK \l "_Toc12743" </w:instrText>
      </w:r>
      <w:r>
        <w:rPr>
          <w:color w:val="auto"/>
          <w:highlight w:val="none"/>
        </w:rPr>
        <w:fldChar w:fldCharType="separate"/>
      </w:r>
      <w:r>
        <w:rPr>
          <w:rFonts w:hint="eastAsia" w:ascii="仿宋" w:hAnsi="仿宋" w:eastAsia="仿宋" w:cs="仿宋"/>
          <w:color w:val="auto"/>
          <w:highlight w:val="none"/>
          <w:shd w:val="clear" w:color="auto" w:fill="FFFFFF" w:themeFill="background1"/>
        </w:rPr>
        <w:t>一、总则</w:t>
      </w:r>
      <w:r>
        <w:rPr>
          <w:color w:val="auto"/>
          <w:highlight w:val="none"/>
        </w:rPr>
        <w:tab/>
      </w:r>
      <w:r>
        <w:rPr>
          <w:color w:val="auto"/>
          <w:highlight w:val="none"/>
        </w:rPr>
        <w:fldChar w:fldCharType="begin"/>
      </w:r>
      <w:r>
        <w:rPr>
          <w:color w:val="auto"/>
          <w:highlight w:val="none"/>
        </w:rPr>
        <w:instrText xml:space="preserve"> PAGEREF _Toc12743 \h </w:instrText>
      </w:r>
      <w:r>
        <w:rPr>
          <w:color w:val="auto"/>
          <w:highlight w:val="none"/>
        </w:rPr>
        <w:fldChar w:fldCharType="separate"/>
      </w:r>
      <w:r>
        <w:rPr>
          <w:color w:val="auto"/>
          <w:highlight w:val="none"/>
        </w:rPr>
        <w:t>7</w:t>
      </w:r>
      <w:r>
        <w:rPr>
          <w:color w:val="auto"/>
          <w:highlight w:val="none"/>
        </w:rPr>
        <w:fldChar w:fldCharType="end"/>
      </w:r>
      <w:r>
        <w:rPr>
          <w:color w:val="auto"/>
          <w:highlight w:val="none"/>
        </w:rPr>
        <w:fldChar w:fldCharType="end"/>
      </w:r>
    </w:p>
    <w:p w14:paraId="0A6038E0">
      <w:pPr>
        <w:pStyle w:val="32"/>
        <w:tabs>
          <w:tab w:val="right" w:leader="dot" w:pos="8550"/>
        </w:tabs>
        <w:rPr>
          <w:color w:val="auto"/>
          <w:highlight w:val="none"/>
        </w:rPr>
      </w:pPr>
      <w:r>
        <w:rPr>
          <w:color w:val="auto"/>
          <w:highlight w:val="none"/>
        </w:rPr>
        <w:fldChar w:fldCharType="begin"/>
      </w:r>
      <w:r>
        <w:rPr>
          <w:color w:val="auto"/>
          <w:highlight w:val="none"/>
        </w:rPr>
        <w:instrText xml:space="preserve"> HYPERLINK \l "_Toc27520" </w:instrText>
      </w:r>
      <w:r>
        <w:rPr>
          <w:color w:val="auto"/>
          <w:highlight w:val="none"/>
        </w:rPr>
        <w:fldChar w:fldCharType="separate"/>
      </w:r>
      <w:r>
        <w:rPr>
          <w:rFonts w:hint="eastAsia" w:ascii="仿宋" w:hAnsi="仿宋" w:eastAsia="仿宋" w:cs="仿宋"/>
          <w:color w:val="auto"/>
          <w:highlight w:val="none"/>
          <w:shd w:val="clear" w:color="auto" w:fill="FFFFFF" w:themeFill="background1"/>
        </w:rPr>
        <w:t>二、采购文件</w:t>
      </w:r>
      <w:r>
        <w:rPr>
          <w:color w:val="auto"/>
          <w:highlight w:val="none"/>
        </w:rPr>
        <w:tab/>
      </w:r>
      <w:r>
        <w:rPr>
          <w:color w:val="auto"/>
          <w:highlight w:val="none"/>
        </w:rPr>
        <w:fldChar w:fldCharType="begin"/>
      </w:r>
      <w:r>
        <w:rPr>
          <w:color w:val="auto"/>
          <w:highlight w:val="none"/>
        </w:rPr>
        <w:instrText xml:space="preserve"> PAGEREF _Toc27520 \h </w:instrText>
      </w:r>
      <w:r>
        <w:rPr>
          <w:color w:val="auto"/>
          <w:highlight w:val="none"/>
        </w:rPr>
        <w:fldChar w:fldCharType="separate"/>
      </w:r>
      <w:r>
        <w:rPr>
          <w:color w:val="auto"/>
          <w:highlight w:val="none"/>
        </w:rPr>
        <w:t>9</w:t>
      </w:r>
      <w:r>
        <w:rPr>
          <w:color w:val="auto"/>
          <w:highlight w:val="none"/>
        </w:rPr>
        <w:fldChar w:fldCharType="end"/>
      </w:r>
      <w:r>
        <w:rPr>
          <w:color w:val="auto"/>
          <w:highlight w:val="none"/>
        </w:rPr>
        <w:fldChar w:fldCharType="end"/>
      </w:r>
    </w:p>
    <w:p w14:paraId="2872AB77">
      <w:pPr>
        <w:pStyle w:val="32"/>
        <w:tabs>
          <w:tab w:val="right" w:leader="dot" w:pos="8550"/>
        </w:tabs>
        <w:rPr>
          <w:color w:val="auto"/>
          <w:highlight w:val="none"/>
        </w:rPr>
      </w:pPr>
      <w:r>
        <w:rPr>
          <w:color w:val="auto"/>
          <w:highlight w:val="none"/>
        </w:rPr>
        <w:fldChar w:fldCharType="begin"/>
      </w:r>
      <w:r>
        <w:rPr>
          <w:color w:val="auto"/>
          <w:highlight w:val="none"/>
        </w:rPr>
        <w:instrText xml:space="preserve"> HYPERLINK \l "_Toc9378" </w:instrText>
      </w:r>
      <w:r>
        <w:rPr>
          <w:color w:val="auto"/>
          <w:highlight w:val="none"/>
        </w:rPr>
        <w:fldChar w:fldCharType="separate"/>
      </w:r>
      <w:r>
        <w:rPr>
          <w:rFonts w:hint="eastAsia" w:ascii="仿宋" w:hAnsi="仿宋" w:eastAsia="仿宋" w:cs="仿宋"/>
          <w:color w:val="auto"/>
          <w:highlight w:val="none"/>
          <w:shd w:val="clear" w:color="auto" w:fill="FFFFFF" w:themeFill="background1"/>
        </w:rPr>
        <w:t>三、响应文件</w:t>
      </w:r>
      <w:r>
        <w:rPr>
          <w:color w:val="auto"/>
          <w:highlight w:val="none"/>
        </w:rPr>
        <w:tab/>
      </w:r>
      <w:r>
        <w:rPr>
          <w:color w:val="auto"/>
          <w:highlight w:val="none"/>
        </w:rPr>
        <w:fldChar w:fldCharType="begin"/>
      </w:r>
      <w:r>
        <w:rPr>
          <w:color w:val="auto"/>
          <w:highlight w:val="none"/>
        </w:rPr>
        <w:instrText xml:space="preserve"> PAGEREF _Toc9378 \h </w:instrText>
      </w:r>
      <w:r>
        <w:rPr>
          <w:color w:val="auto"/>
          <w:highlight w:val="none"/>
        </w:rPr>
        <w:fldChar w:fldCharType="separate"/>
      </w:r>
      <w:r>
        <w:rPr>
          <w:color w:val="auto"/>
          <w:highlight w:val="none"/>
        </w:rPr>
        <w:t>10</w:t>
      </w:r>
      <w:r>
        <w:rPr>
          <w:color w:val="auto"/>
          <w:highlight w:val="none"/>
        </w:rPr>
        <w:fldChar w:fldCharType="end"/>
      </w:r>
      <w:r>
        <w:rPr>
          <w:color w:val="auto"/>
          <w:highlight w:val="none"/>
        </w:rPr>
        <w:fldChar w:fldCharType="end"/>
      </w:r>
    </w:p>
    <w:p w14:paraId="5228AFA6">
      <w:pPr>
        <w:pStyle w:val="32"/>
        <w:tabs>
          <w:tab w:val="right" w:leader="dot" w:pos="8550"/>
        </w:tabs>
        <w:rPr>
          <w:color w:val="auto"/>
          <w:highlight w:val="none"/>
        </w:rPr>
      </w:pPr>
      <w:r>
        <w:rPr>
          <w:color w:val="auto"/>
          <w:highlight w:val="none"/>
        </w:rPr>
        <w:fldChar w:fldCharType="begin"/>
      </w:r>
      <w:r>
        <w:rPr>
          <w:color w:val="auto"/>
          <w:highlight w:val="none"/>
        </w:rPr>
        <w:instrText xml:space="preserve"> HYPERLINK \l "_Toc1545" </w:instrText>
      </w:r>
      <w:r>
        <w:rPr>
          <w:color w:val="auto"/>
          <w:highlight w:val="none"/>
        </w:rPr>
        <w:fldChar w:fldCharType="separate"/>
      </w:r>
      <w:r>
        <w:rPr>
          <w:rFonts w:hint="eastAsia" w:ascii="仿宋" w:hAnsi="仿宋" w:eastAsia="仿宋" w:cs="仿宋"/>
          <w:color w:val="auto"/>
          <w:highlight w:val="none"/>
          <w:shd w:val="clear" w:color="auto" w:fill="FFFFFF" w:themeFill="background1"/>
        </w:rPr>
        <w:t>四、投标</w:t>
      </w:r>
      <w:r>
        <w:rPr>
          <w:color w:val="auto"/>
          <w:highlight w:val="none"/>
        </w:rPr>
        <w:tab/>
      </w:r>
      <w:r>
        <w:rPr>
          <w:color w:val="auto"/>
          <w:highlight w:val="none"/>
        </w:rPr>
        <w:fldChar w:fldCharType="begin"/>
      </w:r>
      <w:r>
        <w:rPr>
          <w:color w:val="auto"/>
          <w:highlight w:val="none"/>
        </w:rPr>
        <w:instrText xml:space="preserve"> PAGEREF _Toc1545 \h </w:instrText>
      </w:r>
      <w:r>
        <w:rPr>
          <w:color w:val="auto"/>
          <w:highlight w:val="none"/>
        </w:rPr>
        <w:fldChar w:fldCharType="separate"/>
      </w:r>
      <w:r>
        <w:rPr>
          <w:color w:val="auto"/>
          <w:highlight w:val="none"/>
        </w:rPr>
        <w:t>12</w:t>
      </w:r>
      <w:r>
        <w:rPr>
          <w:color w:val="auto"/>
          <w:highlight w:val="none"/>
        </w:rPr>
        <w:fldChar w:fldCharType="end"/>
      </w:r>
      <w:r>
        <w:rPr>
          <w:color w:val="auto"/>
          <w:highlight w:val="none"/>
        </w:rPr>
        <w:fldChar w:fldCharType="end"/>
      </w:r>
    </w:p>
    <w:p w14:paraId="7DE74EB7">
      <w:pPr>
        <w:pStyle w:val="32"/>
        <w:tabs>
          <w:tab w:val="right" w:leader="dot" w:pos="8550"/>
        </w:tabs>
        <w:rPr>
          <w:color w:val="auto"/>
          <w:highlight w:val="none"/>
        </w:rPr>
      </w:pPr>
      <w:r>
        <w:rPr>
          <w:color w:val="auto"/>
          <w:highlight w:val="none"/>
        </w:rPr>
        <w:fldChar w:fldCharType="begin"/>
      </w:r>
      <w:r>
        <w:rPr>
          <w:color w:val="auto"/>
          <w:highlight w:val="none"/>
        </w:rPr>
        <w:instrText xml:space="preserve"> HYPERLINK \l "_Toc15457" </w:instrText>
      </w:r>
      <w:r>
        <w:rPr>
          <w:color w:val="auto"/>
          <w:highlight w:val="none"/>
        </w:rPr>
        <w:fldChar w:fldCharType="separate"/>
      </w:r>
      <w:r>
        <w:rPr>
          <w:rFonts w:hint="eastAsia" w:ascii="仿宋" w:hAnsi="仿宋" w:eastAsia="仿宋" w:cs="仿宋"/>
          <w:color w:val="auto"/>
          <w:highlight w:val="none"/>
          <w:shd w:val="clear" w:color="auto" w:fill="FFFFFF" w:themeFill="background1"/>
        </w:rPr>
        <w:t>五、开标</w:t>
      </w:r>
      <w:r>
        <w:rPr>
          <w:color w:val="auto"/>
          <w:highlight w:val="none"/>
        </w:rPr>
        <w:tab/>
      </w:r>
      <w:r>
        <w:rPr>
          <w:color w:val="auto"/>
          <w:highlight w:val="none"/>
        </w:rPr>
        <w:fldChar w:fldCharType="begin"/>
      </w:r>
      <w:r>
        <w:rPr>
          <w:color w:val="auto"/>
          <w:highlight w:val="none"/>
        </w:rPr>
        <w:instrText xml:space="preserve"> PAGEREF _Toc15457 \h </w:instrText>
      </w:r>
      <w:r>
        <w:rPr>
          <w:color w:val="auto"/>
          <w:highlight w:val="none"/>
        </w:rPr>
        <w:fldChar w:fldCharType="separate"/>
      </w:r>
      <w:r>
        <w:rPr>
          <w:color w:val="auto"/>
          <w:highlight w:val="none"/>
        </w:rPr>
        <w:t>13</w:t>
      </w:r>
      <w:r>
        <w:rPr>
          <w:color w:val="auto"/>
          <w:highlight w:val="none"/>
        </w:rPr>
        <w:fldChar w:fldCharType="end"/>
      </w:r>
      <w:r>
        <w:rPr>
          <w:color w:val="auto"/>
          <w:highlight w:val="none"/>
        </w:rPr>
        <w:fldChar w:fldCharType="end"/>
      </w:r>
    </w:p>
    <w:p w14:paraId="2DC3B366">
      <w:pPr>
        <w:pStyle w:val="32"/>
        <w:tabs>
          <w:tab w:val="right" w:leader="dot" w:pos="8550"/>
        </w:tabs>
        <w:rPr>
          <w:color w:val="auto"/>
          <w:highlight w:val="none"/>
        </w:rPr>
      </w:pPr>
      <w:r>
        <w:rPr>
          <w:color w:val="auto"/>
          <w:highlight w:val="none"/>
        </w:rPr>
        <w:fldChar w:fldCharType="begin"/>
      </w:r>
      <w:r>
        <w:rPr>
          <w:color w:val="auto"/>
          <w:highlight w:val="none"/>
        </w:rPr>
        <w:instrText xml:space="preserve"> HYPERLINK \l "_Toc18145" </w:instrText>
      </w:r>
      <w:r>
        <w:rPr>
          <w:color w:val="auto"/>
          <w:highlight w:val="none"/>
        </w:rPr>
        <w:fldChar w:fldCharType="separate"/>
      </w:r>
      <w:r>
        <w:rPr>
          <w:rFonts w:hint="eastAsia" w:ascii="仿宋" w:hAnsi="仿宋" w:eastAsia="仿宋" w:cs="仿宋"/>
          <w:color w:val="auto"/>
          <w:highlight w:val="none"/>
          <w:shd w:val="clear" w:color="auto" w:fill="FFFFFF" w:themeFill="background1"/>
        </w:rPr>
        <w:t>六、评审</w:t>
      </w:r>
      <w:r>
        <w:rPr>
          <w:color w:val="auto"/>
          <w:highlight w:val="none"/>
        </w:rPr>
        <w:tab/>
      </w:r>
      <w:r>
        <w:rPr>
          <w:color w:val="auto"/>
          <w:highlight w:val="none"/>
        </w:rPr>
        <w:fldChar w:fldCharType="begin"/>
      </w:r>
      <w:r>
        <w:rPr>
          <w:color w:val="auto"/>
          <w:highlight w:val="none"/>
        </w:rPr>
        <w:instrText xml:space="preserve"> PAGEREF _Toc18145 \h </w:instrText>
      </w:r>
      <w:r>
        <w:rPr>
          <w:color w:val="auto"/>
          <w:highlight w:val="none"/>
        </w:rPr>
        <w:fldChar w:fldCharType="separate"/>
      </w:r>
      <w:r>
        <w:rPr>
          <w:color w:val="auto"/>
          <w:highlight w:val="none"/>
        </w:rPr>
        <w:t>13</w:t>
      </w:r>
      <w:r>
        <w:rPr>
          <w:color w:val="auto"/>
          <w:highlight w:val="none"/>
        </w:rPr>
        <w:fldChar w:fldCharType="end"/>
      </w:r>
      <w:r>
        <w:rPr>
          <w:color w:val="auto"/>
          <w:highlight w:val="none"/>
        </w:rPr>
        <w:fldChar w:fldCharType="end"/>
      </w:r>
    </w:p>
    <w:p w14:paraId="47C61FB4">
      <w:pPr>
        <w:pStyle w:val="32"/>
        <w:tabs>
          <w:tab w:val="right" w:leader="dot" w:pos="8550"/>
        </w:tabs>
        <w:rPr>
          <w:color w:val="auto"/>
          <w:highlight w:val="none"/>
        </w:rPr>
      </w:pPr>
      <w:r>
        <w:rPr>
          <w:color w:val="auto"/>
          <w:highlight w:val="none"/>
        </w:rPr>
        <w:fldChar w:fldCharType="begin"/>
      </w:r>
      <w:r>
        <w:rPr>
          <w:color w:val="auto"/>
          <w:highlight w:val="none"/>
        </w:rPr>
        <w:instrText xml:space="preserve"> HYPERLINK \l "_Toc10042" </w:instrText>
      </w:r>
      <w:r>
        <w:rPr>
          <w:color w:val="auto"/>
          <w:highlight w:val="none"/>
        </w:rPr>
        <w:fldChar w:fldCharType="separate"/>
      </w:r>
      <w:r>
        <w:rPr>
          <w:rFonts w:hint="eastAsia" w:ascii="仿宋" w:hAnsi="仿宋" w:eastAsia="仿宋" w:cs="仿宋"/>
          <w:color w:val="auto"/>
          <w:highlight w:val="none"/>
          <w:shd w:val="clear" w:color="auto" w:fill="FFFFFF" w:themeFill="background1"/>
        </w:rPr>
        <w:t>七、定标及合同授予</w:t>
      </w:r>
      <w:r>
        <w:rPr>
          <w:color w:val="auto"/>
          <w:highlight w:val="none"/>
        </w:rPr>
        <w:tab/>
      </w:r>
      <w:r>
        <w:rPr>
          <w:color w:val="auto"/>
          <w:highlight w:val="none"/>
        </w:rPr>
        <w:fldChar w:fldCharType="begin"/>
      </w:r>
      <w:r>
        <w:rPr>
          <w:color w:val="auto"/>
          <w:highlight w:val="none"/>
        </w:rPr>
        <w:instrText xml:space="preserve"> PAGEREF _Toc10042 \h </w:instrText>
      </w:r>
      <w:r>
        <w:rPr>
          <w:color w:val="auto"/>
          <w:highlight w:val="none"/>
        </w:rPr>
        <w:fldChar w:fldCharType="separate"/>
      </w:r>
      <w:r>
        <w:rPr>
          <w:color w:val="auto"/>
          <w:highlight w:val="none"/>
        </w:rPr>
        <w:t>13</w:t>
      </w:r>
      <w:r>
        <w:rPr>
          <w:color w:val="auto"/>
          <w:highlight w:val="none"/>
        </w:rPr>
        <w:fldChar w:fldCharType="end"/>
      </w:r>
      <w:r>
        <w:rPr>
          <w:color w:val="auto"/>
          <w:highlight w:val="none"/>
        </w:rPr>
        <w:fldChar w:fldCharType="end"/>
      </w:r>
    </w:p>
    <w:p w14:paraId="16BB1974">
      <w:pPr>
        <w:pStyle w:val="32"/>
        <w:tabs>
          <w:tab w:val="right" w:leader="dot" w:pos="8550"/>
        </w:tabs>
        <w:rPr>
          <w:color w:val="auto"/>
          <w:highlight w:val="none"/>
        </w:rPr>
      </w:pPr>
      <w:r>
        <w:rPr>
          <w:color w:val="auto"/>
          <w:highlight w:val="none"/>
        </w:rPr>
        <w:fldChar w:fldCharType="begin"/>
      </w:r>
      <w:r>
        <w:rPr>
          <w:color w:val="auto"/>
          <w:highlight w:val="none"/>
        </w:rPr>
        <w:instrText xml:space="preserve"> HYPERLINK \l "_Toc11602" </w:instrText>
      </w:r>
      <w:r>
        <w:rPr>
          <w:color w:val="auto"/>
          <w:highlight w:val="none"/>
        </w:rPr>
        <w:fldChar w:fldCharType="separate"/>
      </w:r>
      <w:r>
        <w:rPr>
          <w:rFonts w:hint="eastAsia" w:ascii="仿宋" w:hAnsi="仿宋" w:eastAsia="仿宋" w:cs="仿宋"/>
          <w:color w:val="auto"/>
          <w:highlight w:val="none"/>
          <w:shd w:val="clear" w:color="auto" w:fill="FFFFFF" w:themeFill="background1"/>
        </w:rPr>
        <w:t>八、纪律和监督</w:t>
      </w:r>
      <w:r>
        <w:rPr>
          <w:color w:val="auto"/>
          <w:highlight w:val="none"/>
        </w:rPr>
        <w:tab/>
      </w:r>
      <w:r>
        <w:rPr>
          <w:color w:val="auto"/>
          <w:highlight w:val="none"/>
        </w:rPr>
        <w:fldChar w:fldCharType="begin"/>
      </w:r>
      <w:r>
        <w:rPr>
          <w:color w:val="auto"/>
          <w:highlight w:val="none"/>
        </w:rPr>
        <w:instrText xml:space="preserve"> PAGEREF _Toc11602 \h </w:instrText>
      </w:r>
      <w:r>
        <w:rPr>
          <w:color w:val="auto"/>
          <w:highlight w:val="none"/>
        </w:rPr>
        <w:fldChar w:fldCharType="separate"/>
      </w:r>
      <w:r>
        <w:rPr>
          <w:color w:val="auto"/>
          <w:highlight w:val="none"/>
        </w:rPr>
        <w:t>14</w:t>
      </w:r>
      <w:r>
        <w:rPr>
          <w:color w:val="auto"/>
          <w:highlight w:val="none"/>
        </w:rPr>
        <w:fldChar w:fldCharType="end"/>
      </w:r>
      <w:r>
        <w:rPr>
          <w:color w:val="auto"/>
          <w:highlight w:val="none"/>
        </w:rPr>
        <w:fldChar w:fldCharType="end"/>
      </w:r>
    </w:p>
    <w:p w14:paraId="22CC418C">
      <w:pPr>
        <w:pStyle w:val="25"/>
        <w:tabs>
          <w:tab w:val="right" w:leader="dot" w:pos="8550"/>
        </w:tabs>
        <w:rPr>
          <w:color w:val="auto"/>
          <w:highlight w:val="none"/>
        </w:rPr>
      </w:pPr>
      <w:r>
        <w:rPr>
          <w:color w:val="auto"/>
          <w:highlight w:val="none"/>
        </w:rPr>
        <w:fldChar w:fldCharType="begin"/>
      </w:r>
      <w:r>
        <w:rPr>
          <w:color w:val="auto"/>
          <w:highlight w:val="none"/>
        </w:rPr>
        <w:instrText xml:space="preserve"> HYPERLINK \l "_Toc29074" </w:instrText>
      </w:r>
      <w:r>
        <w:rPr>
          <w:color w:val="auto"/>
          <w:highlight w:val="none"/>
        </w:rPr>
        <w:fldChar w:fldCharType="separate"/>
      </w:r>
      <w:r>
        <w:rPr>
          <w:rFonts w:hint="eastAsia" w:ascii="仿宋" w:hAnsi="仿宋" w:eastAsia="仿宋" w:cs="仿宋"/>
          <w:color w:val="auto"/>
          <w:highlight w:val="none"/>
          <w:shd w:val="clear" w:color="auto" w:fill="FFFFFF" w:themeFill="background1"/>
        </w:rPr>
        <w:t>第二章 评审办法</w:t>
      </w:r>
      <w:r>
        <w:rPr>
          <w:color w:val="auto"/>
          <w:highlight w:val="none"/>
        </w:rPr>
        <w:tab/>
      </w:r>
      <w:r>
        <w:rPr>
          <w:color w:val="auto"/>
          <w:highlight w:val="none"/>
        </w:rPr>
        <w:fldChar w:fldCharType="begin"/>
      </w:r>
      <w:r>
        <w:rPr>
          <w:color w:val="auto"/>
          <w:highlight w:val="none"/>
        </w:rPr>
        <w:instrText xml:space="preserve"> PAGEREF _Toc29074 \h </w:instrText>
      </w:r>
      <w:r>
        <w:rPr>
          <w:color w:val="auto"/>
          <w:highlight w:val="none"/>
        </w:rPr>
        <w:fldChar w:fldCharType="separate"/>
      </w:r>
      <w:r>
        <w:rPr>
          <w:color w:val="auto"/>
          <w:highlight w:val="none"/>
        </w:rPr>
        <w:t>16</w:t>
      </w:r>
      <w:r>
        <w:rPr>
          <w:color w:val="auto"/>
          <w:highlight w:val="none"/>
        </w:rPr>
        <w:fldChar w:fldCharType="end"/>
      </w:r>
      <w:r>
        <w:rPr>
          <w:color w:val="auto"/>
          <w:highlight w:val="none"/>
        </w:rPr>
        <w:fldChar w:fldCharType="end"/>
      </w:r>
    </w:p>
    <w:p w14:paraId="10FB5980">
      <w:pPr>
        <w:pStyle w:val="32"/>
        <w:tabs>
          <w:tab w:val="right" w:leader="dot" w:pos="8550"/>
        </w:tabs>
        <w:rPr>
          <w:color w:val="auto"/>
          <w:highlight w:val="none"/>
        </w:rPr>
      </w:pPr>
      <w:r>
        <w:rPr>
          <w:color w:val="auto"/>
          <w:highlight w:val="none"/>
        </w:rPr>
        <w:fldChar w:fldCharType="begin"/>
      </w:r>
      <w:r>
        <w:rPr>
          <w:color w:val="auto"/>
          <w:highlight w:val="none"/>
        </w:rPr>
        <w:instrText xml:space="preserve"> HYPERLINK \l "_Toc32103" </w:instrText>
      </w:r>
      <w:r>
        <w:rPr>
          <w:color w:val="auto"/>
          <w:highlight w:val="none"/>
        </w:rPr>
        <w:fldChar w:fldCharType="separate"/>
      </w:r>
      <w:r>
        <w:rPr>
          <w:rFonts w:hint="eastAsia" w:ascii="仿宋" w:hAnsi="仿宋" w:eastAsia="仿宋" w:cs="仿宋"/>
          <w:color w:val="auto"/>
          <w:highlight w:val="none"/>
          <w:shd w:val="clear" w:color="auto" w:fill="FFFFFF" w:themeFill="background1"/>
        </w:rPr>
        <w:t>评审办法前附表</w:t>
      </w:r>
      <w:r>
        <w:rPr>
          <w:color w:val="auto"/>
          <w:highlight w:val="none"/>
        </w:rPr>
        <w:tab/>
      </w:r>
      <w:r>
        <w:rPr>
          <w:color w:val="auto"/>
          <w:highlight w:val="none"/>
        </w:rPr>
        <w:fldChar w:fldCharType="begin"/>
      </w:r>
      <w:r>
        <w:rPr>
          <w:color w:val="auto"/>
          <w:highlight w:val="none"/>
        </w:rPr>
        <w:instrText xml:space="preserve"> PAGEREF _Toc32103 \h </w:instrText>
      </w:r>
      <w:r>
        <w:rPr>
          <w:color w:val="auto"/>
          <w:highlight w:val="none"/>
        </w:rPr>
        <w:fldChar w:fldCharType="separate"/>
      </w:r>
      <w:r>
        <w:rPr>
          <w:color w:val="auto"/>
          <w:highlight w:val="none"/>
        </w:rPr>
        <w:t>16</w:t>
      </w:r>
      <w:r>
        <w:rPr>
          <w:color w:val="auto"/>
          <w:highlight w:val="none"/>
        </w:rPr>
        <w:fldChar w:fldCharType="end"/>
      </w:r>
      <w:r>
        <w:rPr>
          <w:color w:val="auto"/>
          <w:highlight w:val="none"/>
        </w:rPr>
        <w:fldChar w:fldCharType="end"/>
      </w:r>
    </w:p>
    <w:p w14:paraId="15A53B79">
      <w:pPr>
        <w:pStyle w:val="32"/>
        <w:tabs>
          <w:tab w:val="right" w:leader="dot" w:pos="8550"/>
        </w:tabs>
        <w:rPr>
          <w:color w:val="auto"/>
          <w:highlight w:val="none"/>
        </w:rPr>
      </w:pPr>
      <w:r>
        <w:rPr>
          <w:color w:val="auto"/>
          <w:highlight w:val="none"/>
        </w:rPr>
        <w:fldChar w:fldCharType="begin"/>
      </w:r>
      <w:r>
        <w:rPr>
          <w:color w:val="auto"/>
          <w:highlight w:val="none"/>
        </w:rPr>
        <w:instrText xml:space="preserve"> HYPERLINK \l "_Toc31642" </w:instrText>
      </w:r>
      <w:r>
        <w:rPr>
          <w:color w:val="auto"/>
          <w:highlight w:val="none"/>
        </w:rPr>
        <w:fldChar w:fldCharType="separate"/>
      </w:r>
      <w:r>
        <w:rPr>
          <w:rFonts w:hint="eastAsia" w:ascii="仿宋" w:hAnsi="仿宋" w:eastAsia="仿宋" w:cs="仿宋"/>
          <w:color w:val="auto"/>
          <w:highlight w:val="none"/>
          <w:shd w:val="clear" w:color="auto" w:fill="FFFFFF" w:themeFill="background1"/>
        </w:rPr>
        <w:t>一、评审方法</w:t>
      </w:r>
      <w:r>
        <w:rPr>
          <w:color w:val="auto"/>
          <w:highlight w:val="none"/>
        </w:rPr>
        <w:tab/>
      </w:r>
      <w:r>
        <w:rPr>
          <w:color w:val="auto"/>
          <w:highlight w:val="none"/>
        </w:rPr>
        <w:fldChar w:fldCharType="begin"/>
      </w:r>
      <w:r>
        <w:rPr>
          <w:color w:val="auto"/>
          <w:highlight w:val="none"/>
        </w:rPr>
        <w:instrText xml:space="preserve"> PAGEREF _Toc31642 \h </w:instrText>
      </w:r>
      <w:r>
        <w:rPr>
          <w:color w:val="auto"/>
          <w:highlight w:val="none"/>
        </w:rPr>
        <w:fldChar w:fldCharType="separate"/>
      </w:r>
      <w:r>
        <w:rPr>
          <w:color w:val="auto"/>
          <w:highlight w:val="none"/>
        </w:rPr>
        <w:t>18</w:t>
      </w:r>
      <w:r>
        <w:rPr>
          <w:color w:val="auto"/>
          <w:highlight w:val="none"/>
        </w:rPr>
        <w:fldChar w:fldCharType="end"/>
      </w:r>
      <w:r>
        <w:rPr>
          <w:color w:val="auto"/>
          <w:highlight w:val="none"/>
        </w:rPr>
        <w:fldChar w:fldCharType="end"/>
      </w:r>
    </w:p>
    <w:p w14:paraId="7EE75EBB">
      <w:pPr>
        <w:pStyle w:val="32"/>
        <w:tabs>
          <w:tab w:val="right" w:leader="dot" w:pos="8550"/>
        </w:tabs>
        <w:rPr>
          <w:color w:val="auto"/>
          <w:highlight w:val="none"/>
        </w:rPr>
      </w:pPr>
      <w:r>
        <w:rPr>
          <w:color w:val="auto"/>
          <w:highlight w:val="none"/>
        </w:rPr>
        <w:fldChar w:fldCharType="begin"/>
      </w:r>
      <w:r>
        <w:rPr>
          <w:color w:val="auto"/>
          <w:highlight w:val="none"/>
        </w:rPr>
        <w:instrText xml:space="preserve"> HYPERLINK \l "_Toc22935" </w:instrText>
      </w:r>
      <w:r>
        <w:rPr>
          <w:color w:val="auto"/>
          <w:highlight w:val="none"/>
        </w:rPr>
        <w:fldChar w:fldCharType="separate"/>
      </w:r>
      <w:r>
        <w:rPr>
          <w:rFonts w:hint="eastAsia" w:ascii="仿宋" w:hAnsi="仿宋" w:eastAsia="仿宋" w:cs="仿宋"/>
          <w:color w:val="auto"/>
          <w:highlight w:val="none"/>
          <w:shd w:val="clear" w:color="auto" w:fill="FFFFFF" w:themeFill="background1"/>
        </w:rPr>
        <w:t>二、评审标准</w:t>
      </w:r>
      <w:r>
        <w:rPr>
          <w:color w:val="auto"/>
          <w:highlight w:val="none"/>
        </w:rPr>
        <w:tab/>
      </w:r>
      <w:r>
        <w:rPr>
          <w:color w:val="auto"/>
          <w:highlight w:val="none"/>
        </w:rPr>
        <w:fldChar w:fldCharType="begin"/>
      </w:r>
      <w:r>
        <w:rPr>
          <w:color w:val="auto"/>
          <w:highlight w:val="none"/>
        </w:rPr>
        <w:instrText xml:space="preserve"> PAGEREF _Toc22935 \h </w:instrText>
      </w:r>
      <w:r>
        <w:rPr>
          <w:color w:val="auto"/>
          <w:highlight w:val="none"/>
        </w:rPr>
        <w:fldChar w:fldCharType="separate"/>
      </w:r>
      <w:r>
        <w:rPr>
          <w:color w:val="auto"/>
          <w:highlight w:val="none"/>
        </w:rPr>
        <w:t>18</w:t>
      </w:r>
      <w:r>
        <w:rPr>
          <w:color w:val="auto"/>
          <w:highlight w:val="none"/>
        </w:rPr>
        <w:fldChar w:fldCharType="end"/>
      </w:r>
      <w:r>
        <w:rPr>
          <w:color w:val="auto"/>
          <w:highlight w:val="none"/>
        </w:rPr>
        <w:fldChar w:fldCharType="end"/>
      </w:r>
    </w:p>
    <w:p w14:paraId="0D2A1A9B">
      <w:pPr>
        <w:pStyle w:val="32"/>
        <w:tabs>
          <w:tab w:val="right" w:leader="dot" w:pos="8550"/>
        </w:tabs>
        <w:rPr>
          <w:color w:val="auto"/>
          <w:highlight w:val="none"/>
        </w:rPr>
      </w:pPr>
      <w:r>
        <w:rPr>
          <w:color w:val="auto"/>
          <w:highlight w:val="none"/>
        </w:rPr>
        <w:fldChar w:fldCharType="begin"/>
      </w:r>
      <w:r>
        <w:rPr>
          <w:color w:val="auto"/>
          <w:highlight w:val="none"/>
        </w:rPr>
        <w:instrText xml:space="preserve"> HYPERLINK \l "_Toc15570" </w:instrText>
      </w:r>
      <w:r>
        <w:rPr>
          <w:color w:val="auto"/>
          <w:highlight w:val="none"/>
        </w:rPr>
        <w:fldChar w:fldCharType="separate"/>
      </w:r>
      <w:r>
        <w:rPr>
          <w:rFonts w:hint="eastAsia" w:ascii="仿宋" w:hAnsi="仿宋" w:eastAsia="仿宋" w:cs="仿宋"/>
          <w:color w:val="auto"/>
          <w:highlight w:val="none"/>
          <w:shd w:val="clear" w:color="auto" w:fill="FFFFFF" w:themeFill="background1"/>
        </w:rPr>
        <w:t>三、评审程序</w:t>
      </w:r>
      <w:r>
        <w:rPr>
          <w:color w:val="auto"/>
          <w:highlight w:val="none"/>
        </w:rPr>
        <w:tab/>
      </w:r>
      <w:r>
        <w:rPr>
          <w:color w:val="auto"/>
          <w:highlight w:val="none"/>
        </w:rPr>
        <w:fldChar w:fldCharType="begin"/>
      </w:r>
      <w:r>
        <w:rPr>
          <w:color w:val="auto"/>
          <w:highlight w:val="none"/>
        </w:rPr>
        <w:instrText xml:space="preserve"> PAGEREF _Toc15570 \h </w:instrText>
      </w:r>
      <w:r>
        <w:rPr>
          <w:color w:val="auto"/>
          <w:highlight w:val="none"/>
        </w:rPr>
        <w:fldChar w:fldCharType="separate"/>
      </w:r>
      <w:r>
        <w:rPr>
          <w:color w:val="auto"/>
          <w:highlight w:val="none"/>
        </w:rPr>
        <w:t>18</w:t>
      </w:r>
      <w:r>
        <w:rPr>
          <w:color w:val="auto"/>
          <w:highlight w:val="none"/>
        </w:rPr>
        <w:fldChar w:fldCharType="end"/>
      </w:r>
      <w:r>
        <w:rPr>
          <w:color w:val="auto"/>
          <w:highlight w:val="none"/>
        </w:rPr>
        <w:fldChar w:fldCharType="end"/>
      </w:r>
    </w:p>
    <w:p w14:paraId="234B6ABA">
      <w:pPr>
        <w:pStyle w:val="25"/>
        <w:tabs>
          <w:tab w:val="right" w:leader="dot" w:pos="8550"/>
        </w:tabs>
        <w:rPr>
          <w:color w:val="auto"/>
          <w:highlight w:val="none"/>
        </w:rPr>
      </w:pPr>
      <w:r>
        <w:rPr>
          <w:color w:val="auto"/>
          <w:highlight w:val="none"/>
        </w:rPr>
        <w:fldChar w:fldCharType="begin"/>
      </w:r>
      <w:r>
        <w:rPr>
          <w:color w:val="auto"/>
          <w:highlight w:val="none"/>
        </w:rPr>
        <w:instrText xml:space="preserve"> HYPERLINK \l "_Toc18109" </w:instrText>
      </w:r>
      <w:r>
        <w:rPr>
          <w:color w:val="auto"/>
          <w:highlight w:val="none"/>
        </w:rPr>
        <w:fldChar w:fldCharType="separate"/>
      </w:r>
      <w:r>
        <w:rPr>
          <w:rFonts w:hint="eastAsia" w:ascii="仿宋" w:hAnsi="仿宋" w:eastAsia="仿宋" w:cs="仿宋"/>
          <w:color w:val="auto"/>
          <w:highlight w:val="none"/>
          <w:shd w:val="clear" w:color="auto" w:fill="FFFFFF" w:themeFill="background1"/>
        </w:rPr>
        <w:t>第三章 合同文本</w:t>
      </w:r>
      <w:r>
        <w:rPr>
          <w:color w:val="auto"/>
          <w:highlight w:val="none"/>
        </w:rPr>
        <w:tab/>
      </w:r>
      <w:r>
        <w:rPr>
          <w:color w:val="auto"/>
          <w:highlight w:val="none"/>
        </w:rPr>
        <w:fldChar w:fldCharType="begin"/>
      </w:r>
      <w:r>
        <w:rPr>
          <w:color w:val="auto"/>
          <w:highlight w:val="none"/>
        </w:rPr>
        <w:instrText xml:space="preserve"> PAGEREF _Toc18109 \h </w:instrText>
      </w:r>
      <w:r>
        <w:rPr>
          <w:color w:val="auto"/>
          <w:highlight w:val="none"/>
        </w:rPr>
        <w:fldChar w:fldCharType="separate"/>
      </w:r>
      <w:r>
        <w:rPr>
          <w:color w:val="auto"/>
          <w:highlight w:val="none"/>
        </w:rPr>
        <w:t>26</w:t>
      </w:r>
      <w:r>
        <w:rPr>
          <w:color w:val="auto"/>
          <w:highlight w:val="none"/>
        </w:rPr>
        <w:fldChar w:fldCharType="end"/>
      </w:r>
      <w:r>
        <w:rPr>
          <w:color w:val="auto"/>
          <w:highlight w:val="none"/>
        </w:rPr>
        <w:fldChar w:fldCharType="end"/>
      </w:r>
    </w:p>
    <w:p w14:paraId="1F4A20D0">
      <w:pPr>
        <w:pStyle w:val="25"/>
        <w:tabs>
          <w:tab w:val="right" w:leader="dot" w:pos="8550"/>
        </w:tabs>
        <w:rPr>
          <w:color w:val="auto"/>
          <w:highlight w:val="none"/>
        </w:rPr>
      </w:pPr>
      <w:r>
        <w:rPr>
          <w:color w:val="auto"/>
          <w:highlight w:val="none"/>
        </w:rPr>
        <w:fldChar w:fldCharType="begin"/>
      </w:r>
      <w:r>
        <w:rPr>
          <w:color w:val="auto"/>
          <w:highlight w:val="none"/>
        </w:rPr>
        <w:instrText xml:space="preserve"> HYPERLINK \l "_Toc19605" </w:instrText>
      </w:r>
      <w:r>
        <w:rPr>
          <w:color w:val="auto"/>
          <w:highlight w:val="none"/>
        </w:rPr>
        <w:fldChar w:fldCharType="separate"/>
      </w:r>
      <w:r>
        <w:rPr>
          <w:rFonts w:hint="eastAsia" w:ascii="仿宋" w:hAnsi="仿宋" w:eastAsia="仿宋" w:cs="仿宋"/>
          <w:color w:val="auto"/>
          <w:highlight w:val="none"/>
          <w:shd w:val="clear" w:color="auto" w:fill="FFFFFF" w:themeFill="background1"/>
        </w:rPr>
        <w:t>第四章 技术标准和要求</w:t>
      </w:r>
      <w:r>
        <w:rPr>
          <w:color w:val="auto"/>
          <w:highlight w:val="none"/>
        </w:rPr>
        <w:tab/>
      </w:r>
      <w:r>
        <w:rPr>
          <w:color w:val="auto"/>
          <w:highlight w:val="none"/>
        </w:rPr>
        <w:fldChar w:fldCharType="begin"/>
      </w:r>
      <w:r>
        <w:rPr>
          <w:color w:val="auto"/>
          <w:highlight w:val="none"/>
        </w:rPr>
        <w:instrText xml:space="preserve"> PAGEREF _Toc19605 \h </w:instrText>
      </w:r>
      <w:r>
        <w:rPr>
          <w:color w:val="auto"/>
          <w:highlight w:val="none"/>
        </w:rPr>
        <w:fldChar w:fldCharType="separate"/>
      </w:r>
      <w:r>
        <w:rPr>
          <w:color w:val="auto"/>
          <w:highlight w:val="none"/>
        </w:rPr>
        <w:t>30</w:t>
      </w:r>
      <w:r>
        <w:rPr>
          <w:color w:val="auto"/>
          <w:highlight w:val="none"/>
        </w:rPr>
        <w:fldChar w:fldCharType="end"/>
      </w:r>
      <w:r>
        <w:rPr>
          <w:color w:val="auto"/>
          <w:highlight w:val="none"/>
        </w:rPr>
        <w:fldChar w:fldCharType="end"/>
      </w:r>
    </w:p>
    <w:p w14:paraId="79D98AB9">
      <w:pPr>
        <w:pStyle w:val="25"/>
        <w:tabs>
          <w:tab w:val="right" w:leader="dot" w:pos="8550"/>
        </w:tabs>
        <w:rPr>
          <w:color w:val="auto"/>
          <w:highlight w:val="none"/>
        </w:rPr>
      </w:pPr>
      <w:r>
        <w:rPr>
          <w:color w:val="auto"/>
          <w:highlight w:val="none"/>
        </w:rPr>
        <w:fldChar w:fldCharType="begin"/>
      </w:r>
      <w:r>
        <w:rPr>
          <w:color w:val="auto"/>
          <w:highlight w:val="none"/>
        </w:rPr>
        <w:instrText xml:space="preserve"> HYPERLINK \l "_Toc21747" </w:instrText>
      </w:r>
      <w:r>
        <w:rPr>
          <w:color w:val="auto"/>
          <w:highlight w:val="none"/>
        </w:rPr>
        <w:fldChar w:fldCharType="separate"/>
      </w:r>
      <w:r>
        <w:rPr>
          <w:rFonts w:hint="eastAsia" w:ascii="仿宋" w:hAnsi="仿宋" w:eastAsia="仿宋" w:cs="仿宋"/>
          <w:color w:val="auto"/>
          <w:highlight w:val="none"/>
          <w:shd w:val="clear" w:color="auto" w:fill="FFFFFF" w:themeFill="background1"/>
        </w:rPr>
        <w:t>第五章 响应文件格式</w:t>
      </w:r>
      <w:r>
        <w:rPr>
          <w:color w:val="auto"/>
          <w:highlight w:val="none"/>
        </w:rPr>
        <w:tab/>
      </w:r>
      <w:r>
        <w:rPr>
          <w:color w:val="auto"/>
          <w:highlight w:val="none"/>
        </w:rPr>
        <w:fldChar w:fldCharType="begin"/>
      </w:r>
      <w:r>
        <w:rPr>
          <w:color w:val="auto"/>
          <w:highlight w:val="none"/>
        </w:rPr>
        <w:instrText xml:space="preserve"> PAGEREF _Toc21747 \h </w:instrText>
      </w:r>
      <w:r>
        <w:rPr>
          <w:color w:val="auto"/>
          <w:highlight w:val="none"/>
        </w:rPr>
        <w:fldChar w:fldCharType="separate"/>
      </w:r>
      <w:r>
        <w:rPr>
          <w:color w:val="auto"/>
          <w:highlight w:val="none"/>
        </w:rPr>
        <w:t>40</w:t>
      </w:r>
      <w:r>
        <w:rPr>
          <w:color w:val="auto"/>
          <w:highlight w:val="none"/>
        </w:rPr>
        <w:fldChar w:fldCharType="end"/>
      </w:r>
      <w:r>
        <w:rPr>
          <w:color w:val="auto"/>
          <w:highlight w:val="none"/>
        </w:rPr>
        <w:fldChar w:fldCharType="end"/>
      </w:r>
    </w:p>
    <w:p w14:paraId="29ABE022">
      <w:pPr>
        <w:pStyle w:val="32"/>
        <w:tabs>
          <w:tab w:val="right" w:leader="dot" w:pos="8550"/>
        </w:tabs>
        <w:rPr>
          <w:color w:val="auto"/>
          <w:highlight w:val="none"/>
        </w:rPr>
      </w:pPr>
      <w:r>
        <w:rPr>
          <w:color w:val="auto"/>
          <w:highlight w:val="none"/>
        </w:rPr>
        <w:fldChar w:fldCharType="begin"/>
      </w:r>
      <w:r>
        <w:rPr>
          <w:color w:val="auto"/>
          <w:highlight w:val="none"/>
        </w:rPr>
        <w:instrText xml:space="preserve"> HYPERLINK \l "_Toc8222" </w:instrText>
      </w:r>
      <w:r>
        <w:rPr>
          <w:color w:val="auto"/>
          <w:highlight w:val="none"/>
        </w:rPr>
        <w:fldChar w:fldCharType="separate"/>
      </w:r>
      <w:r>
        <w:rPr>
          <w:rFonts w:hint="eastAsia" w:ascii="仿宋" w:hAnsi="仿宋" w:eastAsia="仿宋" w:cs="仿宋"/>
          <w:color w:val="auto"/>
          <w:highlight w:val="none"/>
        </w:rPr>
        <w:t>一、开启一览表</w:t>
      </w:r>
      <w:r>
        <w:rPr>
          <w:color w:val="auto"/>
          <w:highlight w:val="none"/>
        </w:rPr>
        <w:tab/>
      </w:r>
      <w:r>
        <w:rPr>
          <w:color w:val="auto"/>
          <w:highlight w:val="none"/>
        </w:rPr>
        <w:fldChar w:fldCharType="begin"/>
      </w:r>
      <w:r>
        <w:rPr>
          <w:color w:val="auto"/>
          <w:highlight w:val="none"/>
        </w:rPr>
        <w:instrText xml:space="preserve"> PAGEREF _Toc8222 \h </w:instrText>
      </w:r>
      <w:r>
        <w:rPr>
          <w:color w:val="auto"/>
          <w:highlight w:val="none"/>
        </w:rPr>
        <w:fldChar w:fldCharType="separate"/>
      </w:r>
      <w:r>
        <w:rPr>
          <w:color w:val="auto"/>
          <w:highlight w:val="none"/>
        </w:rPr>
        <w:t>42</w:t>
      </w:r>
      <w:r>
        <w:rPr>
          <w:color w:val="auto"/>
          <w:highlight w:val="none"/>
        </w:rPr>
        <w:fldChar w:fldCharType="end"/>
      </w:r>
      <w:r>
        <w:rPr>
          <w:color w:val="auto"/>
          <w:highlight w:val="none"/>
        </w:rPr>
        <w:fldChar w:fldCharType="end"/>
      </w:r>
    </w:p>
    <w:p w14:paraId="41C234D2">
      <w:pPr>
        <w:pStyle w:val="32"/>
        <w:tabs>
          <w:tab w:val="right" w:leader="dot" w:pos="8550"/>
        </w:tabs>
        <w:rPr>
          <w:color w:val="auto"/>
          <w:highlight w:val="none"/>
        </w:rPr>
      </w:pPr>
      <w:r>
        <w:rPr>
          <w:color w:val="auto"/>
          <w:highlight w:val="none"/>
        </w:rPr>
        <w:fldChar w:fldCharType="begin"/>
      </w:r>
      <w:r>
        <w:rPr>
          <w:color w:val="auto"/>
          <w:highlight w:val="none"/>
        </w:rPr>
        <w:instrText xml:space="preserve"> HYPERLINK \l "_Toc15357" </w:instrText>
      </w:r>
      <w:r>
        <w:rPr>
          <w:color w:val="auto"/>
          <w:highlight w:val="none"/>
        </w:rPr>
        <w:fldChar w:fldCharType="separate"/>
      </w:r>
      <w:r>
        <w:rPr>
          <w:rFonts w:hint="eastAsia" w:ascii="仿宋" w:hAnsi="仿宋" w:eastAsia="仿宋" w:cs="仿宋"/>
          <w:color w:val="auto"/>
          <w:highlight w:val="none"/>
        </w:rPr>
        <w:t>二、响应函</w:t>
      </w:r>
      <w:r>
        <w:rPr>
          <w:color w:val="auto"/>
          <w:highlight w:val="none"/>
        </w:rPr>
        <w:tab/>
      </w:r>
      <w:r>
        <w:rPr>
          <w:color w:val="auto"/>
          <w:highlight w:val="none"/>
        </w:rPr>
        <w:fldChar w:fldCharType="begin"/>
      </w:r>
      <w:r>
        <w:rPr>
          <w:color w:val="auto"/>
          <w:highlight w:val="none"/>
        </w:rPr>
        <w:instrText xml:space="preserve"> PAGEREF _Toc15357 \h </w:instrText>
      </w:r>
      <w:r>
        <w:rPr>
          <w:color w:val="auto"/>
          <w:highlight w:val="none"/>
        </w:rPr>
        <w:fldChar w:fldCharType="separate"/>
      </w:r>
      <w:r>
        <w:rPr>
          <w:color w:val="auto"/>
          <w:highlight w:val="none"/>
        </w:rPr>
        <w:t>43</w:t>
      </w:r>
      <w:r>
        <w:rPr>
          <w:color w:val="auto"/>
          <w:highlight w:val="none"/>
        </w:rPr>
        <w:fldChar w:fldCharType="end"/>
      </w:r>
      <w:r>
        <w:rPr>
          <w:color w:val="auto"/>
          <w:highlight w:val="none"/>
        </w:rPr>
        <w:fldChar w:fldCharType="end"/>
      </w:r>
    </w:p>
    <w:p w14:paraId="5271262B">
      <w:pPr>
        <w:pStyle w:val="32"/>
        <w:tabs>
          <w:tab w:val="right" w:leader="dot" w:pos="8550"/>
        </w:tabs>
        <w:rPr>
          <w:color w:val="auto"/>
          <w:highlight w:val="none"/>
        </w:rPr>
      </w:pPr>
      <w:r>
        <w:rPr>
          <w:color w:val="auto"/>
          <w:highlight w:val="none"/>
        </w:rPr>
        <w:fldChar w:fldCharType="begin"/>
      </w:r>
      <w:r>
        <w:rPr>
          <w:color w:val="auto"/>
          <w:highlight w:val="none"/>
        </w:rPr>
        <w:instrText xml:space="preserve"> HYPERLINK \l "_Toc12714" </w:instrText>
      </w:r>
      <w:r>
        <w:rPr>
          <w:color w:val="auto"/>
          <w:highlight w:val="none"/>
        </w:rPr>
        <w:fldChar w:fldCharType="separate"/>
      </w:r>
      <w:r>
        <w:rPr>
          <w:rFonts w:hint="eastAsia" w:ascii="仿宋" w:hAnsi="仿宋" w:eastAsia="仿宋" w:cs="仿宋"/>
          <w:color w:val="auto"/>
          <w:highlight w:val="none"/>
        </w:rPr>
        <w:t>三、响应价格明细表</w:t>
      </w:r>
      <w:r>
        <w:rPr>
          <w:color w:val="auto"/>
          <w:highlight w:val="none"/>
        </w:rPr>
        <w:tab/>
      </w:r>
      <w:r>
        <w:rPr>
          <w:color w:val="auto"/>
          <w:highlight w:val="none"/>
        </w:rPr>
        <w:fldChar w:fldCharType="begin"/>
      </w:r>
      <w:r>
        <w:rPr>
          <w:color w:val="auto"/>
          <w:highlight w:val="none"/>
        </w:rPr>
        <w:instrText xml:space="preserve"> PAGEREF _Toc12714 \h </w:instrText>
      </w:r>
      <w:r>
        <w:rPr>
          <w:color w:val="auto"/>
          <w:highlight w:val="none"/>
        </w:rPr>
        <w:fldChar w:fldCharType="separate"/>
      </w:r>
      <w:r>
        <w:rPr>
          <w:color w:val="auto"/>
          <w:highlight w:val="none"/>
        </w:rPr>
        <w:t>44</w:t>
      </w:r>
      <w:r>
        <w:rPr>
          <w:color w:val="auto"/>
          <w:highlight w:val="none"/>
        </w:rPr>
        <w:fldChar w:fldCharType="end"/>
      </w:r>
      <w:r>
        <w:rPr>
          <w:color w:val="auto"/>
          <w:highlight w:val="none"/>
        </w:rPr>
        <w:fldChar w:fldCharType="end"/>
      </w:r>
    </w:p>
    <w:p w14:paraId="59D21D35">
      <w:pPr>
        <w:pStyle w:val="32"/>
        <w:tabs>
          <w:tab w:val="right" w:leader="dot" w:pos="8550"/>
        </w:tabs>
        <w:rPr>
          <w:color w:val="auto"/>
          <w:highlight w:val="none"/>
        </w:rPr>
      </w:pPr>
      <w:r>
        <w:rPr>
          <w:color w:val="auto"/>
          <w:highlight w:val="none"/>
        </w:rPr>
        <w:fldChar w:fldCharType="begin"/>
      </w:r>
      <w:r>
        <w:rPr>
          <w:color w:val="auto"/>
          <w:highlight w:val="none"/>
        </w:rPr>
        <w:instrText xml:space="preserve"> HYPERLINK \l "_Toc28787" </w:instrText>
      </w:r>
      <w:r>
        <w:rPr>
          <w:color w:val="auto"/>
          <w:highlight w:val="none"/>
        </w:rPr>
        <w:fldChar w:fldCharType="separate"/>
      </w:r>
      <w:r>
        <w:rPr>
          <w:rFonts w:hint="eastAsia" w:ascii="仿宋" w:hAnsi="仿宋" w:eastAsia="仿宋" w:cs="仿宋"/>
          <w:color w:val="auto"/>
          <w:highlight w:val="none"/>
        </w:rPr>
        <w:t>四、商务条款偏离表</w:t>
      </w:r>
      <w:r>
        <w:rPr>
          <w:color w:val="auto"/>
          <w:highlight w:val="none"/>
        </w:rPr>
        <w:tab/>
      </w:r>
      <w:r>
        <w:rPr>
          <w:color w:val="auto"/>
          <w:highlight w:val="none"/>
        </w:rPr>
        <w:fldChar w:fldCharType="begin"/>
      </w:r>
      <w:r>
        <w:rPr>
          <w:color w:val="auto"/>
          <w:highlight w:val="none"/>
        </w:rPr>
        <w:instrText xml:space="preserve"> PAGEREF _Toc28787 \h </w:instrText>
      </w:r>
      <w:r>
        <w:rPr>
          <w:color w:val="auto"/>
          <w:highlight w:val="none"/>
        </w:rPr>
        <w:fldChar w:fldCharType="separate"/>
      </w:r>
      <w:r>
        <w:rPr>
          <w:color w:val="auto"/>
          <w:highlight w:val="none"/>
        </w:rPr>
        <w:t>45</w:t>
      </w:r>
      <w:r>
        <w:rPr>
          <w:color w:val="auto"/>
          <w:highlight w:val="none"/>
        </w:rPr>
        <w:fldChar w:fldCharType="end"/>
      </w:r>
      <w:r>
        <w:rPr>
          <w:color w:val="auto"/>
          <w:highlight w:val="none"/>
        </w:rPr>
        <w:fldChar w:fldCharType="end"/>
      </w:r>
    </w:p>
    <w:p w14:paraId="6CB74F12">
      <w:pPr>
        <w:pStyle w:val="32"/>
        <w:tabs>
          <w:tab w:val="right" w:leader="dot" w:pos="8550"/>
        </w:tabs>
        <w:rPr>
          <w:color w:val="auto"/>
          <w:highlight w:val="none"/>
        </w:rPr>
      </w:pPr>
      <w:r>
        <w:rPr>
          <w:color w:val="auto"/>
          <w:highlight w:val="none"/>
        </w:rPr>
        <w:fldChar w:fldCharType="begin"/>
      </w:r>
      <w:r>
        <w:rPr>
          <w:color w:val="auto"/>
          <w:highlight w:val="none"/>
        </w:rPr>
        <w:instrText xml:space="preserve"> HYPERLINK \l "_Toc8603" </w:instrText>
      </w:r>
      <w:r>
        <w:rPr>
          <w:color w:val="auto"/>
          <w:highlight w:val="none"/>
        </w:rPr>
        <w:fldChar w:fldCharType="separate"/>
      </w:r>
      <w:r>
        <w:rPr>
          <w:rFonts w:hint="eastAsia" w:ascii="仿宋" w:hAnsi="仿宋" w:eastAsia="仿宋" w:cs="仿宋"/>
          <w:color w:val="auto"/>
          <w:highlight w:val="none"/>
        </w:rPr>
        <w:t>五、技术条款偏离表</w:t>
      </w:r>
      <w:r>
        <w:rPr>
          <w:color w:val="auto"/>
          <w:highlight w:val="none"/>
        </w:rPr>
        <w:tab/>
      </w:r>
      <w:r>
        <w:rPr>
          <w:color w:val="auto"/>
          <w:highlight w:val="none"/>
        </w:rPr>
        <w:fldChar w:fldCharType="begin"/>
      </w:r>
      <w:r>
        <w:rPr>
          <w:color w:val="auto"/>
          <w:highlight w:val="none"/>
        </w:rPr>
        <w:instrText xml:space="preserve"> PAGEREF _Toc8603 \h </w:instrText>
      </w:r>
      <w:r>
        <w:rPr>
          <w:color w:val="auto"/>
          <w:highlight w:val="none"/>
        </w:rPr>
        <w:fldChar w:fldCharType="separate"/>
      </w:r>
      <w:r>
        <w:rPr>
          <w:color w:val="auto"/>
          <w:highlight w:val="none"/>
        </w:rPr>
        <w:t>46</w:t>
      </w:r>
      <w:r>
        <w:rPr>
          <w:color w:val="auto"/>
          <w:highlight w:val="none"/>
        </w:rPr>
        <w:fldChar w:fldCharType="end"/>
      </w:r>
      <w:r>
        <w:rPr>
          <w:color w:val="auto"/>
          <w:highlight w:val="none"/>
        </w:rPr>
        <w:fldChar w:fldCharType="end"/>
      </w:r>
    </w:p>
    <w:p w14:paraId="4F61570E">
      <w:pPr>
        <w:pStyle w:val="32"/>
        <w:tabs>
          <w:tab w:val="right" w:leader="dot" w:pos="8550"/>
        </w:tabs>
        <w:rPr>
          <w:color w:val="auto"/>
          <w:highlight w:val="none"/>
        </w:rPr>
      </w:pPr>
      <w:r>
        <w:rPr>
          <w:color w:val="auto"/>
          <w:highlight w:val="none"/>
        </w:rPr>
        <w:fldChar w:fldCharType="begin"/>
      </w:r>
      <w:r>
        <w:rPr>
          <w:color w:val="auto"/>
          <w:highlight w:val="none"/>
        </w:rPr>
        <w:instrText xml:space="preserve"> HYPERLINK \l "_Toc7878" </w:instrText>
      </w:r>
      <w:r>
        <w:rPr>
          <w:color w:val="auto"/>
          <w:highlight w:val="none"/>
        </w:rPr>
        <w:fldChar w:fldCharType="separate"/>
      </w:r>
      <w:r>
        <w:rPr>
          <w:rFonts w:hint="eastAsia" w:ascii="仿宋" w:hAnsi="仿宋" w:eastAsia="仿宋" w:cs="仿宋"/>
          <w:color w:val="auto"/>
          <w:highlight w:val="none"/>
        </w:rPr>
        <w:t>六、法定代表人身份证明书</w:t>
      </w:r>
      <w:r>
        <w:rPr>
          <w:color w:val="auto"/>
          <w:highlight w:val="none"/>
        </w:rPr>
        <w:tab/>
      </w:r>
      <w:r>
        <w:rPr>
          <w:color w:val="auto"/>
          <w:highlight w:val="none"/>
        </w:rPr>
        <w:fldChar w:fldCharType="begin"/>
      </w:r>
      <w:r>
        <w:rPr>
          <w:color w:val="auto"/>
          <w:highlight w:val="none"/>
        </w:rPr>
        <w:instrText xml:space="preserve"> PAGEREF _Toc7878 \h </w:instrText>
      </w:r>
      <w:r>
        <w:rPr>
          <w:color w:val="auto"/>
          <w:highlight w:val="none"/>
        </w:rPr>
        <w:fldChar w:fldCharType="separate"/>
      </w:r>
      <w:r>
        <w:rPr>
          <w:color w:val="auto"/>
          <w:highlight w:val="none"/>
        </w:rPr>
        <w:t>47</w:t>
      </w:r>
      <w:r>
        <w:rPr>
          <w:color w:val="auto"/>
          <w:highlight w:val="none"/>
        </w:rPr>
        <w:fldChar w:fldCharType="end"/>
      </w:r>
      <w:r>
        <w:rPr>
          <w:color w:val="auto"/>
          <w:highlight w:val="none"/>
        </w:rPr>
        <w:fldChar w:fldCharType="end"/>
      </w:r>
    </w:p>
    <w:p w14:paraId="6455951E">
      <w:pPr>
        <w:pStyle w:val="32"/>
        <w:tabs>
          <w:tab w:val="right" w:leader="dot" w:pos="8550"/>
        </w:tabs>
        <w:rPr>
          <w:color w:val="auto"/>
          <w:highlight w:val="none"/>
        </w:rPr>
      </w:pPr>
      <w:r>
        <w:rPr>
          <w:color w:val="auto"/>
          <w:highlight w:val="none"/>
        </w:rPr>
        <w:fldChar w:fldCharType="begin"/>
      </w:r>
      <w:r>
        <w:rPr>
          <w:color w:val="auto"/>
          <w:highlight w:val="none"/>
        </w:rPr>
        <w:instrText xml:space="preserve"> HYPERLINK \l "_Toc10701" </w:instrText>
      </w:r>
      <w:r>
        <w:rPr>
          <w:color w:val="auto"/>
          <w:highlight w:val="none"/>
        </w:rPr>
        <w:fldChar w:fldCharType="separate"/>
      </w:r>
      <w:r>
        <w:rPr>
          <w:rFonts w:hint="eastAsia" w:ascii="仿宋" w:hAnsi="仿宋" w:eastAsia="仿宋" w:cs="仿宋"/>
          <w:color w:val="auto"/>
          <w:highlight w:val="none"/>
        </w:rPr>
        <w:t>七、法定代表人授权委托书</w:t>
      </w:r>
      <w:r>
        <w:rPr>
          <w:color w:val="auto"/>
          <w:highlight w:val="none"/>
        </w:rPr>
        <w:tab/>
      </w:r>
      <w:r>
        <w:rPr>
          <w:color w:val="auto"/>
          <w:highlight w:val="none"/>
        </w:rPr>
        <w:fldChar w:fldCharType="begin"/>
      </w:r>
      <w:r>
        <w:rPr>
          <w:color w:val="auto"/>
          <w:highlight w:val="none"/>
        </w:rPr>
        <w:instrText xml:space="preserve"> PAGEREF _Toc10701 \h </w:instrText>
      </w:r>
      <w:r>
        <w:rPr>
          <w:color w:val="auto"/>
          <w:highlight w:val="none"/>
        </w:rPr>
        <w:fldChar w:fldCharType="separate"/>
      </w:r>
      <w:r>
        <w:rPr>
          <w:color w:val="auto"/>
          <w:highlight w:val="none"/>
        </w:rPr>
        <w:t>48</w:t>
      </w:r>
      <w:r>
        <w:rPr>
          <w:color w:val="auto"/>
          <w:highlight w:val="none"/>
        </w:rPr>
        <w:fldChar w:fldCharType="end"/>
      </w:r>
      <w:r>
        <w:rPr>
          <w:color w:val="auto"/>
          <w:highlight w:val="none"/>
        </w:rPr>
        <w:fldChar w:fldCharType="end"/>
      </w:r>
    </w:p>
    <w:p w14:paraId="4246825B">
      <w:pPr>
        <w:pStyle w:val="32"/>
        <w:tabs>
          <w:tab w:val="right" w:leader="dot" w:pos="8550"/>
        </w:tabs>
        <w:rPr>
          <w:color w:val="auto"/>
          <w:highlight w:val="none"/>
        </w:rPr>
      </w:pPr>
      <w:r>
        <w:rPr>
          <w:color w:val="auto"/>
          <w:highlight w:val="none"/>
        </w:rPr>
        <w:fldChar w:fldCharType="begin"/>
      </w:r>
      <w:r>
        <w:rPr>
          <w:color w:val="auto"/>
          <w:highlight w:val="none"/>
        </w:rPr>
        <w:instrText xml:space="preserve"> HYPERLINK \l "_Toc9166" </w:instrText>
      </w:r>
      <w:r>
        <w:rPr>
          <w:color w:val="auto"/>
          <w:highlight w:val="none"/>
        </w:rPr>
        <w:fldChar w:fldCharType="separate"/>
      </w:r>
      <w:r>
        <w:rPr>
          <w:rFonts w:hint="eastAsia" w:ascii="仿宋" w:hAnsi="仿宋" w:eastAsia="仿宋" w:cs="仿宋"/>
          <w:color w:val="auto"/>
          <w:highlight w:val="none"/>
        </w:rPr>
        <w:t>八、</w:t>
      </w:r>
      <w:r>
        <w:rPr>
          <w:rFonts w:hint="eastAsia" w:ascii="仿宋" w:hAnsi="仿宋" w:eastAsia="仿宋" w:cs="仿宋"/>
          <w:bCs/>
          <w:color w:val="auto"/>
          <w:highlight w:val="none"/>
        </w:rPr>
        <w:t>供应商资格条件证明材料</w:t>
      </w:r>
      <w:r>
        <w:rPr>
          <w:color w:val="auto"/>
          <w:highlight w:val="none"/>
        </w:rPr>
        <w:tab/>
      </w:r>
      <w:r>
        <w:rPr>
          <w:color w:val="auto"/>
          <w:highlight w:val="none"/>
        </w:rPr>
        <w:fldChar w:fldCharType="begin"/>
      </w:r>
      <w:r>
        <w:rPr>
          <w:color w:val="auto"/>
          <w:highlight w:val="none"/>
        </w:rPr>
        <w:instrText xml:space="preserve"> PAGEREF _Toc9166 \h </w:instrText>
      </w:r>
      <w:r>
        <w:rPr>
          <w:color w:val="auto"/>
          <w:highlight w:val="none"/>
        </w:rPr>
        <w:fldChar w:fldCharType="separate"/>
      </w:r>
      <w:r>
        <w:rPr>
          <w:color w:val="auto"/>
          <w:highlight w:val="none"/>
        </w:rPr>
        <w:t>49</w:t>
      </w:r>
      <w:r>
        <w:rPr>
          <w:color w:val="auto"/>
          <w:highlight w:val="none"/>
        </w:rPr>
        <w:fldChar w:fldCharType="end"/>
      </w:r>
      <w:r>
        <w:rPr>
          <w:color w:val="auto"/>
          <w:highlight w:val="none"/>
        </w:rPr>
        <w:fldChar w:fldCharType="end"/>
      </w:r>
    </w:p>
    <w:p w14:paraId="2603AA76">
      <w:pPr>
        <w:pStyle w:val="32"/>
        <w:tabs>
          <w:tab w:val="right" w:leader="dot" w:pos="8550"/>
        </w:tabs>
        <w:rPr>
          <w:color w:val="auto"/>
          <w:highlight w:val="none"/>
        </w:rPr>
      </w:pPr>
      <w:r>
        <w:rPr>
          <w:color w:val="auto"/>
          <w:highlight w:val="none"/>
        </w:rPr>
        <w:fldChar w:fldCharType="begin"/>
      </w:r>
      <w:r>
        <w:rPr>
          <w:color w:val="auto"/>
          <w:highlight w:val="none"/>
        </w:rPr>
        <w:instrText xml:space="preserve"> HYPERLINK \l "_Toc15485" </w:instrText>
      </w:r>
      <w:r>
        <w:rPr>
          <w:color w:val="auto"/>
          <w:highlight w:val="none"/>
        </w:rPr>
        <w:fldChar w:fldCharType="separate"/>
      </w:r>
      <w:r>
        <w:rPr>
          <w:rFonts w:hint="eastAsia" w:ascii="仿宋" w:hAnsi="仿宋" w:eastAsia="仿宋" w:cs="仿宋"/>
          <w:color w:val="auto"/>
          <w:highlight w:val="none"/>
        </w:rPr>
        <w:t>8.1 法人或者其他组织的营业执照等证明文件，自然人的身份证明</w:t>
      </w:r>
      <w:r>
        <w:rPr>
          <w:color w:val="auto"/>
          <w:highlight w:val="none"/>
        </w:rPr>
        <w:tab/>
      </w:r>
      <w:r>
        <w:rPr>
          <w:color w:val="auto"/>
          <w:highlight w:val="none"/>
        </w:rPr>
        <w:fldChar w:fldCharType="begin"/>
      </w:r>
      <w:r>
        <w:rPr>
          <w:color w:val="auto"/>
          <w:highlight w:val="none"/>
        </w:rPr>
        <w:instrText xml:space="preserve"> PAGEREF _Toc15485 \h </w:instrText>
      </w:r>
      <w:r>
        <w:rPr>
          <w:color w:val="auto"/>
          <w:highlight w:val="none"/>
        </w:rPr>
        <w:fldChar w:fldCharType="separate"/>
      </w:r>
      <w:r>
        <w:rPr>
          <w:color w:val="auto"/>
          <w:highlight w:val="none"/>
        </w:rPr>
        <w:t>50</w:t>
      </w:r>
      <w:r>
        <w:rPr>
          <w:color w:val="auto"/>
          <w:highlight w:val="none"/>
        </w:rPr>
        <w:fldChar w:fldCharType="end"/>
      </w:r>
      <w:r>
        <w:rPr>
          <w:color w:val="auto"/>
          <w:highlight w:val="none"/>
        </w:rPr>
        <w:fldChar w:fldCharType="end"/>
      </w:r>
    </w:p>
    <w:p w14:paraId="75AF3CB1">
      <w:pPr>
        <w:pStyle w:val="32"/>
        <w:tabs>
          <w:tab w:val="right" w:leader="dot" w:pos="8550"/>
        </w:tabs>
        <w:rPr>
          <w:color w:val="auto"/>
          <w:highlight w:val="none"/>
        </w:rPr>
      </w:pPr>
      <w:r>
        <w:rPr>
          <w:color w:val="auto"/>
          <w:highlight w:val="none"/>
        </w:rPr>
        <w:fldChar w:fldCharType="begin"/>
      </w:r>
      <w:r>
        <w:rPr>
          <w:color w:val="auto"/>
          <w:highlight w:val="none"/>
        </w:rPr>
        <w:instrText xml:space="preserve"> HYPERLINK \l "_Toc5775" </w:instrText>
      </w:r>
      <w:r>
        <w:rPr>
          <w:color w:val="auto"/>
          <w:highlight w:val="none"/>
        </w:rPr>
        <w:fldChar w:fldCharType="separate"/>
      </w:r>
      <w:r>
        <w:rPr>
          <w:rFonts w:hint="eastAsia" w:ascii="仿宋" w:hAnsi="仿宋" w:eastAsia="仿宋" w:cs="仿宋"/>
          <w:color w:val="auto"/>
          <w:highlight w:val="none"/>
        </w:rPr>
        <w:t>8.2 财务状况报告，依法缴纳税收和社会保障资金的相关材料</w:t>
      </w:r>
      <w:r>
        <w:rPr>
          <w:color w:val="auto"/>
          <w:highlight w:val="none"/>
        </w:rPr>
        <w:tab/>
      </w:r>
      <w:r>
        <w:rPr>
          <w:color w:val="auto"/>
          <w:highlight w:val="none"/>
        </w:rPr>
        <w:fldChar w:fldCharType="begin"/>
      </w:r>
      <w:r>
        <w:rPr>
          <w:color w:val="auto"/>
          <w:highlight w:val="none"/>
        </w:rPr>
        <w:instrText xml:space="preserve"> PAGEREF _Toc5775 \h </w:instrText>
      </w:r>
      <w:r>
        <w:rPr>
          <w:color w:val="auto"/>
          <w:highlight w:val="none"/>
        </w:rPr>
        <w:fldChar w:fldCharType="separate"/>
      </w:r>
      <w:r>
        <w:rPr>
          <w:color w:val="auto"/>
          <w:highlight w:val="none"/>
        </w:rPr>
        <w:t>51</w:t>
      </w:r>
      <w:r>
        <w:rPr>
          <w:color w:val="auto"/>
          <w:highlight w:val="none"/>
        </w:rPr>
        <w:fldChar w:fldCharType="end"/>
      </w:r>
      <w:r>
        <w:rPr>
          <w:color w:val="auto"/>
          <w:highlight w:val="none"/>
        </w:rPr>
        <w:fldChar w:fldCharType="end"/>
      </w:r>
    </w:p>
    <w:p w14:paraId="5EB84B9C">
      <w:pPr>
        <w:pStyle w:val="32"/>
        <w:tabs>
          <w:tab w:val="right" w:leader="dot" w:pos="8550"/>
        </w:tabs>
        <w:rPr>
          <w:color w:val="auto"/>
          <w:highlight w:val="none"/>
        </w:rPr>
      </w:pPr>
      <w:r>
        <w:rPr>
          <w:color w:val="auto"/>
          <w:highlight w:val="none"/>
        </w:rPr>
        <w:fldChar w:fldCharType="begin"/>
      </w:r>
      <w:r>
        <w:rPr>
          <w:color w:val="auto"/>
          <w:highlight w:val="none"/>
        </w:rPr>
        <w:instrText xml:space="preserve"> HYPERLINK \l "_Toc13163" </w:instrText>
      </w:r>
      <w:r>
        <w:rPr>
          <w:color w:val="auto"/>
          <w:highlight w:val="none"/>
        </w:rPr>
        <w:fldChar w:fldCharType="separate"/>
      </w:r>
      <w:r>
        <w:rPr>
          <w:rFonts w:hint="eastAsia" w:ascii="仿宋" w:hAnsi="仿宋" w:eastAsia="仿宋" w:cs="仿宋"/>
          <w:color w:val="auto"/>
          <w:highlight w:val="none"/>
        </w:rPr>
        <w:t>8.3 具备履行合同所必需的设备和专业技术能力的证明材料</w:t>
      </w:r>
      <w:r>
        <w:rPr>
          <w:color w:val="auto"/>
          <w:highlight w:val="none"/>
        </w:rPr>
        <w:tab/>
      </w:r>
      <w:r>
        <w:rPr>
          <w:color w:val="auto"/>
          <w:highlight w:val="none"/>
        </w:rPr>
        <w:fldChar w:fldCharType="begin"/>
      </w:r>
      <w:r>
        <w:rPr>
          <w:color w:val="auto"/>
          <w:highlight w:val="none"/>
        </w:rPr>
        <w:instrText xml:space="preserve"> PAGEREF _Toc13163 \h </w:instrText>
      </w:r>
      <w:r>
        <w:rPr>
          <w:color w:val="auto"/>
          <w:highlight w:val="none"/>
        </w:rPr>
        <w:fldChar w:fldCharType="separate"/>
      </w:r>
      <w:r>
        <w:rPr>
          <w:color w:val="auto"/>
          <w:highlight w:val="none"/>
        </w:rPr>
        <w:t>52</w:t>
      </w:r>
      <w:r>
        <w:rPr>
          <w:color w:val="auto"/>
          <w:highlight w:val="none"/>
        </w:rPr>
        <w:fldChar w:fldCharType="end"/>
      </w:r>
      <w:r>
        <w:rPr>
          <w:color w:val="auto"/>
          <w:highlight w:val="none"/>
        </w:rPr>
        <w:fldChar w:fldCharType="end"/>
      </w:r>
    </w:p>
    <w:p w14:paraId="5F397C82">
      <w:pPr>
        <w:pStyle w:val="32"/>
        <w:tabs>
          <w:tab w:val="right" w:leader="dot" w:pos="8550"/>
        </w:tabs>
        <w:rPr>
          <w:color w:val="auto"/>
          <w:highlight w:val="none"/>
        </w:rPr>
      </w:pPr>
      <w:r>
        <w:rPr>
          <w:color w:val="auto"/>
          <w:highlight w:val="none"/>
        </w:rPr>
        <w:fldChar w:fldCharType="begin"/>
      </w:r>
      <w:r>
        <w:rPr>
          <w:color w:val="auto"/>
          <w:highlight w:val="none"/>
        </w:rPr>
        <w:instrText xml:space="preserve"> HYPERLINK \l "_Toc21840" </w:instrText>
      </w:r>
      <w:r>
        <w:rPr>
          <w:color w:val="auto"/>
          <w:highlight w:val="none"/>
        </w:rPr>
        <w:fldChar w:fldCharType="separate"/>
      </w:r>
      <w:r>
        <w:rPr>
          <w:rFonts w:hint="eastAsia" w:ascii="仿宋" w:hAnsi="仿宋" w:eastAsia="仿宋" w:cs="仿宋"/>
          <w:color w:val="auto"/>
          <w:highlight w:val="none"/>
        </w:rPr>
        <w:t>8.4 参加政府采购活动前3年内在经营活动中没有重大违法记录的书面声明</w:t>
      </w:r>
      <w:r>
        <w:rPr>
          <w:color w:val="auto"/>
          <w:highlight w:val="none"/>
        </w:rPr>
        <w:tab/>
      </w:r>
      <w:r>
        <w:rPr>
          <w:color w:val="auto"/>
          <w:highlight w:val="none"/>
        </w:rPr>
        <w:fldChar w:fldCharType="begin"/>
      </w:r>
      <w:r>
        <w:rPr>
          <w:color w:val="auto"/>
          <w:highlight w:val="none"/>
        </w:rPr>
        <w:instrText xml:space="preserve"> PAGEREF _Toc21840 \h </w:instrText>
      </w:r>
      <w:r>
        <w:rPr>
          <w:color w:val="auto"/>
          <w:highlight w:val="none"/>
        </w:rPr>
        <w:fldChar w:fldCharType="separate"/>
      </w:r>
      <w:r>
        <w:rPr>
          <w:color w:val="auto"/>
          <w:highlight w:val="none"/>
        </w:rPr>
        <w:t>53</w:t>
      </w:r>
      <w:r>
        <w:rPr>
          <w:color w:val="auto"/>
          <w:highlight w:val="none"/>
        </w:rPr>
        <w:fldChar w:fldCharType="end"/>
      </w:r>
      <w:r>
        <w:rPr>
          <w:color w:val="auto"/>
          <w:highlight w:val="none"/>
        </w:rPr>
        <w:fldChar w:fldCharType="end"/>
      </w:r>
    </w:p>
    <w:p w14:paraId="3B6A6317">
      <w:pPr>
        <w:pStyle w:val="32"/>
        <w:tabs>
          <w:tab w:val="right" w:leader="dot" w:pos="8550"/>
        </w:tabs>
        <w:rPr>
          <w:color w:val="auto"/>
          <w:highlight w:val="none"/>
        </w:rPr>
      </w:pPr>
      <w:r>
        <w:rPr>
          <w:color w:val="auto"/>
          <w:highlight w:val="none"/>
        </w:rPr>
        <w:fldChar w:fldCharType="begin"/>
      </w:r>
      <w:r>
        <w:rPr>
          <w:color w:val="auto"/>
          <w:highlight w:val="none"/>
        </w:rPr>
        <w:instrText xml:space="preserve"> HYPERLINK \l "_Toc22823" </w:instrText>
      </w:r>
      <w:r>
        <w:rPr>
          <w:color w:val="auto"/>
          <w:highlight w:val="none"/>
        </w:rPr>
        <w:fldChar w:fldCharType="separate"/>
      </w:r>
      <w:r>
        <w:rPr>
          <w:rFonts w:hint="eastAsia" w:ascii="仿宋" w:hAnsi="仿宋" w:eastAsia="仿宋" w:cs="仿宋"/>
          <w:color w:val="auto"/>
          <w:highlight w:val="none"/>
        </w:rPr>
        <w:t>8.5 具备法律、行政法规规定的其他条件的证明材料</w:t>
      </w:r>
      <w:r>
        <w:rPr>
          <w:color w:val="auto"/>
          <w:highlight w:val="none"/>
        </w:rPr>
        <w:tab/>
      </w:r>
      <w:r>
        <w:rPr>
          <w:color w:val="auto"/>
          <w:highlight w:val="none"/>
        </w:rPr>
        <w:fldChar w:fldCharType="begin"/>
      </w:r>
      <w:r>
        <w:rPr>
          <w:color w:val="auto"/>
          <w:highlight w:val="none"/>
        </w:rPr>
        <w:instrText xml:space="preserve"> PAGEREF _Toc22823 \h </w:instrText>
      </w:r>
      <w:r>
        <w:rPr>
          <w:color w:val="auto"/>
          <w:highlight w:val="none"/>
        </w:rPr>
        <w:fldChar w:fldCharType="separate"/>
      </w:r>
      <w:r>
        <w:rPr>
          <w:color w:val="auto"/>
          <w:highlight w:val="none"/>
        </w:rPr>
        <w:t>54</w:t>
      </w:r>
      <w:r>
        <w:rPr>
          <w:color w:val="auto"/>
          <w:highlight w:val="none"/>
        </w:rPr>
        <w:fldChar w:fldCharType="end"/>
      </w:r>
      <w:r>
        <w:rPr>
          <w:color w:val="auto"/>
          <w:highlight w:val="none"/>
        </w:rPr>
        <w:fldChar w:fldCharType="end"/>
      </w:r>
    </w:p>
    <w:p w14:paraId="7B68375A">
      <w:pPr>
        <w:pStyle w:val="32"/>
        <w:tabs>
          <w:tab w:val="right" w:leader="dot" w:pos="8550"/>
        </w:tabs>
        <w:rPr>
          <w:color w:val="auto"/>
          <w:highlight w:val="none"/>
        </w:rPr>
      </w:pPr>
      <w:r>
        <w:rPr>
          <w:color w:val="auto"/>
          <w:highlight w:val="none"/>
        </w:rPr>
        <w:fldChar w:fldCharType="begin"/>
      </w:r>
      <w:r>
        <w:rPr>
          <w:color w:val="auto"/>
          <w:highlight w:val="none"/>
        </w:rPr>
        <w:instrText xml:space="preserve"> HYPERLINK \l "_Toc22587" </w:instrText>
      </w:r>
      <w:r>
        <w:rPr>
          <w:color w:val="auto"/>
          <w:highlight w:val="none"/>
        </w:rPr>
        <w:fldChar w:fldCharType="separate"/>
      </w:r>
      <w:r>
        <w:rPr>
          <w:rFonts w:hint="eastAsia" w:ascii="仿宋" w:hAnsi="仿宋" w:eastAsia="仿宋" w:cs="仿宋"/>
          <w:color w:val="auto"/>
          <w:highlight w:val="none"/>
        </w:rPr>
        <w:t>九、供应商近年类似项目情况表</w:t>
      </w:r>
      <w:r>
        <w:rPr>
          <w:color w:val="auto"/>
          <w:highlight w:val="none"/>
        </w:rPr>
        <w:tab/>
      </w:r>
      <w:r>
        <w:rPr>
          <w:color w:val="auto"/>
          <w:highlight w:val="none"/>
        </w:rPr>
        <w:fldChar w:fldCharType="begin"/>
      </w:r>
      <w:r>
        <w:rPr>
          <w:color w:val="auto"/>
          <w:highlight w:val="none"/>
        </w:rPr>
        <w:instrText xml:space="preserve"> PAGEREF _Toc22587 \h </w:instrText>
      </w:r>
      <w:r>
        <w:rPr>
          <w:color w:val="auto"/>
          <w:highlight w:val="none"/>
        </w:rPr>
        <w:fldChar w:fldCharType="separate"/>
      </w:r>
      <w:r>
        <w:rPr>
          <w:color w:val="auto"/>
          <w:highlight w:val="none"/>
        </w:rPr>
        <w:t>57</w:t>
      </w:r>
      <w:r>
        <w:rPr>
          <w:color w:val="auto"/>
          <w:highlight w:val="none"/>
        </w:rPr>
        <w:fldChar w:fldCharType="end"/>
      </w:r>
      <w:r>
        <w:rPr>
          <w:color w:val="auto"/>
          <w:highlight w:val="none"/>
        </w:rPr>
        <w:fldChar w:fldCharType="end"/>
      </w:r>
    </w:p>
    <w:p w14:paraId="68207B44">
      <w:pPr>
        <w:pStyle w:val="32"/>
        <w:tabs>
          <w:tab w:val="right" w:leader="dot" w:pos="8550"/>
        </w:tabs>
        <w:rPr>
          <w:color w:val="auto"/>
          <w:highlight w:val="none"/>
        </w:rPr>
      </w:pPr>
      <w:r>
        <w:rPr>
          <w:color w:val="auto"/>
          <w:highlight w:val="none"/>
        </w:rPr>
        <w:fldChar w:fldCharType="begin"/>
      </w:r>
      <w:r>
        <w:rPr>
          <w:color w:val="auto"/>
          <w:highlight w:val="none"/>
        </w:rPr>
        <w:instrText xml:space="preserve"> HYPERLINK \l "_Toc9640" </w:instrText>
      </w:r>
      <w:r>
        <w:rPr>
          <w:color w:val="auto"/>
          <w:highlight w:val="none"/>
        </w:rPr>
        <w:fldChar w:fldCharType="separate"/>
      </w:r>
      <w:r>
        <w:rPr>
          <w:rFonts w:hint="eastAsia" w:ascii="仿宋" w:hAnsi="仿宋" w:eastAsia="仿宋" w:cs="仿宋"/>
          <w:color w:val="auto"/>
          <w:highlight w:val="none"/>
          <w:shd w:val="clear" w:color="auto" w:fill="FFFFFF" w:themeFill="background1"/>
        </w:rPr>
        <w:t>十、售后服务承诺书</w:t>
      </w:r>
      <w:r>
        <w:rPr>
          <w:color w:val="auto"/>
          <w:highlight w:val="none"/>
        </w:rPr>
        <w:tab/>
      </w:r>
      <w:r>
        <w:rPr>
          <w:color w:val="auto"/>
          <w:highlight w:val="none"/>
        </w:rPr>
        <w:fldChar w:fldCharType="begin"/>
      </w:r>
      <w:r>
        <w:rPr>
          <w:color w:val="auto"/>
          <w:highlight w:val="none"/>
        </w:rPr>
        <w:instrText xml:space="preserve"> PAGEREF _Toc9640 \h </w:instrText>
      </w:r>
      <w:r>
        <w:rPr>
          <w:color w:val="auto"/>
          <w:highlight w:val="none"/>
        </w:rPr>
        <w:fldChar w:fldCharType="separate"/>
      </w:r>
      <w:r>
        <w:rPr>
          <w:color w:val="auto"/>
          <w:highlight w:val="none"/>
        </w:rPr>
        <w:t>58</w:t>
      </w:r>
      <w:r>
        <w:rPr>
          <w:color w:val="auto"/>
          <w:highlight w:val="none"/>
        </w:rPr>
        <w:fldChar w:fldCharType="end"/>
      </w:r>
      <w:r>
        <w:rPr>
          <w:color w:val="auto"/>
          <w:highlight w:val="none"/>
        </w:rPr>
        <w:fldChar w:fldCharType="end"/>
      </w:r>
    </w:p>
    <w:p w14:paraId="4125DE68">
      <w:pPr>
        <w:pStyle w:val="32"/>
        <w:tabs>
          <w:tab w:val="right" w:leader="dot" w:pos="8550"/>
        </w:tabs>
        <w:rPr>
          <w:color w:val="auto"/>
          <w:highlight w:val="none"/>
        </w:rPr>
      </w:pPr>
      <w:r>
        <w:rPr>
          <w:color w:val="auto"/>
          <w:highlight w:val="none"/>
        </w:rPr>
        <w:fldChar w:fldCharType="begin"/>
      </w:r>
      <w:r>
        <w:rPr>
          <w:color w:val="auto"/>
          <w:highlight w:val="none"/>
        </w:rPr>
        <w:instrText xml:space="preserve"> HYPERLINK \l "_Toc24088" </w:instrText>
      </w:r>
      <w:r>
        <w:rPr>
          <w:color w:val="auto"/>
          <w:highlight w:val="none"/>
        </w:rPr>
        <w:fldChar w:fldCharType="separate"/>
      </w:r>
      <w:r>
        <w:rPr>
          <w:rFonts w:hint="eastAsia" w:ascii="仿宋" w:hAnsi="仿宋" w:eastAsia="仿宋" w:cs="仿宋"/>
          <w:color w:val="auto"/>
          <w:highlight w:val="none"/>
          <w:shd w:val="clear" w:color="auto" w:fill="FFFFFF" w:themeFill="background1"/>
        </w:rPr>
        <w:t>十一、技术方案</w:t>
      </w:r>
      <w:r>
        <w:rPr>
          <w:color w:val="auto"/>
          <w:highlight w:val="none"/>
        </w:rPr>
        <w:tab/>
      </w:r>
      <w:r>
        <w:rPr>
          <w:color w:val="auto"/>
          <w:highlight w:val="none"/>
        </w:rPr>
        <w:fldChar w:fldCharType="begin"/>
      </w:r>
      <w:r>
        <w:rPr>
          <w:color w:val="auto"/>
          <w:highlight w:val="none"/>
        </w:rPr>
        <w:instrText xml:space="preserve"> PAGEREF _Toc24088 \h </w:instrText>
      </w:r>
      <w:r>
        <w:rPr>
          <w:color w:val="auto"/>
          <w:highlight w:val="none"/>
        </w:rPr>
        <w:fldChar w:fldCharType="separate"/>
      </w:r>
      <w:r>
        <w:rPr>
          <w:color w:val="auto"/>
          <w:highlight w:val="none"/>
        </w:rPr>
        <w:t>59</w:t>
      </w:r>
      <w:r>
        <w:rPr>
          <w:color w:val="auto"/>
          <w:highlight w:val="none"/>
        </w:rPr>
        <w:fldChar w:fldCharType="end"/>
      </w:r>
      <w:r>
        <w:rPr>
          <w:color w:val="auto"/>
          <w:highlight w:val="none"/>
        </w:rPr>
        <w:fldChar w:fldCharType="end"/>
      </w:r>
    </w:p>
    <w:p w14:paraId="64D21B8A">
      <w:pPr>
        <w:pStyle w:val="32"/>
        <w:tabs>
          <w:tab w:val="right" w:leader="dot" w:pos="8550"/>
        </w:tabs>
        <w:rPr>
          <w:color w:val="auto"/>
          <w:highlight w:val="none"/>
        </w:rPr>
      </w:pPr>
      <w:r>
        <w:rPr>
          <w:color w:val="auto"/>
          <w:highlight w:val="none"/>
        </w:rPr>
        <w:fldChar w:fldCharType="begin"/>
      </w:r>
      <w:r>
        <w:rPr>
          <w:color w:val="auto"/>
          <w:highlight w:val="none"/>
        </w:rPr>
        <w:instrText xml:space="preserve"> HYPERLINK \l "_Toc4243" </w:instrText>
      </w:r>
      <w:r>
        <w:rPr>
          <w:color w:val="auto"/>
          <w:highlight w:val="none"/>
        </w:rPr>
        <w:fldChar w:fldCharType="separate"/>
      </w:r>
      <w:r>
        <w:rPr>
          <w:rFonts w:hint="eastAsia" w:ascii="仿宋" w:hAnsi="仿宋" w:eastAsia="仿宋" w:cs="仿宋"/>
          <w:color w:val="auto"/>
          <w:highlight w:val="none"/>
        </w:rPr>
        <w:t>十二、保证金缴纳证明材料</w:t>
      </w:r>
      <w:r>
        <w:rPr>
          <w:color w:val="auto"/>
          <w:highlight w:val="none"/>
        </w:rPr>
        <w:tab/>
      </w:r>
      <w:r>
        <w:rPr>
          <w:color w:val="auto"/>
          <w:highlight w:val="none"/>
        </w:rPr>
        <w:fldChar w:fldCharType="begin"/>
      </w:r>
      <w:r>
        <w:rPr>
          <w:color w:val="auto"/>
          <w:highlight w:val="none"/>
        </w:rPr>
        <w:instrText xml:space="preserve"> PAGEREF _Toc4243 \h </w:instrText>
      </w:r>
      <w:r>
        <w:rPr>
          <w:color w:val="auto"/>
          <w:highlight w:val="none"/>
        </w:rPr>
        <w:fldChar w:fldCharType="separate"/>
      </w:r>
      <w:r>
        <w:rPr>
          <w:color w:val="auto"/>
          <w:highlight w:val="none"/>
        </w:rPr>
        <w:t>60</w:t>
      </w:r>
      <w:r>
        <w:rPr>
          <w:color w:val="auto"/>
          <w:highlight w:val="none"/>
        </w:rPr>
        <w:fldChar w:fldCharType="end"/>
      </w:r>
      <w:r>
        <w:rPr>
          <w:color w:val="auto"/>
          <w:highlight w:val="none"/>
        </w:rPr>
        <w:fldChar w:fldCharType="end"/>
      </w:r>
    </w:p>
    <w:p w14:paraId="6B775C37">
      <w:pPr>
        <w:pStyle w:val="32"/>
        <w:tabs>
          <w:tab w:val="right" w:leader="dot" w:pos="8550"/>
        </w:tabs>
        <w:rPr>
          <w:color w:val="auto"/>
          <w:highlight w:val="none"/>
        </w:rPr>
      </w:pPr>
      <w:r>
        <w:rPr>
          <w:color w:val="auto"/>
          <w:highlight w:val="none"/>
        </w:rPr>
        <w:fldChar w:fldCharType="begin"/>
      </w:r>
      <w:r>
        <w:rPr>
          <w:color w:val="auto"/>
          <w:highlight w:val="none"/>
        </w:rPr>
        <w:instrText xml:space="preserve"> HYPERLINK \l "_Toc27629" </w:instrText>
      </w:r>
      <w:r>
        <w:rPr>
          <w:color w:val="auto"/>
          <w:highlight w:val="none"/>
        </w:rPr>
        <w:fldChar w:fldCharType="separate"/>
      </w:r>
      <w:r>
        <w:rPr>
          <w:rFonts w:hint="eastAsia" w:ascii="仿宋" w:hAnsi="仿宋" w:eastAsia="仿宋" w:cs="仿宋"/>
          <w:color w:val="auto"/>
          <w:highlight w:val="none"/>
        </w:rPr>
        <w:t>十三、其它需要提交的资料</w:t>
      </w:r>
      <w:r>
        <w:rPr>
          <w:color w:val="auto"/>
          <w:highlight w:val="none"/>
        </w:rPr>
        <w:tab/>
      </w:r>
      <w:r>
        <w:rPr>
          <w:color w:val="auto"/>
          <w:highlight w:val="none"/>
        </w:rPr>
        <w:fldChar w:fldCharType="begin"/>
      </w:r>
      <w:r>
        <w:rPr>
          <w:color w:val="auto"/>
          <w:highlight w:val="none"/>
        </w:rPr>
        <w:instrText xml:space="preserve"> PAGEREF _Toc27629 \h </w:instrText>
      </w:r>
      <w:r>
        <w:rPr>
          <w:color w:val="auto"/>
          <w:highlight w:val="none"/>
        </w:rPr>
        <w:fldChar w:fldCharType="separate"/>
      </w:r>
      <w:r>
        <w:rPr>
          <w:color w:val="auto"/>
          <w:highlight w:val="none"/>
        </w:rPr>
        <w:t>61</w:t>
      </w:r>
      <w:r>
        <w:rPr>
          <w:color w:val="auto"/>
          <w:highlight w:val="none"/>
        </w:rPr>
        <w:fldChar w:fldCharType="end"/>
      </w:r>
      <w:r>
        <w:rPr>
          <w:color w:val="auto"/>
          <w:highlight w:val="none"/>
        </w:rPr>
        <w:fldChar w:fldCharType="end"/>
      </w:r>
    </w:p>
    <w:p w14:paraId="5D199713">
      <w:pPr>
        <w:pStyle w:val="25"/>
        <w:tabs>
          <w:tab w:val="right" w:leader="dot" w:pos="8550"/>
        </w:tabs>
        <w:rPr>
          <w:color w:val="auto"/>
          <w:highlight w:val="none"/>
        </w:rPr>
      </w:pPr>
      <w:r>
        <w:rPr>
          <w:color w:val="auto"/>
          <w:highlight w:val="none"/>
        </w:rPr>
        <w:fldChar w:fldCharType="begin"/>
      </w:r>
      <w:r>
        <w:rPr>
          <w:color w:val="auto"/>
          <w:highlight w:val="none"/>
        </w:rPr>
        <w:instrText xml:space="preserve"> HYPERLINK \l "_Toc12011" </w:instrText>
      </w:r>
      <w:r>
        <w:rPr>
          <w:color w:val="auto"/>
          <w:highlight w:val="none"/>
        </w:rPr>
        <w:fldChar w:fldCharType="separate"/>
      </w:r>
      <w:r>
        <w:rPr>
          <w:rFonts w:hint="eastAsia" w:ascii="仿宋" w:hAnsi="仿宋" w:eastAsia="仿宋" w:cs="仿宋"/>
          <w:color w:val="auto"/>
          <w:highlight w:val="none"/>
        </w:rPr>
        <w:t>第六章 补充条款</w:t>
      </w:r>
      <w:r>
        <w:rPr>
          <w:color w:val="auto"/>
          <w:highlight w:val="none"/>
        </w:rPr>
        <w:tab/>
      </w:r>
      <w:r>
        <w:rPr>
          <w:color w:val="auto"/>
          <w:highlight w:val="none"/>
        </w:rPr>
        <w:fldChar w:fldCharType="begin"/>
      </w:r>
      <w:r>
        <w:rPr>
          <w:color w:val="auto"/>
          <w:highlight w:val="none"/>
        </w:rPr>
        <w:instrText xml:space="preserve"> PAGEREF _Toc12011 \h </w:instrText>
      </w:r>
      <w:r>
        <w:rPr>
          <w:color w:val="auto"/>
          <w:highlight w:val="none"/>
        </w:rPr>
        <w:fldChar w:fldCharType="separate"/>
      </w:r>
      <w:r>
        <w:rPr>
          <w:color w:val="auto"/>
          <w:highlight w:val="none"/>
        </w:rPr>
        <w:t>62</w:t>
      </w:r>
      <w:r>
        <w:rPr>
          <w:color w:val="auto"/>
          <w:highlight w:val="none"/>
        </w:rPr>
        <w:fldChar w:fldCharType="end"/>
      </w:r>
      <w:r>
        <w:rPr>
          <w:color w:val="auto"/>
          <w:highlight w:val="none"/>
        </w:rPr>
        <w:fldChar w:fldCharType="end"/>
      </w:r>
    </w:p>
    <w:p w14:paraId="39C59FBA">
      <w:pPr>
        <w:pStyle w:val="32"/>
        <w:tabs>
          <w:tab w:val="right" w:leader="dot" w:pos="8550"/>
        </w:tabs>
        <w:rPr>
          <w:color w:val="auto"/>
          <w:highlight w:val="none"/>
        </w:rPr>
      </w:pPr>
      <w:r>
        <w:rPr>
          <w:color w:val="auto"/>
          <w:highlight w:val="none"/>
        </w:rPr>
        <w:fldChar w:fldCharType="begin"/>
      </w:r>
      <w:r>
        <w:rPr>
          <w:color w:val="auto"/>
          <w:highlight w:val="none"/>
        </w:rPr>
        <w:instrText xml:space="preserve"> HYPERLINK \l "_Toc7811" </w:instrText>
      </w:r>
      <w:r>
        <w:rPr>
          <w:color w:val="auto"/>
          <w:highlight w:val="none"/>
        </w:rPr>
        <w:fldChar w:fldCharType="separate"/>
      </w:r>
      <w:r>
        <w:rPr>
          <w:rFonts w:hint="eastAsia" w:ascii="仿宋" w:hAnsi="仿宋" w:eastAsia="仿宋" w:cs="仿宋"/>
          <w:color w:val="auto"/>
          <w:spacing w:val="6"/>
          <w:highlight w:val="none"/>
        </w:rPr>
        <w:t>附件1、中小企业扶持政策</w:t>
      </w:r>
      <w:r>
        <w:rPr>
          <w:color w:val="auto"/>
          <w:highlight w:val="none"/>
        </w:rPr>
        <w:tab/>
      </w:r>
      <w:r>
        <w:rPr>
          <w:color w:val="auto"/>
          <w:highlight w:val="none"/>
        </w:rPr>
        <w:fldChar w:fldCharType="begin"/>
      </w:r>
      <w:r>
        <w:rPr>
          <w:color w:val="auto"/>
          <w:highlight w:val="none"/>
        </w:rPr>
        <w:instrText xml:space="preserve"> PAGEREF _Toc7811 \h </w:instrText>
      </w:r>
      <w:r>
        <w:rPr>
          <w:color w:val="auto"/>
          <w:highlight w:val="none"/>
        </w:rPr>
        <w:fldChar w:fldCharType="separate"/>
      </w:r>
      <w:r>
        <w:rPr>
          <w:color w:val="auto"/>
          <w:highlight w:val="none"/>
        </w:rPr>
        <w:t>62</w:t>
      </w:r>
      <w:r>
        <w:rPr>
          <w:color w:val="auto"/>
          <w:highlight w:val="none"/>
        </w:rPr>
        <w:fldChar w:fldCharType="end"/>
      </w:r>
      <w:r>
        <w:rPr>
          <w:color w:val="auto"/>
          <w:highlight w:val="none"/>
        </w:rPr>
        <w:fldChar w:fldCharType="end"/>
      </w:r>
    </w:p>
    <w:p w14:paraId="6D8D64A8">
      <w:pPr>
        <w:pStyle w:val="32"/>
        <w:tabs>
          <w:tab w:val="right" w:leader="dot" w:pos="8550"/>
        </w:tabs>
        <w:rPr>
          <w:color w:val="auto"/>
          <w:highlight w:val="none"/>
        </w:rPr>
      </w:pPr>
      <w:r>
        <w:rPr>
          <w:color w:val="auto"/>
          <w:highlight w:val="none"/>
        </w:rPr>
        <w:fldChar w:fldCharType="begin"/>
      </w:r>
      <w:r>
        <w:rPr>
          <w:color w:val="auto"/>
          <w:highlight w:val="none"/>
        </w:rPr>
        <w:instrText xml:space="preserve"> HYPERLINK \l "_Toc16117" </w:instrText>
      </w:r>
      <w:r>
        <w:rPr>
          <w:color w:val="auto"/>
          <w:highlight w:val="none"/>
        </w:rPr>
        <w:fldChar w:fldCharType="separate"/>
      </w:r>
      <w:r>
        <w:rPr>
          <w:rFonts w:hint="eastAsia" w:ascii="仿宋" w:hAnsi="仿宋" w:eastAsia="仿宋" w:cs="仿宋"/>
          <w:color w:val="auto"/>
          <w:spacing w:val="6"/>
          <w:highlight w:val="none"/>
        </w:rPr>
        <w:t>附件2、残疾人企业扶持政策</w:t>
      </w:r>
      <w:r>
        <w:rPr>
          <w:color w:val="auto"/>
          <w:highlight w:val="none"/>
        </w:rPr>
        <w:tab/>
      </w:r>
      <w:r>
        <w:rPr>
          <w:color w:val="auto"/>
          <w:highlight w:val="none"/>
        </w:rPr>
        <w:fldChar w:fldCharType="begin"/>
      </w:r>
      <w:r>
        <w:rPr>
          <w:color w:val="auto"/>
          <w:highlight w:val="none"/>
        </w:rPr>
        <w:instrText xml:space="preserve"> PAGEREF _Toc16117 \h </w:instrText>
      </w:r>
      <w:r>
        <w:rPr>
          <w:color w:val="auto"/>
          <w:highlight w:val="none"/>
        </w:rPr>
        <w:fldChar w:fldCharType="separate"/>
      </w:r>
      <w:r>
        <w:rPr>
          <w:color w:val="auto"/>
          <w:highlight w:val="none"/>
        </w:rPr>
        <w:t>66</w:t>
      </w:r>
      <w:r>
        <w:rPr>
          <w:color w:val="auto"/>
          <w:highlight w:val="none"/>
        </w:rPr>
        <w:fldChar w:fldCharType="end"/>
      </w:r>
      <w:r>
        <w:rPr>
          <w:color w:val="auto"/>
          <w:highlight w:val="none"/>
        </w:rPr>
        <w:fldChar w:fldCharType="end"/>
      </w:r>
    </w:p>
    <w:p w14:paraId="645B62D0">
      <w:pPr>
        <w:pStyle w:val="32"/>
        <w:tabs>
          <w:tab w:val="right" w:leader="dot" w:pos="8550"/>
        </w:tabs>
        <w:rPr>
          <w:color w:val="auto"/>
          <w:highlight w:val="none"/>
        </w:rPr>
      </w:pPr>
      <w:r>
        <w:rPr>
          <w:color w:val="auto"/>
          <w:highlight w:val="none"/>
        </w:rPr>
        <w:fldChar w:fldCharType="begin"/>
      </w:r>
      <w:r>
        <w:rPr>
          <w:color w:val="auto"/>
          <w:highlight w:val="none"/>
        </w:rPr>
        <w:instrText xml:space="preserve"> HYPERLINK \l "_Toc1309" </w:instrText>
      </w:r>
      <w:r>
        <w:rPr>
          <w:color w:val="auto"/>
          <w:highlight w:val="none"/>
        </w:rPr>
        <w:fldChar w:fldCharType="separate"/>
      </w:r>
      <w:r>
        <w:rPr>
          <w:rFonts w:hint="eastAsia" w:ascii="仿宋" w:hAnsi="仿宋" w:eastAsia="仿宋" w:cs="仿宋"/>
          <w:color w:val="auto"/>
          <w:spacing w:val="6"/>
          <w:highlight w:val="none"/>
        </w:rPr>
        <w:t>附件3、监狱扶持政策</w:t>
      </w:r>
      <w:r>
        <w:rPr>
          <w:color w:val="auto"/>
          <w:highlight w:val="none"/>
        </w:rPr>
        <w:tab/>
      </w:r>
      <w:r>
        <w:rPr>
          <w:color w:val="auto"/>
          <w:highlight w:val="none"/>
        </w:rPr>
        <w:fldChar w:fldCharType="begin"/>
      </w:r>
      <w:r>
        <w:rPr>
          <w:color w:val="auto"/>
          <w:highlight w:val="none"/>
        </w:rPr>
        <w:instrText xml:space="preserve"> PAGEREF _Toc1309 \h </w:instrText>
      </w:r>
      <w:r>
        <w:rPr>
          <w:color w:val="auto"/>
          <w:highlight w:val="none"/>
        </w:rPr>
        <w:fldChar w:fldCharType="separate"/>
      </w:r>
      <w:r>
        <w:rPr>
          <w:color w:val="auto"/>
          <w:highlight w:val="none"/>
        </w:rPr>
        <w:t>68</w:t>
      </w:r>
      <w:r>
        <w:rPr>
          <w:color w:val="auto"/>
          <w:highlight w:val="none"/>
        </w:rPr>
        <w:fldChar w:fldCharType="end"/>
      </w:r>
      <w:r>
        <w:rPr>
          <w:color w:val="auto"/>
          <w:highlight w:val="none"/>
        </w:rPr>
        <w:fldChar w:fldCharType="end"/>
      </w:r>
    </w:p>
    <w:p w14:paraId="20EAA10D">
      <w:pPr>
        <w:pStyle w:val="32"/>
        <w:tabs>
          <w:tab w:val="right" w:leader="dot" w:pos="8550"/>
        </w:tabs>
        <w:rPr>
          <w:color w:val="auto"/>
          <w:highlight w:val="none"/>
        </w:rPr>
      </w:pPr>
      <w:r>
        <w:rPr>
          <w:color w:val="auto"/>
          <w:highlight w:val="none"/>
        </w:rPr>
        <w:fldChar w:fldCharType="begin"/>
      </w:r>
      <w:r>
        <w:rPr>
          <w:color w:val="auto"/>
          <w:highlight w:val="none"/>
        </w:rPr>
        <w:instrText xml:space="preserve"> HYPERLINK \l "_Toc7324" </w:instrText>
      </w:r>
      <w:r>
        <w:rPr>
          <w:color w:val="auto"/>
          <w:highlight w:val="none"/>
        </w:rPr>
        <w:fldChar w:fldCharType="separate"/>
      </w:r>
      <w:r>
        <w:rPr>
          <w:rFonts w:hint="eastAsia" w:ascii="仿宋" w:hAnsi="仿宋" w:eastAsia="仿宋" w:cs="仿宋"/>
          <w:color w:val="auto"/>
          <w:spacing w:val="6"/>
          <w:highlight w:val="none"/>
        </w:rPr>
        <w:t>附件4、实施本国产品标准及相关政策</w:t>
      </w:r>
      <w:r>
        <w:rPr>
          <w:color w:val="auto"/>
          <w:highlight w:val="none"/>
        </w:rPr>
        <w:tab/>
      </w:r>
      <w:r>
        <w:rPr>
          <w:color w:val="auto"/>
          <w:highlight w:val="none"/>
        </w:rPr>
        <w:fldChar w:fldCharType="begin"/>
      </w:r>
      <w:r>
        <w:rPr>
          <w:color w:val="auto"/>
          <w:highlight w:val="none"/>
        </w:rPr>
        <w:instrText xml:space="preserve"> PAGEREF _Toc7324 \h </w:instrText>
      </w:r>
      <w:r>
        <w:rPr>
          <w:color w:val="auto"/>
          <w:highlight w:val="none"/>
        </w:rPr>
        <w:fldChar w:fldCharType="separate"/>
      </w:r>
      <w:r>
        <w:rPr>
          <w:color w:val="auto"/>
          <w:highlight w:val="none"/>
        </w:rPr>
        <w:t>70</w:t>
      </w:r>
      <w:r>
        <w:rPr>
          <w:color w:val="auto"/>
          <w:highlight w:val="none"/>
        </w:rPr>
        <w:fldChar w:fldCharType="end"/>
      </w:r>
      <w:r>
        <w:rPr>
          <w:color w:val="auto"/>
          <w:highlight w:val="none"/>
        </w:rPr>
        <w:fldChar w:fldCharType="end"/>
      </w:r>
    </w:p>
    <w:p w14:paraId="6431413E">
      <w:pPr>
        <w:rPr>
          <w:rFonts w:hint="eastAsia"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Cs w:val="24"/>
          <w:highlight w:val="none"/>
          <w:shd w:val="clear" w:color="auto" w:fill="FFFFFF" w:themeFill="background1"/>
        </w:rPr>
        <w:fldChar w:fldCharType="end"/>
      </w:r>
    </w:p>
    <w:p w14:paraId="50A0D957">
      <w:pPr>
        <w:spacing w:line="360" w:lineRule="auto"/>
        <w:rPr>
          <w:rFonts w:hint="eastAsia" w:ascii="仿宋" w:hAnsi="仿宋" w:eastAsia="仿宋" w:cs="仿宋"/>
          <w:b/>
          <w:color w:val="auto"/>
          <w:sz w:val="24"/>
          <w:szCs w:val="24"/>
          <w:highlight w:val="none"/>
          <w:shd w:val="clear" w:color="auto" w:fill="FFFFFF" w:themeFill="background1"/>
        </w:rPr>
        <w:sectPr>
          <w:footerReference r:id="rId6" w:type="first"/>
          <w:headerReference r:id="rId3" w:type="default"/>
          <w:footerReference r:id="rId4" w:type="default"/>
          <w:footerReference r:id="rId5" w:type="even"/>
          <w:pgSz w:w="11910" w:h="16840"/>
          <w:pgMar w:top="1500" w:right="1680" w:bottom="1380" w:left="1680" w:header="0" w:footer="1178" w:gutter="0"/>
          <w:cols w:space="720" w:num="1"/>
        </w:sectPr>
      </w:pPr>
    </w:p>
    <w:p w14:paraId="45BEB513">
      <w:pPr>
        <w:spacing w:line="360" w:lineRule="auto"/>
        <w:jc w:val="center"/>
        <w:outlineLvl w:val="0"/>
        <w:rPr>
          <w:rFonts w:hint="eastAsia" w:ascii="仿宋" w:hAnsi="仿宋" w:eastAsia="仿宋" w:cs="仿宋"/>
          <w:b/>
          <w:bCs/>
          <w:color w:val="auto"/>
          <w:sz w:val="28"/>
          <w:szCs w:val="32"/>
          <w:highlight w:val="none"/>
        </w:rPr>
      </w:pPr>
      <w:bookmarkStart w:id="0" w:name="_Toc1838"/>
      <w:bookmarkStart w:id="1" w:name="_Toc4151"/>
      <w:r>
        <w:rPr>
          <w:rFonts w:hint="eastAsia" w:ascii="仿宋" w:hAnsi="仿宋" w:eastAsia="仿宋" w:cs="仿宋"/>
          <w:b/>
          <w:bCs/>
          <w:color w:val="auto"/>
          <w:sz w:val="28"/>
          <w:szCs w:val="32"/>
          <w:highlight w:val="none"/>
        </w:rPr>
        <w:t>谈判公告</w:t>
      </w:r>
      <w:bookmarkEnd w:id="0"/>
      <w:bookmarkEnd w:id="1"/>
    </w:p>
    <w:p w14:paraId="403564E8">
      <w:pPr>
        <w:rPr>
          <w:rFonts w:hint="eastAsia" w:ascii="仿宋" w:hAnsi="仿宋" w:eastAsia="仿宋" w:cs="仿宋"/>
          <w:color w:val="auto"/>
          <w:highlight w:val="none"/>
        </w:rPr>
      </w:pPr>
    </w:p>
    <w:p w14:paraId="5B6CEB4D">
      <w:pPr>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项目概况                                                    </w:t>
      </w:r>
    </w:p>
    <w:p w14:paraId="7C8BCCB3">
      <w:pPr>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新疆农业大学“新疆草食动物新药研究与创制重点实验室”仪器设备采购 采购项目的潜在供应商应在政采云平台线上获取采购文件，并于2026年</w:t>
      </w:r>
      <w:r>
        <w:rPr>
          <w:rFonts w:hint="eastAsia" w:ascii="仿宋" w:hAnsi="仿宋" w:eastAsia="仿宋" w:cs="仿宋"/>
          <w:color w:val="auto"/>
          <w:sz w:val="24"/>
          <w:szCs w:val="32"/>
          <w:highlight w:val="none"/>
          <w:lang w:eastAsia="zh-CN"/>
        </w:rPr>
        <w:t>06月24日 16:00</w:t>
      </w:r>
      <w:r>
        <w:rPr>
          <w:rFonts w:hint="eastAsia" w:ascii="仿宋" w:hAnsi="仿宋" w:eastAsia="仿宋" w:cs="仿宋"/>
          <w:color w:val="auto"/>
          <w:sz w:val="24"/>
          <w:szCs w:val="32"/>
          <w:highlight w:val="none"/>
        </w:rPr>
        <w:t>（北京时间）前提交响应文件。                            </w:t>
      </w:r>
    </w:p>
    <w:p w14:paraId="1A38E62A">
      <w:pPr>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一、项目基本情况</w:t>
      </w:r>
    </w:p>
    <w:p w14:paraId="13E2ABE8">
      <w:pPr>
        <w:spacing w:line="360" w:lineRule="auto"/>
        <w:ind w:firstLine="373"/>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项目编号：XJXSJ-2026（ZC）-338</w:t>
      </w:r>
    </w:p>
    <w:p w14:paraId="79E9A42A">
      <w:pPr>
        <w:spacing w:line="360" w:lineRule="auto"/>
        <w:ind w:firstLine="373"/>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项目名称：新疆农业大学“新疆草食动物新药研究与创制重点实验室”仪器设备采购 </w:t>
      </w:r>
    </w:p>
    <w:p w14:paraId="134BEB01">
      <w:pPr>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采购方式：竞争性谈判 </w:t>
      </w:r>
    </w:p>
    <w:p w14:paraId="62832FB2">
      <w:pPr>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预算金额（元）：1193000.00  </w:t>
      </w:r>
    </w:p>
    <w:p w14:paraId="5DC9B18E">
      <w:pPr>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最高限价（元）：1193000.00 </w:t>
      </w:r>
    </w:p>
    <w:p w14:paraId="1DAD7206">
      <w:pPr>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简要规格描述：</w:t>
      </w:r>
      <w:r>
        <w:rPr>
          <w:rFonts w:hint="eastAsia" w:ascii="仿宋" w:hAnsi="仿宋" w:eastAsia="仿宋" w:cs="仿宋"/>
          <w:color w:val="auto"/>
          <w:sz w:val="24"/>
          <w:szCs w:val="24"/>
          <w:highlight w:val="none"/>
        </w:rPr>
        <w:t>详见采购文件第四章技术标准和要求。</w:t>
      </w:r>
      <w:r>
        <w:rPr>
          <w:rFonts w:hint="eastAsia" w:ascii="仿宋" w:hAnsi="仿宋" w:eastAsia="仿宋" w:cs="仿宋"/>
          <w:color w:val="auto"/>
          <w:sz w:val="24"/>
          <w:szCs w:val="32"/>
          <w:highlight w:val="none"/>
        </w:rPr>
        <w:t> </w:t>
      </w:r>
    </w:p>
    <w:p w14:paraId="21FC1710">
      <w:pPr>
        <w:spacing w:line="360" w:lineRule="auto"/>
        <w:ind w:firstLine="374"/>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合同履约期限：</w:t>
      </w:r>
      <w:r>
        <w:rPr>
          <w:rFonts w:hint="eastAsia" w:ascii="仿宋" w:hAnsi="仿宋" w:eastAsia="仿宋" w:cs="仿宋"/>
          <w:color w:val="auto"/>
          <w:sz w:val="24"/>
          <w:szCs w:val="28"/>
          <w:highlight w:val="none"/>
        </w:rPr>
        <w:t>自合同签订之日起60个日历日内送达采购人指定地点并安装调试完毕</w:t>
      </w:r>
      <w:r>
        <w:rPr>
          <w:rFonts w:hint="eastAsia" w:ascii="仿宋" w:hAnsi="仿宋" w:eastAsia="仿宋" w:cs="仿宋"/>
          <w:color w:val="auto"/>
          <w:sz w:val="24"/>
          <w:szCs w:val="32"/>
          <w:highlight w:val="none"/>
        </w:rPr>
        <w:t>。</w:t>
      </w:r>
    </w:p>
    <w:p w14:paraId="5F0D9435">
      <w:pPr>
        <w:spacing w:line="360" w:lineRule="auto"/>
        <w:ind w:firstLine="374"/>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本项目（否）接受联合体投标。  </w:t>
      </w:r>
    </w:p>
    <w:p w14:paraId="26FB9577">
      <w:pPr>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二、申请人的资格要求：</w:t>
      </w:r>
    </w:p>
    <w:p w14:paraId="1CA1B266">
      <w:pP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1、满足《中华人民共和国政府采购法》第二十二条规定。</w:t>
      </w:r>
    </w:p>
    <w:p w14:paraId="0245C76E">
      <w:pP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2、本项目专门面向中小企业采购，供应商所投货物制造商须均为中小企业。</w:t>
      </w:r>
    </w:p>
    <w:p w14:paraId="4A00684E">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供应商如在“信用中国”网站（www.creditchina.gov.cn）、中国政府采购网（www.ccgp.gov.cn）等渠道被列入失信被执行人、重大税收违法失信主体、政府采购严重违法失信行为记录名单，尚在处罚期内的将被拒绝参加本次采购活动。</w:t>
      </w:r>
    </w:p>
    <w:p w14:paraId="0CAE4BA9">
      <w:pPr>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三、获取采购文件</w:t>
      </w:r>
    </w:p>
    <w:p w14:paraId="15995C47">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32"/>
          <w:highlight w:val="none"/>
        </w:rPr>
        <w:t xml:space="preserve"> </w:t>
      </w:r>
      <w:r>
        <w:rPr>
          <w:rFonts w:hint="eastAsia" w:ascii="仿宋" w:hAnsi="仿宋" w:eastAsia="仿宋" w:cs="仿宋"/>
          <w:color w:val="auto"/>
          <w:sz w:val="24"/>
          <w:szCs w:val="24"/>
          <w:highlight w:val="none"/>
        </w:rPr>
        <w:t>时间：2026年</w:t>
      </w:r>
      <w:r>
        <w:rPr>
          <w:rFonts w:hint="eastAsia" w:ascii="仿宋" w:hAnsi="仿宋" w:eastAsia="仿宋" w:cs="仿宋"/>
          <w:color w:val="auto"/>
          <w:sz w:val="24"/>
          <w:szCs w:val="24"/>
          <w:highlight w:val="none"/>
          <w:lang w:val="en-US" w:eastAsia="zh-CN"/>
        </w:rPr>
        <w:t>06</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lang w:val="en-US" w:eastAsia="zh-CN"/>
        </w:rPr>
        <w:t>17</w:t>
      </w:r>
      <w:r>
        <w:rPr>
          <w:rFonts w:hint="eastAsia" w:ascii="仿宋" w:hAnsi="仿宋" w:eastAsia="仿宋" w:cs="仿宋"/>
          <w:color w:val="auto"/>
          <w:sz w:val="24"/>
          <w:szCs w:val="24"/>
          <w:highlight w:val="none"/>
        </w:rPr>
        <w:t>日至2026年</w:t>
      </w:r>
      <w:r>
        <w:rPr>
          <w:rFonts w:hint="eastAsia" w:ascii="仿宋" w:hAnsi="仿宋" w:eastAsia="仿宋" w:cs="仿宋"/>
          <w:color w:val="auto"/>
          <w:sz w:val="24"/>
          <w:szCs w:val="24"/>
          <w:highlight w:val="none"/>
          <w:lang w:val="en-US" w:eastAsia="zh-CN"/>
        </w:rPr>
        <w:t>06</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lang w:val="en-US" w:eastAsia="zh-CN"/>
        </w:rPr>
        <w:t>23</w:t>
      </w:r>
      <w:r>
        <w:rPr>
          <w:rFonts w:hint="eastAsia" w:ascii="仿宋" w:hAnsi="仿宋" w:eastAsia="仿宋" w:cs="仿宋"/>
          <w:color w:val="auto"/>
          <w:sz w:val="24"/>
          <w:szCs w:val="24"/>
          <w:highlight w:val="none"/>
        </w:rPr>
        <w:t>日，每天上午00:00至12:00，下午12:00至23:59（北京时间，法定节假日除外）</w:t>
      </w:r>
    </w:p>
    <w:p w14:paraId="3775C704">
      <w:pPr>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地点：政采云平台线上 </w:t>
      </w:r>
    </w:p>
    <w:p w14:paraId="3C60B946">
      <w:pPr>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w:t>
      </w:r>
      <w:r>
        <w:rPr>
          <w:rFonts w:hint="eastAsia" w:ascii="仿宋" w:hAnsi="仿宋" w:eastAsia="仿宋" w:cs="仿宋"/>
          <w:color w:val="auto"/>
          <w:sz w:val="24"/>
          <w:szCs w:val="24"/>
          <w:highlight w:val="none"/>
        </w:rPr>
        <w:t>方式：供应商登录政采云平台https://www.zcygov.cn/在线申请获取采购文件（进入“项目采购”应用，在获取采购文件菜单中选择项目，申请获取采购文件），或者点击采购公告底部潜在供应商“获取采购文件”，页面跳转后登陆，直接获取采购文件。</w:t>
      </w:r>
      <w:r>
        <w:rPr>
          <w:rFonts w:hint="eastAsia" w:ascii="仿宋" w:hAnsi="仿宋" w:eastAsia="仿宋" w:cs="仿宋"/>
          <w:color w:val="auto"/>
          <w:sz w:val="24"/>
          <w:szCs w:val="32"/>
          <w:highlight w:val="none"/>
        </w:rPr>
        <w:t> </w:t>
      </w:r>
    </w:p>
    <w:p w14:paraId="65B07D95">
      <w:pPr>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售价（元）： 0 </w:t>
      </w:r>
    </w:p>
    <w:p w14:paraId="3ECE9E16">
      <w:pPr>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四、响应文件提交 </w:t>
      </w:r>
    </w:p>
    <w:p w14:paraId="17938D7C">
      <w:pPr>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截止时间：2026年</w:t>
      </w:r>
      <w:r>
        <w:rPr>
          <w:rFonts w:hint="eastAsia" w:ascii="仿宋" w:hAnsi="仿宋" w:eastAsia="仿宋" w:cs="仿宋"/>
          <w:color w:val="auto"/>
          <w:sz w:val="24"/>
          <w:szCs w:val="32"/>
          <w:highlight w:val="none"/>
          <w:lang w:eastAsia="zh-CN"/>
        </w:rPr>
        <w:t>06月24日 16:00</w:t>
      </w:r>
      <w:r>
        <w:rPr>
          <w:rFonts w:hint="eastAsia" w:ascii="仿宋" w:hAnsi="仿宋" w:eastAsia="仿宋" w:cs="仿宋"/>
          <w:color w:val="auto"/>
          <w:sz w:val="24"/>
          <w:szCs w:val="32"/>
          <w:highlight w:val="none"/>
        </w:rPr>
        <w:t>（北京时间）</w:t>
      </w:r>
    </w:p>
    <w:p w14:paraId="12A77935">
      <w:pPr>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地点：请登录政采云投标客户端投标 </w:t>
      </w:r>
    </w:p>
    <w:p w14:paraId="3DE1B1B5">
      <w:pPr>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五、响应文件开启 </w:t>
      </w:r>
    </w:p>
    <w:p w14:paraId="166B4339">
      <w:pPr>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开启时间：2026年</w:t>
      </w:r>
      <w:r>
        <w:rPr>
          <w:rFonts w:hint="eastAsia" w:ascii="仿宋" w:hAnsi="仿宋" w:eastAsia="仿宋" w:cs="仿宋"/>
          <w:color w:val="auto"/>
          <w:sz w:val="24"/>
          <w:szCs w:val="32"/>
          <w:highlight w:val="none"/>
          <w:lang w:eastAsia="zh-CN"/>
        </w:rPr>
        <w:t>06月24日 16:00</w:t>
      </w:r>
      <w:r>
        <w:rPr>
          <w:rFonts w:hint="eastAsia" w:ascii="仿宋" w:hAnsi="仿宋" w:eastAsia="仿宋" w:cs="仿宋"/>
          <w:color w:val="auto"/>
          <w:sz w:val="24"/>
          <w:szCs w:val="32"/>
          <w:highlight w:val="none"/>
        </w:rPr>
        <w:t> （北京时间）</w:t>
      </w:r>
    </w:p>
    <w:p w14:paraId="2BFEACB6">
      <w:pPr>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地点：</w:t>
      </w:r>
      <w:r>
        <w:rPr>
          <w:rFonts w:hint="eastAsia" w:ascii="仿宋" w:hAnsi="仿宋" w:eastAsia="仿宋" w:cs="仿宋"/>
          <w:color w:val="auto"/>
          <w:sz w:val="24"/>
          <w:szCs w:val="24"/>
          <w:highlight w:val="none"/>
        </w:rPr>
        <w:t>供应商登录政采云平台https://www.zcygov.cn/，进入“项目采购-开标评标-右边选择对应项目点击“进入项目”进入开标大厅。</w:t>
      </w:r>
      <w:r>
        <w:rPr>
          <w:rFonts w:hint="eastAsia" w:ascii="仿宋" w:hAnsi="仿宋" w:eastAsia="仿宋" w:cs="仿宋"/>
          <w:color w:val="auto"/>
          <w:sz w:val="24"/>
          <w:szCs w:val="32"/>
          <w:highlight w:val="none"/>
        </w:rPr>
        <w:t> </w:t>
      </w:r>
    </w:p>
    <w:p w14:paraId="64349523">
      <w:pPr>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六、公告期限</w:t>
      </w:r>
    </w:p>
    <w:p w14:paraId="504A4372">
      <w:pPr>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自本公告发布之日起3个工作日。</w:t>
      </w:r>
    </w:p>
    <w:p w14:paraId="4C0A3D30">
      <w:pPr>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七、凡对本次招标提出询问，请按以下方式联系</w:t>
      </w:r>
    </w:p>
    <w:p w14:paraId="3FDA2CEF">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1.采购人信息</w:t>
      </w:r>
    </w:p>
    <w:p w14:paraId="2FFAA624">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名 称：新疆农业大学</w:t>
      </w:r>
    </w:p>
    <w:p w14:paraId="3DC47A56">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 址：乌鲁木齐市农大东路311号</w:t>
      </w:r>
    </w:p>
    <w:p w14:paraId="3596051E">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联系方式：15554726537</w:t>
      </w:r>
    </w:p>
    <w:p w14:paraId="574F1B80">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2.采购代理机构信息</w:t>
      </w:r>
    </w:p>
    <w:p w14:paraId="10DEE1E8">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名 称：新疆新世纪招标有限公司</w:t>
      </w:r>
    </w:p>
    <w:p w14:paraId="518D440B">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 址：乌鲁木齐市新兴街20号凤凰大厦五楼</w:t>
      </w:r>
    </w:p>
    <w:p w14:paraId="33782DC4">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联系方式：18690890996</w:t>
      </w:r>
    </w:p>
    <w:p w14:paraId="248094E4">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3.项目联系方式</w:t>
      </w:r>
    </w:p>
    <w:p w14:paraId="73DCBCC0">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项目联系人：马丹阳</w:t>
      </w:r>
    </w:p>
    <w:p w14:paraId="76420E5A">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 话：0991-4661782</w:t>
      </w:r>
    </w:p>
    <w:p w14:paraId="5F2D9598">
      <w:pPr>
        <w:spacing w:line="360" w:lineRule="auto"/>
        <w:ind w:firstLine="480" w:firstLineChars="200"/>
        <w:rPr>
          <w:rFonts w:hint="eastAsia" w:ascii="仿宋" w:hAnsi="仿宋" w:eastAsia="仿宋" w:cs="仿宋"/>
          <w:color w:val="auto"/>
          <w:sz w:val="24"/>
          <w:szCs w:val="24"/>
          <w:highlight w:val="none"/>
        </w:rPr>
      </w:pPr>
    </w:p>
    <w:p w14:paraId="72D0CEA5">
      <w:pPr>
        <w:spacing w:line="360" w:lineRule="auto"/>
        <w:ind w:firstLine="420" w:firstLineChars="200"/>
        <w:rPr>
          <w:rFonts w:hint="eastAsia" w:ascii="仿宋" w:hAnsi="仿宋" w:eastAsia="仿宋" w:cs="仿宋"/>
          <w:color w:val="auto"/>
          <w:highlight w:val="none"/>
        </w:rPr>
        <w:sectPr>
          <w:footerReference r:id="rId7" w:type="default"/>
          <w:pgSz w:w="11910" w:h="16840"/>
          <w:pgMar w:top="1460" w:right="1360" w:bottom="1380" w:left="1680" w:header="850" w:footer="850" w:gutter="0"/>
          <w:pgNumType w:start="1"/>
          <w:cols w:space="720" w:num="1"/>
        </w:sectPr>
      </w:pPr>
    </w:p>
    <w:p w14:paraId="4F947565">
      <w:pPr>
        <w:spacing w:line="360" w:lineRule="auto"/>
        <w:jc w:val="center"/>
        <w:outlineLvl w:val="0"/>
        <w:rPr>
          <w:rFonts w:hint="eastAsia" w:ascii="仿宋" w:hAnsi="仿宋" w:eastAsia="仿宋" w:cs="仿宋"/>
          <w:b/>
          <w:bCs/>
          <w:color w:val="auto"/>
          <w:sz w:val="24"/>
          <w:szCs w:val="24"/>
          <w:highlight w:val="none"/>
          <w:shd w:val="clear" w:color="auto" w:fill="FFFFFF" w:themeFill="background1"/>
        </w:rPr>
      </w:pPr>
      <w:bookmarkStart w:id="2" w:name="_Toc29740"/>
      <w:r>
        <w:rPr>
          <w:rFonts w:hint="eastAsia" w:ascii="仿宋" w:hAnsi="仿宋" w:eastAsia="仿宋" w:cs="仿宋"/>
          <w:b/>
          <w:color w:val="auto"/>
          <w:sz w:val="24"/>
          <w:szCs w:val="24"/>
          <w:highlight w:val="none"/>
          <w:shd w:val="clear" w:color="auto" w:fill="FFFFFF" w:themeFill="background1"/>
        </w:rPr>
        <w:t>供应商须知前附表</w:t>
      </w:r>
      <w:bookmarkEnd w:id="2"/>
    </w:p>
    <w:tbl>
      <w:tblPr>
        <w:tblStyle w:val="43"/>
        <w:tblW w:w="90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57" w:type="dxa"/>
          <w:left w:w="57" w:type="dxa"/>
          <w:bottom w:w="57" w:type="dxa"/>
          <w:right w:w="57" w:type="dxa"/>
        </w:tblCellMar>
      </w:tblPr>
      <w:tblGrid>
        <w:gridCol w:w="597"/>
        <w:gridCol w:w="1410"/>
        <w:gridCol w:w="7073"/>
      </w:tblGrid>
      <w:tr w14:paraId="4250EF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87" w:hRule="atLeast"/>
          <w:jc w:val="center"/>
        </w:trPr>
        <w:tc>
          <w:tcPr>
            <w:tcW w:w="597" w:type="dxa"/>
            <w:vAlign w:val="center"/>
          </w:tcPr>
          <w:p w14:paraId="0D687B70">
            <w:pPr>
              <w:jc w:val="center"/>
              <w:rPr>
                <w:rFonts w:hint="eastAsia" w:ascii="仿宋" w:hAnsi="仿宋" w:eastAsia="仿宋" w:cs="仿宋"/>
                <w:b/>
                <w:color w:val="auto"/>
                <w:kern w:val="0"/>
                <w:szCs w:val="21"/>
                <w:highlight w:val="none"/>
              </w:rPr>
            </w:pPr>
            <w:bookmarkStart w:id="3" w:name="_BookMark_3"/>
            <w:bookmarkEnd w:id="3"/>
            <w:r>
              <w:rPr>
                <w:rFonts w:hint="eastAsia" w:ascii="仿宋" w:hAnsi="仿宋" w:eastAsia="仿宋" w:cs="仿宋"/>
                <w:b/>
                <w:color w:val="auto"/>
                <w:kern w:val="0"/>
                <w:szCs w:val="21"/>
                <w:highlight w:val="none"/>
              </w:rPr>
              <w:t>项号</w:t>
            </w:r>
          </w:p>
        </w:tc>
        <w:tc>
          <w:tcPr>
            <w:tcW w:w="8483" w:type="dxa"/>
            <w:gridSpan w:val="2"/>
            <w:vAlign w:val="center"/>
          </w:tcPr>
          <w:p w14:paraId="7C541FB2">
            <w:pPr>
              <w:jc w:val="center"/>
              <w:rPr>
                <w:rFonts w:hint="eastAsia" w:ascii="仿宋" w:hAnsi="仿宋" w:eastAsia="仿宋" w:cs="仿宋"/>
                <w:b/>
                <w:color w:val="auto"/>
                <w:kern w:val="0"/>
                <w:szCs w:val="21"/>
                <w:highlight w:val="none"/>
              </w:rPr>
            </w:pPr>
            <w:r>
              <w:rPr>
                <w:rFonts w:hint="eastAsia" w:ascii="仿宋" w:hAnsi="仿宋" w:eastAsia="仿宋" w:cs="仿宋"/>
                <w:b/>
                <w:color w:val="auto"/>
                <w:kern w:val="0"/>
                <w:szCs w:val="21"/>
                <w:highlight w:val="none"/>
              </w:rPr>
              <w:t>编列内容</w:t>
            </w:r>
          </w:p>
        </w:tc>
      </w:tr>
      <w:tr w14:paraId="05B516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restart"/>
            <w:vAlign w:val="center"/>
          </w:tcPr>
          <w:p w14:paraId="360929A8">
            <w:pPr>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w:t>
            </w:r>
          </w:p>
        </w:tc>
        <w:tc>
          <w:tcPr>
            <w:tcW w:w="1410" w:type="dxa"/>
            <w:vAlign w:val="center"/>
          </w:tcPr>
          <w:p w14:paraId="188FD445">
            <w:pPr>
              <w:keepNext/>
              <w:widowControl/>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项目名称</w:t>
            </w:r>
          </w:p>
        </w:tc>
        <w:tc>
          <w:tcPr>
            <w:tcW w:w="7073" w:type="dxa"/>
            <w:vAlign w:val="center"/>
          </w:tcPr>
          <w:p w14:paraId="60CF246B">
            <w:pPr>
              <w:keepNext/>
              <w:widowControl/>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新疆农业大学“新疆草食动物新药研究与创制重点实验室”仪器设备采购</w:t>
            </w:r>
          </w:p>
        </w:tc>
      </w:tr>
      <w:tr w14:paraId="4DD8D0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continue"/>
            <w:vAlign w:val="center"/>
          </w:tcPr>
          <w:p w14:paraId="0F295F16">
            <w:pPr>
              <w:jc w:val="center"/>
              <w:rPr>
                <w:rFonts w:hint="eastAsia" w:ascii="仿宋" w:hAnsi="仿宋" w:eastAsia="仿宋" w:cs="仿宋"/>
                <w:color w:val="auto"/>
                <w:kern w:val="0"/>
                <w:szCs w:val="21"/>
                <w:highlight w:val="none"/>
              </w:rPr>
            </w:pPr>
          </w:p>
        </w:tc>
        <w:tc>
          <w:tcPr>
            <w:tcW w:w="1410" w:type="dxa"/>
            <w:vAlign w:val="center"/>
          </w:tcPr>
          <w:p w14:paraId="41319786">
            <w:pPr>
              <w:keepNext/>
              <w:widowControl/>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项目编号</w:t>
            </w:r>
          </w:p>
        </w:tc>
        <w:tc>
          <w:tcPr>
            <w:tcW w:w="7073" w:type="dxa"/>
            <w:vAlign w:val="center"/>
          </w:tcPr>
          <w:p w14:paraId="268EC2ED">
            <w:pPr>
              <w:keepNext/>
              <w:widowControl/>
              <w:jc w:val="left"/>
              <w:rPr>
                <w:rFonts w:hint="default" w:ascii="仿宋" w:hAnsi="仿宋" w:eastAsia="仿宋" w:cs="仿宋"/>
                <w:color w:val="auto"/>
                <w:kern w:val="0"/>
                <w:szCs w:val="21"/>
                <w:highlight w:val="none"/>
                <w:lang w:val="en-US" w:eastAsia="zh-CN"/>
              </w:rPr>
            </w:pPr>
            <w:r>
              <w:rPr>
                <w:rFonts w:hint="eastAsia" w:ascii="仿宋" w:hAnsi="仿宋" w:eastAsia="仿宋" w:cs="仿宋"/>
                <w:color w:val="auto"/>
                <w:kern w:val="0"/>
                <w:szCs w:val="21"/>
                <w:highlight w:val="none"/>
              </w:rPr>
              <w:t>XJXSJ-2026（ZC）-</w:t>
            </w:r>
            <w:r>
              <w:rPr>
                <w:rFonts w:hint="eastAsia" w:ascii="仿宋" w:hAnsi="仿宋" w:eastAsia="仿宋" w:cs="仿宋"/>
                <w:color w:val="auto"/>
                <w:kern w:val="0"/>
                <w:szCs w:val="21"/>
                <w:highlight w:val="none"/>
                <w:lang w:val="en-US" w:eastAsia="zh-CN"/>
              </w:rPr>
              <w:t>338</w:t>
            </w:r>
          </w:p>
        </w:tc>
      </w:tr>
      <w:tr w14:paraId="45C931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continue"/>
            <w:vAlign w:val="center"/>
          </w:tcPr>
          <w:p w14:paraId="11BE90ED">
            <w:pPr>
              <w:jc w:val="center"/>
              <w:rPr>
                <w:rFonts w:hint="eastAsia" w:ascii="仿宋" w:hAnsi="仿宋" w:eastAsia="仿宋" w:cs="仿宋"/>
                <w:color w:val="auto"/>
                <w:kern w:val="0"/>
                <w:szCs w:val="21"/>
                <w:highlight w:val="none"/>
              </w:rPr>
            </w:pPr>
          </w:p>
        </w:tc>
        <w:tc>
          <w:tcPr>
            <w:tcW w:w="1410" w:type="dxa"/>
            <w:vAlign w:val="center"/>
          </w:tcPr>
          <w:p w14:paraId="56CA815A">
            <w:pPr>
              <w:keepNext/>
              <w:widowControl/>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采购人</w:t>
            </w:r>
          </w:p>
        </w:tc>
        <w:tc>
          <w:tcPr>
            <w:tcW w:w="7073" w:type="dxa"/>
            <w:vAlign w:val="center"/>
          </w:tcPr>
          <w:p w14:paraId="31D14ECF">
            <w:pPr>
              <w:keepNext/>
              <w:widowControl/>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新疆农业大学</w:t>
            </w:r>
          </w:p>
        </w:tc>
      </w:tr>
      <w:tr w14:paraId="5F6668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585" w:hRule="atLeast"/>
          <w:jc w:val="center"/>
        </w:trPr>
        <w:tc>
          <w:tcPr>
            <w:tcW w:w="597" w:type="dxa"/>
            <w:vMerge w:val="continue"/>
            <w:vAlign w:val="center"/>
          </w:tcPr>
          <w:p w14:paraId="5277B8A4">
            <w:pPr>
              <w:jc w:val="center"/>
              <w:rPr>
                <w:rFonts w:hint="eastAsia" w:ascii="仿宋" w:hAnsi="仿宋" w:eastAsia="仿宋" w:cs="仿宋"/>
                <w:color w:val="auto"/>
                <w:kern w:val="0"/>
                <w:szCs w:val="21"/>
                <w:highlight w:val="none"/>
              </w:rPr>
            </w:pPr>
          </w:p>
        </w:tc>
        <w:tc>
          <w:tcPr>
            <w:tcW w:w="1410" w:type="dxa"/>
            <w:vAlign w:val="center"/>
          </w:tcPr>
          <w:p w14:paraId="55F34F15">
            <w:pPr>
              <w:keepNext/>
              <w:widowControl/>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采购代理机构</w:t>
            </w:r>
          </w:p>
        </w:tc>
        <w:tc>
          <w:tcPr>
            <w:tcW w:w="7073" w:type="dxa"/>
            <w:vAlign w:val="center"/>
          </w:tcPr>
          <w:p w14:paraId="722DBADB">
            <w:pPr>
              <w:keepNext/>
              <w:widowControl/>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新疆新世纪招标有限公司</w:t>
            </w:r>
          </w:p>
        </w:tc>
      </w:tr>
      <w:tr w14:paraId="19A5F3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continue"/>
            <w:vAlign w:val="center"/>
          </w:tcPr>
          <w:p w14:paraId="76CE98FE">
            <w:pPr>
              <w:jc w:val="center"/>
              <w:rPr>
                <w:rFonts w:hint="eastAsia" w:ascii="仿宋" w:hAnsi="仿宋" w:eastAsia="仿宋" w:cs="仿宋"/>
                <w:color w:val="auto"/>
                <w:kern w:val="0"/>
                <w:szCs w:val="21"/>
                <w:highlight w:val="none"/>
              </w:rPr>
            </w:pPr>
          </w:p>
        </w:tc>
        <w:tc>
          <w:tcPr>
            <w:tcW w:w="1410" w:type="dxa"/>
            <w:vAlign w:val="center"/>
          </w:tcPr>
          <w:p w14:paraId="6ED04E64">
            <w:pPr>
              <w:keepNext/>
              <w:widowControl/>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项目地点</w:t>
            </w:r>
          </w:p>
        </w:tc>
        <w:tc>
          <w:tcPr>
            <w:tcW w:w="7073" w:type="dxa"/>
            <w:vAlign w:val="center"/>
          </w:tcPr>
          <w:p w14:paraId="485C57ED">
            <w:pPr>
              <w:keepNext/>
              <w:widowControl/>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乌鲁木齐市</w:t>
            </w:r>
          </w:p>
        </w:tc>
      </w:tr>
      <w:tr w14:paraId="2B43E5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continue"/>
            <w:vAlign w:val="center"/>
          </w:tcPr>
          <w:p w14:paraId="0E8869A8">
            <w:pPr>
              <w:jc w:val="center"/>
              <w:rPr>
                <w:rFonts w:hint="eastAsia" w:ascii="仿宋" w:hAnsi="仿宋" w:eastAsia="仿宋" w:cs="仿宋"/>
                <w:color w:val="auto"/>
                <w:kern w:val="0"/>
                <w:szCs w:val="21"/>
                <w:highlight w:val="none"/>
              </w:rPr>
            </w:pPr>
          </w:p>
        </w:tc>
        <w:tc>
          <w:tcPr>
            <w:tcW w:w="1410" w:type="dxa"/>
            <w:vAlign w:val="center"/>
          </w:tcPr>
          <w:p w14:paraId="224A10C0">
            <w:pPr>
              <w:keepNext/>
              <w:widowControl/>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资金来源</w:t>
            </w:r>
          </w:p>
        </w:tc>
        <w:tc>
          <w:tcPr>
            <w:tcW w:w="7073" w:type="dxa"/>
            <w:vAlign w:val="center"/>
          </w:tcPr>
          <w:p w14:paraId="0E714A81">
            <w:pPr>
              <w:keepNext/>
              <w:widowControl/>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科研项目经费</w:t>
            </w:r>
          </w:p>
        </w:tc>
      </w:tr>
      <w:tr w14:paraId="3C39C9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continue"/>
            <w:vAlign w:val="center"/>
          </w:tcPr>
          <w:p w14:paraId="66C9E58D">
            <w:pPr>
              <w:jc w:val="center"/>
              <w:rPr>
                <w:rFonts w:hint="eastAsia" w:ascii="仿宋" w:hAnsi="仿宋" w:eastAsia="仿宋" w:cs="仿宋"/>
                <w:color w:val="auto"/>
                <w:kern w:val="0"/>
                <w:szCs w:val="21"/>
                <w:highlight w:val="none"/>
              </w:rPr>
            </w:pPr>
          </w:p>
        </w:tc>
        <w:tc>
          <w:tcPr>
            <w:tcW w:w="1410" w:type="dxa"/>
            <w:vAlign w:val="center"/>
          </w:tcPr>
          <w:p w14:paraId="6A784D2D">
            <w:pPr>
              <w:keepNext/>
              <w:widowControl/>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采购预算金额</w:t>
            </w:r>
          </w:p>
        </w:tc>
        <w:tc>
          <w:tcPr>
            <w:tcW w:w="7073" w:type="dxa"/>
            <w:vAlign w:val="center"/>
          </w:tcPr>
          <w:p w14:paraId="2435BA53">
            <w:pPr>
              <w:keepNext/>
              <w:widowControl/>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1193000.00元</w:t>
            </w:r>
          </w:p>
        </w:tc>
      </w:tr>
      <w:tr w14:paraId="5B801A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continue"/>
            <w:vAlign w:val="center"/>
          </w:tcPr>
          <w:p w14:paraId="0FE5118A">
            <w:pPr>
              <w:jc w:val="center"/>
              <w:rPr>
                <w:rFonts w:hint="eastAsia" w:ascii="仿宋" w:hAnsi="仿宋" w:eastAsia="仿宋" w:cs="仿宋"/>
                <w:color w:val="auto"/>
                <w:kern w:val="0"/>
                <w:szCs w:val="21"/>
                <w:highlight w:val="none"/>
              </w:rPr>
            </w:pPr>
          </w:p>
        </w:tc>
        <w:tc>
          <w:tcPr>
            <w:tcW w:w="1410" w:type="dxa"/>
            <w:vAlign w:val="center"/>
          </w:tcPr>
          <w:p w14:paraId="61DE90DB">
            <w:pPr>
              <w:keepNext/>
              <w:widowControl/>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最高限价</w:t>
            </w:r>
          </w:p>
        </w:tc>
        <w:tc>
          <w:tcPr>
            <w:tcW w:w="7073" w:type="dxa"/>
            <w:vAlign w:val="center"/>
          </w:tcPr>
          <w:p w14:paraId="32680477">
            <w:pPr>
              <w:keepNext/>
              <w:widowControl/>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1193000.00元</w:t>
            </w:r>
          </w:p>
        </w:tc>
      </w:tr>
      <w:tr w14:paraId="61E83A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continue"/>
            <w:vAlign w:val="center"/>
          </w:tcPr>
          <w:p w14:paraId="5C754ABB">
            <w:pPr>
              <w:jc w:val="center"/>
              <w:rPr>
                <w:rFonts w:hint="eastAsia" w:ascii="仿宋" w:hAnsi="仿宋" w:eastAsia="仿宋" w:cs="仿宋"/>
                <w:color w:val="auto"/>
                <w:kern w:val="0"/>
                <w:szCs w:val="21"/>
                <w:highlight w:val="none"/>
              </w:rPr>
            </w:pPr>
          </w:p>
        </w:tc>
        <w:tc>
          <w:tcPr>
            <w:tcW w:w="1410" w:type="dxa"/>
            <w:vAlign w:val="center"/>
          </w:tcPr>
          <w:p w14:paraId="1AC0BD21">
            <w:pPr>
              <w:keepNext/>
              <w:widowControl/>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是否单一产品</w:t>
            </w:r>
          </w:p>
        </w:tc>
        <w:tc>
          <w:tcPr>
            <w:tcW w:w="7073" w:type="dxa"/>
            <w:vAlign w:val="center"/>
          </w:tcPr>
          <w:p w14:paraId="6F24629E">
            <w:pPr>
              <w:keepNext/>
              <w:widowControl/>
              <w:jc w:val="left"/>
              <w:rPr>
                <w:rFonts w:hint="eastAsia" w:ascii="仿宋" w:hAnsi="仿宋" w:eastAsia="仿宋" w:cs="仿宋"/>
                <w:color w:val="auto"/>
                <w:highlight w:val="none"/>
              </w:rPr>
            </w:pPr>
            <w:r>
              <w:rPr>
                <w:rFonts w:hint="eastAsia" w:ascii="仿宋" w:hAnsi="仿宋" w:eastAsia="仿宋" w:cs="仿宋"/>
                <w:color w:val="auto"/>
                <w:highlight w:val="none"/>
              </w:rPr>
              <w:t>否，核心产品为</w:t>
            </w:r>
            <w:r>
              <w:rPr>
                <w:rFonts w:hint="eastAsia" w:ascii="仿宋" w:hAnsi="仿宋" w:eastAsia="仿宋" w:cs="仿宋"/>
                <w:color w:val="auto"/>
                <w:kern w:val="0"/>
                <w:szCs w:val="21"/>
                <w:highlight w:val="none"/>
              </w:rPr>
              <w:t>纳米粒度电位仪</w:t>
            </w:r>
          </w:p>
        </w:tc>
      </w:tr>
      <w:tr w14:paraId="0E3A9B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595" w:hRule="atLeast"/>
          <w:jc w:val="center"/>
        </w:trPr>
        <w:tc>
          <w:tcPr>
            <w:tcW w:w="597" w:type="dxa"/>
            <w:vMerge w:val="continue"/>
            <w:vAlign w:val="center"/>
          </w:tcPr>
          <w:p w14:paraId="250A47F9">
            <w:pPr>
              <w:jc w:val="center"/>
              <w:rPr>
                <w:rFonts w:hint="eastAsia" w:ascii="仿宋" w:hAnsi="仿宋" w:eastAsia="仿宋" w:cs="仿宋"/>
                <w:color w:val="auto"/>
                <w:kern w:val="0"/>
                <w:szCs w:val="21"/>
                <w:highlight w:val="none"/>
              </w:rPr>
            </w:pPr>
          </w:p>
        </w:tc>
        <w:tc>
          <w:tcPr>
            <w:tcW w:w="1410" w:type="dxa"/>
            <w:vAlign w:val="center"/>
          </w:tcPr>
          <w:p w14:paraId="1677E258">
            <w:pPr>
              <w:keepNext/>
              <w:widowControl/>
              <w:jc w:val="distribute"/>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rPr>
              <w:t>合同履约期限</w:t>
            </w:r>
          </w:p>
        </w:tc>
        <w:tc>
          <w:tcPr>
            <w:tcW w:w="7073" w:type="dxa"/>
            <w:vAlign w:val="center"/>
          </w:tcPr>
          <w:p w14:paraId="1032F701">
            <w:pPr>
              <w:keepNext/>
              <w:widowControl/>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自合同签订之日起60个日历日内送达采购人指定地点并安装调试完毕。</w:t>
            </w:r>
          </w:p>
        </w:tc>
      </w:tr>
      <w:tr w14:paraId="31D795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continue"/>
            <w:vAlign w:val="center"/>
          </w:tcPr>
          <w:p w14:paraId="796122C8">
            <w:pPr>
              <w:jc w:val="center"/>
              <w:rPr>
                <w:rFonts w:hint="eastAsia" w:ascii="仿宋" w:hAnsi="仿宋" w:eastAsia="仿宋" w:cs="仿宋"/>
                <w:color w:val="auto"/>
                <w:kern w:val="0"/>
                <w:szCs w:val="21"/>
                <w:highlight w:val="none"/>
              </w:rPr>
            </w:pPr>
          </w:p>
        </w:tc>
        <w:tc>
          <w:tcPr>
            <w:tcW w:w="1410" w:type="dxa"/>
            <w:vAlign w:val="center"/>
          </w:tcPr>
          <w:p w14:paraId="1E804D64">
            <w:pPr>
              <w:keepNext/>
              <w:widowControl/>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供货地点</w:t>
            </w:r>
          </w:p>
        </w:tc>
        <w:tc>
          <w:tcPr>
            <w:tcW w:w="7073" w:type="dxa"/>
            <w:vAlign w:val="center"/>
          </w:tcPr>
          <w:p w14:paraId="3B25BD2F">
            <w:pPr>
              <w:keepNext/>
              <w:widowControl/>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采购人指定地点（新疆农业大学）</w:t>
            </w:r>
          </w:p>
        </w:tc>
      </w:tr>
      <w:tr w14:paraId="3DDB9A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continue"/>
            <w:vAlign w:val="center"/>
          </w:tcPr>
          <w:p w14:paraId="3688AEE1">
            <w:pPr>
              <w:jc w:val="center"/>
              <w:rPr>
                <w:rFonts w:hint="eastAsia" w:ascii="仿宋" w:hAnsi="仿宋" w:eastAsia="仿宋" w:cs="仿宋"/>
                <w:color w:val="auto"/>
                <w:kern w:val="0"/>
                <w:szCs w:val="21"/>
                <w:highlight w:val="none"/>
              </w:rPr>
            </w:pPr>
          </w:p>
        </w:tc>
        <w:tc>
          <w:tcPr>
            <w:tcW w:w="1410" w:type="dxa"/>
            <w:vAlign w:val="center"/>
          </w:tcPr>
          <w:p w14:paraId="34A9AEC7">
            <w:pPr>
              <w:keepNext/>
              <w:widowControl/>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质保期</w:t>
            </w:r>
          </w:p>
        </w:tc>
        <w:tc>
          <w:tcPr>
            <w:tcW w:w="7073" w:type="dxa"/>
            <w:vAlign w:val="center"/>
          </w:tcPr>
          <w:p w14:paraId="6CA2D53E">
            <w:pPr>
              <w:keepNext/>
              <w:widowControl/>
              <w:jc w:val="left"/>
              <w:rPr>
                <w:rFonts w:hint="eastAsia" w:ascii="仿宋" w:hAnsi="仿宋" w:eastAsia="仿宋" w:cs="仿宋"/>
                <w:color w:val="auto"/>
                <w:highlight w:val="none"/>
              </w:rPr>
            </w:pPr>
            <w:r>
              <w:rPr>
                <w:rFonts w:hint="eastAsia" w:ascii="仿宋" w:hAnsi="仿宋" w:eastAsia="仿宋" w:cs="仿宋"/>
                <w:color w:val="auto"/>
                <w:highlight w:val="none"/>
              </w:rPr>
              <w:t>1年</w:t>
            </w:r>
          </w:p>
        </w:tc>
      </w:tr>
      <w:tr w14:paraId="4537F3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Align w:val="center"/>
          </w:tcPr>
          <w:p w14:paraId="2CBA0E87">
            <w:pPr>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w:t>
            </w:r>
          </w:p>
        </w:tc>
        <w:tc>
          <w:tcPr>
            <w:tcW w:w="1410" w:type="dxa"/>
            <w:vAlign w:val="center"/>
          </w:tcPr>
          <w:p w14:paraId="78CC1320">
            <w:pPr>
              <w:keepNext/>
              <w:widowControl/>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采购范围</w:t>
            </w:r>
          </w:p>
        </w:tc>
        <w:tc>
          <w:tcPr>
            <w:tcW w:w="7073" w:type="dxa"/>
            <w:vAlign w:val="center"/>
          </w:tcPr>
          <w:p w14:paraId="4806BAC5">
            <w:pPr>
              <w:keepNext/>
              <w:widowControl/>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新疆农业大学水资源高效利用新疆实验室-设备部分采购项目范围内的所有工作内容，关于采购范围的详细说明见采购文件第四章“技术标准和要求”。</w:t>
            </w:r>
          </w:p>
        </w:tc>
      </w:tr>
      <w:tr w14:paraId="57F3BE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restart"/>
            <w:vAlign w:val="center"/>
          </w:tcPr>
          <w:p w14:paraId="0E74319C">
            <w:pPr>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3</w:t>
            </w:r>
          </w:p>
        </w:tc>
        <w:tc>
          <w:tcPr>
            <w:tcW w:w="1410" w:type="dxa"/>
            <w:vAlign w:val="center"/>
          </w:tcPr>
          <w:p w14:paraId="1A9FF921">
            <w:pPr>
              <w:keepNext/>
              <w:widowControl/>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采购方式</w:t>
            </w:r>
          </w:p>
        </w:tc>
        <w:tc>
          <w:tcPr>
            <w:tcW w:w="7073" w:type="dxa"/>
            <w:vAlign w:val="center"/>
          </w:tcPr>
          <w:p w14:paraId="06251719">
            <w:pPr>
              <w:keepNext/>
              <w:widowControl/>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竞争性谈判</w:t>
            </w:r>
          </w:p>
        </w:tc>
      </w:tr>
      <w:tr w14:paraId="470D16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continue"/>
            <w:vAlign w:val="center"/>
          </w:tcPr>
          <w:p w14:paraId="3CE8923A">
            <w:pPr>
              <w:jc w:val="center"/>
              <w:rPr>
                <w:rFonts w:hint="eastAsia" w:ascii="仿宋" w:hAnsi="仿宋" w:eastAsia="仿宋" w:cs="仿宋"/>
                <w:color w:val="auto"/>
                <w:kern w:val="0"/>
                <w:szCs w:val="21"/>
                <w:highlight w:val="none"/>
              </w:rPr>
            </w:pPr>
          </w:p>
        </w:tc>
        <w:tc>
          <w:tcPr>
            <w:tcW w:w="1410" w:type="dxa"/>
            <w:vAlign w:val="center"/>
          </w:tcPr>
          <w:p w14:paraId="413E9ECD">
            <w:pPr>
              <w:keepNext/>
              <w:widowControl/>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资格审查方式</w:t>
            </w:r>
          </w:p>
        </w:tc>
        <w:tc>
          <w:tcPr>
            <w:tcW w:w="7073" w:type="dxa"/>
            <w:vAlign w:val="center"/>
          </w:tcPr>
          <w:p w14:paraId="1A5EEF3F">
            <w:pPr>
              <w:keepNext/>
              <w:widowControl/>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资格后审</w:t>
            </w:r>
          </w:p>
        </w:tc>
      </w:tr>
      <w:tr w14:paraId="63ACF7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restart"/>
            <w:vAlign w:val="center"/>
          </w:tcPr>
          <w:p w14:paraId="5C2086EA">
            <w:pPr>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4</w:t>
            </w:r>
          </w:p>
        </w:tc>
        <w:tc>
          <w:tcPr>
            <w:tcW w:w="1410" w:type="dxa"/>
            <w:vAlign w:val="center"/>
          </w:tcPr>
          <w:p w14:paraId="66E4ACA0">
            <w:pPr>
              <w:keepNext/>
              <w:widowControl/>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评审办法</w:t>
            </w:r>
          </w:p>
        </w:tc>
        <w:tc>
          <w:tcPr>
            <w:tcW w:w="7073" w:type="dxa"/>
            <w:vAlign w:val="center"/>
          </w:tcPr>
          <w:p w14:paraId="6DBF6C5C">
            <w:pPr>
              <w:keepNext/>
              <w:widowControl/>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最低价法</w:t>
            </w:r>
          </w:p>
        </w:tc>
      </w:tr>
      <w:tr w14:paraId="39C5BE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continue"/>
            <w:vAlign w:val="center"/>
          </w:tcPr>
          <w:p w14:paraId="7D9B7571">
            <w:pPr>
              <w:jc w:val="center"/>
              <w:rPr>
                <w:rFonts w:hint="eastAsia" w:ascii="仿宋" w:hAnsi="仿宋" w:eastAsia="仿宋" w:cs="仿宋"/>
                <w:color w:val="auto"/>
                <w:kern w:val="0"/>
                <w:szCs w:val="21"/>
                <w:highlight w:val="none"/>
              </w:rPr>
            </w:pPr>
          </w:p>
        </w:tc>
        <w:tc>
          <w:tcPr>
            <w:tcW w:w="1410" w:type="dxa"/>
            <w:vAlign w:val="center"/>
          </w:tcPr>
          <w:p w14:paraId="4FF56025">
            <w:pPr>
              <w:keepNext/>
              <w:widowControl/>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定标方法</w:t>
            </w:r>
          </w:p>
        </w:tc>
        <w:tc>
          <w:tcPr>
            <w:tcW w:w="7073" w:type="dxa"/>
            <w:vAlign w:val="center"/>
          </w:tcPr>
          <w:p w14:paraId="13763B18">
            <w:pPr>
              <w:keepNext/>
              <w:widowControl/>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评标委员会推荐三名成交候选人</w:t>
            </w:r>
          </w:p>
        </w:tc>
      </w:tr>
      <w:tr w14:paraId="3DB136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Align w:val="center"/>
          </w:tcPr>
          <w:p w14:paraId="7226D946">
            <w:pPr>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5</w:t>
            </w:r>
          </w:p>
        </w:tc>
        <w:tc>
          <w:tcPr>
            <w:tcW w:w="1410" w:type="dxa"/>
            <w:vAlign w:val="center"/>
          </w:tcPr>
          <w:p w14:paraId="576A3A6E">
            <w:pPr>
              <w:keepNext/>
              <w:widowControl/>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供应商的资格要求</w:t>
            </w:r>
          </w:p>
        </w:tc>
        <w:tc>
          <w:tcPr>
            <w:tcW w:w="7073" w:type="dxa"/>
            <w:vAlign w:val="center"/>
          </w:tcPr>
          <w:p w14:paraId="21506C4C">
            <w:pPr>
              <w:keepNext/>
              <w:widowControl/>
              <w:ind w:firstLine="210" w:firstLineChars="100"/>
              <w:jc w:val="left"/>
              <w:rPr>
                <w:rFonts w:hint="eastAsia" w:ascii="仿宋" w:hAnsi="仿宋" w:eastAsia="仿宋" w:cs="仿宋"/>
                <w:color w:val="auto"/>
                <w:highlight w:val="none"/>
              </w:rPr>
            </w:pPr>
            <w:r>
              <w:rPr>
                <w:rFonts w:hint="eastAsia" w:ascii="仿宋" w:hAnsi="仿宋" w:eastAsia="仿宋" w:cs="仿宋"/>
                <w:color w:val="auto"/>
                <w:highlight w:val="none"/>
              </w:rPr>
              <w:t>1、满足《中华人民共和国政府采购法》第二十二条规定。</w:t>
            </w:r>
          </w:p>
          <w:p w14:paraId="25576D63">
            <w:pPr>
              <w:keepNext/>
              <w:widowControl/>
              <w:ind w:firstLine="210" w:firstLineChars="100"/>
              <w:jc w:val="left"/>
              <w:rPr>
                <w:rFonts w:hint="eastAsia" w:ascii="仿宋" w:hAnsi="仿宋" w:eastAsia="仿宋" w:cs="仿宋"/>
                <w:color w:val="auto"/>
                <w:highlight w:val="none"/>
              </w:rPr>
            </w:pPr>
            <w:r>
              <w:rPr>
                <w:rFonts w:hint="eastAsia" w:ascii="仿宋" w:hAnsi="仿宋" w:eastAsia="仿宋" w:cs="仿宋"/>
                <w:color w:val="auto"/>
                <w:highlight w:val="none"/>
              </w:rPr>
              <w:t>2、本项目专门面向中小企业采购，供应商所投货物制造商须均为中小企业。</w:t>
            </w:r>
          </w:p>
          <w:p w14:paraId="260C3746">
            <w:pPr>
              <w:keepNext/>
              <w:widowControl/>
              <w:ind w:firstLine="210" w:firstLineChars="100"/>
              <w:jc w:val="left"/>
              <w:rPr>
                <w:rFonts w:hint="eastAsia" w:ascii="仿宋" w:hAnsi="仿宋" w:eastAsia="仿宋" w:cs="仿宋"/>
                <w:color w:val="auto"/>
                <w:highlight w:val="none"/>
              </w:rPr>
            </w:pPr>
            <w:r>
              <w:rPr>
                <w:rFonts w:hint="eastAsia" w:ascii="仿宋" w:hAnsi="仿宋" w:eastAsia="仿宋" w:cs="仿宋"/>
                <w:color w:val="auto"/>
                <w:highlight w:val="none"/>
              </w:rPr>
              <w:t>3、供应商如在“信用中国”网站（www.creditchina.gov.cn）、中国政府采购网（www.ccgp.gov.cn）等渠道被列入失信被执行人、重大税收违法失信主体、政府采购严重违法失信行为记录名单，尚在处罚期内的将被拒绝参加本次采购活动。</w:t>
            </w:r>
          </w:p>
        </w:tc>
      </w:tr>
      <w:tr w14:paraId="5FC94A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Align w:val="center"/>
          </w:tcPr>
          <w:p w14:paraId="528F0233">
            <w:pPr>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6</w:t>
            </w:r>
          </w:p>
        </w:tc>
        <w:tc>
          <w:tcPr>
            <w:tcW w:w="1410" w:type="dxa"/>
            <w:vAlign w:val="center"/>
          </w:tcPr>
          <w:p w14:paraId="5354482D">
            <w:pPr>
              <w:keepNext/>
              <w:widowControl/>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供应商不得存在的情形</w:t>
            </w:r>
          </w:p>
        </w:tc>
        <w:tc>
          <w:tcPr>
            <w:tcW w:w="7073" w:type="dxa"/>
            <w:vAlign w:val="center"/>
          </w:tcPr>
          <w:p w14:paraId="6361C488">
            <w:pPr>
              <w:widowControl/>
              <w:spacing w:line="288" w:lineRule="auto"/>
              <w:ind w:firstLine="420" w:firstLineChars="200"/>
              <w:jc w:val="left"/>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1、本项目不接受联合体。</w:t>
            </w:r>
          </w:p>
          <w:p w14:paraId="38BD7B9C">
            <w:pPr>
              <w:widowControl/>
              <w:spacing w:line="288" w:lineRule="auto"/>
              <w:ind w:firstLine="420" w:firstLineChars="200"/>
              <w:jc w:val="left"/>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2、单位负责人为同一人或者存在直接控股、管理关系的不同供应商，不得参加同一合同项下的政府采购活动。</w:t>
            </w:r>
          </w:p>
          <w:p w14:paraId="583BE038">
            <w:pPr>
              <w:widowControl/>
              <w:spacing w:line="288" w:lineRule="auto"/>
              <w:ind w:firstLine="420" w:firstLineChars="200"/>
              <w:jc w:val="left"/>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3、除单一来源采购项目外，为采购项目提供整体设计、规范编制或者项目管理、监理、检测等服务的供应商，不得再参加该采购项目的其他采购活动。</w:t>
            </w:r>
          </w:p>
          <w:p w14:paraId="0C15A84D">
            <w:pPr>
              <w:keepNext/>
              <w:widowControl/>
              <w:ind w:firstLine="420" w:firstLineChars="200"/>
              <w:jc w:val="left"/>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4、供应商处于被责令停业、财产被接管、冻结和破产状态，以及投标资格被取消或者被暂停且在暂停期内。</w:t>
            </w:r>
          </w:p>
          <w:p w14:paraId="35E6514A">
            <w:pPr>
              <w:keepNext/>
              <w:widowControl/>
              <w:ind w:firstLine="420" w:firstLineChars="200"/>
              <w:jc w:val="left"/>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5、法律规定的其它情形。</w:t>
            </w:r>
          </w:p>
        </w:tc>
      </w:tr>
      <w:tr w14:paraId="74D1FF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Align w:val="center"/>
          </w:tcPr>
          <w:p w14:paraId="482955E4">
            <w:pPr>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7</w:t>
            </w:r>
          </w:p>
        </w:tc>
        <w:tc>
          <w:tcPr>
            <w:tcW w:w="1410" w:type="dxa"/>
            <w:vAlign w:val="center"/>
          </w:tcPr>
          <w:p w14:paraId="74D0EEE1">
            <w:pPr>
              <w:keepNext/>
              <w:widowControl/>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采购文件费</w:t>
            </w:r>
          </w:p>
        </w:tc>
        <w:tc>
          <w:tcPr>
            <w:tcW w:w="7073" w:type="dxa"/>
            <w:vAlign w:val="center"/>
          </w:tcPr>
          <w:p w14:paraId="0E6932E4">
            <w:pPr>
              <w:keepNext/>
              <w:widowControl/>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0元</w:t>
            </w:r>
          </w:p>
        </w:tc>
      </w:tr>
      <w:tr w14:paraId="3C4E48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Align w:val="center"/>
          </w:tcPr>
          <w:p w14:paraId="374DB8C0">
            <w:pPr>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8</w:t>
            </w:r>
          </w:p>
        </w:tc>
        <w:tc>
          <w:tcPr>
            <w:tcW w:w="1410" w:type="dxa"/>
            <w:vAlign w:val="center"/>
          </w:tcPr>
          <w:p w14:paraId="3BB58095">
            <w:pPr>
              <w:keepNext/>
              <w:widowControl/>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响应保证金</w:t>
            </w:r>
          </w:p>
        </w:tc>
        <w:tc>
          <w:tcPr>
            <w:tcW w:w="7073" w:type="dxa"/>
            <w:vAlign w:val="center"/>
          </w:tcPr>
          <w:p w14:paraId="3D129E02">
            <w:pPr>
              <w:widowControl/>
              <w:spacing w:line="288" w:lineRule="auto"/>
              <w:ind w:firstLine="420" w:firstLineChars="200"/>
              <w:jc w:val="left"/>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1、响应保证金金额：23800.00元</w:t>
            </w:r>
          </w:p>
          <w:p w14:paraId="0E449051">
            <w:pPr>
              <w:widowControl/>
              <w:spacing w:line="288" w:lineRule="auto"/>
              <w:ind w:firstLine="420" w:firstLineChars="200"/>
              <w:jc w:val="left"/>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2、提交截止时间：同响应文件递交截止时间</w:t>
            </w:r>
          </w:p>
          <w:p w14:paraId="776121E1">
            <w:pPr>
              <w:widowControl/>
              <w:spacing w:line="288" w:lineRule="auto"/>
              <w:ind w:firstLine="420" w:firstLineChars="200"/>
              <w:jc w:val="left"/>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3、提交形式：响应保证金以支票、汇票、本票或者金融机构、担保机构出具的保函等非现金形式提交至采购代理机构。</w:t>
            </w:r>
          </w:p>
          <w:p w14:paraId="645DA641">
            <w:pPr>
              <w:widowControl/>
              <w:spacing w:line="288" w:lineRule="auto"/>
              <w:ind w:firstLine="420" w:firstLineChars="200"/>
              <w:jc w:val="left"/>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4、银行账户信息</w:t>
            </w:r>
          </w:p>
          <w:p w14:paraId="77BFECA4">
            <w:pPr>
              <w:widowControl/>
              <w:spacing w:line="288" w:lineRule="auto"/>
              <w:ind w:firstLine="420" w:firstLineChars="200"/>
              <w:jc w:val="left"/>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采购代理机构名称：新疆新世纪招标有限公司</w:t>
            </w:r>
          </w:p>
          <w:p w14:paraId="18E65866">
            <w:pPr>
              <w:widowControl/>
              <w:spacing w:line="288" w:lineRule="auto"/>
              <w:ind w:firstLine="420" w:firstLineChars="200"/>
              <w:jc w:val="left"/>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纳税人识别号：91650100726988855F</w:t>
            </w:r>
          </w:p>
          <w:p w14:paraId="57DA0E9B">
            <w:pPr>
              <w:widowControl/>
              <w:spacing w:line="288" w:lineRule="auto"/>
              <w:ind w:firstLine="420" w:firstLineChars="200"/>
              <w:jc w:val="left"/>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开户行：中国农业银行乌鲁木齐新民西街支行</w:t>
            </w:r>
          </w:p>
          <w:p w14:paraId="636F2A12">
            <w:pPr>
              <w:widowControl/>
              <w:spacing w:line="288" w:lineRule="auto"/>
              <w:ind w:firstLine="420" w:firstLineChars="200"/>
              <w:jc w:val="left"/>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账号：30014701040000595</w:t>
            </w:r>
          </w:p>
          <w:p w14:paraId="3AADE59B">
            <w:pPr>
              <w:widowControl/>
              <w:spacing w:line="288" w:lineRule="auto"/>
              <w:ind w:firstLine="420" w:firstLineChars="200"/>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shd w:val="clear" w:color="auto" w:fill="FFFFFF" w:themeFill="background1"/>
              </w:rPr>
              <w:t>5、供应商在提交响应保证金时需备注项目名称简称。</w:t>
            </w:r>
          </w:p>
        </w:tc>
      </w:tr>
      <w:tr w14:paraId="669645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Align w:val="center"/>
          </w:tcPr>
          <w:p w14:paraId="224C6E24">
            <w:pPr>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9</w:t>
            </w:r>
          </w:p>
        </w:tc>
        <w:tc>
          <w:tcPr>
            <w:tcW w:w="1410" w:type="dxa"/>
            <w:vAlign w:val="center"/>
          </w:tcPr>
          <w:p w14:paraId="692A2A5A">
            <w:pPr>
              <w:keepNext/>
              <w:widowControl/>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现场踏勘</w:t>
            </w:r>
          </w:p>
        </w:tc>
        <w:tc>
          <w:tcPr>
            <w:tcW w:w="7073" w:type="dxa"/>
            <w:vAlign w:val="center"/>
          </w:tcPr>
          <w:p w14:paraId="11A79F48">
            <w:pPr>
              <w:jc w:val="left"/>
              <w:rPr>
                <w:rFonts w:hint="eastAsia" w:ascii="仿宋" w:hAnsi="仿宋" w:eastAsia="仿宋" w:cs="仿宋"/>
                <w:color w:val="auto"/>
                <w:kern w:val="0"/>
                <w:szCs w:val="21"/>
                <w:highlight w:val="none"/>
              </w:rPr>
            </w:pPr>
            <w:r>
              <w:rPr>
                <w:rFonts w:hint="eastAsia" w:ascii="仿宋" w:hAnsi="仿宋" w:eastAsia="仿宋" w:cs="仿宋"/>
                <w:color w:val="auto"/>
                <w:szCs w:val="21"/>
                <w:highlight w:val="none"/>
              </w:rPr>
              <w:t>不组织</w:t>
            </w:r>
          </w:p>
        </w:tc>
      </w:tr>
      <w:tr w14:paraId="1201CE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Align w:val="center"/>
          </w:tcPr>
          <w:p w14:paraId="2E00AF9A">
            <w:pPr>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10</w:t>
            </w:r>
          </w:p>
        </w:tc>
        <w:tc>
          <w:tcPr>
            <w:tcW w:w="1410" w:type="dxa"/>
            <w:vAlign w:val="center"/>
          </w:tcPr>
          <w:p w14:paraId="6B5D7086">
            <w:pPr>
              <w:keepNext/>
              <w:widowControl/>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招标答疑</w:t>
            </w:r>
          </w:p>
        </w:tc>
        <w:tc>
          <w:tcPr>
            <w:tcW w:w="7073" w:type="dxa"/>
            <w:vAlign w:val="center"/>
          </w:tcPr>
          <w:p w14:paraId="7AB2ACC0">
            <w:pPr>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对谈判文件提出询问的，应当在响应文件递交截止时间前以书面形式（加盖公章）递交至新疆新世纪招标有限公司，否则采购人不作任何解释。</w:t>
            </w:r>
          </w:p>
          <w:p w14:paraId="339A4D7E">
            <w:pPr>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对谈判文件提出质疑的，应当在获取谈判文件或者谈判文件公告期限届满之日起7个工作日内一次性以书面形式（按照财政部制定的质疑函范本编写）提出并递交至采购代理机构。</w:t>
            </w:r>
          </w:p>
          <w:p w14:paraId="419BAB79">
            <w:pPr>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质疑接收人：马丹阳；联系方式：0991-4661782。</w:t>
            </w:r>
          </w:p>
          <w:p w14:paraId="0C0E0C7D">
            <w:pPr>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注：1、供应商必须在法定质疑期内一次性提出针对同一采购程序环节的质疑；供应商投诉的事项不得超出已质疑事项的范围。2、供应商在国家法律规定的时间内未提出书面疑问，视为对谈判文件的资格条件、评审办法、合同文本、技术标准和要求等所有内容无异议。</w:t>
            </w:r>
          </w:p>
        </w:tc>
      </w:tr>
      <w:tr w14:paraId="5BB3DB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Align w:val="center"/>
          </w:tcPr>
          <w:p w14:paraId="6A5B31ED">
            <w:pPr>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11</w:t>
            </w:r>
          </w:p>
        </w:tc>
        <w:tc>
          <w:tcPr>
            <w:tcW w:w="1410" w:type="dxa"/>
            <w:vAlign w:val="center"/>
          </w:tcPr>
          <w:p w14:paraId="47974ADB">
            <w:pPr>
              <w:keepNext/>
              <w:widowControl/>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响应文件</w:t>
            </w:r>
          </w:p>
        </w:tc>
        <w:tc>
          <w:tcPr>
            <w:tcW w:w="7073" w:type="dxa"/>
            <w:vAlign w:val="center"/>
          </w:tcPr>
          <w:p w14:paraId="121F93C5">
            <w:pPr>
              <w:keepNext/>
              <w:widowControl/>
              <w:ind w:firstLine="420" w:firstLineChars="200"/>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 xml:space="preserve">1、本次采购采用电子交易方式，电子交易平台为“政采云平台（https://www.zcygov.cn/）”。供应商参与本项目电子交易活动前，应注册成为政府采购云平台正式供应商。编制电子响应文件前还需申领CA证书并绑定帐号。供应商应充分考虑完成平台注册、申领CA证书等所需的时间。因未注册入库、未办理CA数字证书等原因造成无法投标或投标失败等后果由供应商自行承担。 </w:t>
            </w:r>
          </w:p>
          <w:p w14:paraId="6074A8BB">
            <w:pPr>
              <w:keepNext/>
              <w:widowControl/>
              <w:ind w:firstLine="420" w:firstLineChars="200"/>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 xml:space="preserve">2、供应商将政采云电子交易客户端下载、安装完成后，可通过账号密码或CA登录客户端进行响应文件制作。在使用政采云投标客户端时，建议使用WIN7及以上操作系统。客户端请至新疆政府采购网（www.ccgp-xinjiang.gov.cn）下载专区查看，如有问题可拨打政采云客户服务热线95763进行咨询。 </w:t>
            </w:r>
          </w:p>
          <w:p w14:paraId="767A08AA">
            <w:pPr>
              <w:keepNext/>
              <w:widowControl/>
              <w:ind w:firstLine="420" w:firstLineChars="200"/>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3、加密的电子响应文件应在响应文件递交截止时间前通过政采云平台上传完成。逾期上传或者未上传指定地点的响应文件，不予受理。</w:t>
            </w:r>
          </w:p>
          <w:p w14:paraId="42AB4FD4">
            <w:pPr>
              <w:keepNext/>
              <w:widowControl/>
              <w:ind w:firstLine="420" w:firstLineChars="200"/>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4、供应商在开标前须提前配置好电脑浏览器，开标时请使用制作加密电子响应文件的CA锁进行解密及报价确认。本项目响应文件解密时间定为30分钟，如因自身原因导致无法正常解密，后果由供应商自行承担。</w:t>
            </w:r>
          </w:p>
          <w:p w14:paraId="41224B69">
            <w:pPr>
              <w:keepNext/>
              <w:widowControl/>
              <w:ind w:firstLine="420" w:firstLineChars="200"/>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5、如遇“政采云平台（https://www.zcygov.cn/）”电子交易规则调整，以最新要求为准。</w:t>
            </w:r>
          </w:p>
        </w:tc>
      </w:tr>
      <w:tr w14:paraId="1C7D69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Align w:val="center"/>
          </w:tcPr>
          <w:p w14:paraId="1DF2EE3A">
            <w:pPr>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12</w:t>
            </w:r>
          </w:p>
        </w:tc>
        <w:tc>
          <w:tcPr>
            <w:tcW w:w="1410" w:type="dxa"/>
            <w:vAlign w:val="center"/>
          </w:tcPr>
          <w:p w14:paraId="0BA9FB71">
            <w:pPr>
              <w:keepNext/>
              <w:widowControl/>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响应文件递交</w:t>
            </w:r>
          </w:p>
        </w:tc>
        <w:tc>
          <w:tcPr>
            <w:tcW w:w="7073" w:type="dxa"/>
            <w:vAlign w:val="center"/>
          </w:tcPr>
          <w:p w14:paraId="131FE5C3">
            <w:pPr>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截止时间：2026年</w:t>
            </w:r>
            <w:r>
              <w:rPr>
                <w:rFonts w:hint="eastAsia" w:ascii="仿宋" w:hAnsi="仿宋" w:eastAsia="仿宋" w:cs="仿宋"/>
                <w:color w:val="auto"/>
                <w:kern w:val="0"/>
                <w:szCs w:val="21"/>
                <w:highlight w:val="none"/>
                <w:lang w:eastAsia="zh-CN"/>
              </w:rPr>
              <w:t>06月24日 16:00</w:t>
            </w:r>
            <w:r>
              <w:rPr>
                <w:rFonts w:hint="eastAsia" w:ascii="仿宋" w:hAnsi="仿宋" w:eastAsia="仿宋" w:cs="仿宋"/>
                <w:color w:val="auto"/>
                <w:kern w:val="0"/>
                <w:szCs w:val="21"/>
                <w:highlight w:val="none"/>
              </w:rPr>
              <w:t>（北京时间）</w:t>
            </w:r>
          </w:p>
          <w:p w14:paraId="49BE16CC">
            <w:pPr>
              <w:keepNext/>
              <w:widowControl/>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递交地点：政采云平台（https://www.zcygov.cn/）</w:t>
            </w:r>
          </w:p>
        </w:tc>
      </w:tr>
      <w:tr w14:paraId="4A3D67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Align w:val="center"/>
          </w:tcPr>
          <w:p w14:paraId="123F61FD">
            <w:pPr>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13</w:t>
            </w:r>
          </w:p>
        </w:tc>
        <w:tc>
          <w:tcPr>
            <w:tcW w:w="1410" w:type="dxa"/>
            <w:vAlign w:val="center"/>
          </w:tcPr>
          <w:p w14:paraId="249ED48B">
            <w:pPr>
              <w:keepNext/>
              <w:widowControl/>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开标</w:t>
            </w:r>
          </w:p>
        </w:tc>
        <w:tc>
          <w:tcPr>
            <w:tcW w:w="7073" w:type="dxa"/>
            <w:vAlign w:val="center"/>
          </w:tcPr>
          <w:p w14:paraId="7C4CA3B9">
            <w:pPr>
              <w:jc w:val="left"/>
              <w:rPr>
                <w:rFonts w:hint="eastAsia" w:ascii="仿宋" w:hAnsi="仿宋" w:eastAsia="仿宋" w:cs="仿宋"/>
                <w:color w:val="auto"/>
                <w:kern w:val="0"/>
                <w:szCs w:val="21"/>
                <w:highlight w:val="none"/>
                <w:u w:val="single"/>
              </w:rPr>
            </w:pPr>
            <w:r>
              <w:rPr>
                <w:rFonts w:hint="eastAsia" w:ascii="仿宋" w:hAnsi="仿宋" w:eastAsia="仿宋" w:cs="仿宋"/>
                <w:color w:val="auto"/>
                <w:kern w:val="0"/>
                <w:szCs w:val="21"/>
                <w:highlight w:val="none"/>
              </w:rPr>
              <w:t>时间：2026年</w:t>
            </w:r>
            <w:r>
              <w:rPr>
                <w:rFonts w:hint="eastAsia" w:ascii="仿宋" w:hAnsi="仿宋" w:eastAsia="仿宋" w:cs="仿宋"/>
                <w:color w:val="auto"/>
                <w:kern w:val="0"/>
                <w:szCs w:val="21"/>
                <w:highlight w:val="none"/>
                <w:lang w:eastAsia="zh-CN"/>
              </w:rPr>
              <w:t>06月24日 16:00</w:t>
            </w:r>
            <w:r>
              <w:rPr>
                <w:rFonts w:hint="eastAsia" w:ascii="仿宋" w:hAnsi="仿宋" w:eastAsia="仿宋" w:cs="仿宋"/>
                <w:color w:val="auto"/>
                <w:kern w:val="0"/>
                <w:szCs w:val="21"/>
                <w:highlight w:val="none"/>
              </w:rPr>
              <w:t>（北京时间）</w:t>
            </w:r>
          </w:p>
          <w:p w14:paraId="2331D822">
            <w:pPr>
              <w:keepNext/>
              <w:widowControl/>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地点：政采云平台（https://www.zcygov.cn/）</w:t>
            </w:r>
          </w:p>
        </w:tc>
      </w:tr>
      <w:tr w14:paraId="14B6CB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Align w:val="center"/>
          </w:tcPr>
          <w:p w14:paraId="30C3AF9D">
            <w:pPr>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14</w:t>
            </w:r>
          </w:p>
        </w:tc>
        <w:tc>
          <w:tcPr>
            <w:tcW w:w="1410" w:type="dxa"/>
            <w:vAlign w:val="center"/>
          </w:tcPr>
          <w:p w14:paraId="5E34DDD8">
            <w:pPr>
              <w:keepNext/>
              <w:widowControl/>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响应有效期</w:t>
            </w:r>
          </w:p>
        </w:tc>
        <w:tc>
          <w:tcPr>
            <w:tcW w:w="7073" w:type="dxa"/>
            <w:vAlign w:val="center"/>
          </w:tcPr>
          <w:p w14:paraId="2D2F9012">
            <w:pPr>
              <w:keepNext/>
              <w:widowControl/>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自投标截止之日90日历日</w:t>
            </w:r>
          </w:p>
        </w:tc>
      </w:tr>
      <w:tr w14:paraId="3EB02B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Align w:val="center"/>
          </w:tcPr>
          <w:p w14:paraId="43B8E35D">
            <w:pPr>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15</w:t>
            </w:r>
          </w:p>
        </w:tc>
        <w:tc>
          <w:tcPr>
            <w:tcW w:w="1410" w:type="dxa"/>
            <w:vAlign w:val="center"/>
          </w:tcPr>
          <w:p w14:paraId="26F73217">
            <w:pPr>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公告发布媒体</w:t>
            </w:r>
          </w:p>
        </w:tc>
        <w:tc>
          <w:tcPr>
            <w:tcW w:w="7073" w:type="dxa"/>
            <w:vAlign w:val="center"/>
          </w:tcPr>
          <w:p w14:paraId="744964E2">
            <w:pPr>
              <w:jc w:val="left"/>
              <w:rPr>
                <w:rFonts w:hint="eastAsia" w:ascii="仿宋" w:hAnsi="仿宋" w:eastAsia="仿宋" w:cs="仿宋"/>
                <w:color w:val="auto"/>
                <w:kern w:val="0"/>
                <w:szCs w:val="21"/>
                <w:highlight w:val="none"/>
                <w:u w:val="single"/>
              </w:rPr>
            </w:pPr>
            <w:r>
              <w:rPr>
                <w:rFonts w:hint="eastAsia" w:ascii="仿宋" w:hAnsi="仿宋" w:eastAsia="仿宋" w:cs="仿宋"/>
                <w:color w:val="auto"/>
                <w:kern w:val="0"/>
                <w:szCs w:val="21"/>
                <w:highlight w:val="none"/>
                <w:shd w:val="clear" w:color="auto" w:fill="FFFFFF" w:themeFill="background1"/>
              </w:rPr>
              <w:t>新疆政府采购网</w:t>
            </w:r>
          </w:p>
        </w:tc>
      </w:tr>
      <w:tr w14:paraId="6DE9A6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Align w:val="center"/>
          </w:tcPr>
          <w:p w14:paraId="0789B778">
            <w:pPr>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16</w:t>
            </w:r>
          </w:p>
        </w:tc>
        <w:tc>
          <w:tcPr>
            <w:tcW w:w="1410" w:type="dxa"/>
            <w:vAlign w:val="center"/>
          </w:tcPr>
          <w:p w14:paraId="49501B9C">
            <w:pPr>
              <w:keepNext/>
              <w:widowControl/>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履约保证金</w:t>
            </w:r>
          </w:p>
        </w:tc>
        <w:tc>
          <w:tcPr>
            <w:tcW w:w="7073" w:type="dxa"/>
            <w:vAlign w:val="center"/>
          </w:tcPr>
          <w:p w14:paraId="213FFF2C">
            <w:pPr>
              <w:spacing w:line="288" w:lineRule="auto"/>
              <w:ind w:firstLine="420" w:firstLineChars="200"/>
              <w:jc w:val="left"/>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1、履约保证金金额：无。</w:t>
            </w:r>
          </w:p>
          <w:p w14:paraId="2F2D0A1C">
            <w:pPr>
              <w:keepNext/>
              <w:widowControl/>
              <w:ind w:firstLine="420" w:firstLineChars="200"/>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shd w:val="clear" w:color="auto" w:fill="FFFFFF" w:themeFill="background1"/>
              </w:rPr>
              <w:t>2、供应商应当以支票、汇票、本票或者金融机构、担保机构出具的保函等非现金形式提交履约保证金。</w:t>
            </w:r>
          </w:p>
        </w:tc>
      </w:tr>
      <w:tr w14:paraId="1275C1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2323" w:hRule="atLeast"/>
          <w:jc w:val="center"/>
        </w:trPr>
        <w:tc>
          <w:tcPr>
            <w:tcW w:w="597" w:type="dxa"/>
            <w:vAlign w:val="center"/>
          </w:tcPr>
          <w:p w14:paraId="37B1872E">
            <w:pPr>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17</w:t>
            </w:r>
          </w:p>
        </w:tc>
        <w:tc>
          <w:tcPr>
            <w:tcW w:w="1410" w:type="dxa"/>
            <w:vAlign w:val="center"/>
          </w:tcPr>
          <w:p w14:paraId="309BAEE0">
            <w:pPr>
              <w:keepNext/>
              <w:widowControl/>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中小企业政策说明</w:t>
            </w:r>
          </w:p>
        </w:tc>
        <w:tc>
          <w:tcPr>
            <w:tcW w:w="7073" w:type="dxa"/>
            <w:vAlign w:val="center"/>
          </w:tcPr>
          <w:p w14:paraId="5F90A5EF">
            <w:pPr>
              <w:keepNext/>
              <w:widowControl/>
              <w:ind w:firstLine="420" w:firstLineChars="200"/>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4B3AA481">
            <w:pPr>
              <w:keepNext/>
              <w:widowControl/>
              <w:ind w:firstLine="420" w:firstLineChars="200"/>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在政府采购活动中，供应商提供的货物、工程或者服务符合下列情形的，享受中小企业扶持政策：（一）在货物采购项目中，货物由中小企业制造，即货物由中小企业生产且使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w:t>
            </w:r>
          </w:p>
          <w:p w14:paraId="23C5CB2C">
            <w:pPr>
              <w:keepNext/>
              <w:widowControl/>
              <w:ind w:firstLine="420" w:firstLineChars="200"/>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3、在货物采购项目中，供应商提供的货物既有中小企业制造货物，也有大型企业制造货物的，不享受本办法规定的中小企业扶持政策。</w:t>
            </w:r>
          </w:p>
          <w:p w14:paraId="76101672">
            <w:pPr>
              <w:keepNext/>
              <w:widowControl/>
              <w:ind w:firstLine="420" w:firstLineChars="200"/>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4、以联合体形式参加政府采购活动，联合体各方均为中小企业的，联合体视同中小企业。其中，联合体各方均为小微企业的，联合体视同小微企业。</w:t>
            </w:r>
          </w:p>
          <w:p w14:paraId="623A0DD8">
            <w:pPr>
              <w:keepNext/>
              <w:widowControl/>
              <w:ind w:firstLine="420" w:firstLineChars="200"/>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5、供应商经享受扶持政策获得政府采购合同的，小微企业不得将合同分包给大中型企业，中型企业不得将合同分包给大型企业；</w:t>
            </w:r>
          </w:p>
          <w:p w14:paraId="6832102D">
            <w:pPr>
              <w:keepNext/>
              <w:widowControl/>
              <w:ind w:firstLine="420" w:firstLineChars="200"/>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6、残疾人福利性单位和监狱企业视同小型、微型企业。</w:t>
            </w:r>
          </w:p>
          <w:p w14:paraId="63A38016">
            <w:pPr>
              <w:keepNext/>
              <w:widowControl/>
              <w:ind w:firstLine="420" w:firstLineChars="200"/>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7、根据“关于印发中小企业划型标准规定的通知(工信部联企业〔2011〕300号)”等有关规定，本项目标的所属行业为工业。</w:t>
            </w:r>
          </w:p>
        </w:tc>
      </w:tr>
      <w:tr w14:paraId="6B3AA6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696" w:hRule="atLeast"/>
          <w:jc w:val="center"/>
        </w:trPr>
        <w:tc>
          <w:tcPr>
            <w:tcW w:w="597" w:type="dxa"/>
            <w:vAlign w:val="center"/>
          </w:tcPr>
          <w:p w14:paraId="4A9ABDAF">
            <w:pPr>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18</w:t>
            </w:r>
          </w:p>
        </w:tc>
        <w:tc>
          <w:tcPr>
            <w:tcW w:w="1410" w:type="dxa"/>
            <w:vAlign w:val="center"/>
          </w:tcPr>
          <w:p w14:paraId="2D6BB539">
            <w:pPr>
              <w:keepNext/>
              <w:widowControl/>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合同分包</w:t>
            </w:r>
          </w:p>
        </w:tc>
        <w:tc>
          <w:tcPr>
            <w:tcW w:w="7073" w:type="dxa"/>
            <w:vAlign w:val="center"/>
          </w:tcPr>
          <w:p w14:paraId="18140C99">
            <w:pPr>
              <w:keepNext/>
              <w:widowControl/>
              <w:ind w:firstLine="420" w:firstLineChars="200"/>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☑不允许分包</w:t>
            </w:r>
          </w:p>
          <w:p w14:paraId="54340899">
            <w:pPr>
              <w:keepNext/>
              <w:widowControl/>
              <w:ind w:firstLine="420" w:firstLineChars="200"/>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□允许分包,要求：</w:t>
            </w:r>
            <w:r>
              <w:rPr>
                <w:rFonts w:hint="eastAsia" w:ascii="仿宋" w:hAnsi="仿宋" w:eastAsia="仿宋" w:cs="仿宋"/>
                <w:color w:val="auto"/>
                <w:kern w:val="0"/>
                <w:szCs w:val="21"/>
                <w:highlight w:val="none"/>
                <w:u w:val="single"/>
              </w:rPr>
              <w:t xml:space="preserve"> /  </w:t>
            </w:r>
          </w:p>
        </w:tc>
      </w:tr>
      <w:tr w14:paraId="1D15D6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Align w:val="center"/>
          </w:tcPr>
          <w:p w14:paraId="440703D0">
            <w:pPr>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19</w:t>
            </w:r>
          </w:p>
        </w:tc>
        <w:tc>
          <w:tcPr>
            <w:tcW w:w="1410" w:type="dxa"/>
            <w:vAlign w:val="center"/>
          </w:tcPr>
          <w:p w14:paraId="5C2A2431">
            <w:pPr>
              <w:keepNext/>
              <w:widowControl/>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进口产品</w:t>
            </w:r>
          </w:p>
        </w:tc>
        <w:tc>
          <w:tcPr>
            <w:tcW w:w="7073" w:type="dxa"/>
            <w:vAlign w:val="center"/>
          </w:tcPr>
          <w:p w14:paraId="57BB5FA4">
            <w:pPr>
              <w:keepNext/>
              <w:widowControl/>
              <w:ind w:firstLine="420" w:firstLineChars="200"/>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☑不接受</w:t>
            </w:r>
          </w:p>
          <w:p w14:paraId="4A50E960">
            <w:pPr>
              <w:keepNext/>
              <w:widowControl/>
              <w:ind w:firstLine="420" w:firstLineChars="200"/>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□接受</w:t>
            </w:r>
          </w:p>
        </w:tc>
      </w:tr>
      <w:tr w14:paraId="2B0CC4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Align w:val="center"/>
          </w:tcPr>
          <w:p w14:paraId="69DA6E29">
            <w:pPr>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20</w:t>
            </w:r>
          </w:p>
        </w:tc>
        <w:tc>
          <w:tcPr>
            <w:tcW w:w="1410" w:type="dxa"/>
            <w:vAlign w:val="center"/>
          </w:tcPr>
          <w:p w14:paraId="7BC112A0">
            <w:pPr>
              <w:keepNext/>
              <w:widowControl/>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样品</w:t>
            </w:r>
          </w:p>
        </w:tc>
        <w:tc>
          <w:tcPr>
            <w:tcW w:w="7073" w:type="dxa"/>
            <w:vAlign w:val="center"/>
          </w:tcPr>
          <w:p w14:paraId="38F48E5E">
            <w:pPr>
              <w:keepNext/>
              <w:widowControl/>
              <w:ind w:firstLine="420" w:firstLineChars="200"/>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☑不要求</w:t>
            </w:r>
          </w:p>
          <w:p w14:paraId="19068AEF">
            <w:pPr>
              <w:keepNext/>
              <w:widowControl/>
              <w:ind w:firstLine="420" w:firstLineChars="200"/>
              <w:jc w:val="left"/>
              <w:rPr>
                <w:rFonts w:hint="eastAsia" w:ascii="仿宋" w:hAnsi="仿宋" w:eastAsia="仿宋" w:cs="仿宋"/>
                <w:color w:val="auto"/>
                <w:highlight w:val="none"/>
              </w:rPr>
            </w:pPr>
            <w:r>
              <w:rPr>
                <w:rFonts w:hint="eastAsia" w:ascii="仿宋" w:hAnsi="仿宋" w:eastAsia="仿宋" w:cs="仿宋"/>
                <w:color w:val="auto"/>
                <w:kern w:val="0"/>
                <w:szCs w:val="21"/>
                <w:highlight w:val="none"/>
              </w:rPr>
              <w:t>□要求</w:t>
            </w:r>
          </w:p>
        </w:tc>
      </w:tr>
      <w:tr w14:paraId="2C1ABF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Align w:val="center"/>
          </w:tcPr>
          <w:p w14:paraId="23C9D64E">
            <w:pPr>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21</w:t>
            </w:r>
          </w:p>
        </w:tc>
        <w:tc>
          <w:tcPr>
            <w:tcW w:w="1410" w:type="dxa"/>
            <w:vAlign w:val="center"/>
          </w:tcPr>
          <w:p w14:paraId="112F2EED">
            <w:pPr>
              <w:keepNext/>
              <w:widowControl/>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本国产品政策说明</w:t>
            </w:r>
          </w:p>
        </w:tc>
        <w:tc>
          <w:tcPr>
            <w:tcW w:w="7073" w:type="dxa"/>
            <w:vAlign w:val="center"/>
          </w:tcPr>
          <w:p w14:paraId="5A28039A">
            <w:pPr>
              <w:keepNext/>
              <w:widowControl/>
              <w:ind w:firstLine="420" w:firstLineChars="200"/>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根据《国务院办公厅关于在政府采购中实施本国产品标准及相关政策的通知》（国办发〔2025〕34号）的相关规定，投标产品符合“本国产品标准”的，按照以下政策执行价格评审优惠：</w:t>
            </w:r>
          </w:p>
          <w:p w14:paraId="4C1F0C0D">
            <w:pPr>
              <w:keepNext/>
              <w:widowControl/>
              <w:ind w:firstLine="420" w:firstLineChars="200"/>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政府采购活动中既有本国产品又有非本国产品参与竞争的，依法对本国产品给予价格评审优惠，对本国产品的报价给予20%的价格扣除，用扣除后的价格参与评审。</w:t>
            </w:r>
          </w:p>
          <w:p w14:paraId="5E1E3825">
            <w:pPr>
              <w:keepNext/>
              <w:widowControl/>
              <w:ind w:firstLine="420" w:firstLineChars="200"/>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485CD316">
            <w:pPr>
              <w:keepNext/>
              <w:widowControl/>
              <w:ind w:firstLine="420" w:firstLineChars="200"/>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供应商对其提供的产品出具《关于符合本国产品标准的声明函》或财政部会同有关部门规定的有关证明文件。出具符合要求的《声明函》或有关证明文件的，该产品视为本国产品。</w:t>
            </w:r>
          </w:p>
        </w:tc>
      </w:tr>
      <w:tr w14:paraId="76BAEF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Align w:val="center"/>
          </w:tcPr>
          <w:p w14:paraId="1925B097">
            <w:pPr>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22</w:t>
            </w:r>
          </w:p>
        </w:tc>
        <w:tc>
          <w:tcPr>
            <w:tcW w:w="1410" w:type="dxa"/>
            <w:vAlign w:val="center"/>
          </w:tcPr>
          <w:p w14:paraId="55F45903">
            <w:pPr>
              <w:keepNext/>
              <w:widowControl/>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说明</w:t>
            </w:r>
          </w:p>
        </w:tc>
        <w:tc>
          <w:tcPr>
            <w:tcW w:w="7073" w:type="dxa"/>
            <w:vAlign w:val="center"/>
          </w:tcPr>
          <w:p w14:paraId="1A079EDC">
            <w:pPr>
              <w:keepNext/>
              <w:widowControl/>
              <w:ind w:firstLine="420" w:firstLineChars="200"/>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1、采购文件中所述政策法规、标准规范等文件，如有新文件则按新文件执行，如已废止则仅为参考。</w:t>
            </w:r>
          </w:p>
          <w:p w14:paraId="31661E70">
            <w:pPr>
              <w:keepNext/>
              <w:widowControl/>
              <w:ind w:firstLine="420" w:firstLineChars="200"/>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2、供应商须根据采购文件要求在投标文件中提供评审所需的相应证明材料扫描件。</w:t>
            </w:r>
          </w:p>
          <w:p w14:paraId="35AA713A">
            <w:pPr>
              <w:keepNext/>
              <w:widowControl/>
              <w:ind w:firstLine="420" w:firstLineChars="200"/>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3、建议供应商对本采购文件技术要求进行点对点应答，根据本采购文件的要求,结合所投产品的实际参数值，进行逐条逐项答复、说明和解释。</w:t>
            </w:r>
          </w:p>
          <w:p w14:paraId="66C67CEF">
            <w:pPr>
              <w:keepNext/>
              <w:widowControl/>
              <w:ind w:firstLine="420" w:firstLineChars="200"/>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4、最低报价不能作为中标的保证。</w:t>
            </w:r>
          </w:p>
          <w:p w14:paraId="67B3C5DF">
            <w:pPr>
              <w:keepNext/>
              <w:widowControl/>
              <w:ind w:firstLine="420" w:firstLineChars="200"/>
              <w:jc w:val="left"/>
              <w:rPr>
                <w:rFonts w:hint="eastAsia" w:ascii="仿宋" w:hAnsi="仿宋" w:eastAsia="仿宋" w:cs="仿宋"/>
                <w:color w:val="auto"/>
                <w:highlight w:val="none"/>
              </w:rPr>
            </w:pPr>
            <w:r>
              <w:rPr>
                <w:rFonts w:hint="eastAsia" w:ascii="仿宋" w:hAnsi="仿宋" w:eastAsia="仿宋" w:cs="仿宋"/>
                <w:color w:val="auto"/>
                <w:kern w:val="0"/>
                <w:szCs w:val="21"/>
                <w:highlight w:val="none"/>
              </w:rPr>
              <w:t>5、本表内容如与后文内容不一致处，以本表为准。</w:t>
            </w:r>
          </w:p>
        </w:tc>
      </w:tr>
    </w:tbl>
    <w:p w14:paraId="7C767227">
      <w:pPr>
        <w:spacing w:line="360" w:lineRule="auto"/>
        <w:jc w:val="center"/>
        <w:outlineLvl w:val="0"/>
        <w:rPr>
          <w:rFonts w:hint="eastAsia" w:ascii="仿宋" w:hAnsi="仿宋" w:eastAsia="仿宋" w:cs="仿宋"/>
          <w:b/>
          <w:color w:val="auto"/>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br w:type="page"/>
      </w:r>
      <w:bookmarkStart w:id="4" w:name="_Toc21790"/>
      <w:r>
        <w:rPr>
          <w:rFonts w:hint="eastAsia" w:ascii="仿宋" w:hAnsi="仿宋" w:eastAsia="仿宋" w:cs="仿宋"/>
          <w:b/>
          <w:color w:val="auto"/>
          <w:sz w:val="24"/>
          <w:szCs w:val="24"/>
          <w:highlight w:val="none"/>
          <w:shd w:val="clear" w:color="auto" w:fill="FFFFFF" w:themeFill="background1"/>
        </w:rPr>
        <w:t>第一章 供应商须知</w:t>
      </w:r>
      <w:bookmarkEnd w:id="4"/>
      <w:bookmarkStart w:id="5" w:name="_BookMark_2"/>
      <w:bookmarkEnd w:id="5"/>
    </w:p>
    <w:p w14:paraId="67063614">
      <w:pPr>
        <w:tabs>
          <w:tab w:val="center" w:pos="4832"/>
          <w:tab w:val="left" w:pos="7140"/>
        </w:tabs>
        <w:spacing w:line="360" w:lineRule="auto"/>
        <w:ind w:firstLine="472" w:firstLineChars="196"/>
        <w:jc w:val="left"/>
        <w:outlineLvl w:val="1"/>
        <w:rPr>
          <w:rFonts w:hint="eastAsia" w:ascii="仿宋" w:hAnsi="仿宋" w:eastAsia="仿宋" w:cs="仿宋"/>
          <w:b/>
          <w:color w:val="auto"/>
          <w:sz w:val="24"/>
          <w:szCs w:val="24"/>
          <w:highlight w:val="none"/>
          <w:shd w:val="clear" w:color="auto" w:fill="FFFFFF" w:themeFill="background1"/>
        </w:rPr>
      </w:pPr>
      <w:bookmarkStart w:id="6" w:name="_Toc12743"/>
      <w:r>
        <w:rPr>
          <w:rFonts w:hint="eastAsia" w:ascii="仿宋" w:hAnsi="仿宋" w:eastAsia="仿宋" w:cs="仿宋"/>
          <w:b/>
          <w:color w:val="auto"/>
          <w:sz w:val="24"/>
          <w:szCs w:val="24"/>
          <w:highlight w:val="none"/>
          <w:shd w:val="clear" w:color="auto" w:fill="FFFFFF" w:themeFill="background1"/>
        </w:rPr>
        <w:t>一、总则</w:t>
      </w:r>
      <w:bookmarkEnd w:id="6"/>
    </w:p>
    <w:p w14:paraId="74559D77">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1.1采购项目概况</w:t>
      </w:r>
    </w:p>
    <w:p w14:paraId="1386D645">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1.1.1项目名称：见供应商须知前附表。</w:t>
      </w:r>
    </w:p>
    <w:p w14:paraId="36D6C83E">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1.1.2项目编号：见供应商须知前附表。</w:t>
      </w:r>
    </w:p>
    <w:p w14:paraId="68CCCEAF">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1.1.3采购人：见供应商须知前附表。</w:t>
      </w:r>
    </w:p>
    <w:p w14:paraId="1421F973">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1.1.4采购代理机构：见供应商须知前附表。</w:t>
      </w:r>
    </w:p>
    <w:p w14:paraId="766B7D80">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1.1.5项目地点：见供应商须知前附表。</w:t>
      </w:r>
    </w:p>
    <w:p w14:paraId="14BA97B5">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1.1.6资金来源：见供应商须知前附表。</w:t>
      </w:r>
    </w:p>
    <w:p w14:paraId="555AA623">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1.1.7采购预算金额：见供应商须知前附表。</w:t>
      </w:r>
    </w:p>
    <w:p w14:paraId="11A46D13">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1.1.8最高限价：见供应商须知前附表。</w:t>
      </w:r>
    </w:p>
    <w:p w14:paraId="6BF93C01">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1.1.9是否单一产品：见供应商须知前附表。</w:t>
      </w:r>
    </w:p>
    <w:p w14:paraId="537FE4DA">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1.1.10合同履约期限：见供应商须知前附表。</w:t>
      </w:r>
    </w:p>
    <w:p w14:paraId="6C7B6E03">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1.1.11供货地点：见供应商须知前附表。</w:t>
      </w:r>
    </w:p>
    <w:p w14:paraId="56385BBB">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1.1.12质保期：见供应商须知前附表。</w:t>
      </w:r>
    </w:p>
    <w:p w14:paraId="4B23EB7A">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1.2采购范围：见供应商须知前附表。</w:t>
      </w:r>
    </w:p>
    <w:p w14:paraId="3C0D794B">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1.3采购方式和资格审查方式</w:t>
      </w:r>
    </w:p>
    <w:p w14:paraId="6BF30125">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1.3.1采购方式：见供应商须知前附表。</w:t>
      </w:r>
    </w:p>
    <w:p w14:paraId="647FCC8B">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1.3.2资格审查方式：见供应商须知前附表。</w:t>
      </w:r>
    </w:p>
    <w:p w14:paraId="15D6E41D">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1.4 评审办法及定标方法</w:t>
      </w:r>
    </w:p>
    <w:p w14:paraId="6FF9EA6C">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1.4.1评审办法：见供应商须知前附表。</w:t>
      </w:r>
    </w:p>
    <w:p w14:paraId="61A332C9">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1.4.2定标方法：见供应商须知前附表。</w:t>
      </w:r>
    </w:p>
    <w:p w14:paraId="4CE0251B">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1.5供应商的资格要求：见供应商须知前附表。</w:t>
      </w:r>
    </w:p>
    <w:p w14:paraId="4DFC5FB7">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1.6供应商不得存在的情形：见供应商须知前附表。</w:t>
      </w:r>
    </w:p>
    <w:p w14:paraId="65F0C053">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1.7费用承担</w:t>
      </w:r>
    </w:p>
    <w:p w14:paraId="600F2FFA">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1.7.1采购文件费：见供应商须知前附表。</w:t>
      </w:r>
    </w:p>
    <w:p w14:paraId="41B08561">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1.7.2供应商应承担其编制响应文件与递交响应文件所涉及的一切费用，无论投标结果如何，采购人及采购代理机构对上述费用不作任何补偿。采购代理咨询费由中标人支付；参照发改价格[2011]534号及计价格[2002]1980号文件计算的招标代理服务收费下浮30%计取，投资额（采购预算）50万元以下的项目按3000元/次收费，不再另行计费。</w:t>
      </w:r>
    </w:p>
    <w:p w14:paraId="2BF9A1DF">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1.8响应保证金：见供应商须知前附表。</w:t>
      </w:r>
    </w:p>
    <w:p w14:paraId="22C3B45E">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1.9现场踏勘</w:t>
      </w:r>
    </w:p>
    <w:p w14:paraId="48EB3125">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1.9.1供应商须知前附表如规定组织踏勘现场的，采购人或采购代理机构按供应商须知前附表规定的时间、地点组织供应商踏勘项目现场。</w:t>
      </w:r>
    </w:p>
    <w:p w14:paraId="01C93EB9">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1.9.2供应商踏勘现场发生的费用自理。</w:t>
      </w:r>
    </w:p>
    <w:p w14:paraId="2077F05D">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1.9.3除采购人或采购代理机构的原因外，供应商自行负责在踏勘现场中所发生的人员伤亡和财产损失。</w:t>
      </w:r>
    </w:p>
    <w:p w14:paraId="344CD942">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1.9.4采购人或采购代理机构在踏勘现场中介绍的项目有关情况，供供应商在编制响应文件时参考，采购人或采购代理机构不对供应商据此作出的判断和决策负责。</w:t>
      </w:r>
    </w:p>
    <w:p w14:paraId="03378FAC">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1.10招标答疑</w:t>
      </w:r>
    </w:p>
    <w:p w14:paraId="058F7308">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1.10.1供应商若有询问或质疑，应按供应商须知前附表规定的时间、方式向采购人或采购代理机构提出，要求采购人对采购文件予以澄清。</w:t>
      </w:r>
    </w:p>
    <w:p w14:paraId="6B3CC090">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1.11响应文件：见供应商须知前附表。</w:t>
      </w:r>
    </w:p>
    <w:p w14:paraId="14B4502A">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1.12响应文件递交：见供应商须知前附表。</w:t>
      </w:r>
    </w:p>
    <w:p w14:paraId="64740930">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1.13开标：见供应商须知前附表。</w:t>
      </w:r>
    </w:p>
    <w:p w14:paraId="52915D8A">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1.14响应有效期：见供应商须知前附表。</w:t>
      </w:r>
    </w:p>
    <w:p w14:paraId="2DBE4E93">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1.15公告发布媒体：见供应商须知前附表。</w:t>
      </w:r>
    </w:p>
    <w:p w14:paraId="78D93644">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1.16履约保证金：见供应商须知前附表。</w:t>
      </w:r>
    </w:p>
    <w:p w14:paraId="4003B8E0">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1.17中小企业政策说明：见供应商须知前附表。</w:t>
      </w:r>
    </w:p>
    <w:p w14:paraId="69D8520C">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1.18合同分包：见供应商须知前附表。</w:t>
      </w:r>
    </w:p>
    <w:p w14:paraId="2AD08D0C">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1.19进口产品：见供应商须知前附表。</w:t>
      </w:r>
    </w:p>
    <w:p w14:paraId="1DBFD469">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1.20样品：见供应商须知前附表。</w:t>
      </w:r>
    </w:p>
    <w:p w14:paraId="63448BD2">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1.21本国产品政策说明：见供应商须知前附表。</w:t>
      </w:r>
    </w:p>
    <w:p w14:paraId="57B4E2A9">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1.22保密</w:t>
      </w:r>
    </w:p>
    <w:p w14:paraId="51685266">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参与招标投标活动的各方应当对采购文件和响应文件中的商业和技术等秘密保密，否则应当承担相应的法律责任。</w:t>
      </w:r>
    </w:p>
    <w:p w14:paraId="2A2DE733">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1.23语言文字</w:t>
      </w:r>
    </w:p>
    <w:p w14:paraId="3E0B68B1">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除专用术语外，与招标投标有关的语言均应当使用中文。必要时专用术语应附有中文注释。</w:t>
      </w:r>
    </w:p>
    <w:p w14:paraId="56BC2DFC">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1.24计量单位</w:t>
      </w:r>
    </w:p>
    <w:p w14:paraId="0C3CF4AB">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rPr>
        <w:t>所有计量均采用中华人民共和国法定计量单位。</w:t>
      </w:r>
    </w:p>
    <w:p w14:paraId="1982E89D">
      <w:pPr>
        <w:tabs>
          <w:tab w:val="center" w:pos="4832"/>
          <w:tab w:val="left" w:pos="7140"/>
        </w:tabs>
        <w:spacing w:line="360" w:lineRule="auto"/>
        <w:ind w:firstLine="472" w:firstLineChars="196"/>
        <w:jc w:val="left"/>
        <w:outlineLvl w:val="1"/>
        <w:rPr>
          <w:rFonts w:hint="eastAsia" w:ascii="仿宋" w:hAnsi="仿宋" w:eastAsia="仿宋" w:cs="仿宋"/>
          <w:b/>
          <w:color w:val="auto"/>
          <w:sz w:val="24"/>
          <w:szCs w:val="24"/>
          <w:highlight w:val="none"/>
          <w:shd w:val="clear" w:color="auto" w:fill="FFFFFF" w:themeFill="background1"/>
        </w:rPr>
      </w:pPr>
      <w:bookmarkStart w:id="7" w:name="_Toc27520"/>
      <w:r>
        <w:rPr>
          <w:rFonts w:hint="eastAsia" w:ascii="仿宋" w:hAnsi="仿宋" w:eastAsia="仿宋" w:cs="仿宋"/>
          <w:b/>
          <w:color w:val="auto"/>
          <w:sz w:val="24"/>
          <w:szCs w:val="24"/>
          <w:highlight w:val="none"/>
          <w:shd w:val="clear" w:color="auto" w:fill="FFFFFF" w:themeFill="background1"/>
        </w:rPr>
        <w:t>二、采购文件</w:t>
      </w:r>
      <w:bookmarkEnd w:id="7"/>
    </w:p>
    <w:p w14:paraId="4E22941E">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2.1 采购文件的组成</w:t>
      </w:r>
    </w:p>
    <w:p w14:paraId="1F992EDF">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（1）谈判公告</w:t>
      </w:r>
    </w:p>
    <w:p w14:paraId="52A7F109">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（2）供应商须知前附表</w:t>
      </w:r>
    </w:p>
    <w:p w14:paraId="0FD6BFD0">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（3）供应商须知</w:t>
      </w:r>
    </w:p>
    <w:p w14:paraId="3C89445D">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（4）评审办法</w:t>
      </w:r>
    </w:p>
    <w:p w14:paraId="7910674B">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（5）合同文本；</w:t>
      </w:r>
    </w:p>
    <w:p w14:paraId="05579B57">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（6）技术标准和要求；</w:t>
      </w:r>
    </w:p>
    <w:p w14:paraId="0CEF0C16">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（7）响应文件格式；</w:t>
      </w:r>
    </w:p>
    <w:p w14:paraId="49AF534D">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（8）补充条款。</w:t>
      </w:r>
    </w:p>
    <w:p w14:paraId="661B8A5C">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根据本章第2.3款和第2.4款对采购文件所作的澄清、修改，构成采购文件的组成部分。</w:t>
      </w:r>
    </w:p>
    <w:p w14:paraId="4997E003">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2.2 采购文件的获取</w:t>
      </w:r>
    </w:p>
    <w:p w14:paraId="62799ED7">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凡有意参加并符合供应商须知前附表“供应商最低资格条件”的供应商，均可获取采购文件。</w:t>
      </w:r>
    </w:p>
    <w:p w14:paraId="6ECF9072">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2.3 采购文件的澄清</w:t>
      </w:r>
    </w:p>
    <w:p w14:paraId="2BE5464C">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2.3.1 供应商应当仔细阅读和检查采购文件的全部内容。如发现缺页或附件不全，应当及时向采购人提出，以便补齐。如有疑问，应当在供应商须知前附表规定的时间、方式向采购人提出，要求采购人对采购文件予以澄清。</w:t>
      </w:r>
    </w:p>
    <w:p w14:paraId="15C6A635">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2.3.2 采购文件的澄清将按照供应商须知前附表规定的时间、方式发布，但不指明澄清问题的来源。</w:t>
      </w:r>
    </w:p>
    <w:p w14:paraId="00E2F582">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2.4采购文件的修改</w:t>
      </w:r>
    </w:p>
    <w:p w14:paraId="1DF11CD3">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2.4.1 采购文件的修改将按照供应商须知前附表规定的时间、方式发布，但不指明澄清问题的来源。</w:t>
      </w:r>
    </w:p>
    <w:p w14:paraId="45EB7EA7">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2.4.2 在供应商须知前附表规定的截止时间前，无论出于何种原因，采购代理机构和采购人可主动地或在解答潜在供应商提出的澄清问题时对采购文件进行修改。</w:t>
      </w:r>
    </w:p>
    <w:p w14:paraId="7666B441">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2.4.3 采购文件的修改部分是采购文件的组成部分对供应商具有约束力。</w:t>
      </w:r>
    </w:p>
    <w:p w14:paraId="5D1E1334">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2.4.4 当采购人发放的采购文件及采购文件的答疑文件、修改文件、补充文件前后不一致，发生矛盾情况时，以最后发出的为准。</w:t>
      </w:r>
    </w:p>
    <w:p w14:paraId="65D399D0">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2.4.5 如果采购文件各个组成部分之间出现歧义或相互矛盾，或任何文件中呈现明显的或不符合逻辑等的错误，或在文件编写过程中经常出现的打印错误等，供应商应将需要澄清的内容在供应商须知前附表规定的时间之前提出。根据合同条款中的相关约定，如果供应商在投标过程中未能发现并对有关歧义、矛盾或错误提出澄清请求，而在成交后发现并提出，成交供应商将必须接受由采购人依据合同有关条款而做出的书面澄清。</w:t>
      </w:r>
    </w:p>
    <w:p w14:paraId="01C0BE4C">
      <w:pPr>
        <w:tabs>
          <w:tab w:val="center" w:pos="4832"/>
          <w:tab w:val="left" w:pos="7140"/>
        </w:tabs>
        <w:spacing w:line="360" w:lineRule="auto"/>
        <w:ind w:firstLine="472" w:firstLineChars="196"/>
        <w:jc w:val="left"/>
        <w:outlineLvl w:val="1"/>
        <w:rPr>
          <w:rFonts w:hint="eastAsia" w:ascii="仿宋" w:hAnsi="仿宋" w:eastAsia="仿宋" w:cs="仿宋"/>
          <w:b/>
          <w:color w:val="auto"/>
          <w:sz w:val="24"/>
          <w:szCs w:val="24"/>
          <w:highlight w:val="none"/>
          <w:shd w:val="clear" w:color="auto" w:fill="FFFFFF" w:themeFill="background1"/>
        </w:rPr>
      </w:pPr>
      <w:bookmarkStart w:id="8" w:name="_BookMark_6"/>
      <w:bookmarkEnd w:id="8"/>
      <w:bookmarkStart w:id="9" w:name="_Toc9378"/>
      <w:r>
        <w:rPr>
          <w:rFonts w:hint="eastAsia" w:ascii="仿宋" w:hAnsi="仿宋" w:eastAsia="仿宋" w:cs="仿宋"/>
          <w:b/>
          <w:color w:val="auto"/>
          <w:sz w:val="24"/>
          <w:szCs w:val="24"/>
          <w:highlight w:val="none"/>
          <w:shd w:val="clear" w:color="auto" w:fill="FFFFFF" w:themeFill="background1"/>
        </w:rPr>
        <w:t>三、响应文件</w:t>
      </w:r>
      <w:bookmarkEnd w:id="9"/>
    </w:p>
    <w:p w14:paraId="5A511524">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3.1 响应文件的组成</w:t>
      </w:r>
    </w:p>
    <w:p w14:paraId="73A4F45F">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3.1.1响应文件应包括下列内容：</w:t>
      </w:r>
    </w:p>
    <w:p w14:paraId="1A3FDFBE">
      <w:pPr>
        <w:spacing w:line="360" w:lineRule="auto"/>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（1）、开启一览表</w:t>
      </w:r>
    </w:p>
    <w:p w14:paraId="1F773FFC">
      <w:pPr>
        <w:spacing w:line="360" w:lineRule="auto"/>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（2）、响应函</w:t>
      </w:r>
    </w:p>
    <w:p w14:paraId="3CDE76B8">
      <w:pPr>
        <w:spacing w:line="360" w:lineRule="auto"/>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（3）、响应价格明细表</w:t>
      </w:r>
    </w:p>
    <w:p w14:paraId="3D7D5852">
      <w:pPr>
        <w:spacing w:line="360" w:lineRule="auto"/>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（4）、商务条款偏离表</w:t>
      </w:r>
    </w:p>
    <w:p w14:paraId="0CB215B6">
      <w:pPr>
        <w:spacing w:line="360" w:lineRule="auto"/>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（5）、技术条款偏离表</w:t>
      </w:r>
    </w:p>
    <w:p w14:paraId="26F7AB61">
      <w:pPr>
        <w:spacing w:line="360" w:lineRule="auto"/>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（6）、法定代表人身份证明书</w:t>
      </w:r>
    </w:p>
    <w:p w14:paraId="06766DED">
      <w:pPr>
        <w:spacing w:line="360" w:lineRule="auto"/>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（7）、法定代表人授权委托书</w:t>
      </w:r>
    </w:p>
    <w:p w14:paraId="0863CDBB">
      <w:pPr>
        <w:spacing w:line="360" w:lineRule="auto"/>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（8）、供应商资格条件证明材料</w:t>
      </w:r>
    </w:p>
    <w:p w14:paraId="77D82DFC">
      <w:pPr>
        <w:spacing w:line="360" w:lineRule="auto"/>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（9）、供应商近年类似项目情况表</w:t>
      </w:r>
    </w:p>
    <w:p w14:paraId="3B691F72">
      <w:pPr>
        <w:spacing w:line="360" w:lineRule="auto"/>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（10）、售后服务承诺书</w:t>
      </w:r>
    </w:p>
    <w:p w14:paraId="4AE83ED7">
      <w:pPr>
        <w:spacing w:line="360" w:lineRule="auto"/>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（11）、技术方案</w:t>
      </w:r>
    </w:p>
    <w:p w14:paraId="4ABFA38F">
      <w:pPr>
        <w:spacing w:line="360" w:lineRule="auto"/>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（12）、保证金缴纳证明材料</w:t>
      </w:r>
    </w:p>
    <w:p w14:paraId="34F27C8B">
      <w:pPr>
        <w:spacing w:line="360" w:lineRule="auto"/>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（13）、其它需要提交的资料</w:t>
      </w:r>
    </w:p>
    <w:p w14:paraId="55A0A0EF">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3.2 响应价格</w:t>
      </w:r>
    </w:p>
    <w:p w14:paraId="0E4AD2C2">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3.2.1 供应商应当按第四章“技术标准和要求”的规定进行报价，并填写第五章“响应文件格式”中的响应价格明细表。</w:t>
      </w:r>
    </w:p>
    <w:p w14:paraId="67841F76">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3.2.2本次谈判采用二轮报价法，第二轮报价时长由谈判小组成员根据现场情况设定，供应商必须在规定时间内报价，超时无效；若供应商未进行第二轮报价，视为放弃响应资格；其响应无效；不在参与后续评审。</w:t>
      </w:r>
    </w:p>
    <w:p w14:paraId="52B7DA8B">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3.2.3供应商递交的响应文件中的报价为第一轮报价，第一轮报价与第二轮报价超出本项目最高限价的视为无效响应。</w:t>
      </w:r>
    </w:p>
    <w:p w14:paraId="7247D6D1">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3.2.4供应商提供的货物一律用人民币报价。</w:t>
      </w:r>
    </w:p>
    <w:p w14:paraId="49090557">
      <w:pPr>
        <w:widowControl/>
        <w:shd w:val="clear" w:color="auto" w:fill="FFFFFF"/>
        <w:snapToGrid w:val="0"/>
        <w:spacing w:line="360" w:lineRule="auto"/>
        <w:ind w:firstLine="480" w:firstLineChars="200"/>
        <w:rPr>
          <w:rFonts w:hint="eastAsia" w:ascii="仿宋" w:hAnsi="仿宋" w:eastAsia="仿宋" w:cs="仿宋"/>
          <w:bCs/>
          <w:color w:val="auto"/>
          <w:sz w:val="24"/>
          <w:szCs w:val="24"/>
          <w:highlight w:val="none"/>
        </w:rPr>
      </w:pPr>
      <w:r>
        <w:rPr>
          <w:rFonts w:hint="eastAsia" w:ascii="仿宋" w:hAnsi="仿宋" w:eastAsia="仿宋" w:cs="仿宋"/>
          <w:color w:val="auto"/>
          <w:kern w:val="0"/>
          <w:sz w:val="24"/>
          <w:szCs w:val="24"/>
          <w:highlight w:val="none"/>
          <w:shd w:val="clear" w:color="auto" w:fill="FFFFFF" w:themeFill="background1"/>
        </w:rPr>
        <w:t>3.2.5供应商的货物只允许有一个报价，采购人不接受有任何选择的报价。</w:t>
      </w:r>
      <w:r>
        <w:rPr>
          <w:rFonts w:hint="eastAsia" w:ascii="仿宋" w:hAnsi="仿宋" w:eastAsia="仿宋" w:cs="仿宋"/>
          <w:bCs/>
          <w:color w:val="auto"/>
          <w:sz w:val="24"/>
          <w:szCs w:val="24"/>
          <w:highlight w:val="none"/>
        </w:rPr>
        <w:t>响应价格应包括供应商履行本项目合同（如果中标）所必须的所有成本费用（人工、采购、仓储、保险、运输、安装、调试、培训、技术文档编制、质保、售后服务等）和中标人应承担的一切税费；未列和没有填写的项目费用，采购人将视为已包括在响应价格中。</w:t>
      </w:r>
    </w:p>
    <w:p w14:paraId="7A1EA65B">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3.3 响应有效期</w:t>
      </w:r>
    </w:p>
    <w:p w14:paraId="04E0E367">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3.3.1 在供应商须知前附表规定的响应有效期内，供应商不得要求撤销或修改其响应文件。</w:t>
      </w:r>
    </w:p>
    <w:p w14:paraId="4280A116">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 xml:space="preserve">3.3.2 出现特殊情况需要延长响应有效期的，采购人将通知所有供应商延长响应有效期。供应商同意延长的，应当相应延长其响应保证金的有效期，但不得要求或被允许修改或撤销其响应文件；供应商拒绝延长的，其投标失效，但供应商有权收回其响应保证金。 </w:t>
      </w:r>
    </w:p>
    <w:p w14:paraId="5BB0AB72">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3.4 响应保证金</w:t>
      </w:r>
    </w:p>
    <w:p w14:paraId="23AE282E">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3.4.1 供应商应于响应文件递交截止时间前按供应商须知前附表规定数额提交响应保证金。未提交响应保证金的，将被视为非响应性投标而予以拒绝。联合体谈判投标的，其响应保证金由牵头人递交，并应符合供应商须知前附表的规定。</w:t>
      </w:r>
    </w:p>
    <w:p w14:paraId="6B483889">
      <w:pPr>
        <w:widowControl/>
        <w:shd w:val="clear" w:color="auto" w:fill="FFFFFF"/>
        <w:snapToGrid w:val="0"/>
        <w:spacing w:line="360" w:lineRule="auto"/>
        <w:ind w:firstLine="480" w:firstLineChars="200"/>
        <w:rPr>
          <w:rFonts w:hint="eastAsia"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3.4.2</w:t>
      </w:r>
      <w:r>
        <w:rPr>
          <w:rFonts w:hint="eastAsia" w:ascii="仿宋" w:hAnsi="仿宋" w:eastAsia="仿宋" w:cs="仿宋"/>
          <w:color w:val="auto"/>
          <w:sz w:val="24"/>
          <w:szCs w:val="24"/>
          <w:highlight w:val="none"/>
          <w:shd w:val="clear" w:color="auto" w:fill="FFFFFF" w:themeFill="background1"/>
        </w:rPr>
        <w:t>响应保证金以支票、汇票、本票或者金融机构、担保机构出具的保函等非现金形式提交至采购代理机构。</w:t>
      </w:r>
    </w:p>
    <w:p w14:paraId="4CADD914">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3.4.3 响应保证金是为了保护采购人免遭因供应商的行为而蒙受损失。采购人在因供应商的行为受到损害时可根据相关法律规定没收供应商的响应保证金。</w:t>
      </w:r>
    </w:p>
    <w:p w14:paraId="446DB11A">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3.4.4 采购人或者采购代理机构应当自成交通知书发出之日起5个工作日内退还未成交供应商的响应保证金，自采购合同签订之日起5个工作日内退还成交供应商的响应保证金。</w:t>
      </w:r>
    </w:p>
    <w:p w14:paraId="3F300E4F">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3.4.5响应保证金有效期与响应有效期一致。</w:t>
      </w:r>
    </w:p>
    <w:p w14:paraId="31A1BAB3">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3.4.6有下列情形之一的，响应保证金不予退还：</w:t>
      </w:r>
    </w:p>
    <w:p w14:paraId="2484423D">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（1）供应商在规定的响应有效期内撤销或修改其响应文件的；</w:t>
      </w:r>
    </w:p>
    <w:p w14:paraId="00EDF681">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（2）成交供应商在收到成交通知书后，无正当理由拒签合同协议书或在签订合同时提出附加条件或者更改合同实质性内容的；</w:t>
      </w:r>
    </w:p>
    <w:p w14:paraId="44166C42">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（3）未按采购文件规定提交履约保证金的。</w:t>
      </w:r>
    </w:p>
    <w:p w14:paraId="2B43FF10">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bookmarkStart w:id="10" w:name="_BookMark_7"/>
      <w:bookmarkEnd w:id="10"/>
      <w:bookmarkStart w:id="11" w:name="_Toc139809021"/>
      <w:bookmarkStart w:id="12" w:name="_Toc10597"/>
      <w:r>
        <w:rPr>
          <w:rFonts w:hint="eastAsia" w:ascii="仿宋" w:hAnsi="仿宋" w:eastAsia="仿宋" w:cs="仿宋"/>
          <w:color w:val="auto"/>
          <w:kern w:val="0"/>
          <w:sz w:val="24"/>
          <w:szCs w:val="24"/>
          <w:highlight w:val="none"/>
          <w:shd w:val="clear" w:color="auto" w:fill="FFFFFF" w:themeFill="background1"/>
        </w:rPr>
        <w:t>3.5 响应文件的编制</w:t>
      </w:r>
    </w:p>
    <w:p w14:paraId="6A9CDB02">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3.5.1响应文件应按第五章“响应文件格式”进行编写，如有必要，可以增加附页，作为响应文件的组成部分。</w:t>
      </w:r>
    </w:p>
    <w:p w14:paraId="1E8ABF89">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3.5.2响应文件应当对采购文件有关采购范围、技术与服务要求等实质性内容做出响应。</w:t>
      </w:r>
    </w:p>
    <w:p w14:paraId="4BE29C26">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3.5.3电子响应文件使用政采云平台响应文件制作工具以及采购文件要求进行制作编制。响应文件制作时，按照采购文件中明确的响应文件目录和格式进行编制，保证目录清晰、内容完整。</w:t>
      </w:r>
    </w:p>
    <w:p w14:paraId="4F8D2C2E">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3.5.4电子文件具有法律效力，与其他形式的响应文件在内容和格式上等同，若响应文件与采购文件要求不一致，其内容影响成交结果时，责任由供应商自行承担。供应商递交的电子响应文件因供应商自身原因而导致无法导入电子评标系统，该响应文件视为无效响应文件，将导致其投标被拒绝。</w:t>
      </w:r>
    </w:p>
    <w:p w14:paraId="75E4BA66">
      <w:pPr>
        <w:tabs>
          <w:tab w:val="center" w:pos="4832"/>
          <w:tab w:val="left" w:pos="7140"/>
        </w:tabs>
        <w:spacing w:line="360" w:lineRule="auto"/>
        <w:ind w:firstLine="472" w:firstLineChars="196"/>
        <w:jc w:val="left"/>
        <w:outlineLvl w:val="1"/>
        <w:rPr>
          <w:rFonts w:hint="eastAsia" w:ascii="仿宋" w:hAnsi="仿宋" w:eastAsia="仿宋" w:cs="仿宋"/>
          <w:b/>
          <w:color w:val="auto"/>
          <w:sz w:val="24"/>
          <w:szCs w:val="24"/>
          <w:highlight w:val="none"/>
          <w:shd w:val="clear" w:color="auto" w:fill="FFFFFF" w:themeFill="background1"/>
        </w:rPr>
      </w:pPr>
      <w:bookmarkStart w:id="13" w:name="_Toc1545"/>
      <w:r>
        <w:rPr>
          <w:rFonts w:hint="eastAsia" w:ascii="仿宋" w:hAnsi="仿宋" w:eastAsia="仿宋" w:cs="仿宋"/>
          <w:b/>
          <w:color w:val="auto"/>
          <w:sz w:val="24"/>
          <w:szCs w:val="24"/>
          <w:highlight w:val="none"/>
          <w:shd w:val="clear" w:color="auto" w:fill="FFFFFF" w:themeFill="background1"/>
        </w:rPr>
        <w:t>四、投标</w:t>
      </w:r>
      <w:bookmarkEnd w:id="11"/>
      <w:bookmarkEnd w:id="13"/>
    </w:p>
    <w:p w14:paraId="62CFC527">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 xml:space="preserve">4.1本次采购采用电子交易方式，电子交易平台为“政采云平台（https://www.zcygov.cn/）”。供应商参与本项目电子交易活动前，应注册成为政府采购云平台供应商。编制电子响应文件前还需申领CA证书并绑定帐号。供应商应充分考虑完成平台注册、申领CA证书等所需的时间。因未注册入库、未办理CA数字证书等原因造成无法投标或投标失败等后果由供应商自行承担。 </w:t>
      </w:r>
    </w:p>
    <w:p w14:paraId="57CB4ACC">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4.2供应商将政采云电子交易客户端下载、安装完成后，可通过账号密码或CA登录客户端进行响应文件制作。在使用政采云投标客户端时，建议使用WIN7及以上操作系统。客户端请至新疆政府采购网（www.ccgp-xinjiang.gov.cn）下载专区查看，如有问题可拨打政采云客户服务热线95763进行咨询。</w:t>
      </w:r>
    </w:p>
    <w:p w14:paraId="2D0167F3">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4.3响应文件的递交</w:t>
      </w:r>
    </w:p>
    <w:p w14:paraId="29FDA813">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4.3.1加密的电子响应文件应在响应文件递交截止时间前通过政采云平台上传完成。逾期上传或者未上传指定地点的响应文件，采购人不予受理。</w:t>
      </w:r>
    </w:p>
    <w:p w14:paraId="0325AFBB">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4.3.2采购人事先约定延长响应文件递交截止时间的，采购人与供应商以前的投标截止期方面的全部权利、责任和义务，将适用延长至新的投标截止期。</w:t>
      </w:r>
    </w:p>
    <w:p w14:paraId="57D34FB4">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4.3.3供应商或其响应文件存在下列情形之一的，采购人对其响应文件不予受理：</w:t>
      </w:r>
    </w:p>
    <w:p w14:paraId="60A5A420">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（1）逾期上传的响应文件；</w:t>
      </w:r>
    </w:p>
    <w:p w14:paraId="4D965A82">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（2）未按本章第4.2.1款要求加密的响应文件。</w:t>
      </w:r>
    </w:p>
    <w:p w14:paraId="1C1B02DF">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bookmarkStart w:id="14" w:name="_BookMark_8"/>
      <w:bookmarkEnd w:id="14"/>
      <w:r>
        <w:rPr>
          <w:rFonts w:hint="eastAsia" w:ascii="仿宋" w:hAnsi="仿宋" w:eastAsia="仿宋" w:cs="仿宋"/>
          <w:color w:val="auto"/>
          <w:kern w:val="0"/>
          <w:sz w:val="24"/>
          <w:szCs w:val="24"/>
          <w:highlight w:val="none"/>
          <w:shd w:val="clear" w:color="auto" w:fill="FFFFFF" w:themeFill="background1"/>
        </w:rPr>
        <w:t>4.4响应文件的修改与撤回</w:t>
      </w:r>
    </w:p>
    <w:p w14:paraId="5349F017">
      <w:pPr>
        <w:widowControl/>
        <w:shd w:val="clear" w:color="auto" w:fill="FFFFFF"/>
        <w:snapToGrid w:val="0"/>
        <w:spacing w:line="360" w:lineRule="auto"/>
        <w:ind w:firstLine="480" w:firstLineChars="200"/>
        <w:rPr>
          <w:rFonts w:hint="eastAsia" w:ascii="仿宋" w:hAnsi="仿宋" w:eastAsia="仿宋" w:cs="仿宋"/>
          <w:color w:val="auto"/>
          <w:sz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4.4.1</w:t>
      </w:r>
      <w:r>
        <w:rPr>
          <w:rFonts w:hint="eastAsia" w:ascii="仿宋" w:hAnsi="仿宋" w:eastAsia="仿宋" w:cs="仿宋"/>
          <w:color w:val="auto"/>
          <w:sz w:val="24"/>
          <w:highlight w:val="none"/>
          <w:shd w:val="clear" w:color="auto" w:fill="FFFFFF" w:themeFill="background1"/>
        </w:rPr>
        <w:t>供应商应在供应商须知前附表中规定的截止时间前，可以撤回已上传的响应文件。如要修改，必须在撤回并修改后在规定的响应文件递交截止时间之前将修改后的响应文件再重新上传。在响应文件递交截止时间之后，供应商不得对上传的响应文件撤销或修改。</w:t>
      </w:r>
    </w:p>
    <w:p w14:paraId="568C7C58">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4.5响应文件格式</w:t>
      </w:r>
    </w:p>
    <w:p w14:paraId="668B1B93">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4.5.1响应文件格式见第五章。</w:t>
      </w:r>
    </w:p>
    <w:p w14:paraId="01ADCDEB">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4.5.2供应商应使用本采购文件后面提供的响应文件格式填写，如不够用时，供应商可按同样格式自行编制和填补，如果本采购文件未提供格式的，供应商可自行编制。</w:t>
      </w:r>
    </w:p>
    <w:bookmarkEnd w:id="12"/>
    <w:p w14:paraId="03C158FC">
      <w:pPr>
        <w:tabs>
          <w:tab w:val="center" w:pos="4832"/>
          <w:tab w:val="left" w:pos="7140"/>
        </w:tabs>
        <w:spacing w:line="360" w:lineRule="auto"/>
        <w:ind w:firstLine="472" w:firstLineChars="196"/>
        <w:jc w:val="left"/>
        <w:outlineLvl w:val="1"/>
        <w:rPr>
          <w:rFonts w:hint="eastAsia" w:ascii="仿宋" w:hAnsi="仿宋" w:eastAsia="仿宋" w:cs="仿宋"/>
          <w:b/>
          <w:color w:val="auto"/>
          <w:sz w:val="24"/>
          <w:szCs w:val="24"/>
          <w:highlight w:val="none"/>
          <w:shd w:val="clear" w:color="auto" w:fill="FFFFFF" w:themeFill="background1"/>
        </w:rPr>
      </w:pPr>
      <w:bookmarkStart w:id="15" w:name="_Toc15457"/>
      <w:r>
        <w:rPr>
          <w:rFonts w:hint="eastAsia" w:ascii="仿宋" w:hAnsi="仿宋" w:eastAsia="仿宋" w:cs="仿宋"/>
          <w:b/>
          <w:color w:val="auto"/>
          <w:sz w:val="24"/>
          <w:szCs w:val="24"/>
          <w:highlight w:val="none"/>
          <w:shd w:val="clear" w:color="auto" w:fill="FFFFFF" w:themeFill="background1"/>
        </w:rPr>
        <w:t>五、开标</w:t>
      </w:r>
      <w:bookmarkEnd w:id="15"/>
    </w:p>
    <w:p w14:paraId="2B7F8043">
      <w:pPr>
        <w:spacing w:line="360" w:lineRule="auto"/>
        <w:ind w:firstLine="480" w:firstLineChars="200"/>
        <w:rPr>
          <w:rFonts w:hint="eastAsia" w:ascii="仿宋" w:hAnsi="仿宋" w:eastAsia="仿宋" w:cs="仿宋"/>
          <w:color w:val="auto"/>
          <w:sz w:val="24"/>
          <w:szCs w:val="28"/>
          <w:highlight w:val="none"/>
        </w:rPr>
      </w:pPr>
      <w:bookmarkStart w:id="16" w:name="_BookMark_9"/>
      <w:bookmarkEnd w:id="16"/>
      <w:r>
        <w:rPr>
          <w:rFonts w:hint="eastAsia" w:ascii="仿宋" w:hAnsi="仿宋" w:eastAsia="仿宋" w:cs="仿宋"/>
          <w:color w:val="auto"/>
          <w:sz w:val="24"/>
          <w:szCs w:val="28"/>
          <w:highlight w:val="none"/>
        </w:rPr>
        <w:t>5.1开标时间和地点</w:t>
      </w:r>
    </w:p>
    <w:p w14:paraId="55684419">
      <w:pPr>
        <w:spacing w:line="360" w:lineRule="auto"/>
        <w:ind w:firstLine="480" w:firstLineChars="200"/>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采购人在供应商须知前附表规定的时间、地点开标，并邀请所有供应商的法定代表人或其授权委托人参加。</w:t>
      </w:r>
    </w:p>
    <w:p w14:paraId="1C0965C3">
      <w:pPr>
        <w:widowControl/>
        <w:shd w:val="clear" w:color="auto" w:fill="FFFFFF"/>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kern w:val="0"/>
          <w:sz w:val="24"/>
          <w:szCs w:val="24"/>
          <w:highlight w:val="none"/>
        </w:rPr>
        <w:t>5.2</w:t>
      </w:r>
      <w:r>
        <w:rPr>
          <w:rFonts w:hint="eastAsia" w:ascii="仿宋" w:hAnsi="仿宋" w:eastAsia="仿宋" w:cs="仿宋"/>
          <w:color w:val="auto"/>
          <w:sz w:val="24"/>
          <w:highlight w:val="none"/>
        </w:rPr>
        <w:t>各供应商应对本单位的加密的电子响应文件网上解密，采购代理机构工作人员在监督人员监督下开启所有响应文件。</w:t>
      </w:r>
    </w:p>
    <w:p w14:paraId="2F91B093">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注：根据政府采购法及有关政策规定，竞争性谈判采购方式不能公开供应商的技术资料、价格和其他信息，因此对于上述内容不予唱标。</w:t>
      </w:r>
    </w:p>
    <w:p w14:paraId="032FBCDD">
      <w:pPr>
        <w:tabs>
          <w:tab w:val="center" w:pos="4832"/>
          <w:tab w:val="left" w:pos="7140"/>
        </w:tabs>
        <w:spacing w:line="360" w:lineRule="auto"/>
        <w:ind w:firstLine="472" w:firstLineChars="196"/>
        <w:jc w:val="left"/>
        <w:outlineLvl w:val="1"/>
        <w:rPr>
          <w:rFonts w:hint="eastAsia" w:ascii="仿宋" w:hAnsi="仿宋" w:eastAsia="仿宋" w:cs="仿宋"/>
          <w:b/>
          <w:color w:val="auto"/>
          <w:sz w:val="24"/>
          <w:szCs w:val="24"/>
          <w:highlight w:val="none"/>
          <w:shd w:val="clear" w:color="auto" w:fill="FFFFFF" w:themeFill="background1"/>
        </w:rPr>
      </w:pPr>
      <w:bookmarkStart w:id="17" w:name="_Toc18145"/>
      <w:r>
        <w:rPr>
          <w:rFonts w:hint="eastAsia" w:ascii="仿宋" w:hAnsi="仿宋" w:eastAsia="仿宋" w:cs="仿宋"/>
          <w:b/>
          <w:color w:val="auto"/>
          <w:sz w:val="24"/>
          <w:szCs w:val="24"/>
          <w:highlight w:val="none"/>
          <w:shd w:val="clear" w:color="auto" w:fill="FFFFFF" w:themeFill="background1"/>
        </w:rPr>
        <w:t>六、评审</w:t>
      </w:r>
      <w:bookmarkEnd w:id="17"/>
    </w:p>
    <w:p w14:paraId="596D2C5F">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6.1 谈判小组</w:t>
      </w:r>
    </w:p>
    <w:p w14:paraId="4C4C1A4C">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6.1.1谈判小组由采购人代表和评审专家共3人以上单数组成，其中评审专家人数不得少于谈判小组成员总数的2/3。采购人代表不得以评审专家身份参加本部门或本单位采购项目的评审。采购代理机构人员不得参加本机构代理的采购项目的评审。</w:t>
      </w:r>
    </w:p>
    <w:p w14:paraId="1E99A1AA">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 xml:space="preserve">6.2 评审原则 </w:t>
      </w:r>
    </w:p>
    <w:p w14:paraId="06DBB840">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评审活动遵循公平、公正、科学和择优的原则。</w:t>
      </w:r>
    </w:p>
    <w:p w14:paraId="36381949">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6.3 评审</w:t>
      </w:r>
    </w:p>
    <w:p w14:paraId="212EDB8A">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谈判小组按照采购文件中规定的方法、评审因素、标准和程序对响应文件进行评审。</w:t>
      </w:r>
    </w:p>
    <w:p w14:paraId="1DA904B1">
      <w:pPr>
        <w:tabs>
          <w:tab w:val="center" w:pos="4832"/>
          <w:tab w:val="left" w:pos="7140"/>
        </w:tabs>
        <w:spacing w:line="360" w:lineRule="auto"/>
        <w:ind w:firstLine="472" w:firstLineChars="196"/>
        <w:jc w:val="left"/>
        <w:outlineLvl w:val="1"/>
        <w:rPr>
          <w:rFonts w:hint="eastAsia" w:ascii="仿宋" w:hAnsi="仿宋" w:eastAsia="仿宋" w:cs="仿宋"/>
          <w:b/>
          <w:color w:val="auto"/>
          <w:sz w:val="24"/>
          <w:szCs w:val="24"/>
          <w:highlight w:val="none"/>
          <w:shd w:val="clear" w:color="auto" w:fill="FFFFFF" w:themeFill="background1"/>
        </w:rPr>
      </w:pPr>
      <w:bookmarkStart w:id="18" w:name="_BookMark_10"/>
      <w:bookmarkEnd w:id="18"/>
      <w:bookmarkStart w:id="19" w:name="_Toc113902767"/>
      <w:bookmarkStart w:id="20" w:name="_Toc10042"/>
      <w:r>
        <w:rPr>
          <w:rFonts w:hint="eastAsia" w:ascii="仿宋" w:hAnsi="仿宋" w:eastAsia="仿宋" w:cs="仿宋"/>
          <w:b/>
          <w:color w:val="auto"/>
          <w:sz w:val="24"/>
          <w:szCs w:val="24"/>
          <w:highlight w:val="none"/>
          <w:shd w:val="clear" w:color="auto" w:fill="FFFFFF" w:themeFill="background1"/>
        </w:rPr>
        <w:t>七、定标及合同授予</w:t>
      </w:r>
      <w:bookmarkEnd w:id="19"/>
      <w:bookmarkEnd w:id="20"/>
    </w:p>
    <w:p w14:paraId="7825BFAE">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7.1 定标方法</w:t>
      </w:r>
    </w:p>
    <w:p w14:paraId="5B377E0E">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7.1.1 评审活动遵循公平、公正、科学和择优的原则。谈判小组按照采购文件中规定的方法、评审因素、标准和程序对响应文件进行评审，并按供应商须知前附表的规定向采购人推荐成交候选人。采购人依据谈判小组推荐的成交候选人确定成交供应商。</w:t>
      </w:r>
    </w:p>
    <w:p w14:paraId="7AEBC50F">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7.1.2 采购人从成交候选人中确定出成交供应商的原则：采购人应当确定排名第一的成交候选人为成交供应商。排名第一的成交候选人放弃成交、因不可抗力不能履行合同，不按照采购文件要求提交履约保证金、或者被查实存在影响中标（成交）结果的违法行为等情形，不符合中标（成交）条件的，采购人可以按照谈判小组提出的成交候选人名单排名依次确定其他成交候选人为成交供应商。</w:t>
      </w:r>
    </w:p>
    <w:p w14:paraId="41F3D8D2">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7.2成交结果公告</w:t>
      </w:r>
    </w:p>
    <w:p w14:paraId="42D1BA3E">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在公告成交结果的同时，采购人或者采购代理机构向成交供应商发出成交通知书；对未通过资格审查的供应商，应当告知其未通过的原因。</w:t>
      </w:r>
    </w:p>
    <w:p w14:paraId="02E2C115">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7.3履约保证金</w:t>
      </w:r>
    </w:p>
    <w:p w14:paraId="5015ECF6">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7.3.1 在签订合同前，成交供应商应按供应商须知前附表规定的金额、形式向采购人提交履约保证金。联合体中标（成交）的，其履约保证金由牵头人提交，并应符合供应商须知前附表的规定。</w:t>
      </w:r>
    </w:p>
    <w:p w14:paraId="74308B42">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7.3.2 成交供应商不能按本章第7.3.1款要求提交履约保证金的，视为放弃中标（成交），其响应保证金不予退还；给采购人造成的损失超过响应保证金数额的，成交供应商还应当对超过部分予以赔偿。</w:t>
      </w:r>
    </w:p>
    <w:p w14:paraId="055B576B">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7.4 签订合同</w:t>
      </w:r>
    </w:p>
    <w:p w14:paraId="1C3561D7">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7.4.1采购人应当自成交通知书发出之日起30日内，按照采购文件和成交供应商响应文件的规定，与成交供应商签订书面合同。</w:t>
      </w:r>
    </w:p>
    <w:p w14:paraId="46F730E6">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7.4.2发出成交通知书后，采购人无正当理由拒签合同的，给成交供应商造成损失的，还应当赔偿成交供应商损失。</w:t>
      </w:r>
    </w:p>
    <w:p w14:paraId="141BBF73">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7.4.3发出成交通知书后，成交供应商无正当理由拒签合同的，采购人取消其中标（成交）资格，其响应保证金不予退还；给采购人造成的损失超过响应保证金数额的，成交供应商还应当对超过部分予以赔偿。</w:t>
      </w:r>
    </w:p>
    <w:p w14:paraId="078C54BB">
      <w:pPr>
        <w:tabs>
          <w:tab w:val="center" w:pos="4832"/>
          <w:tab w:val="left" w:pos="7140"/>
        </w:tabs>
        <w:spacing w:line="360" w:lineRule="auto"/>
        <w:ind w:firstLine="472" w:firstLineChars="196"/>
        <w:jc w:val="left"/>
        <w:outlineLvl w:val="1"/>
        <w:rPr>
          <w:rFonts w:hint="eastAsia" w:ascii="仿宋" w:hAnsi="仿宋" w:eastAsia="仿宋" w:cs="仿宋"/>
          <w:b/>
          <w:color w:val="auto"/>
          <w:sz w:val="24"/>
          <w:szCs w:val="24"/>
          <w:highlight w:val="none"/>
          <w:shd w:val="clear" w:color="auto" w:fill="FFFFFF" w:themeFill="background1"/>
        </w:rPr>
      </w:pPr>
      <w:bookmarkStart w:id="21" w:name="_BookMark_11"/>
      <w:bookmarkEnd w:id="21"/>
      <w:bookmarkStart w:id="22" w:name="_Toc11602"/>
      <w:r>
        <w:rPr>
          <w:rFonts w:hint="eastAsia" w:ascii="仿宋" w:hAnsi="仿宋" w:eastAsia="仿宋" w:cs="仿宋"/>
          <w:b/>
          <w:color w:val="auto"/>
          <w:sz w:val="24"/>
          <w:szCs w:val="24"/>
          <w:highlight w:val="none"/>
          <w:shd w:val="clear" w:color="auto" w:fill="FFFFFF" w:themeFill="background1"/>
        </w:rPr>
        <w:t>八、纪律和监督</w:t>
      </w:r>
      <w:bookmarkEnd w:id="22"/>
    </w:p>
    <w:p w14:paraId="2D9B3505">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8.1 对采购人的纪律要求</w:t>
      </w:r>
    </w:p>
    <w:p w14:paraId="364DC54D">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采购人不得泄漏采购活动中应当保密的情况和资料，不得与供应商串通损害国家利益、社会公共利益或者他人合法权益。</w:t>
      </w:r>
    </w:p>
    <w:p w14:paraId="6096F58F">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8.2 对供应商的纪律要求</w:t>
      </w:r>
    </w:p>
    <w:p w14:paraId="1A575FF2">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供应商不得相互串通投标或者与采购人串通投标，不得向采购人或者谈判小组成员行贿谋取中标（成交），不得以他人名义投标或者以其他方式弄虚作假骗取中标（成交）；供应商不得以任何方式干扰、影响评审工作。</w:t>
      </w:r>
    </w:p>
    <w:p w14:paraId="25087718">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8.3 对谈判小组成员的纪律要求</w:t>
      </w:r>
    </w:p>
    <w:p w14:paraId="50CDA5B1">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谈判小组成员不得收受他人的财物或者其他好处，不得向他人透漏对响应文件的评审和比较、成交候选人的推荐情况以及评审有关的其他情况。在评审活动中，谈判小组成员不得擅离职守，影响评审程序正常进行，不得使用评审办法没有规定的评审因素和标准进行评审。</w:t>
      </w:r>
    </w:p>
    <w:p w14:paraId="7C5A4632">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8.4 对与评审活动有关的工作人员的纪律要求</w:t>
      </w:r>
    </w:p>
    <w:p w14:paraId="2E43F6A2">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与评审活动有关的工作人员不得收受他人的财物或者其他好处，不得向他人透漏对响应文件的评审和比较、成交候选人的推荐情况以及评审有关的其他情况。在评审活动中，与评审活动有关的工作人员不得擅离职守，影响评审程序正常进行。</w:t>
      </w:r>
    </w:p>
    <w:p w14:paraId="0059721B">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8.5 监督</w:t>
      </w:r>
    </w:p>
    <w:p w14:paraId="027B33B4">
      <w:pPr>
        <w:widowControl/>
        <w:shd w:val="clear" w:color="auto" w:fill="FFFFFF"/>
        <w:snapToGrid w:val="0"/>
        <w:spacing w:line="360" w:lineRule="auto"/>
        <w:ind w:firstLine="480" w:firstLineChars="200"/>
        <w:jc w:val="lef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本项目的采购活动及其相关当事人应当接受有管辖权的监督部门依法实施的监督。</w:t>
      </w:r>
      <w:bookmarkStart w:id="23" w:name="_BookMark_12"/>
      <w:bookmarkEnd w:id="23"/>
    </w:p>
    <w:p w14:paraId="4B7B3537">
      <w:pPr>
        <w:rPr>
          <w:rFonts w:hint="eastAsia" w:ascii="仿宋" w:hAnsi="仿宋" w:eastAsia="仿宋" w:cs="仿宋"/>
          <w:b/>
          <w:color w:val="auto"/>
          <w:sz w:val="24"/>
          <w:szCs w:val="24"/>
          <w:highlight w:val="none"/>
          <w:shd w:val="clear" w:color="auto" w:fill="FFFFFF" w:themeFill="background1"/>
        </w:rPr>
      </w:pPr>
      <w:r>
        <w:rPr>
          <w:rFonts w:hint="eastAsia" w:ascii="仿宋" w:hAnsi="仿宋" w:eastAsia="仿宋" w:cs="仿宋"/>
          <w:b/>
          <w:color w:val="auto"/>
          <w:sz w:val="24"/>
          <w:szCs w:val="24"/>
          <w:highlight w:val="none"/>
          <w:shd w:val="clear" w:color="auto" w:fill="FFFFFF" w:themeFill="background1"/>
        </w:rPr>
        <w:br w:type="page"/>
      </w:r>
    </w:p>
    <w:p w14:paraId="50B5695E">
      <w:pPr>
        <w:widowControl/>
        <w:shd w:val="clear" w:color="auto" w:fill="FFFFFF"/>
        <w:snapToGrid w:val="0"/>
        <w:spacing w:line="360" w:lineRule="auto"/>
        <w:jc w:val="center"/>
        <w:outlineLvl w:val="0"/>
        <w:rPr>
          <w:rFonts w:hint="eastAsia" w:ascii="仿宋" w:hAnsi="仿宋" w:eastAsia="仿宋" w:cs="仿宋"/>
          <w:b/>
          <w:color w:val="auto"/>
          <w:sz w:val="24"/>
          <w:szCs w:val="24"/>
          <w:highlight w:val="none"/>
          <w:shd w:val="clear" w:color="auto" w:fill="FFFFFF" w:themeFill="background1"/>
        </w:rPr>
      </w:pPr>
      <w:bookmarkStart w:id="24" w:name="_Toc29074"/>
      <w:r>
        <w:rPr>
          <w:rFonts w:hint="eastAsia" w:ascii="仿宋" w:hAnsi="仿宋" w:eastAsia="仿宋" w:cs="仿宋"/>
          <w:b/>
          <w:color w:val="auto"/>
          <w:sz w:val="24"/>
          <w:szCs w:val="24"/>
          <w:highlight w:val="none"/>
          <w:shd w:val="clear" w:color="auto" w:fill="FFFFFF" w:themeFill="background1"/>
        </w:rPr>
        <w:t>第二章 评审办法</w:t>
      </w:r>
      <w:bookmarkEnd w:id="24"/>
    </w:p>
    <w:p w14:paraId="5A98125D">
      <w:pPr>
        <w:tabs>
          <w:tab w:val="center" w:pos="4832"/>
          <w:tab w:val="left" w:pos="7140"/>
        </w:tabs>
        <w:spacing w:line="360" w:lineRule="auto"/>
        <w:jc w:val="center"/>
        <w:outlineLvl w:val="1"/>
        <w:rPr>
          <w:rFonts w:hint="eastAsia" w:ascii="仿宋" w:hAnsi="仿宋" w:eastAsia="仿宋" w:cs="仿宋"/>
          <w:b/>
          <w:color w:val="auto"/>
          <w:sz w:val="24"/>
          <w:szCs w:val="24"/>
          <w:highlight w:val="none"/>
          <w:shd w:val="clear" w:color="auto" w:fill="FFFFFF" w:themeFill="background1"/>
        </w:rPr>
      </w:pPr>
      <w:bookmarkStart w:id="25" w:name="_BookMark_1"/>
      <w:bookmarkEnd w:id="25"/>
      <w:bookmarkStart w:id="26" w:name="_Toc32103"/>
      <w:r>
        <w:rPr>
          <w:rFonts w:hint="eastAsia" w:ascii="仿宋" w:hAnsi="仿宋" w:eastAsia="仿宋" w:cs="仿宋"/>
          <w:b/>
          <w:color w:val="auto"/>
          <w:sz w:val="24"/>
          <w:szCs w:val="24"/>
          <w:highlight w:val="none"/>
          <w:shd w:val="clear" w:color="auto" w:fill="FFFFFF" w:themeFill="background1"/>
        </w:rPr>
        <w:t>评审办法前附表</w:t>
      </w:r>
      <w:bookmarkEnd w:id="26"/>
    </w:p>
    <w:tbl>
      <w:tblPr>
        <w:tblStyle w:val="43"/>
        <w:tblW w:w="92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10"/>
        <w:gridCol w:w="2770"/>
        <w:gridCol w:w="5832"/>
      </w:tblGrid>
      <w:tr w14:paraId="3511C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71" w:hRule="atLeast"/>
          <w:jc w:val="center"/>
        </w:trPr>
        <w:tc>
          <w:tcPr>
            <w:tcW w:w="610" w:type="dxa"/>
            <w:tcMar>
              <w:top w:w="0" w:type="dxa"/>
              <w:left w:w="28" w:type="dxa"/>
              <w:bottom w:w="0" w:type="dxa"/>
              <w:right w:w="28" w:type="dxa"/>
            </w:tcMar>
            <w:vAlign w:val="center"/>
          </w:tcPr>
          <w:p w14:paraId="1705641C">
            <w:pPr>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序号</w:t>
            </w:r>
          </w:p>
        </w:tc>
        <w:tc>
          <w:tcPr>
            <w:tcW w:w="2770" w:type="dxa"/>
            <w:tcMar>
              <w:top w:w="0" w:type="dxa"/>
              <w:left w:w="28" w:type="dxa"/>
              <w:bottom w:w="0" w:type="dxa"/>
              <w:right w:w="28" w:type="dxa"/>
            </w:tcMar>
            <w:vAlign w:val="center"/>
          </w:tcPr>
          <w:p w14:paraId="44DE5658">
            <w:pPr>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条款内容</w:t>
            </w:r>
          </w:p>
        </w:tc>
        <w:tc>
          <w:tcPr>
            <w:tcW w:w="5832" w:type="dxa"/>
            <w:tcMar>
              <w:top w:w="0" w:type="dxa"/>
              <w:left w:w="28" w:type="dxa"/>
              <w:bottom w:w="0" w:type="dxa"/>
              <w:right w:w="28" w:type="dxa"/>
            </w:tcMar>
            <w:vAlign w:val="center"/>
          </w:tcPr>
          <w:p w14:paraId="20A35572">
            <w:pPr>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编列内容</w:t>
            </w:r>
          </w:p>
        </w:tc>
      </w:tr>
      <w:tr w14:paraId="53A70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3" w:hRule="atLeast"/>
          <w:jc w:val="center"/>
        </w:trPr>
        <w:tc>
          <w:tcPr>
            <w:tcW w:w="610" w:type="dxa"/>
            <w:tcMar>
              <w:top w:w="0" w:type="dxa"/>
              <w:left w:w="28" w:type="dxa"/>
              <w:bottom w:w="0" w:type="dxa"/>
              <w:right w:w="28" w:type="dxa"/>
            </w:tcMar>
            <w:vAlign w:val="center"/>
          </w:tcPr>
          <w:p w14:paraId="068C0981">
            <w:pPr>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1</w:t>
            </w:r>
          </w:p>
        </w:tc>
        <w:tc>
          <w:tcPr>
            <w:tcW w:w="2770" w:type="dxa"/>
            <w:tcMar>
              <w:top w:w="0" w:type="dxa"/>
              <w:left w:w="28" w:type="dxa"/>
              <w:bottom w:w="0" w:type="dxa"/>
              <w:right w:w="28" w:type="dxa"/>
            </w:tcMar>
            <w:vAlign w:val="center"/>
          </w:tcPr>
          <w:p w14:paraId="45555F8C">
            <w:pPr>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资格审查</w:t>
            </w:r>
          </w:p>
        </w:tc>
        <w:tc>
          <w:tcPr>
            <w:tcW w:w="5832" w:type="dxa"/>
            <w:tcMar>
              <w:top w:w="0" w:type="dxa"/>
              <w:left w:w="28" w:type="dxa"/>
              <w:bottom w:w="0" w:type="dxa"/>
              <w:right w:w="28" w:type="dxa"/>
            </w:tcMar>
            <w:vAlign w:val="center"/>
          </w:tcPr>
          <w:p w14:paraId="773F54D9">
            <w:pPr>
              <w:jc w:val="left"/>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详见《资格审查标准》</w:t>
            </w:r>
          </w:p>
        </w:tc>
      </w:tr>
      <w:tr w14:paraId="16E3AB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5" w:hRule="atLeast"/>
          <w:jc w:val="center"/>
        </w:trPr>
        <w:tc>
          <w:tcPr>
            <w:tcW w:w="610" w:type="dxa"/>
            <w:tcMar>
              <w:top w:w="0" w:type="dxa"/>
              <w:left w:w="28" w:type="dxa"/>
              <w:bottom w:w="0" w:type="dxa"/>
              <w:right w:w="28" w:type="dxa"/>
            </w:tcMar>
            <w:vAlign w:val="center"/>
          </w:tcPr>
          <w:p w14:paraId="4968D792">
            <w:pPr>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2</w:t>
            </w:r>
          </w:p>
        </w:tc>
        <w:tc>
          <w:tcPr>
            <w:tcW w:w="2770" w:type="dxa"/>
            <w:tcMar>
              <w:top w:w="0" w:type="dxa"/>
              <w:left w:w="28" w:type="dxa"/>
              <w:bottom w:w="0" w:type="dxa"/>
              <w:right w:w="28" w:type="dxa"/>
            </w:tcMar>
            <w:vAlign w:val="center"/>
          </w:tcPr>
          <w:p w14:paraId="5622E264">
            <w:pPr>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完备性及符合性审查</w:t>
            </w:r>
          </w:p>
        </w:tc>
        <w:tc>
          <w:tcPr>
            <w:tcW w:w="5832" w:type="dxa"/>
            <w:tcMar>
              <w:top w:w="0" w:type="dxa"/>
              <w:left w:w="28" w:type="dxa"/>
              <w:bottom w:w="0" w:type="dxa"/>
              <w:right w:w="28" w:type="dxa"/>
            </w:tcMar>
            <w:vAlign w:val="center"/>
          </w:tcPr>
          <w:p w14:paraId="1353F4D1">
            <w:pPr>
              <w:jc w:val="left"/>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详见《完备性及符合性审查标准》</w:t>
            </w:r>
          </w:p>
        </w:tc>
      </w:tr>
      <w:tr w14:paraId="176F15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5" w:hRule="atLeast"/>
          <w:jc w:val="center"/>
        </w:trPr>
        <w:tc>
          <w:tcPr>
            <w:tcW w:w="610" w:type="dxa"/>
            <w:tcMar>
              <w:top w:w="0" w:type="dxa"/>
              <w:left w:w="28" w:type="dxa"/>
              <w:bottom w:w="0" w:type="dxa"/>
              <w:right w:w="28" w:type="dxa"/>
            </w:tcMar>
            <w:vAlign w:val="center"/>
          </w:tcPr>
          <w:p w14:paraId="372E82DC">
            <w:pPr>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3</w:t>
            </w:r>
          </w:p>
        </w:tc>
        <w:tc>
          <w:tcPr>
            <w:tcW w:w="2770" w:type="dxa"/>
            <w:tcMar>
              <w:top w:w="0" w:type="dxa"/>
              <w:left w:w="28" w:type="dxa"/>
              <w:bottom w:w="0" w:type="dxa"/>
              <w:right w:w="28" w:type="dxa"/>
            </w:tcMar>
            <w:vAlign w:val="center"/>
          </w:tcPr>
          <w:p w14:paraId="0E5EF104">
            <w:pPr>
              <w:spacing w:line="360" w:lineRule="auto"/>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rPr>
              <w:t>投标品牌</w:t>
            </w:r>
          </w:p>
        </w:tc>
        <w:tc>
          <w:tcPr>
            <w:tcW w:w="5832" w:type="dxa"/>
            <w:tcMar>
              <w:top w:w="0" w:type="dxa"/>
              <w:left w:w="28" w:type="dxa"/>
              <w:bottom w:w="0" w:type="dxa"/>
              <w:right w:w="28" w:type="dxa"/>
            </w:tcMar>
            <w:vAlign w:val="center"/>
          </w:tcPr>
          <w:p w14:paraId="6B50D7AE">
            <w:pP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rPr>
              <w:t>详见本节第3.5款</w:t>
            </w:r>
          </w:p>
        </w:tc>
      </w:tr>
      <w:tr w14:paraId="2908A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5" w:hRule="atLeast"/>
          <w:jc w:val="center"/>
        </w:trPr>
        <w:tc>
          <w:tcPr>
            <w:tcW w:w="610" w:type="dxa"/>
            <w:vMerge w:val="restart"/>
            <w:tcMar>
              <w:top w:w="0" w:type="dxa"/>
              <w:left w:w="28" w:type="dxa"/>
              <w:bottom w:w="0" w:type="dxa"/>
              <w:right w:w="28" w:type="dxa"/>
            </w:tcMar>
            <w:vAlign w:val="center"/>
          </w:tcPr>
          <w:p w14:paraId="1B85F606">
            <w:pPr>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4</w:t>
            </w:r>
          </w:p>
        </w:tc>
        <w:tc>
          <w:tcPr>
            <w:tcW w:w="2770" w:type="dxa"/>
            <w:vMerge w:val="restart"/>
            <w:tcMar>
              <w:top w:w="0" w:type="dxa"/>
              <w:left w:w="28" w:type="dxa"/>
              <w:bottom w:w="0" w:type="dxa"/>
              <w:right w:w="28" w:type="dxa"/>
            </w:tcMar>
            <w:vAlign w:val="center"/>
          </w:tcPr>
          <w:p w14:paraId="7D3C072A">
            <w:pPr>
              <w:spacing w:line="360" w:lineRule="auto"/>
              <w:jc w:val="center"/>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rPr>
              <w:t>详细评审</w:t>
            </w:r>
          </w:p>
        </w:tc>
        <w:tc>
          <w:tcPr>
            <w:tcW w:w="5832" w:type="dxa"/>
            <w:tcMar>
              <w:top w:w="0" w:type="dxa"/>
              <w:left w:w="28" w:type="dxa"/>
              <w:bottom w:w="0" w:type="dxa"/>
              <w:right w:w="28" w:type="dxa"/>
            </w:tcMar>
            <w:vAlign w:val="center"/>
          </w:tcPr>
          <w:p w14:paraId="02EBBEF0">
            <w:pPr>
              <w:spacing w:line="360" w:lineRule="auto"/>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rPr>
              <w:t>详见《详细评审标准》及本节第3.7款</w:t>
            </w:r>
          </w:p>
        </w:tc>
      </w:tr>
      <w:tr w14:paraId="4BDF9A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5" w:hRule="atLeast"/>
          <w:jc w:val="center"/>
        </w:trPr>
        <w:tc>
          <w:tcPr>
            <w:tcW w:w="610" w:type="dxa"/>
            <w:vMerge w:val="continue"/>
            <w:tcMar>
              <w:top w:w="0" w:type="dxa"/>
              <w:left w:w="28" w:type="dxa"/>
              <w:bottom w:w="0" w:type="dxa"/>
              <w:right w:w="28" w:type="dxa"/>
            </w:tcMar>
            <w:vAlign w:val="center"/>
          </w:tcPr>
          <w:p w14:paraId="4C040BBA">
            <w:pPr>
              <w:jc w:val="center"/>
              <w:rPr>
                <w:rFonts w:hint="eastAsia" w:ascii="仿宋" w:hAnsi="仿宋" w:eastAsia="仿宋" w:cs="仿宋"/>
                <w:color w:val="auto"/>
                <w:szCs w:val="21"/>
                <w:highlight w:val="none"/>
                <w:shd w:val="clear" w:color="auto" w:fill="FFFFFF" w:themeFill="background1"/>
              </w:rPr>
            </w:pPr>
            <w:bookmarkStart w:id="27" w:name="_Toc501719166"/>
          </w:p>
        </w:tc>
        <w:tc>
          <w:tcPr>
            <w:tcW w:w="2770" w:type="dxa"/>
            <w:vMerge w:val="continue"/>
            <w:tcMar>
              <w:top w:w="0" w:type="dxa"/>
              <w:left w:w="28" w:type="dxa"/>
              <w:bottom w:w="0" w:type="dxa"/>
              <w:right w:w="28" w:type="dxa"/>
            </w:tcMar>
            <w:vAlign w:val="center"/>
          </w:tcPr>
          <w:p w14:paraId="5242BD21">
            <w:pPr>
              <w:spacing w:line="360" w:lineRule="auto"/>
              <w:jc w:val="center"/>
              <w:rPr>
                <w:rFonts w:hint="eastAsia" w:ascii="仿宋" w:hAnsi="仿宋" w:eastAsia="仿宋" w:cs="仿宋"/>
                <w:color w:val="auto"/>
                <w:szCs w:val="21"/>
                <w:highlight w:val="none"/>
              </w:rPr>
            </w:pPr>
          </w:p>
        </w:tc>
        <w:tc>
          <w:tcPr>
            <w:tcW w:w="5832" w:type="dxa"/>
            <w:tcMar>
              <w:top w:w="0" w:type="dxa"/>
              <w:left w:w="28" w:type="dxa"/>
              <w:bottom w:w="0" w:type="dxa"/>
              <w:right w:w="28" w:type="dxa"/>
            </w:tcMar>
            <w:vAlign w:val="center"/>
          </w:tcPr>
          <w:p w14:paraId="655E7DAB">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响应价格认定：</w:t>
            </w:r>
          </w:p>
          <w:p w14:paraId="7507EB6D">
            <w:pPr>
              <w:numPr>
                <w:ilvl w:val="0"/>
                <w:numId w:val="1"/>
              </w:numPr>
              <w:spacing w:line="360" w:lineRule="auto"/>
              <w:rPr>
                <w:rFonts w:hint="eastAsia" w:ascii="仿宋" w:hAnsi="仿宋" w:eastAsia="仿宋" w:cs="仿宋"/>
                <w:color w:val="auto"/>
                <w:highlight w:val="none"/>
              </w:rPr>
            </w:pPr>
            <w:r>
              <w:rPr>
                <w:rFonts w:ascii="仿宋" w:hAnsi="仿宋" w:eastAsia="仿宋" w:cs="仿宋"/>
                <w:color w:val="auto"/>
                <w:highlight w:val="none"/>
              </w:rPr>
              <w:t>政府采购活动中既有本国产品又有非本国产品参与竞争的，依法对本国产品给予价格评审优惠，对本国产品的报价给予20%的价格扣除，用扣除后的价格参与评审</w:t>
            </w:r>
            <w:r>
              <w:rPr>
                <w:rFonts w:hint="eastAsia" w:ascii="仿宋" w:hAnsi="仿宋" w:eastAsia="仿宋" w:cs="仿宋"/>
                <w:color w:val="auto"/>
                <w:highlight w:val="none"/>
              </w:rPr>
              <w:t>（排序）</w:t>
            </w:r>
            <w:r>
              <w:rPr>
                <w:rFonts w:ascii="仿宋" w:hAnsi="仿宋" w:eastAsia="仿宋" w:cs="仿宋"/>
                <w:color w:val="auto"/>
                <w:highlight w:val="none"/>
              </w:rPr>
              <w:t>。</w:t>
            </w:r>
          </w:p>
        </w:tc>
      </w:tr>
    </w:tbl>
    <w:p w14:paraId="5C341BBE">
      <w:pPr>
        <w:widowControl/>
        <w:shd w:val="clear" w:color="auto" w:fill="FFFFFF"/>
        <w:snapToGrid w:val="0"/>
        <w:spacing w:line="360" w:lineRule="auto"/>
        <w:jc w:val="center"/>
        <w:rPr>
          <w:rFonts w:hint="eastAsia" w:ascii="仿宋" w:hAnsi="仿宋" w:eastAsia="仿宋" w:cs="仿宋"/>
          <w:b/>
          <w:color w:val="auto"/>
          <w:kern w:val="0"/>
          <w:szCs w:val="21"/>
          <w:highlight w:val="none"/>
          <w:shd w:val="clear" w:color="auto" w:fill="FFFFFF" w:themeFill="background1"/>
        </w:rPr>
      </w:pPr>
      <w:r>
        <w:rPr>
          <w:rFonts w:hint="eastAsia" w:ascii="仿宋" w:hAnsi="仿宋" w:eastAsia="仿宋" w:cs="仿宋"/>
          <w:b/>
          <w:color w:val="auto"/>
          <w:kern w:val="0"/>
          <w:szCs w:val="21"/>
          <w:highlight w:val="none"/>
          <w:shd w:val="clear" w:color="auto" w:fill="FFFFFF" w:themeFill="background1"/>
        </w:rPr>
        <w:t>《资格审查标准》</w:t>
      </w:r>
      <w:bookmarkEnd w:id="27"/>
    </w:p>
    <w:tbl>
      <w:tblPr>
        <w:tblStyle w:val="43"/>
        <w:tblW w:w="499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09"/>
        <w:gridCol w:w="3678"/>
        <w:gridCol w:w="4780"/>
      </w:tblGrid>
      <w:tr w14:paraId="4E97BB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4" w:hRule="atLeast"/>
          <w:jc w:val="center"/>
        </w:trPr>
        <w:tc>
          <w:tcPr>
            <w:tcW w:w="336" w:type="pct"/>
            <w:vAlign w:val="center"/>
          </w:tcPr>
          <w:p w14:paraId="56192130">
            <w:pPr>
              <w:widowControl/>
              <w:shd w:val="clear" w:color="auto" w:fill="FFFFFF"/>
              <w:snapToGrid w:val="0"/>
              <w:spacing w:line="360" w:lineRule="auto"/>
              <w:jc w:val="center"/>
              <w:rPr>
                <w:rFonts w:hint="eastAsia" w:ascii="仿宋" w:hAnsi="仿宋" w:eastAsia="仿宋" w:cs="仿宋"/>
                <w:color w:val="auto"/>
                <w:kern w:val="0"/>
                <w:szCs w:val="24"/>
                <w:highlight w:val="none"/>
              </w:rPr>
            </w:pPr>
            <w:bookmarkStart w:id="28" w:name="_Toc501719167"/>
            <w:r>
              <w:rPr>
                <w:rFonts w:hint="eastAsia" w:ascii="仿宋" w:hAnsi="仿宋" w:eastAsia="仿宋" w:cs="仿宋"/>
                <w:color w:val="auto"/>
                <w:kern w:val="0"/>
                <w:szCs w:val="24"/>
                <w:highlight w:val="none"/>
              </w:rPr>
              <w:t>序号</w:t>
            </w:r>
          </w:p>
        </w:tc>
        <w:tc>
          <w:tcPr>
            <w:tcW w:w="2028" w:type="pct"/>
            <w:vAlign w:val="center"/>
          </w:tcPr>
          <w:p w14:paraId="1D1B0E20">
            <w:pPr>
              <w:widowControl/>
              <w:shd w:val="clear" w:color="auto" w:fill="FFFFFF"/>
              <w:snapToGrid w:val="0"/>
              <w:spacing w:line="360" w:lineRule="auto"/>
              <w:jc w:val="center"/>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审查要求</w:t>
            </w:r>
          </w:p>
        </w:tc>
        <w:tc>
          <w:tcPr>
            <w:tcW w:w="2635" w:type="pct"/>
            <w:vAlign w:val="center"/>
          </w:tcPr>
          <w:p w14:paraId="31F99361">
            <w:pPr>
              <w:widowControl/>
              <w:shd w:val="clear" w:color="auto" w:fill="FFFFFF"/>
              <w:snapToGrid w:val="0"/>
              <w:spacing w:line="360" w:lineRule="auto"/>
              <w:jc w:val="center"/>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要求说明</w:t>
            </w:r>
          </w:p>
        </w:tc>
      </w:tr>
      <w:tr w14:paraId="12651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4" w:hRule="atLeast"/>
          <w:jc w:val="center"/>
        </w:trPr>
        <w:tc>
          <w:tcPr>
            <w:tcW w:w="336" w:type="pct"/>
            <w:vAlign w:val="center"/>
          </w:tcPr>
          <w:p w14:paraId="2DF14CCE">
            <w:pPr>
              <w:widowControl/>
              <w:shd w:val="clear" w:color="auto" w:fill="FFFFFF"/>
              <w:snapToGrid w:val="0"/>
              <w:spacing w:line="360" w:lineRule="auto"/>
              <w:jc w:val="center"/>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1</w:t>
            </w:r>
          </w:p>
        </w:tc>
        <w:tc>
          <w:tcPr>
            <w:tcW w:w="2028" w:type="pct"/>
            <w:vAlign w:val="center"/>
          </w:tcPr>
          <w:p w14:paraId="1D1C4072">
            <w:pPr>
              <w:spacing w:line="288" w:lineRule="auto"/>
              <w:jc w:val="left"/>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具有独立承担民事责任的能力。</w:t>
            </w:r>
          </w:p>
        </w:tc>
        <w:tc>
          <w:tcPr>
            <w:tcW w:w="2635" w:type="pct"/>
            <w:vAlign w:val="center"/>
          </w:tcPr>
          <w:p w14:paraId="5FE12570">
            <w:pPr>
              <w:ind w:firstLine="210" w:firstLineChars="100"/>
              <w:jc w:val="left"/>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1、如供应商是企业（包括合伙企业)，应提供在工商部门注册的有效“企业法人营业执照”或“营业执照”;</w:t>
            </w:r>
          </w:p>
          <w:p w14:paraId="5B66133A">
            <w:pPr>
              <w:ind w:firstLine="210" w:firstLineChars="100"/>
              <w:jc w:val="left"/>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2、如供应商是事业单位，应提供有效的“事业单位法人证书”;</w:t>
            </w:r>
          </w:p>
          <w:p w14:paraId="75FC743B">
            <w:pPr>
              <w:ind w:firstLine="210" w:firstLineChars="100"/>
              <w:jc w:val="left"/>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3、如供应商是非企业专业服务机构的，应提供执业许可证等证明文件;</w:t>
            </w:r>
          </w:p>
          <w:p w14:paraId="7103E54E">
            <w:pPr>
              <w:ind w:firstLine="210" w:firstLineChars="100"/>
              <w:jc w:val="left"/>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4、如供应商是个体工商户，应提供有效的“个体工商户营业执照”;</w:t>
            </w:r>
          </w:p>
          <w:p w14:paraId="3D80D480">
            <w:pPr>
              <w:ind w:firstLine="210" w:firstLineChars="100"/>
              <w:jc w:val="left"/>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5、如供应商是自然人，应提供有效的自然人身份证明。</w:t>
            </w:r>
          </w:p>
        </w:tc>
      </w:tr>
      <w:tr w14:paraId="00897B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4" w:hRule="atLeast"/>
          <w:jc w:val="center"/>
        </w:trPr>
        <w:tc>
          <w:tcPr>
            <w:tcW w:w="336" w:type="pct"/>
            <w:vAlign w:val="center"/>
          </w:tcPr>
          <w:p w14:paraId="4AA56B1F">
            <w:pPr>
              <w:widowControl/>
              <w:shd w:val="clear" w:color="auto" w:fill="FFFFFF"/>
              <w:snapToGrid w:val="0"/>
              <w:spacing w:line="360" w:lineRule="auto"/>
              <w:jc w:val="center"/>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2</w:t>
            </w:r>
          </w:p>
        </w:tc>
        <w:tc>
          <w:tcPr>
            <w:tcW w:w="2028" w:type="pct"/>
            <w:vAlign w:val="center"/>
          </w:tcPr>
          <w:p w14:paraId="470B59E8">
            <w:pPr>
              <w:spacing w:line="288" w:lineRule="auto"/>
              <w:jc w:val="left"/>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具有良好的商业信誉和健全的财务会计制度。</w:t>
            </w:r>
          </w:p>
        </w:tc>
        <w:tc>
          <w:tcPr>
            <w:tcW w:w="2635" w:type="pct"/>
            <w:vAlign w:val="center"/>
          </w:tcPr>
          <w:p w14:paraId="1984E45D">
            <w:pPr>
              <w:ind w:firstLine="210" w:firstLineChars="100"/>
              <w:jc w:val="left"/>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满足下述一条要求即可：</w:t>
            </w:r>
          </w:p>
          <w:p w14:paraId="1A39776A">
            <w:pPr>
              <w:ind w:firstLine="210" w:firstLineChars="100"/>
              <w:jc w:val="left"/>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要求1、经审计的财务报告（2024年度或2025年度，包括“四表-注”，即资产负债表、利润表、现金流量表、所有者权益变动表及其附注）或银行出具的资信证明（响应文件递交截止之日前六个月内任意一个月）。</w:t>
            </w:r>
          </w:p>
          <w:p w14:paraId="29A6D6C1">
            <w:pPr>
              <w:ind w:firstLine="210" w:firstLineChars="100"/>
              <w:jc w:val="left"/>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要求2、成立不足</w:t>
            </w:r>
            <w:r>
              <w:rPr>
                <w:rFonts w:hint="eastAsia" w:ascii="仿宋" w:hAnsi="仿宋" w:eastAsia="仿宋" w:cs="仿宋"/>
                <w:color w:val="auto"/>
                <w:spacing w:val="10"/>
                <w:szCs w:val="24"/>
                <w:highlight w:val="none"/>
                <w:shd w:val="clear" w:color="auto" w:fill="FFFFFF" w:themeFill="background1"/>
              </w:rPr>
              <w:t>六</w:t>
            </w:r>
            <w:r>
              <w:rPr>
                <w:rFonts w:hint="eastAsia" w:ascii="仿宋" w:hAnsi="仿宋" w:eastAsia="仿宋" w:cs="仿宋"/>
                <w:color w:val="auto"/>
                <w:kern w:val="0"/>
                <w:szCs w:val="24"/>
                <w:highlight w:val="none"/>
              </w:rPr>
              <w:t>个月（以响应文件递交截止之日为期限）的供应商无需提供。</w:t>
            </w:r>
          </w:p>
        </w:tc>
      </w:tr>
      <w:tr w14:paraId="3E07DA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4" w:hRule="atLeast"/>
          <w:jc w:val="center"/>
        </w:trPr>
        <w:tc>
          <w:tcPr>
            <w:tcW w:w="336" w:type="pct"/>
            <w:vAlign w:val="center"/>
          </w:tcPr>
          <w:p w14:paraId="354A8851">
            <w:pPr>
              <w:widowControl/>
              <w:shd w:val="clear" w:color="auto" w:fill="FFFFFF"/>
              <w:snapToGrid w:val="0"/>
              <w:spacing w:line="360" w:lineRule="auto"/>
              <w:jc w:val="center"/>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3</w:t>
            </w:r>
          </w:p>
        </w:tc>
        <w:tc>
          <w:tcPr>
            <w:tcW w:w="2028" w:type="pct"/>
            <w:vAlign w:val="center"/>
          </w:tcPr>
          <w:p w14:paraId="075C5024">
            <w:pPr>
              <w:spacing w:line="288" w:lineRule="auto"/>
              <w:jc w:val="left"/>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具有履行合同所必需的设备和专业技术能力。</w:t>
            </w:r>
          </w:p>
        </w:tc>
        <w:tc>
          <w:tcPr>
            <w:tcW w:w="2635" w:type="pct"/>
            <w:vAlign w:val="center"/>
          </w:tcPr>
          <w:p w14:paraId="7B7B2358">
            <w:pPr>
              <w:ind w:firstLine="210" w:firstLineChars="100"/>
              <w:jc w:val="left"/>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提供《具有履行合同所必需的设备和专业技术能力的承诺函》，加盖供应商章。</w:t>
            </w:r>
          </w:p>
        </w:tc>
      </w:tr>
      <w:tr w14:paraId="1AF39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4" w:hRule="atLeast"/>
          <w:jc w:val="center"/>
        </w:trPr>
        <w:tc>
          <w:tcPr>
            <w:tcW w:w="336" w:type="pct"/>
            <w:vAlign w:val="center"/>
          </w:tcPr>
          <w:p w14:paraId="4E4C7B14">
            <w:pPr>
              <w:widowControl/>
              <w:shd w:val="clear" w:color="auto" w:fill="FFFFFF"/>
              <w:snapToGrid w:val="0"/>
              <w:spacing w:line="360" w:lineRule="auto"/>
              <w:jc w:val="center"/>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4</w:t>
            </w:r>
          </w:p>
        </w:tc>
        <w:tc>
          <w:tcPr>
            <w:tcW w:w="2028" w:type="pct"/>
            <w:vAlign w:val="center"/>
          </w:tcPr>
          <w:p w14:paraId="671A8016">
            <w:pPr>
              <w:spacing w:line="288" w:lineRule="auto"/>
              <w:jc w:val="left"/>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有依法缴纳税收和社会保障资金的良好记录。</w:t>
            </w:r>
          </w:p>
        </w:tc>
        <w:tc>
          <w:tcPr>
            <w:tcW w:w="2635" w:type="pct"/>
            <w:vAlign w:val="center"/>
          </w:tcPr>
          <w:p w14:paraId="7EB0B351">
            <w:pPr>
              <w:ind w:firstLine="210" w:firstLineChars="100"/>
              <w:jc w:val="left"/>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2.1、依法缴纳税收的证明材料：</w:t>
            </w:r>
          </w:p>
          <w:p w14:paraId="5BDC16C5">
            <w:pPr>
              <w:ind w:firstLine="210" w:firstLineChars="100"/>
              <w:jc w:val="left"/>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供应商参加政府采购活动前一段时间（响应文件递交截止之日前六个月内任一个月）内缴纳税收的完税凭证（指各种完税证、缴款书、印花税票、扣（收）税凭证以及其他完税证明，提供上述任意一种即可）。</w:t>
            </w:r>
          </w:p>
          <w:p w14:paraId="25627695">
            <w:pPr>
              <w:ind w:firstLine="210" w:firstLineChars="100"/>
              <w:jc w:val="left"/>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2.2、依法缴纳社会保障资金的证明材料：</w:t>
            </w:r>
          </w:p>
          <w:p w14:paraId="4D6C0500">
            <w:pPr>
              <w:ind w:firstLine="210" w:firstLineChars="100"/>
              <w:jc w:val="left"/>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供应商参加政府采购活动前一段时间（响应文件递交截止之日前六个月内任一个月）内缴纳社会保险的凭据。</w:t>
            </w:r>
          </w:p>
          <w:p w14:paraId="4408A6CB">
            <w:pPr>
              <w:ind w:firstLine="210" w:firstLineChars="100"/>
              <w:jc w:val="left"/>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2.3、其他组织和自然人也需要提供缴纳税收的凭据和缴纳社会保险的凭据。依法免税或不需要缴纳社会保障资金的供应商，应提供相应文件证明其依法免税或不需要缴纳社会保障资金。</w:t>
            </w:r>
          </w:p>
        </w:tc>
      </w:tr>
      <w:tr w14:paraId="2667E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4" w:hRule="atLeast"/>
          <w:jc w:val="center"/>
        </w:trPr>
        <w:tc>
          <w:tcPr>
            <w:tcW w:w="336" w:type="pct"/>
            <w:vAlign w:val="center"/>
          </w:tcPr>
          <w:p w14:paraId="0D521497">
            <w:pPr>
              <w:widowControl/>
              <w:shd w:val="clear" w:color="auto" w:fill="FFFFFF"/>
              <w:snapToGrid w:val="0"/>
              <w:spacing w:line="360" w:lineRule="auto"/>
              <w:jc w:val="center"/>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5</w:t>
            </w:r>
          </w:p>
        </w:tc>
        <w:tc>
          <w:tcPr>
            <w:tcW w:w="2028" w:type="pct"/>
            <w:vAlign w:val="center"/>
          </w:tcPr>
          <w:p w14:paraId="20EC9EDA">
            <w:pPr>
              <w:spacing w:line="288" w:lineRule="auto"/>
              <w:jc w:val="left"/>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参加政府采购活动前三年内，在经营活动中没有重大违法记录。</w:t>
            </w:r>
          </w:p>
        </w:tc>
        <w:tc>
          <w:tcPr>
            <w:tcW w:w="2635" w:type="pct"/>
            <w:vAlign w:val="center"/>
          </w:tcPr>
          <w:p w14:paraId="3096DB4D">
            <w:pPr>
              <w:ind w:firstLine="210" w:firstLineChars="100"/>
              <w:jc w:val="left"/>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kern w:val="0"/>
                <w:szCs w:val="24"/>
                <w:highlight w:val="none"/>
              </w:rPr>
              <w:t>提供《参加政府采购活动前3年内在经营活动中没有重大违法记录的书面声明》，加盖供应商章。</w:t>
            </w:r>
          </w:p>
        </w:tc>
      </w:tr>
      <w:tr w14:paraId="52EF05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4" w:hRule="atLeast"/>
          <w:jc w:val="center"/>
        </w:trPr>
        <w:tc>
          <w:tcPr>
            <w:tcW w:w="336" w:type="pct"/>
            <w:vAlign w:val="center"/>
          </w:tcPr>
          <w:p w14:paraId="7ACCDEE6">
            <w:pPr>
              <w:widowControl/>
              <w:shd w:val="clear" w:color="auto" w:fill="FFFFFF"/>
              <w:snapToGrid w:val="0"/>
              <w:spacing w:line="360" w:lineRule="auto"/>
              <w:jc w:val="center"/>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6</w:t>
            </w:r>
          </w:p>
        </w:tc>
        <w:tc>
          <w:tcPr>
            <w:tcW w:w="3678" w:type="dxa"/>
            <w:vAlign w:val="center"/>
          </w:tcPr>
          <w:p w14:paraId="20901032">
            <w:pPr>
              <w:spacing w:line="360" w:lineRule="auto"/>
              <w:jc w:val="left"/>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kern w:val="0"/>
                <w:szCs w:val="24"/>
                <w:highlight w:val="none"/>
              </w:rPr>
              <w:t>本项目专门面向中小企业采购，供应商所投货物制造商须均为中小企业。</w:t>
            </w:r>
          </w:p>
        </w:tc>
        <w:tc>
          <w:tcPr>
            <w:tcW w:w="4780" w:type="dxa"/>
            <w:vAlign w:val="center"/>
          </w:tcPr>
          <w:p w14:paraId="51CA24B5">
            <w:pPr>
              <w:ind w:firstLine="210" w:firstLineChars="100"/>
              <w:jc w:val="left"/>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按采购文件要求提供声明函，加盖供应商章。</w:t>
            </w:r>
          </w:p>
        </w:tc>
      </w:tr>
      <w:tr w14:paraId="0AFE3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4" w:hRule="atLeast"/>
          <w:jc w:val="center"/>
        </w:trPr>
        <w:tc>
          <w:tcPr>
            <w:tcW w:w="336" w:type="pct"/>
            <w:vAlign w:val="center"/>
          </w:tcPr>
          <w:p w14:paraId="36BB7F78">
            <w:pPr>
              <w:widowControl/>
              <w:shd w:val="clear" w:color="auto" w:fill="FFFFFF"/>
              <w:snapToGrid w:val="0"/>
              <w:spacing w:line="360" w:lineRule="auto"/>
              <w:jc w:val="center"/>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7</w:t>
            </w:r>
          </w:p>
        </w:tc>
        <w:tc>
          <w:tcPr>
            <w:tcW w:w="2028" w:type="pct"/>
            <w:vAlign w:val="center"/>
          </w:tcPr>
          <w:p w14:paraId="521602B2">
            <w:pPr>
              <w:spacing w:line="360" w:lineRule="auto"/>
              <w:jc w:val="left"/>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供应商如在“信用中国”网站（www.creditchina.gov.cn）、中国政府采购网（www.ccgp.gov.cn）等渠道被列入失信被执行人、重大税收违法失信主体、政府采购严重违法失信行为记录名单，尚在处罚期内的将被拒绝参加本次采购活动。</w:t>
            </w:r>
          </w:p>
        </w:tc>
        <w:tc>
          <w:tcPr>
            <w:tcW w:w="2635" w:type="pct"/>
            <w:vAlign w:val="center"/>
          </w:tcPr>
          <w:p w14:paraId="31725A48">
            <w:pPr>
              <w:ind w:firstLine="210" w:firstLineChars="100"/>
              <w:jc w:val="left"/>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以采购人或者采购代理机构查询记录为准。</w:t>
            </w:r>
          </w:p>
        </w:tc>
      </w:tr>
      <w:tr w14:paraId="34AC0B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50" w:hRule="atLeast"/>
          <w:jc w:val="center"/>
        </w:trPr>
        <w:tc>
          <w:tcPr>
            <w:tcW w:w="5000" w:type="pct"/>
            <w:gridSpan w:val="3"/>
            <w:vAlign w:val="center"/>
          </w:tcPr>
          <w:p w14:paraId="5605B98C">
            <w:pPr>
              <w:widowControl/>
              <w:shd w:val="clear" w:color="auto" w:fill="FFFFFF"/>
              <w:snapToGrid w:val="0"/>
              <w:spacing w:line="360" w:lineRule="auto"/>
              <w:jc w:val="left"/>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备注： 如果资格评审中有一项不满足审查标准的，采购人将认定该供应商不通过资格审查，响应文件将被拒绝评审。并且不允许供应商通过修改或撤销其不符合要求的差异或保留，使之成为具有响应性的投标。</w:t>
            </w:r>
          </w:p>
        </w:tc>
      </w:tr>
    </w:tbl>
    <w:p w14:paraId="475045F3">
      <w:pPr>
        <w:widowControl/>
        <w:shd w:val="clear" w:color="auto" w:fill="FFFFFF"/>
        <w:snapToGrid w:val="0"/>
        <w:spacing w:line="360" w:lineRule="auto"/>
        <w:jc w:val="center"/>
        <w:rPr>
          <w:rFonts w:hint="eastAsia" w:ascii="仿宋" w:hAnsi="仿宋" w:eastAsia="仿宋" w:cs="仿宋"/>
          <w:b/>
          <w:color w:val="auto"/>
          <w:kern w:val="0"/>
          <w:szCs w:val="21"/>
          <w:highlight w:val="none"/>
          <w:shd w:val="clear" w:color="auto" w:fill="FFFFFF" w:themeFill="background1"/>
        </w:rPr>
      </w:pPr>
    </w:p>
    <w:p w14:paraId="6D98503E">
      <w:pPr>
        <w:rPr>
          <w:rFonts w:hint="eastAsia" w:ascii="仿宋" w:hAnsi="仿宋" w:eastAsia="仿宋" w:cs="仿宋"/>
          <w:b/>
          <w:color w:val="auto"/>
          <w:kern w:val="0"/>
          <w:szCs w:val="21"/>
          <w:highlight w:val="none"/>
          <w:shd w:val="clear" w:color="auto" w:fill="FFFFFF" w:themeFill="background1"/>
        </w:rPr>
      </w:pPr>
    </w:p>
    <w:p w14:paraId="074B59FB">
      <w:pPr>
        <w:widowControl/>
        <w:shd w:val="clear" w:color="auto" w:fill="FFFFFF"/>
        <w:snapToGrid w:val="0"/>
        <w:spacing w:line="360" w:lineRule="auto"/>
        <w:jc w:val="center"/>
        <w:rPr>
          <w:rFonts w:hint="eastAsia" w:ascii="仿宋" w:hAnsi="仿宋" w:eastAsia="仿宋" w:cs="仿宋"/>
          <w:b/>
          <w:color w:val="auto"/>
          <w:kern w:val="0"/>
          <w:szCs w:val="21"/>
          <w:highlight w:val="none"/>
          <w:shd w:val="clear" w:color="auto" w:fill="FFFFFF" w:themeFill="background1"/>
        </w:rPr>
      </w:pPr>
      <w:r>
        <w:rPr>
          <w:rFonts w:hint="eastAsia" w:ascii="仿宋" w:hAnsi="仿宋" w:eastAsia="仿宋" w:cs="仿宋"/>
          <w:b/>
          <w:color w:val="auto"/>
          <w:kern w:val="0"/>
          <w:szCs w:val="21"/>
          <w:highlight w:val="none"/>
          <w:shd w:val="clear" w:color="auto" w:fill="FFFFFF" w:themeFill="background1"/>
        </w:rPr>
        <w:t>《完备性及符合性审查标准》</w:t>
      </w:r>
      <w:bookmarkEnd w:id="28"/>
    </w:p>
    <w:tbl>
      <w:tblPr>
        <w:tblStyle w:val="43"/>
        <w:tblW w:w="90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79"/>
        <w:gridCol w:w="5242"/>
        <w:gridCol w:w="3076"/>
      </w:tblGrid>
      <w:tr w14:paraId="4B9E1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65" w:hRule="atLeast"/>
          <w:jc w:val="center"/>
        </w:trPr>
        <w:tc>
          <w:tcPr>
            <w:tcW w:w="779" w:type="dxa"/>
            <w:vAlign w:val="center"/>
          </w:tcPr>
          <w:p w14:paraId="70C7A49C">
            <w:pPr>
              <w:widowControl/>
              <w:shd w:val="clear" w:color="auto" w:fill="FFFFFF"/>
              <w:snapToGrid w:val="0"/>
              <w:spacing w:line="360" w:lineRule="auto"/>
              <w:jc w:val="center"/>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序号</w:t>
            </w:r>
          </w:p>
        </w:tc>
        <w:tc>
          <w:tcPr>
            <w:tcW w:w="5242" w:type="dxa"/>
            <w:vAlign w:val="center"/>
          </w:tcPr>
          <w:p w14:paraId="3602D7E1">
            <w:pPr>
              <w:widowControl/>
              <w:shd w:val="clear" w:color="auto" w:fill="FFFFFF"/>
              <w:snapToGrid w:val="0"/>
              <w:spacing w:line="360" w:lineRule="auto"/>
              <w:jc w:val="center"/>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审查要求</w:t>
            </w:r>
          </w:p>
        </w:tc>
        <w:tc>
          <w:tcPr>
            <w:tcW w:w="3076" w:type="dxa"/>
            <w:vAlign w:val="center"/>
          </w:tcPr>
          <w:p w14:paraId="26209919">
            <w:pPr>
              <w:widowControl/>
              <w:shd w:val="clear" w:color="auto" w:fill="FFFFFF"/>
              <w:snapToGrid w:val="0"/>
              <w:spacing w:line="360" w:lineRule="auto"/>
              <w:jc w:val="center"/>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要求说明</w:t>
            </w:r>
          </w:p>
        </w:tc>
      </w:tr>
      <w:tr w14:paraId="011476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65" w:hRule="atLeast"/>
          <w:jc w:val="center"/>
        </w:trPr>
        <w:tc>
          <w:tcPr>
            <w:tcW w:w="779" w:type="dxa"/>
            <w:vAlign w:val="center"/>
          </w:tcPr>
          <w:p w14:paraId="0BCDC582">
            <w:pPr>
              <w:widowControl/>
              <w:shd w:val="clear" w:color="auto" w:fill="FFFFFF"/>
              <w:snapToGrid w:val="0"/>
              <w:spacing w:line="360" w:lineRule="auto"/>
              <w:jc w:val="center"/>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1</w:t>
            </w:r>
          </w:p>
        </w:tc>
        <w:tc>
          <w:tcPr>
            <w:tcW w:w="5242" w:type="dxa"/>
            <w:vAlign w:val="center"/>
          </w:tcPr>
          <w:p w14:paraId="701EC5C5">
            <w:pPr>
              <w:widowControl/>
              <w:shd w:val="clear" w:color="auto" w:fill="FFFFFF"/>
              <w:snapToGrid w:val="0"/>
              <w:spacing w:line="360" w:lineRule="auto"/>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响应文件必须按采购文件要求加盖供应商章、法定代表人章(或签字)。</w:t>
            </w:r>
          </w:p>
        </w:tc>
        <w:tc>
          <w:tcPr>
            <w:tcW w:w="3076" w:type="dxa"/>
            <w:vAlign w:val="center"/>
          </w:tcPr>
          <w:p w14:paraId="67960396">
            <w:pPr>
              <w:widowControl/>
              <w:shd w:val="clear" w:color="auto" w:fill="FFFFFF"/>
              <w:snapToGrid w:val="0"/>
              <w:spacing w:line="360" w:lineRule="auto"/>
              <w:jc w:val="center"/>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w:t>
            </w:r>
          </w:p>
        </w:tc>
      </w:tr>
      <w:tr w14:paraId="1D04E0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65" w:hRule="atLeast"/>
          <w:jc w:val="center"/>
        </w:trPr>
        <w:tc>
          <w:tcPr>
            <w:tcW w:w="779" w:type="dxa"/>
            <w:vAlign w:val="center"/>
          </w:tcPr>
          <w:p w14:paraId="090FDA6A">
            <w:pPr>
              <w:widowControl/>
              <w:shd w:val="clear" w:color="auto" w:fill="FFFFFF"/>
              <w:snapToGrid w:val="0"/>
              <w:spacing w:line="360" w:lineRule="auto"/>
              <w:jc w:val="center"/>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2</w:t>
            </w:r>
          </w:p>
        </w:tc>
        <w:tc>
          <w:tcPr>
            <w:tcW w:w="5242" w:type="dxa"/>
            <w:vAlign w:val="center"/>
          </w:tcPr>
          <w:p w14:paraId="403ACB6F">
            <w:pPr>
              <w:widowControl/>
              <w:shd w:val="clear" w:color="auto" w:fill="FFFFFF"/>
              <w:snapToGrid w:val="0"/>
              <w:spacing w:line="360" w:lineRule="auto"/>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响应价格明细表必须完整填写。</w:t>
            </w:r>
          </w:p>
        </w:tc>
        <w:tc>
          <w:tcPr>
            <w:tcW w:w="3076" w:type="dxa"/>
            <w:vAlign w:val="center"/>
          </w:tcPr>
          <w:p w14:paraId="2A9B25C6">
            <w:pPr>
              <w:widowControl/>
              <w:shd w:val="clear" w:color="auto" w:fill="FFFFFF"/>
              <w:snapToGrid w:val="0"/>
              <w:spacing w:line="360" w:lineRule="auto"/>
              <w:jc w:val="center"/>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w:t>
            </w:r>
          </w:p>
        </w:tc>
      </w:tr>
      <w:tr w14:paraId="6DB489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90" w:hRule="atLeast"/>
          <w:jc w:val="center"/>
        </w:trPr>
        <w:tc>
          <w:tcPr>
            <w:tcW w:w="779" w:type="dxa"/>
            <w:vAlign w:val="center"/>
          </w:tcPr>
          <w:p w14:paraId="5F317B21">
            <w:pPr>
              <w:widowControl/>
              <w:shd w:val="clear" w:color="auto" w:fill="FFFFFF"/>
              <w:snapToGrid w:val="0"/>
              <w:spacing w:line="360" w:lineRule="auto"/>
              <w:jc w:val="center"/>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3</w:t>
            </w:r>
          </w:p>
        </w:tc>
        <w:tc>
          <w:tcPr>
            <w:tcW w:w="5242" w:type="dxa"/>
            <w:vAlign w:val="center"/>
          </w:tcPr>
          <w:p w14:paraId="084D8C97">
            <w:pPr>
              <w:widowControl/>
              <w:shd w:val="clear" w:color="auto" w:fill="FFFFFF"/>
              <w:snapToGrid w:val="0"/>
              <w:spacing w:line="360" w:lineRule="auto"/>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响应价格不得超过供应商须知前附表中的最高限价。</w:t>
            </w:r>
          </w:p>
        </w:tc>
        <w:tc>
          <w:tcPr>
            <w:tcW w:w="3076" w:type="dxa"/>
            <w:vAlign w:val="center"/>
          </w:tcPr>
          <w:p w14:paraId="22172A0A">
            <w:pPr>
              <w:widowControl/>
              <w:shd w:val="clear" w:color="auto" w:fill="FFFFFF"/>
              <w:snapToGrid w:val="0"/>
              <w:spacing w:line="360" w:lineRule="auto"/>
              <w:jc w:val="center"/>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w:t>
            </w:r>
          </w:p>
        </w:tc>
      </w:tr>
      <w:tr w14:paraId="0FD095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90" w:hRule="atLeast"/>
          <w:jc w:val="center"/>
        </w:trPr>
        <w:tc>
          <w:tcPr>
            <w:tcW w:w="779" w:type="dxa"/>
            <w:tcMar>
              <w:top w:w="0" w:type="dxa"/>
              <w:left w:w="28" w:type="dxa"/>
              <w:bottom w:w="0" w:type="dxa"/>
              <w:right w:w="28" w:type="dxa"/>
            </w:tcMar>
            <w:vAlign w:val="center"/>
          </w:tcPr>
          <w:p w14:paraId="420881CC">
            <w:pPr>
              <w:widowControl/>
              <w:shd w:val="clear" w:color="auto" w:fill="FFFFFF"/>
              <w:snapToGrid w:val="0"/>
              <w:spacing w:line="360" w:lineRule="auto"/>
              <w:jc w:val="center"/>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4</w:t>
            </w:r>
          </w:p>
        </w:tc>
        <w:tc>
          <w:tcPr>
            <w:tcW w:w="5242" w:type="dxa"/>
            <w:vAlign w:val="center"/>
          </w:tcPr>
          <w:p w14:paraId="5B68444D">
            <w:pPr>
              <w:widowControl/>
              <w:shd w:val="clear" w:color="auto" w:fill="FFFFFF"/>
              <w:snapToGrid w:val="0"/>
              <w:spacing w:line="360" w:lineRule="auto"/>
              <w:rPr>
                <w:rFonts w:hint="eastAsia" w:ascii="仿宋" w:hAnsi="仿宋" w:eastAsia="仿宋" w:cs="仿宋"/>
                <w:color w:val="auto"/>
                <w:highlight w:val="none"/>
              </w:rPr>
            </w:pPr>
            <w:r>
              <w:rPr>
                <w:rFonts w:hint="eastAsia" w:ascii="仿宋" w:hAnsi="仿宋" w:eastAsia="仿宋" w:cs="仿宋"/>
                <w:color w:val="auto"/>
                <w:kern w:val="0"/>
                <w:szCs w:val="24"/>
                <w:highlight w:val="none"/>
              </w:rPr>
              <w:t>售后服务承诺必须提供。</w:t>
            </w:r>
          </w:p>
        </w:tc>
        <w:tc>
          <w:tcPr>
            <w:tcW w:w="3076" w:type="dxa"/>
            <w:tcMar>
              <w:top w:w="0" w:type="dxa"/>
              <w:left w:w="28" w:type="dxa"/>
              <w:bottom w:w="0" w:type="dxa"/>
              <w:right w:w="28" w:type="dxa"/>
            </w:tcMar>
            <w:vAlign w:val="center"/>
          </w:tcPr>
          <w:p w14:paraId="4A112BF8">
            <w:pPr>
              <w:widowControl/>
              <w:shd w:val="clear" w:color="auto" w:fill="FFFFFF"/>
              <w:snapToGrid w:val="0"/>
              <w:spacing w:line="360" w:lineRule="auto"/>
              <w:jc w:val="center"/>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w:t>
            </w:r>
          </w:p>
        </w:tc>
      </w:tr>
      <w:tr w14:paraId="0F800E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0" w:hRule="atLeast"/>
          <w:jc w:val="center"/>
        </w:trPr>
        <w:tc>
          <w:tcPr>
            <w:tcW w:w="779" w:type="dxa"/>
            <w:tcMar>
              <w:top w:w="0" w:type="dxa"/>
              <w:left w:w="28" w:type="dxa"/>
              <w:bottom w:w="0" w:type="dxa"/>
              <w:right w:w="28" w:type="dxa"/>
            </w:tcMar>
            <w:vAlign w:val="center"/>
          </w:tcPr>
          <w:p w14:paraId="500213C6">
            <w:pPr>
              <w:widowControl/>
              <w:shd w:val="clear" w:color="auto" w:fill="FFFFFF"/>
              <w:snapToGrid w:val="0"/>
              <w:spacing w:line="360" w:lineRule="auto"/>
              <w:jc w:val="center"/>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5</w:t>
            </w:r>
          </w:p>
        </w:tc>
        <w:tc>
          <w:tcPr>
            <w:tcW w:w="5242" w:type="dxa"/>
            <w:vAlign w:val="center"/>
          </w:tcPr>
          <w:p w14:paraId="7ABD7934">
            <w:pPr>
              <w:widowControl/>
              <w:shd w:val="clear" w:color="auto" w:fill="FFFFFF"/>
              <w:snapToGrid w:val="0"/>
              <w:spacing w:line="360" w:lineRule="auto"/>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合同履约期限和质保期必须满足采购文件要求。</w:t>
            </w:r>
          </w:p>
        </w:tc>
        <w:tc>
          <w:tcPr>
            <w:tcW w:w="3076" w:type="dxa"/>
            <w:tcMar>
              <w:top w:w="0" w:type="dxa"/>
              <w:left w:w="28" w:type="dxa"/>
              <w:bottom w:w="0" w:type="dxa"/>
              <w:right w:w="28" w:type="dxa"/>
            </w:tcMar>
            <w:vAlign w:val="center"/>
          </w:tcPr>
          <w:p w14:paraId="51DFBDC5">
            <w:pPr>
              <w:widowControl/>
              <w:shd w:val="clear" w:color="auto" w:fill="FFFFFF"/>
              <w:snapToGrid w:val="0"/>
              <w:spacing w:line="360" w:lineRule="auto"/>
              <w:jc w:val="center"/>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w:t>
            </w:r>
          </w:p>
        </w:tc>
      </w:tr>
      <w:tr w14:paraId="7BB505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580" w:hRule="atLeast"/>
          <w:jc w:val="center"/>
        </w:trPr>
        <w:tc>
          <w:tcPr>
            <w:tcW w:w="779" w:type="dxa"/>
            <w:tcMar>
              <w:top w:w="0" w:type="dxa"/>
              <w:left w:w="28" w:type="dxa"/>
              <w:bottom w:w="0" w:type="dxa"/>
              <w:right w:w="28" w:type="dxa"/>
            </w:tcMar>
            <w:vAlign w:val="center"/>
          </w:tcPr>
          <w:p w14:paraId="3EB5451C">
            <w:pPr>
              <w:widowControl/>
              <w:shd w:val="clear" w:color="auto" w:fill="FFFFFF"/>
              <w:snapToGrid w:val="0"/>
              <w:spacing w:line="360" w:lineRule="auto"/>
              <w:jc w:val="center"/>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6</w:t>
            </w:r>
          </w:p>
        </w:tc>
        <w:tc>
          <w:tcPr>
            <w:tcW w:w="5242" w:type="dxa"/>
            <w:vAlign w:val="center"/>
          </w:tcPr>
          <w:p w14:paraId="4B2905C8">
            <w:pPr>
              <w:spacing w:line="360" w:lineRule="auto"/>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采购文件“第四章 技术标准和要求”中带“★”标识的参数为核心参数，不接受负偏离。如供应商所投货物在“★”标识的参数项出现负偏离，视为不响应采购文件，其响应将被拒绝。</w:t>
            </w:r>
          </w:p>
        </w:tc>
        <w:tc>
          <w:tcPr>
            <w:tcW w:w="3076" w:type="dxa"/>
            <w:tcMar>
              <w:top w:w="0" w:type="dxa"/>
              <w:left w:w="28" w:type="dxa"/>
              <w:bottom w:w="0" w:type="dxa"/>
              <w:right w:w="28" w:type="dxa"/>
            </w:tcMar>
            <w:vAlign w:val="center"/>
          </w:tcPr>
          <w:p w14:paraId="5E80511F">
            <w:pPr>
              <w:spacing w:line="360" w:lineRule="auto"/>
              <w:jc w:val="left"/>
              <w:rPr>
                <w:rFonts w:hint="eastAsia" w:ascii="仿宋" w:hAnsi="仿宋" w:eastAsia="仿宋" w:cs="仿宋"/>
                <w:color w:val="auto"/>
                <w:kern w:val="0"/>
                <w:szCs w:val="24"/>
                <w:highlight w:val="none"/>
              </w:rPr>
            </w:pPr>
            <w:r>
              <w:rPr>
                <w:rFonts w:hint="eastAsia" w:ascii="仿宋" w:hAnsi="仿宋" w:eastAsia="仿宋" w:cs="仿宋"/>
                <w:color w:val="auto"/>
                <w:kern w:val="0"/>
                <w:szCs w:val="21"/>
                <w:highlight w:val="none"/>
              </w:rPr>
              <w:t>须提供相应证明材料，如未要求可提供产品说明书或产品官网截图或</w:t>
            </w:r>
            <w:r>
              <w:rPr>
                <w:rFonts w:hint="eastAsia" w:ascii="仿宋" w:hAnsi="仿宋" w:eastAsia="仿宋" w:cs="仿宋"/>
                <w:color w:val="auto"/>
                <w:kern w:val="0"/>
                <w:szCs w:val="21"/>
                <w:highlight w:val="none"/>
                <w:lang w:val="en-US" w:eastAsia="zh-CN"/>
              </w:rPr>
              <w:t>产品彩页或厂家出具的技术白皮书</w:t>
            </w:r>
            <w:r>
              <w:rPr>
                <w:rFonts w:hint="eastAsia" w:ascii="仿宋" w:hAnsi="仿宋" w:eastAsia="仿宋" w:cs="仿宋"/>
                <w:color w:val="auto"/>
                <w:kern w:val="0"/>
                <w:szCs w:val="21"/>
                <w:highlight w:val="none"/>
              </w:rPr>
              <w:t>或第三方检测报告等证明材料。</w:t>
            </w:r>
          </w:p>
        </w:tc>
      </w:tr>
      <w:tr w14:paraId="2EF5C0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580" w:hRule="atLeast"/>
          <w:jc w:val="center"/>
        </w:trPr>
        <w:tc>
          <w:tcPr>
            <w:tcW w:w="779" w:type="dxa"/>
            <w:tcMar>
              <w:top w:w="0" w:type="dxa"/>
              <w:left w:w="28" w:type="dxa"/>
              <w:bottom w:w="0" w:type="dxa"/>
              <w:right w:w="28" w:type="dxa"/>
            </w:tcMar>
            <w:vAlign w:val="center"/>
          </w:tcPr>
          <w:p w14:paraId="6AAF46A0">
            <w:pPr>
              <w:widowControl/>
              <w:shd w:val="clear" w:color="auto" w:fill="FFFFFF"/>
              <w:snapToGrid w:val="0"/>
              <w:spacing w:line="360" w:lineRule="auto"/>
              <w:jc w:val="center"/>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7</w:t>
            </w:r>
          </w:p>
        </w:tc>
        <w:tc>
          <w:tcPr>
            <w:tcW w:w="5242" w:type="dxa"/>
            <w:shd w:val="clear" w:color="auto" w:fill="auto"/>
            <w:vAlign w:val="center"/>
          </w:tcPr>
          <w:p w14:paraId="613569D3">
            <w:pPr>
              <w:spacing w:line="360" w:lineRule="auto"/>
              <w:rPr>
                <w:rFonts w:hint="eastAsia" w:ascii="仿宋" w:hAnsi="仿宋" w:eastAsia="仿宋" w:cs="仿宋"/>
                <w:color w:val="auto"/>
                <w:kern w:val="0"/>
                <w:sz w:val="21"/>
                <w:szCs w:val="24"/>
                <w:highlight w:val="none"/>
                <w:lang w:val="en-US" w:eastAsia="zh-CN" w:bidi="ar-SA"/>
              </w:rPr>
            </w:pPr>
            <w:r>
              <w:rPr>
                <w:rFonts w:hint="eastAsia" w:ascii="仿宋" w:hAnsi="仿宋" w:eastAsia="仿宋" w:cs="仿宋"/>
                <w:color w:val="auto"/>
                <w:kern w:val="0"/>
                <w:szCs w:val="24"/>
                <w:highlight w:val="none"/>
              </w:rPr>
              <w:t>响应保证金必须按照采购文件要求缴纳。</w:t>
            </w:r>
          </w:p>
        </w:tc>
        <w:tc>
          <w:tcPr>
            <w:tcW w:w="3076" w:type="dxa"/>
            <w:shd w:val="clear" w:color="auto" w:fill="auto"/>
            <w:tcMar>
              <w:top w:w="0" w:type="dxa"/>
              <w:left w:w="28" w:type="dxa"/>
              <w:bottom w:w="0" w:type="dxa"/>
              <w:right w:w="28" w:type="dxa"/>
            </w:tcMar>
            <w:vAlign w:val="center"/>
          </w:tcPr>
          <w:p w14:paraId="2334A249">
            <w:pPr>
              <w:widowControl/>
              <w:shd w:val="clear" w:color="auto" w:fill="FFFFFF"/>
              <w:snapToGrid w:val="0"/>
              <w:spacing w:line="360" w:lineRule="auto"/>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保证金缴纳证明材料：汇款凭证或支票或汇票或保函或保证金收据等的扫描件。</w:t>
            </w:r>
          </w:p>
          <w:p w14:paraId="0292E368">
            <w:pPr>
              <w:spacing w:line="360" w:lineRule="auto"/>
              <w:jc w:val="left"/>
              <w:rPr>
                <w:rFonts w:hint="eastAsia" w:ascii="仿宋" w:hAnsi="仿宋" w:eastAsia="仿宋" w:cs="仿宋"/>
                <w:color w:val="auto"/>
                <w:kern w:val="0"/>
                <w:sz w:val="21"/>
                <w:szCs w:val="24"/>
                <w:highlight w:val="none"/>
                <w:lang w:val="en-US" w:eastAsia="zh-CN" w:bidi="ar-SA"/>
              </w:rPr>
            </w:pPr>
            <w:r>
              <w:rPr>
                <w:rFonts w:hint="eastAsia" w:ascii="仿宋" w:hAnsi="仿宋" w:eastAsia="仿宋" w:cs="仿宋"/>
                <w:color w:val="auto"/>
                <w:kern w:val="0"/>
                <w:szCs w:val="24"/>
                <w:highlight w:val="none"/>
              </w:rPr>
              <w:t>注：采用电汇方式缴纳的，若供应商未提供上述证明材料，但采购代理机构已查实足额缴纳的，视为已按规定缴纳保证金。</w:t>
            </w:r>
          </w:p>
        </w:tc>
      </w:tr>
      <w:tr w14:paraId="50117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90" w:hRule="atLeast"/>
          <w:jc w:val="center"/>
        </w:trPr>
        <w:tc>
          <w:tcPr>
            <w:tcW w:w="779" w:type="dxa"/>
            <w:tcMar>
              <w:top w:w="0" w:type="dxa"/>
              <w:left w:w="28" w:type="dxa"/>
              <w:bottom w:w="0" w:type="dxa"/>
              <w:right w:w="28" w:type="dxa"/>
            </w:tcMar>
            <w:vAlign w:val="center"/>
          </w:tcPr>
          <w:p w14:paraId="24EC294C">
            <w:pPr>
              <w:widowControl/>
              <w:shd w:val="clear" w:color="auto" w:fill="FFFFFF"/>
              <w:snapToGrid w:val="0"/>
              <w:spacing w:line="360" w:lineRule="auto"/>
              <w:jc w:val="center"/>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8</w:t>
            </w:r>
          </w:p>
        </w:tc>
        <w:tc>
          <w:tcPr>
            <w:tcW w:w="5242" w:type="dxa"/>
            <w:shd w:val="clear" w:color="auto" w:fill="auto"/>
            <w:vAlign w:val="center"/>
          </w:tcPr>
          <w:p w14:paraId="12F91AA9">
            <w:pPr>
              <w:widowControl/>
              <w:shd w:val="clear" w:color="auto" w:fill="FFFFFF"/>
              <w:snapToGrid w:val="0"/>
              <w:spacing w:line="360" w:lineRule="auto"/>
              <w:rPr>
                <w:rFonts w:hint="eastAsia" w:ascii="仿宋" w:hAnsi="仿宋" w:eastAsia="仿宋" w:cs="仿宋"/>
                <w:color w:val="auto"/>
                <w:kern w:val="0"/>
                <w:sz w:val="21"/>
                <w:szCs w:val="24"/>
                <w:highlight w:val="none"/>
                <w:lang w:val="en-US" w:eastAsia="zh-CN" w:bidi="ar-SA"/>
              </w:rPr>
            </w:pPr>
            <w:r>
              <w:rPr>
                <w:rFonts w:hint="eastAsia" w:ascii="仿宋" w:hAnsi="仿宋" w:eastAsia="仿宋" w:cs="仿宋"/>
                <w:color w:val="auto"/>
                <w:kern w:val="0"/>
                <w:szCs w:val="24"/>
                <w:highlight w:val="none"/>
              </w:rPr>
              <w:t>响应文件符合采购文件全部实质性要求。</w:t>
            </w:r>
          </w:p>
        </w:tc>
        <w:tc>
          <w:tcPr>
            <w:tcW w:w="3076" w:type="dxa"/>
            <w:shd w:val="clear" w:color="auto" w:fill="auto"/>
            <w:tcMar>
              <w:top w:w="0" w:type="dxa"/>
              <w:left w:w="28" w:type="dxa"/>
              <w:bottom w:w="0" w:type="dxa"/>
              <w:right w:w="28" w:type="dxa"/>
            </w:tcMar>
            <w:vAlign w:val="center"/>
          </w:tcPr>
          <w:p w14:paraId="798074E5">
            <w:pPr>
              <w:widowControl/>
              <w:shd w:val="clear" w:color="auto" w:fill="FFFFFF"/>
              <w:snapToGrid w:val="0"/>
              <w:spacing w:line="360" w:lineRule="auto"/>
              <w:jc w:val="center"/>
              <w:rPr>
                <w:rFonts w:hint="eastAsia" w:ascii="仿宋" w:hAnsi="仿宋" w:eastAsia="仿宋" w:cs="仿宋"/>
                <w:color w:val="auto"/>
                <w:kern w:val="0"/>
                <w:sz w:val="21"/>
                <w:szCs w:val="24"/>
                <w:highlight w:val="none"/>
                <w:lang w:val="en-US" w:eastAsia="zh-CN" w:bidi="ar-SA"/>
              </w:rPr>
            </w:pPr>
            <w:r>
              <w:rPr>
                <w:rFonts w:hint="eastAsia" w:ascii="仿宋" w:hAnsi="仿宋" w:eastAsia="仿宋" w:cs="仿宋"/>
                <w:color w:val="auto"/>
                <w:kern w:val="0"/>
                <w:szCs w:val="24"/>
                <w:highlight w:val="none"/>
              </w:rPr>
              <w:t>/</w:t>
            </w:r>
          </w:p>
        </w:tc>
      </w:tr>
      <w:tr w14:paraId="49B4C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0" w:hRule="atLeast"/>
          <w:jc w:val="center"/>
        </w:trPr>
        <w:tc>
          <w:tcPr>
            <w:tcW w:w="9097" w:type="dxa"/>
            <w:gridSpan w:val="3"/>
            <w:vAlign w:val="center"/>
          </w:tcPr>
          <w:p w14:paraId="76C6F513">
            <w:pPr>
              <w:widowControl/>
              <w:shd w:val="clear" w:color="auto" w:fill="FFFFFF"/>
              <w:snapToGrid w:val="0"/>
              <w:spacing w:line="360" w:lineRule="auto"/>
              <w:jc w:val="left"/>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备注：完备性及符合性审查中有一项不满足评审标准的，评标委员会将认定该供应商不通过完备性及符合性审查，不得进入下一阶段评审。并且不允许供应商通过修改或撤销其不符合要求的差异或保留，使之成为具有响应性的投标。</w:t>
            </w:r>
          </w:p>
        </w:tc>
      </w:tr>
    </w:tbl>
    <w:p w14:paraId="7AAD9552">
      <w:pPr>
        <w:widowControl/>
        <w:shd w:val="clear" w:color="auto" w:fill="FFFFFF"/>
        <w:snapToGrid w:val="0"/>
        <w:spacing w:line="360" w:lineRule="auto"/>
        <w:jc w:val="center"/>
        <w:rPr>
          <w:rFonts w:hint="eastAsia" w:ascii="仿宋" w:hAnsi="仿宋" w:eastAsia="仿宋" w:cs="仿宋"/>
          <w:b/>
          <w:color w:val="auto"/>
          <w:kern w:val="0"/>
          <w:szCs w:val="21"/>
          <w:highlight w:val="none"/>
          <w:shd w:val="clear" w:color="auto" w:fill="FFFFFF" w:themeFill="background1"/>
        </w:rPr>
      </w:pPr>
    </w:p>
    <w:p w14:paraId="0B31A450">
      <w:pPr>
        <w:jc w:val="left"/>
        <w:rPr>
          <w:rFonts w:hint="eastAsia" w:ascii="仿宋" w:hAnsi="仿宋" w:eastAsia="仿宋" w:cs="仿宋"/>
          <w:b/>
          <w:color w:val="auto"/>
          <w:sz w:val="24"/>
          <w:szCs w:val="24"/>
          <w:highlight w:val="none"/>
          <w:shd w:val="clear" w:color="auto" w:fill="FFFFFF" w:themeFill="background1"/>
        </w:rPr>
      </w:pPr>
    </w:p>
    <w:p w14:paraId="0A7950FB">
      <w:pPr>
        <w:tabs>
          <w:tab w:val="center" w:pos="4832"/>
          <w:tab w:val="left" w:pos="7140"/>
        </w:tabs>
        <w:spacing w:line="360" w:lineRule="auto"/>
        <w:ind w:firstLine="472" w:firstLineChars="196"/>
        <w:jc w:val="left"/>
        <w:outlineLvl w:val="1"/>
        <w:rPr>
          <w:rFonts w:hint="eastAsia" w:ascii="仿宋" w:hAnsi="仿宋" w:eastAsia="仿宋" w:cs="仿宋"/>
          <w:b/>
          <w:color w:val="auto"/>
          <w:sz w:val="24"/>
          <w:szCs w:val="24"/>
          <w:highlight w:val="none"/>
          <w:shd w:val="clear" w:color="auto" w:fill="FFFFFF" w:themeFill="background1"/>
        </w:rPr>
      </w:pPr>
      <w:bookmarkStart w:id="29" w:name="_Toc31642"/>
      <w:r>
        <w:rPr>
          <w:rFonts w:hint="eastAsia" w:ascii="仿宋" w:hAnsi="仿宋" w:eastAsia="仿宋" w:cs="仿宋"/>
          <w:b/>
          <w:color w:val="auto"/>
          <w:sz w:val="24"/>
          <w:szCs w:val="24"/>
          <w:highlight w:val="none"/>
          <w:shd w:val="clear" w:color="auto" w:fill="FFFFFF" w:themeFill="background1"/>
        </w:rPr>
        <w:t>一、评审方法</w:t>
      </w:r>
      <w:bookmarkEnd w:id="29"/>
    </w:p>
    <w:p w14:paraId="6B245E56">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本次评审采用最低价法。谈判小组对满足采购文件实质性要求的响应文件，按照本节规定的评审标准进行评审。评审中各评审专家若发生意见分歧，以少数服从多数原则确定。</w:t>
      </w:r>
    </w:p>
    <w:p w14:paraId="6D43E913">
      <w:pPr>
        <w:tabs>
          <w:tab w:val="center" w:pos="4832"/>
          <w:tab w:val="left" w:pos="7140"/>
        </w:tabs>
        <w:spacing w:line="360" w:lineRule="auto"/>
        <w:ind w:firstLine="472" w:firstLineChars="196"/>
        <w:jc w:val="left"/>
        <w:outlineLvl w:val="1"/>
        <w:rPr>
          <w:rFonts w:hint="eastAsia" w:ascii="仿宋" w:hAnsi="仿宋" w:eastAsia="仿宋" w:cs="仿宋"/>
          <w:b/>
          <w:color w:val="auto"/>
          <w:sz w:val="24"/>
          <w:szCs w:val="24"/>
          <w:highlight w:val="none"/>
          <w:shd w:val="clear" w:color="auto" w:fill="FFFFFF" w:themeFill="background1"/>
        </w:rPr>
      </w:pPr>
      <w:bookmarkStart w:id="30" w:name="_Toc22935"/>
      <w:r>
        <w:rPr>
          <w:rFonts w:hint="eastAsia" w:ascii="仿宋" w:hAnsi="仿宋" w:eastAsia="仿宋" w:cs="仿宋"/>
          <w:b/>
          <w:color w:val="auto"/>
          <w:sz w:val="24"/>
          <w:szCs w:val="24"/>
          <w:highlight w:val="none"/>
          <w:shd w:val="clear" w:color="auto" w:fill="FFFFFF" w:themeFill="background1"/>
        </w:rPr>
        <w:t>二、评审标准</w:t>
      </w:r>
      <w:bookmarkEnd w:id="30"/>
    </w:p>
    <w:p w14:paraId="61516407">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2.1 资格审查：评审因素和评审标准见《资格审查标准》。</w:t>
      </w:r>
    </w:p>
    <w:p w14:paraId="0A775090">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2.2 完备性及符合性审查：评审因素和评审标准见《完备性及符合性审查标准》。</w:t>
      </w:r>
    </w:p>
    <w:p w14:paraId="1E5A6CFF">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2.3 投标品牌：评审因素和评审标准见本节第3.5款。</w:t>
      </w:r>
    </w:p>
    <w:p w14:paraId="0E142D75">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2.4详细评审：</w:t>
      </w:r>
    </w:p>
    <w:p w14:paraId="3720AB89">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2.4.1详细评审：评审因素和评审标准见《详细评审标准》及本节第3.7款。</w:t>
      </w:r>
    </w:p>
    <w:p w14:paraId="7B616BED">
      <w:pPr>
        <w:tabs>
          <w:tab w:val="center" w:pos="4832"/>
          <w:tab w:val="left" w:pos="7140"/>
        </w:tabs>
        <w:spacing w:line="360" w:lineRule="auto"/>
        <w:ind w:firstLine="472" w:firstLineChars="196"/>
        <w:jc w:val="left"/>
        <w:outlineLvl w:val="1"/>
        <w:rPr>
          <w:rFonts w:hint="eastAsia" w:ascii="仿宋" w:hAnsi="仿宋" w:eastAsia="仿宋" w:cs="仿宋"/>
          <w:b/>
          <w:color w:val="auto"/>
          <w:sz w:val="24"/>
          <w:szCs w:val="24"/>
          <w:highlight w:val="none"/>
          <w:shd w:val="clear" w:color="auto" w:fill="FFFFFF" w:themeFill="background1"/>
        </w:rPr>
      </w:pPr>
      <w:bookmarkStart w:id="31" w:name="_Toc15570"/>
      <w:r>
        <w:rPr>
          <w:rFonts w:hint="eastAsia" w:ascii="仿宋" w:hAnsi="仿宋" w:eastAsia="仿宋" w:cs="仿宋"/>
          <w:b/>
          <w:color w:val="auto"/>
          <w:sz w:val="24"/>
          <w:szCs w:val="24"/>
          <w:highlight w:val="none"/>
          <w:shd w:val="clear" w:color="auto" w:fill="FFFFFF" w:themeFill="background1"/>
        </w:rPr>
        <w:t>三、评审程序</w:t>
      </w:r>
      <w:bookmarkEnd w:id="31"/>
    </w:p>
    <w:p w14:paraId="63765609">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3.1 基本程序</w:t>
      </w:r>
    </w:p>
    <w:p w14:paraId="4DCF89AF">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评审活动将按以下步骤进行：</w:t>
      </w:r>
    </w:p>
    <w:p w14:paraId="2DE1E66D">
      <w:pPr>
        <w:pStyle w:val="66"/>
        <w:widowControl/>
        <w:numPr>
          <w:ilvl w:val="0"/>
          <w:numId w:val="2"/>
        </w:numPr>
        <w:shd w:val="clear" w:color="auto" w:fill="FFFFFF"/>
        <w:snapToGrid w:val="0"/>
        <w:spacing w:line="360" w:lineRule="auto"/>
        <w:ind w:firstLineChars="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评审准备</w:t>
      </w:r>
    </w:p>
    <w:p w14:paraId="4E51B3FF">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（2） 资格审查</w:t>
      </w:r>
    </w:p>
    <w:p w14:paraId="2F7313A8">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 完备性及符合性审查</w:t>
      </w:r>
    </w:p>
    <w:p w14:paraId="6CC5DB96">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（4） 第二轮报价</w:t>
      </w:r>
    </w:p>
    <w:p w14:paraId="7D85F53C">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（5） 详细评审</w:t>
      </w:r>
    </w:p>
    <w:p w14:paraId="171E06CB">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（6） 澄清、说明或补正</w:t>
      </w:r>
    </w:p>
    <w:p w14:paraId="75F7674B">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（7） 推荐成交候选人及提交评审报告</w:t>
      </w:r>
    </w:p>
    <w:p w14:paraId="2F42A860">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3.2 评审准备</w:t>
      </w:r>
    </w:p>
    <w:p w14:paraId="2B4235BB">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3.2.1谈判小组成员签到</w:t>
      </w:r>
    </w:p>
    <w:p w14:paraId="26140C05">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谈判小组成员到达评审现场时应当在签到表上签到以证明其出席。</w:t>
      </w:r>
    </w:p>
    <w:p w14:paraId="6A1DE16C">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3.2.2 谈判小组的分工</w:t>
      </w:r>
    </w:p>
    <w:p w14:paraId="175DE2A0">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3.2.2.1谈判小组首先推选一名谈判小组组长。谈判小组组长负责评审活动的组织领导工作。谈判小组组长与谈判小组其他成员具有同等的评审权力。</w:t>
      </w:r>
    </w:p>
    <w:p w14:paraId="07CBC74E">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 xml:space="preserve">3.2.2.2 谈判小组组长除履行自己作为谈判小组成员独立评审的职责外，主要负责以下工作： </w:t>
      </w:r>
    </w:p>
    <w:p w14:paraId="2FA9B123">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（1）组织谈判小组成员学习采购文件；</w:t>
      </w:r>
    </w:p>
    <w:p w14:paraId="1BFD4F3A">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（2）汇总各谈判小组成员认为需要供应商澄清、说明或者补正的问题；</w:t>
      </w:r>
    </w:p>
    <w:p w14:paraId="5FD530CC">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（3）组织谈判小组对供应商质询并对供应商的答复进行评审；</w:t>
      </w:r>
    </w:p>
    <w:p w14:paraId="10BDDBF4">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（4）对出现较大争议的事项进行书面记录；</w:t>
      </w:r>
    </w:p>
    <w:p w14:paraId="5EABCAF3">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（5）组织收回评审过程中使用的文件、表格和评审记录以及其他资料，并查验评审记录的完整性及有效性；</w:t>
      </w:r>
    </w:p>
    <w:p w14:paraId="7F95A5AA">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（6）组织对评审结论进行复核确认；</w:t>
      </w:r>
    </w:p>
    <w:p w14:paraId="2B015F59">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（7）组织编写评审报告。</w:t>
      </w:r>
    </w:p>
    <w:p w14:paraId="6EB3A515">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3.2.3 熟悉文件资料</w:t>
      </w:r>
    </w:p>
    <w:p w14:paraId="7CD108F7">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3.2.3.1 谈判小组组长应当组织谈判小组成员认真研究采购文件，了解和熟悉招标目的、采购范围、主要合同条件、技术标准、质量标准和要求，掌握评审标准和方法，熟悉本章及附件中包括的评审表格的使用，如果本章及附件所附的表格不能满足评审所需时，谈判小组应当补充编制评审所需的表格。</w:t>
      </w:r>
    </w:p>
    <w:p w14:paraId="7A51F31F">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3.2.3.2 采购人或采购代理机构应当向谈判小组提供评审所需的信息和数据，包括：</w:t>
      </w:r>
    </w:p>
    <w:p w14:paraId="34E8F528">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（1）采购文件及其澄清修改等采购文件补充；</w:t>
      </w:r>
    </w:p>
    <w:p w14:paraId="6811D3F9">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（2）未在开标会上当场拒绝的各响应文件；</w:t>
      </w:r>
    </w:p>
    <w:p w14:paraId="0EFDEC80">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（3）开标会记录；</w:t>
      </w:r>
    </w:p>
    <w:p w14:paraId="3E669356">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（4）评审表格；</w:t>
      </w:r>
    </w:p>
    <w:p w14:paraId="002F23DC">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（5）其他信息和数据。</w:t>
      </w:r>
    </w:p>
    <w:p w14:paraId="2B7F6BB1">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3.3资格审查（适用于资格后审）</w:t>
      </w:r>
    </w:p>
    <w:p w14:paraId="525324B1">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采购人依据本章规定的评审因素和审查标准，对供应商的资格审查资料进行资格审查。资格审查有一项未通过审查标准，采购人将认定整个响应文件不响应采购文件而否决其投标，并且不允许供应商通过修改或撤销其不符合要求的差异或保留，使之成为具有响应性的投标。</w:t>
      </w:r>
    </w:p>
    <w:p w14:paraId="5AB375C9">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3.4完备性及符合性审查</w:t>
      </w:r>
    </w:p>
    <w:p w14:paraId="31BA97E8">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3.4.1 谈判小组依据本章规定的评审因素和评审标准，对供应商的响应文件进行完备性及符合性审查。完备性及符合性审查有一项未通过评审标准，谈判小组将认定整个响应文件不响应采购文件而否决其投标，并且不允许供应商通过修改或撤销其不符合要求的差异或保留，使之成为具有响应性的投标。</w:t>
      </w:r>
    </w:p>
    <w:p w14:paraId="5E626ABC">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3.4.2 完备性及符合性审查条款是指对本采购项目产生了重大影响的重大偏差，而且纠正此类偏差将会对响应本次招标的其他供应商的竞争地位产生不公正的影响。</w:t>
      </w:r>
    </w:p>
    <w:p w14:paraId="00A584C5">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3.4.3细微偏差是指响应文件在实质上响应采购文件要求，但在个别地方存在疏漏或者提供了不完整的技术信息和数据等情况，并且补正这些遗漏和不完整不会对其他供应商造成不公平的结果。细微偏差不影响响应文件的有效性，谈判小组可要求存在细微偏差的供应商予以补正。</w:t>
      </w:r>
    </w:p>
    <w:p w14:paraId="68E31E34">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3.5 投标品牌统计</w:t>
      </w:r>
    </w:p>
    <w:p w14:paraId="6C0AAA46">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3.5.1.由谈判小组会根据供应商所报核心产品品牌统计计算供应商家数。</w:t>
      </w:r>
    </w:p>
    <w:p w14:paraId="70332E9F">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3.5.2如采购文件前附表中约定了单一产品或核心产品，则提供相同品牌产品且通过资格审查、完备性及符合性审查的不同供应商参加同一合同项下投标的，按一家供应商计算。</w:t>
      </w:r>
    </w:p>
    <w:p w14:paraId="769078E1">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3.6第二轮报价</w:t>
      </w:r>
    </w:p>
    <w:p w14:paraId="1F7A37F7">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3.6.1、按照供应商递交响应文件的逆顺序，由谈判小组与各供应商进行谈判（如需要），对响应文件中的漏项、错误等问题进行统一补充和修正并告知供应商，在此基础上进行第二轮谈判报价。</w:t>
      </w:r>
    </w:p>
    <w:p w14:paraId="2EC1CBAF">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3.6.2、供应商分别进行各自第二轮谈判报价，作为最终谈判报价的依据。若供应商未进行第二轮报价，视为放弃响应资格；其响应无效；不在参与后续评审进行修正；修正后的报价经供应商确认后产生约束力，供应商不确认或不接受的，其响应无效。</w:t>
      </w:r>
    </w:p>
    <w:p w14:paraId="5BAFC0F4">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3.7、详细评审</w:t>
      </w:r>
    </w:p>
    <w:p w14:paraId="008A3C51">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3.7.1. 只有通过了第二轮报价方可进入详细评审。</w:t>
      </w:r>
    </w:p>
    <w:p w14:paraId="5238A393">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3.7.2 澄清、说明和补正</w:t>
      </w:r>
    </w:p>
    <w:p w14:paraId="61E8286D">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3.7.2.1在不改变供应商响应文件实质性内容的前提下，谈判小组应当对响应文件进行基础性数据分析和整理，从而发现并提取其中可能存在的对采购范围理解的偏差、技术响应偏离、响应价格的算术性错误、错漏项、响应价格构成不合理、不平衡报价等存在明显异常的问题。</w:t>
      </w:r>
    </w:p>
    <w:p w14:paraId="2263C3BA">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3.7.2.2澄清、说明和补正内容不得改变响应文件的实质性内容（算术性错误修正的除外）。供应商的书面澄清、说明和补正属于响应文件的组成部分。</w:t>
      </w:r>
    </w:p>
    <w:p w14:paraId="68588026">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3.7.2.3谈判小组针对需要供应商对所提交响应文件中不明确的内容进行书面澄清、说明或补正。澄清通知不得向供应商提出带有暗示性或诱导性问题，或向其明确响应文件中的遗漏和错误。供应商接到谈判小组发出的书面澄清通知后，应按谈判小组的要求提供书面澄清资料，并在规定的时间递交到指定地点。谈判小组不接受供应商主动提出的澄清、说明或补正。</w:t>
      </w:r>
    </w:p>
    <w:p w14:paraId="263919E2">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3.7.2.4谈判小组对供应商提交的澄清、说明或补正有疑问的，可以要求供应商进一步澄清、说明或补正，直至满足谈判小组的要求。</w:t>
      </w:r>
    </w:p>
    <w:p w14:paraId="77A2B20A">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3.7.3 算术错误修正：</w:t>
      </w:r>
      <w:r>
        <w:rPr>
          <w:rFonts w:hint="eastAsia" w:ascii="仿宋" w:hAnsi="仿宋" w:eastAsia="仿宋" w:cs="仿宋"/>
          <w:color w:val="auto"/>
          <w:kern w:val="0"/>
          <w:sz w:val="24"/>
          <w:szCs w:val="24"/>
          <w:highlight w:val="none"/>
          <w:shd w:val="clear" w:color="auto" w:fill="FFFFFF" w:themeFill="background1"/>
        </w:rPr>
        <w:t>响应价格</w:t>
      </w:r>
      <w:r>
        <w:rPr>
          <w:rFonts w:hint="eastAsia" w:ascii="仿宋" w:hAnsi="仿宋" w:eastAsia="仿宋" w:cs="仿宋"/>
          <w:color w:val="auto"/>
          <w:kern w:val="0"/>
          <w:sz w:val="24"/>
          <w:szCs w:val="24"/>
          <w:highlight w:val="none"/>
        </w:rPr>
        <w:t>有算术错误或前后不一致的，</w:t>
      </w:r>
      <w:r>
        <w:rPr>
          <w:rFonts w:hint="eastAsia" w:ascii="仿宋" w:hAnsi="仿宋" w:eastAsia="仿宋" w:cs="仿宋"/>
          <w:color w:val="auto"/>
          <w:kern w:val="0"/>
          <w:sz w:val="24"/>
          <w:szCs w:val="24"/>
          <w:highlight w:val="none"/>
          <w:shd w:val="clear" w:color="auto" w:fill="FFFFFF" w:themeFill="background1"/>
        </w:rPr>
        <w:t>谈判小组</w:t>
      </w:r>
      <w:r>
        <w:rPr>
          <w:rFonts w:hint="eastAsia" w:ascii="仿宋" w:hAnsi="仿宋" w:eastAsia="仿宋" w:cs="仿宋"/>
          <w:color w:val="auto"/>
          <w:kern w:val="0"/>
          <w:sz w:val="24"/>
          <w:szCs w:val="24"/>
          <w:highlight w:val="none"/>
        </w:rPr>
        <w:t>按以下原则对</w:t>
      </w:r>
      <w:r>
        <w:rPr>
          <w:rFonts w:hint="eastAsia" w:ascii="仿宋" w:hAnsi="仿宋" w:eastAsia="仿宋" w:cs="仿宋"/>
          <w:color w:val="auto"/>
          <w:kern w:val="0"/>
          <w:sz w:val="24"/>
          <w:szCs w:val="24"/>
          <w:highlight w:val="none"/>
          <w:shd w:val="clear" w:color="auto" w:fill="FFFFFF" w:themeFill="background1"/>
        </w:rPr>
        <w:t>响应价格</w:t>
      </w:r>
      <w:r>
        <w:rPr>
          <w:rFonts w:hint="eastAsia" w:ascii="仿宋" w:hAnsi="仿宋" w:eastAsia="仿宋" w:cs="仿宋"/>
          <w:color w:val="auto"/>
          <w:kern w:val="0"/>
          <w:sz w:val="24"/>
          <w:szCs w:val="24"/>
          <w:highlight w:val="none"/>
        </w:rPr>
        <w:t>进行修正：</w:t>
      </w:r>
    </w:p>
    <w:p w14:paraId="379519A7">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（1）电子交易平台中报价与响应文件相应内容不一致的，以响应文件为准；</w:t>
      </w:r>
    </w:p>
    <w:p w14:paraId="6E05E46C">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（2）开启一览表与响应文件中相应内容不一致的，以开启一览表为准；</w:t>
      </w:r>
    </w:p>
    <w:p w14:paraId="7318EB62">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（3）大写金额和小写金额不一致的，以大写金额为准；</w:t>
      </w:r>
    </w:p>
    <w:p w14:paraId="1E0AFB06">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（4）单价金额小数点或者百分比有明显错位的，以开启一览表的总价为准，并修改单价；</w:t>
      </w:r>
    </w:p>
    <w:p w14:paraId="264CE8BA">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（5）总价金额与按单价汇总金额不一致的，以单价金额计算结果为准。</w:t>
      </w:r>
    </w:p>
    <w:p w14:paraId="6F88EF59">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修正后的报价经供应商确认后产生约束力，供应商不确认或不接受的，其投标无效。</w:t>
      </w:r>
    </w:p>
    <w:p w14:paraId="735329FB">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shd w:val="clear" w:color="auto" w:fill="FFFFFF" w:themeFill="background1"/>
        </w:rPr>
        <w:t>3.7.4</w:t>
      </w:r>
      <w:r>
        <w:rPr>
          <w:rFonts w:hint="eastAsia" w:ascii="仿宋" w:hAnsi="仿宋" w:eastAsia="仿宋" w:cs="仿宋"/>
          <w:color w:val="auto"/>
          <w:kern w:val="0"/>
          <w:sz w:val="24"/>
          <w:szCs w:val="24"/>
          <w:highlight w:val="none"/>
        </w:rPr>
        <w:t>政府采购评审中出现下列情形之一的，评审委员会应当启动异常低价投标审查程序：</w:t>
      </w:r>
    </w:p>
    <w:p w14:paraId="587E7DBD">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（1）投标报价低于全部通过符合性审查供应商投标报价平均值50%的，即投标报价&lt;全部通过符合性审查供应商投标报价平均值×50%；</w:t>
      </w:r>
    </w:p>
    <w:p w14:paraId="07AAA9BC">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（2）投标报价低于通过符合性审查的次低报价供应商投标报价50%的，即投标报价&lt;通过符合性审查的次低报价供应商投标报价×50%；</w:t>
      </w:r>
    </w:p>
    <w:p w14:paraId="393E3E41">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（3）投标报价低于采购项目最高限价45%的，即投标报价&lt;采购项目最高限价×45%；</w:t>
      </w:r>
    </w:p>
    <w:p w14:paraId="23E71CDB">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（4）评审委员会基于专业判断，认为供应商报价过低，有可能影响产品质量或者不能诚信履约的其他情形。</w:t>
      </w:r>
    </w:p>
    <w:p w14:paraId="744ABDD8">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3.7.5评审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审现场可不再重复提交。</w:t>
      </w:r>
    </w:p>
    <w:p w14:paraId="726201D3">
      <w:pPr>
        <w:widowControl/>
        <w:shd w:val="clear" w:color="auto" w:fill="FFFFFF"/>
        <w:snapToGrid w:val="0"/>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kern w:val="0"/>
          <w:sz w:val="24"/>
          <w:szCs w:val="24"/>
          <w:highlight w:val="none"/>
        </w:rPr>
        <w:t>3.7.6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p>
    <w:p w14:paraId="34ECED52">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3.7.5 详细评审工作全部结束后，供应商排序按照以下原则进行。</w:t>
      </w:r>
    </w:p>
    <w:p w14:paraId="00592B66">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3.7.5.1按照</w:t>
      </w:r>
      <w:r>
        <w:rPr>
          <w:rFonts w:hint="eastAsia" w:ascii="仿宋" w:hAnsi="仿宋" w:eastAsia="仿宋" w:cs="仿宋"/>
          <w:color w:val="auto"/>
          <w:kern w:val="0"/>
          <w:sz w:val="24"/>
          <w:szCs w:val="24"/>
          <w:highlight w:val="none"/>
          <w:shd w:val="clear" w:color="auto" w:fill="FFFFFF" w:themeFill="background1"/>
        </w:rPr>
        <w:t>报价</w:t>
      </w:r>
      <w:r>
        <w:rPr>
          <w:rFonts w:hint="eastAsia" w:ascii="仿宋" w:hAnsi="仿宋" w:eastAsia="仿宋" w:cs="仿宋"/>
          <w:color w:val="auto"/>
          <w:kern w:val="0"/>
          <w:sz w:val="24"/>
          <w:szCs w:val="24"/>
          <w:highlight w:val="none"/>
        </w:rPr>
        <w:t>由</w:t>
      </w:r>
      <w:r>
        <w:rPr>
          <w:rFonts w:hint="eastAsia" w:ascii="仿宋" w:hAnsi="仿宋" w:eastAsia="仿宋" w:cs="仿宋"/>
          <w:color w:val="auto"/>
          <w:kern w:val="0"/>
          <w:sz w:val="24"/>
          <w:szCs w:val="24"/>
          <w:highlight w:val="none"/>
          <w:shd w:val="clear" w:color="auto" w:fill="FFFFFF" w:themeFill="background1"/>
        </w:rPr>
        <w:t>低到高</w:t>
      </w:r>
      <w:r>
        <w:rPr>
          <w:rFonts w:hint="eastAsia" w:ascii="仿宋" w:hAnsi="仿宋" w:eastAsia="仿宋" w:cs="仿宋"/>
          <w:color w:val="auto"/>
          <w:kern w:val="0"/>
          <w:sz w:val="24"/>
          <w:szCs w:val="24"/>
          <w:highlight w:val="none"/>
        </w:rPr>
        <w:t>顺序对供应商进行排序；</w:t>
      </w:r>
    </w:p>
    <w:p w14:paraId="77E29BE7">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3.7.5.2报价相同的供应商，采取随机抽取方式确定排序顺序；</w:t>
      </w:r>
    </w:p>
    <w:p w14:paraId="4B83E16F">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说明：①</w:t>
      </w:r>
      <w:r>
        <w:rPr>
          <w:rFonts w:ascii="仿宋" w:hAnsi="仿宋" w:eastAsia="仿宋" w:cs="仿宋"/>
          <w:color w:val="auto"/>
          <w:kern w:val="0"/>
          <w:sz w:val="24"/>
          <w:szCs w:val="24"/>
          <w:highlight w:val="none"/>
        </w:rPr>
        <w:t>政府采购活动中既有本国产品又有非本国产品参与竞争的，依法对本国产品给予价格评审优惠，对本国产品的报价给予20%的价格扣除，用扣除后的价格参与评审（排序）。</w:t>
      </w:r>
    </w:p>
    <w:p w14:paraId="1D6C3292">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3.8 推荐成交候选人及提交评审报告</w:t>
      </w:r>
    </w:p>
    <w:p w14:paraId="5ADCDD4F">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3.8.1谈判小组推荐成交候选人，排序第一的供应商将被确定为第一成交候选人（排序最高的核心产品品牌相同的供应商获得成交候选人推荐资格，其它核心产品品牌相同的供应商不作为成交候选人），以此类推确定出规定数量的的成交候选人。</w:t>
      </w:r>
    </w:p>
    <w:p w14:paraId="66230A78">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3.8.2</w:t>
      </w:r>
      <w:r>
        <w:rPr>
          <w:rFonts w:hint="eastAsia" w:ascii="仿宋" w:hAnsi="仿宋" w:eastAsia="仿宋" w:cs="仿宋"/>
          <w:color w:val="auto"/>
          <w:kern w:val="0"/>
          <w:sz w:val="24"/>
          <w:szCs w:val="24"/>
          <w:highlight w:val="none"/>
        </w:rPr>
        <w:t>当通过了资格审查、完备性及符合性审查后，投标品牌少于3个时，采购人应当依法重新招标</w:t>
      </w:r>
      <w:r>
        <w:rPr>
          <w:rFonts w:hint="eastAsia" w:ascii="仿宋" w:hAnsi="仿宋" w:eastAsia="仿宋" w:cs="仿宋"/>
          <w:color w:val="auto"/>
          <w:kern w:val="0"/>
          <w:sz w:val="24"/>
          <w:szCs w:val="24"/>
          <w:highlight w:val="none"/>
          <w:shd w:val="clear" w:color="auto" w:fill="FFFFFF" w:themeFill="background1"/>
        </w:rPr>
        <w:t>。</w:t>
      </w:r>
    </w:p>
    <w:p w14:paraId="69559793">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3.8.3 谈判小组完成评审后，应当向采购人提交书面评审报告。</w:t>
      </w:r>
    </w:p>
    <w:p w14:paraId="13A4D785">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3.9 特殊情况的处置程序</w:t>
      </w:r>
    </w:p>
    <w:p w14:paraId="35ECB91F">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3.9.1 关于评审活动暂停</w:t>
      </w:r>
    </w:p>
    <w:p w14:paraId="5586AFC1">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谈判小组应当执行连续评审的原则，按评审办法中规定的程序、内容、方法、标准完成全部评审工作。只有发生不可抗力导致评审工作无法继续时，评审活动方可暂停。发生评审暂停情况时，应当封存全部响应文件和评审记录，待不可抗力的影响结束且具备继续评审的条件时，由原谈判小组继续评审。</w:t>
      </w:r>
    </w:p>
    <w:p w14:paraId="2B11629F">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3.9.2关于评审中途更换评审专家</w:t>
      </w:r>
    </w:p>
    <w:p w14:paraId="550129A1">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3.9.2.1 除非发生下列情况之一，谈判小组成员不得在评审中途更换：</w:t>
      </w:r>
    </w:p>
    <w:p w14:paraId="28A6E459">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（1）因不可抗拒的客观原因，不能到场或需在评审中途退出评审活动。</w:t>
      </w:r>
    </w:p>
    <w:p w14:paraId="25930286">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（2）根据法律法规规定，某个或某几个谈判小组成员需要回避。</w:t>
      </w:r>
    </w:p>
    <w:p w14:paraId="13D4A081">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3.9.2.2 退出评审的谈判小组成员，其已完成的评审行为无效，由更换的评审专家进行评审。</w:t>
      </w:r>
    </w:p>
    <w:p w14:paraId="5F1E35D3">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3.9.3 在评审环节中，需谈判小组就某项定性的评审结论做出表决的，由谈判小组全体成员按照少数服从多数的原则确定。</w:t>
      </w:r>
    </w:p>
    <w:p w14:paraId="2503CC00">
      <w:pPr>
        <w:widowControl/>
        <w:spacing w:line="360" w:lineRule="auto"/>
        <w:jc w:val="left"/>
        <w:rPr>
          <w:rFonts w:hint="eastAsia" w:ascii="仿宋" w:hAnsi="仿宋" w:eastAsia="仿宋" w:cs="仿宋"/>
          <w:b/>
          <w:color w:val="auto"/>
          <w:sz w:val="24"/>
          <w:szCs w:val="24"/>
          <w:highlight w:val="none"/>
          <w:shd w:val="clear" w:color="auto" w:fill="FFFFFF" w:themeFill="background1"/>
        </w:rPr>
      </w:pPr>
      <w:bookmarkStart w:id="32" w:name="_Toc485312286"/>
      <w:r>
        <w:rPr>
          <w:rFonts w:hint="eastAsia" w:ascii="仿宋" w:hAnsi="仿宋" w:eastAsia="仿宋" w:cs="仿宋"/>
          <w:b/>
          <w:color w:val="auto"/>
          <w:sz w:val="24"/>
          <w:szCs w:val="24"/>
          <w:highlight w:val="none"/>
          <w:shd w:val="clear" w:color="auto" w:fill="FFFFFF" w:themeFill="background1"/>
        </w:rPr>
        <w:br w:type="page"/>
      </w:r>
    </w:p>
    <w:p w14:paraId="1DB5E881">
      <w:pPr>
        <w:widowControl/>
        <w:shd w:val="clear" w:color="auto" w:fill="FFFFFF"/>
        <w:snapToGrid w:val="0"/>
        <w:spacing w:line="360" w:lineRule="auto"/>
        <w:jc w:val="center"/>
        <w:rPr>
          <w:rFonts w:hint="eastAsia" w:ascii="仿宋" w:hAnsi="仿宋" w:eastAsia="仿宋" w:cs="仿宋"/>
          <w:b/>
          <w:color w:val="auto"/>
          <w:sz w:val="24"/>
          <w:szCs w:val="24"/>
          <w:highlight w:val="none"/>
          <w:shd w:val="clear" w:color="auto" w:fill="FFFFFF" w:themeFill="background1"/>
        </w:rPr>
      </w:pPr>
      <w:r>
        <w:rPr>
          <w:rFonts w:hint="eastAsia" w:ascii="仿宋" w:hAnsi="仿宋" w:eastAsia="仿宋" w:cs="仿宋"/>
          <w:b/>
          <w:color w:val="auto"/>
          <w:sz w:val="24"/>
          <w:szCs w:val="24"/>
          <w:highlight w:val="none"/>
          <w:shd w:val="clear" w:color="auto" w:fill="FFFFFF" w:themeFill="background1"/>
        </w:rPr>
        <w:t>问题澄清通知</w:t>
      </w:r>
    </w:p>
    <w:p w14:paraId="66A561CC">
      <w:pPr>
        <w:spacing w:line="360" w:lineRule="auto"/>
        <w:rPr>
          <w:rFonts w:hint="eastAsia" w:ascii="仿宋" w:hAnsi="仿宋" w:eastAsia="仿宋" w:cs="仿宋"/>
          <w:color w:val="auto"/>
          <w:sz w:val="24"/>
          <w:szCs w:val="24"/>
          <w:highlight w:val="none"/>
          <w:shd w:val="clear" w:color="auto" w:fill="FFFFFF" w:themeFill="background1"/>
        </w:rPr>
      </w:pPr>
    </w:p>
    <w:p w14:paraId="71A5AD24">
      <w:pPr>
        <w:spacing w:line="360" w:lineRule="auto"/>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（供应商名称）：</w:t>
      </w:r>
    </w:p>
    <w:p w14:paraId="7BF03CB4">
      <w:pPr>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（采购项目名称）招标的谈判小组，对你方的响应文件进行了仔细的审查，现需你方对本通知所附质疑问卷中的问题以书面形式予以澄清、说明或者补正。</w:t>
      </w:r>
    </w:p>
    <w:p w14:paraId="4A55C4B2">
      <w:pPr>
        <w:spacing w:line="360" w:lineRule="auto"/>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质疑问题：</w:t>
      </w:r>
    </w:p>
    <w:p w14:paraId="5767AB84">
      <w:pPr>
        <w:spacing w:line="360" w:lineRule="auto"/>
        <w:rPr>
          <w:rFonts w:hint="eastAsia" w:ascii="仿宋" w:hAnsi="仿宋" w:eastAsia="仿宋" w:cs="仿宋"/>
          <w:color w:val="auto"/>
          <w:kern w:val="0"/>
          <w:sz w:val="24"/>
          <w:szCs w:val="24"/>
          <w:highlight w:val="none"/>
          <w:shd w:val="clear" w:color="auto" w:fill="FFFFFF" w:themeFill="background1"/>
        </w:rPr>
      </w:pPr>
    </w:p>
    <w:p w14:paraId="3F2BD267">
      <w:pPr>
        <w:spacing w:line="360" w:lineRule="auto"/>
        <w:rPr>
          <w:rFonts w:hint="eastAsia" w:ascii="仿宋" w:hAnsi="仿宋" w:eastAsia="仿宋" w:cs="仿宋"/>
          <w:color w:val="auto"/>
          <w:kern w:val="0"/>
          <w:sz w:val="24"/>
          <w:szCs w:val="24"/>
          <w:highlight w:val="none"/>
          <w:shd w:val="clear" w:color="auto" w:fill="FFFFFF" w:themeFill="background1"/>
        </w:rPr>
      </w:pPr>
    </w:p>
    <w:p w14:paraId="0F337F08">
      <w:pPr>
        <w:spacing w:line="360" w:lineRule="auto"/>
        <w:rPr>
          <w:rFonts w:hint="eastAsia" w:ascii="仿宋" w:hAnsi="仿宋" w:eastAsia="仿宋" w:cs="仿宋"/>
          <w:color w:val="auto"/>
          <w:kern w:val="0"/>
          <w:sz w:val="24"/>
          <w:szCs w:val="24"/>
          <w:highlight w:val="none"/>
          <w:shd w:val="clear" w:color="auto" w:fill="FFFFFF" w:themeFill="background1"/>
        </w:rPr>
      </w:pPr>
    </w:p>
    <w:p w14:paraId="459CFF91">
      <w:pPr>
        <w:spacing w:line="360" w:lineRule="auto"/>
        <w:rPr>
          <w:rFonts w:hint="eastAsia" w:ascii="仿宋" w:hAnsi="仿宋" w:eastAsia="仿宋" w:cs="仿宋"/>
          <w:color w:val="auto"/>
          <w:kern w:val="0"/>
          <w:sz w:val="24"/>
          <w:szCs w:val="24"/>
          <w:highlight w:val="none"/>
          <w:shd w:val="clear" w:color="auto" w:fill="FFFFFF" w:themeFill="background1"/>
        </w:rPr>
      </w:pPr>
    </w:p>
    <w:p w14:paraId="33053737">
      <w:pPr>
        <w:spacing w:line="360" w:lineRule="auto"/>
        <w:rPr>
          <w:rFonts w:hint="eastAsia" w:ascii="仿宋" w:hAnsi="仿宋" w:eastAsia="仿宋" w:cs="仿宋"/>
          <w:color w:val="auto"/>
          <w:kern w:val="0"/>
          <w:sz w:val="24"/>
          <w:szCs w:val="24"/>
          <w:highlight w:val="none"/>
          <w:shd w:val="clear" w:color="auto" w:fill="FFFFFF" w:themeFill="background1"/>
        </w:rPr>
      </w:pPr>
    </w:p>
    <w:p w14:paraId="6A241524">
      <w:pPr>
        <w:spacing w:line="360" w:lineRule="auto"/>
        <w:rPr>
          <w:rFonts w:hint="eastAsia" w:ascii="仿宋" w:hAnsi="仿宋" w:eastAsia="仿宋" w:cs="仿宋"/>
          <w:color w:val="auto"/>
          <w:kern w:val="0"/>
          <w:sz w:val="24"/>
          <w:szCs w:val="24"/>
          <w:highlight w:val="none"/>
          <w:shd w:val="clear" w:color="auto" w:fill="FFFFFF" w:themeFill="background1"/>
        </w:rPr>
      </w:pPr>
    </w:p>
    <w:p w14:paraId="054BEFF5">
      <w:pPr>
        <w:spacing w:line="360" w:lineRule="auto"/>
        <w:rPr>
          <w:rFonts w:hint="eastAsia" w:ascii="仿宋" w:hAnsi="仿宋" w:eastAsia="仿宋" w:cs="仿宋"/>
          <w:color w:val="auto"/>
          <w:kern w:val="0"/>
          <w:sz w:val="24"/>
          <w:szCs w:val="24"/>
          <w:highlight w:val="none"/>
          <w:shd w:val="clear" w:color="auto" w:fill="FFFFFF" w:themeFill="background1"/>
        </w:rPr>
      </w:pPr>
    </w:p>
    <w:p w14:paraId="4D41305E">
      <w:pPr>
        <w:spacing w:line="360" w:lineRule="auto"/>
        <w:rPr>
          <w:rFonts w:hint="eastAsia" w:ascii="仿宋" w:hAnsi="仿宋" w:eastAsia="仿宋" w:cs="仿宋"/>
          <w:color w:val="auto"/>
          <w:kern w:val="0"/>
          <w:sz w:val="24"/>
          <w:szCs w:val="24"/>
          <w:highlight w:val="none"/>
          <w:shd w:val="clear" w:color="auto" w:fill="FFFFFF" w:themeFill="background1"/>
        </w:rPr>
      </w:pPr>
    </w:p>
    <w:p w14:paraId="58E95FFC">
      <w:pPr>
        <w:spacing w:line="360" w:lineRule="auto"/>
        <w:rPr>
          <w:rFonts w:hint="eastAsia" w:ascii="仿宋" w:hAnsi="仿宋" w:eastAsia="仿宋" w:cs="仿宋"/>
          <w:color w:val="auto"/>
          <w:kern w:val="0"/>
          <w:sz w:val="24"/>
          <w:szCs w:val="24"/>
          <w:highlight w:val="none"/>
          <w:shd w:val="clear" w:color="auto" w:fill="FFFFFF" w:themeFill="background1"/>
        </w:rPr>
      </w:pPr>
    </w:p>
    <w:p w14:paraId="0C143E96">
      <w:pPr>
        <w:spacing w:line="360" w:lineRule="auto"/>
        <w:rPr>
          <w:rFonts w:hint="eastAsia" w:ascii="仿宋" w:hAnsi="仿宋" w:eastAsia="仿宋" w:cs="仿宋"/>
          <w:color w:val="auto"/>
          <w:kern w:val="0"/>
          <w:sz w:val="24"/>
          <w:szCs w:val="24"/>
          <w:highlight w:val="none"/>
          <w:shd w:val="clear" w:color="auto" w:fill="FFFFFF" w:themeFill="background1"/>
        </w:rPr>
      </w:pPr>
    </w:p>
    <w:p w14:paraId="7FB1B384">
      <w:pPr>
        <w:spacing w:line="360" w:lineRule="auto"/>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谈判小组成员：</w:t>
      </w:r>
    </w:p>
    <w:p w14:paraId="5F40C38A">
      <w:pPr>
        <w:spacing w:line="360" w:lineRule="auto"/>
        <w:rPr>
          <w:rFonts w:hint="eastAsia" w:ascii="仿宋" w:hAnsi="仿宋" w:eastAsia="仿宋" w:cs="仿宋"/>
          <w:color w:val="auto"/>
          <w:kern w:val="0"/>
          <w:sz w:val="24"/>
          <w:szCs w:val="24"/>
          <w:highlight w:val="none"/>
          <w:shd w:val="clear" w:color="auto" w:fill="FFFFFF" w:themeFill="background1"/>
        </w:rPr>
      </w:pPr>
    </w:p>
    <w:p w14:paraId="529A773F">
      <w:pPr>
        <w:spacing w:line="360" w:lineRule="auto"/>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日期：    年    月    日</w:t>
      </w:r>
    </w:p>
    <w:p w14:paraId="0ADD9E3B">
      <w:pPr>
        <w:spacing w:line="360" w:lineRule="auto"/>
        <w:jc w:val="center"/>
        <w:rPr>
          <w:rFonts w:hint="eastAsia" w:ascii="仿宋" w:hAnsi="仿宋" w:eastAsia="仿宋" w:cs="仿宋"/>
          <w:b/>
          <w:color w:val="auto"/>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br w:type="page"/>
      </w:r>
      <w:r>
        <w:rPr>
          <w:rFonts w:hint="eastAsia" w:ascii="仿宋" w:hAnsi="仿宋" w:eastAsia="仿宋" w:cs="仿宋"/>
          <w:b/>
          <w:color w:val="auto"/>
          <w:sz w:val="24"/>
          <w:szCs w:val="24"/>
          <w:highlight w:val="none"/>
          <w:shd w:val="clear" w:color="auto" w:fill="FFFFFF" w:themeFill="background1"/>
        </w:rPr>
        <w:t>问题的澄清、说明或补正</w:t>
      </w:r>
    </w:p>
    <w:p w14:paraId="730BF7F3">
      <w:pPr>
        <w:spacing w:line="360" w:lineRule="auto"/>
        <w:rPr>
          <w:rFonts w:hint="eastAsia" w:ascii="仿宋" w:hAnsi="仿宋" w:eastAsia="仿宋" w:cs="仿宋"/>
          <w:color w:val="auto"/>
          <w:kern w:val="0"/>
          <w:sz w:val="24"/>
          <w:szCs w:val="24"/>
          <w:highlight w:val="none"/>
          <w:shd w:val="clear" w:color="auto" w:fill="FFFFFF" w:themeFill="background1"/>
        </w:rPr>
      </w:pPr>
    </w:p>
    <w:p w14:paraId="2D342029">
      <w:pPr>
        <w:spacing w:line="360" w:lineRule="auto"/>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谈判小组：</w:t>
      </w:r>
    </w:p>
    <w:p w14:paraId="43C29A8A">
      <w:pPr>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u w:val="single"/>
          <w:shd w:val="clear" w:color="auto" w:fill="FFFFFF" w:themeFill="background1"/>
        </w:rPr>
        <w:t xml:space="preserve">                  </w:t>
      </w:r>
      <w:r>
        <w:rPr>
          <w:rFonts w:hint="eastAsia" w:ascii="仿宋" w:hAnsi="仿宋" w:eastAsia="仿宋" w:cs="仿宋"/>
          <w:color w:val="auto"/>
          <w:kern w:val="0"/>
          <w:sz w:val="24"/>
          <w:szCs w:val="24"/>
          <w:highlight w:val="none"/>
          <w:shd w:val="clear" w:color="auto" w:fill="FFFFFF" w:themeFill="background1"/>
        </w:rPr>
        <w:t>（采购项目名称）的问题澄清通知已收悉，现澄清、说明或者补正如下：</w:t>
      </w:r>
    </w:p>
    <w:p w14:paraId="1BAF6B37">
      <w:pPr>
        <w:spacing w:line="360" w:lineRule="auto"/>
        <w:rPr>
          <w:rFonts w:hint="eastAsia" w:ascii="仿宋" w:hAnsi="仿宋" w:eastAsia="仿宋" w:cs="仿宋"/>
          <w:color w:val="auto"/>
          <w:kern w:val="0"/>
          <w:sz w:val="24"/>
          <w:szCs w:val="24"/>
          <w:highlight w:val="none"/>
          <w:shd w:val="clear" w:color="auto" w:fill="FFFFFF" w:themeFill="background1"/>
        </w:rPr>
      </w:pPr>
    </w:p>
    <w:p w14:paraId="33B0D09B">
      <w:pPr>
        <w:spacing w:line="360" w:lineRule="auto"/>
        <w:rPr>
          <w:rFonts w:hint="eastAsia" w:ascii="仿宋" w:hAnsi="仿宋" w:eastAsia="仿宋" w:cs="仿宋"/>
          <w:color w:val="auto"/>
          <w:kern w:val="0"/>
          <w:sz w:val="24"/>
          <w:szCs w:val="24"/>
          <w:highlight w:val="none"/>
          <w:shd w:val="clear" w:color="auto" w:fill="FFFFFF" w:themeFill="background1"/>
        </w:rPr>
      </w:pPr>
    </w:p>
    <w:p w14:paraId="213FA9EB">
      <w:pPr>
        <w:spacing w:line="360" w:lineRule="auto"/>
        <w:rPr>
          <w:rFonts w:hint="eastAsia" w:ascii="仿宋" w:hAnsi="仿宋" w:eastAsia="仿宋" w:cs="仿宋"/>
          <w:color w:val="auto"/>
          <w:kern w:val="0"/>
          <w:sz w:val="24"/>
          <w:szCs w:val="24"/>
          <w:highlight w:val="none"/>
          <w:shd w:val="clear" w:color="auto" w:fill="FFFFFF" w:themeFill="background1"/>
        </w:rPr>
      </w:pPr>
    </w:p>
    <w:p w14:paraId="22666D85">
      <w:pPr>
        <w:spacing w:line="360" w:lineRule="auto"/>
        <w:rPr>
          <w:rFonts w:hint="eastAsia" w:ascii="仿宋" w:hAnsi="仿宋" w:eastAsia="仿宋" w:cs="仿宋"/>
          <w:color w:val="auto"/>
          <w:kern w:val="0"/>
          <w:sz w:val="24"/>
          <w:szCs w:val="24"/>
          <w:highlight w:val="none"/>
          <w:shd w:val="clear" w:color="auto" w:fill="FFFFFF" w:themeFill="background1"/>
        </w:rPr>
      </w:pPr>
    </w:p>
    <w:p w14:paraId="4E84564A">
      <w:pPr>
        <w:spacing w:line="360" w:lineRule="auto"/>
        <w:rPr>
          <w:rFonts w:hint="eastAsia" w:ascii="仿宋" w:hAnsi="仿宋" w:eastAsia="仿宋" w:cs="仿宋"/>
          <w:color w:val="auto"/>
          <w:kern w:val="0"/>
          <w:sz w:val="24"/>
          <w:szCs w:val="24"/>
          <w:highlight w:val="none"/>
          <w:shd w:val="clear" w:color="auto" w:fill="FFFFFF" w:themeFill="background1"/>
        </w:rPr>
      </w:pPr>
    </w:p>
    <w:p w14:paraId="45EF3FF5">
      <w:pPr>
        <w:spacing w:line="360" w:lineRule="auto"/>
        <w:rPr>
          <w:rFonts w:hint="eastAsia" w:ascii="仿宋" w:hAnsi="仿宋" w:eastAsia="仿宋" w:cs="仿宋"/>
          <w:color w:val="auto"/>
          <w:kern w:val="0"/>
          <w:sz w:val="24"/>
          <w:szCs w:val="24"/>
          <w:highlight w:val="none"/>
          <w:shd w:val="clear" w:color="auto" w:fill="FFFFFF" w:themeFill="background1"/>
        </w:rPr>
      </w:pPr>
    </w:p>
    <w:p w14:paraId="06756323">
      <w:pPr>
        <w:spacing w:line="360" w:lineRule="auto"/>
        <w:rPr>
          <w:rFonts w:hint="eastAsia" w:ascii="仿宋" w:hAnsi="仿宋" w:eastAsia="仿宋" w:cs="仿宋"/>
          <w:color w:val="auto"/>
          <w:kern w:val="0"/>
          <w:sz w:val="24"/>
          <w:szCs w:val="24"/>
          <w:highlight w:val="none"/>
          <w:shd w:val="clear" w:color="auto" w:fill="FFFFFF" w:themeFill="background1"/>
        </w:rPr>
      </w:pPr>
    </w:p>
    <w:p w14:paraId="6068F3FB">
      <w:pPr>
        <w:spacing w:line="360" w:lineRule="auto"/>
        <w:rPr>
          <w:rFonts w:hint="eastAsia" w:ascii="仿宋" w:hAnsi="仿宋" w:eastAsia="仿宋" w:cs="仿宋"/>
          <w:color w:val="auto"/>
          <w:kern w:val="0"/>
          <w:sz w:val="24"/>
          <w:szCs w:val="24"/>
          <w:highlight w:val="none"/>
          <w:shd w:val="clear" w:color="auto" w:fill="FFFFFF" w:themeFill="background1"/>
        </w:rPr>
      </w:pPr>
    </w:p>
    <w:p w14:paraId="3564BBDA">
      <w:pPr>
        <w:spacing w:line="360" w:lineRule="auto"/>
        <w:rPr>
          <w:rFonts w:hint="eastAsia" w:ascii="仿宋" w:hAnsi="仿宋" w:eastAsia="仿宋" w:cs="仿宋"/>
          <w:color w:val="auto"/>
          <w:kern w:val="0"/>
          <w:sz w:val="24"/>
          <w:szCs w:val="24"/>
          <w:highlight w:val="none"/>
          <w:shd w:val="clear" w:color="auto" w:fill="FFFFFF" w:themeFill="background1"/>
        </w:rPr>
      </w:pPr>
    </w:p>
    <w:p w14:paraId="74876199">
      <w:pPr>
        <w:spacing w:line="360" w:lineRule="auto"/>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供应商（盖章）：</w:t>
      </w:r>
    </w:p>
    <w:p w14:paraId="08B82EC2">
      <w:pPr>
        <w:spacing w:line="360" w:lineRule="auto"/>
        <w:rPr>
          <w:rFonts w:hint="eastAsia" w:ascii="仿宋" w:hAnsi="仿宋" w:eastAsia="仿宋" w:cs="仿宋"/>
          <w:color w:val="auto"/>
          <w:kern w:val="0"/>
          <w:sz w:val="24"/>
          <w:szCs w:val="24"/>
          <w:highlight w:val="none"/>
          <w:shd w:val="clear" w:color="auto" w:fill="FFFFFF" w:themeFill="background1"/>
        </w:rPr>
      </w:pPr>
    </w:p>
    <w:p w14:paraId="1CE68BD7">
      <w:pPr>
        <w:spacing w:line="360" w:lineRule="auto"/>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日期：    年    月    日</w:t>
      </w:r>
    </w:p>
    <w:p w14:paraId="538F75E5">
      <w:pPr>
        <w:widowControl/>
        <w:spacing w:line="360" w:lineRule="auto"/>
        <w:jc w:val="center"/>
        <w:outlineLvl w:val="0"/>
        <w:rPr>
          <w:rFonts w:hint="eastAsia" w:ascii="仿宋" w:hAnsi="仿宋" w:eastAsia="仿宋" w:cs="仿宋"/>
          <w:b/>
          <w:color w:val="auto"/>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br w:type="page"/>
      </w:r>
      <w:bookmarkEnd w:id="32"/>
      <w:bookmarkStart w:id="33" w:name="_Toc38446459"/>
      <w:bookmarkStart w:id="34" w:name="_Toc507586162"/>
      <w:bookmarkStart w:id="35" w:name="_Toc18109"/>
      <w:r>
        <w:rPr>
          <w:rFonts w:hint="eastAsia" w:ascii="仿宋" w:hAnsi="仿宋" w:eastAsia="仿宋" w:cs="仿宋"/>
          <w:b/>
          <w:color w:val="auto"/>
          <w:sz w:val="24"/>
          <w:szCs w:val="24"/>
          <w:highlight w:val="none"/>
          <w:shd w:val="clear" w:color="auto" w:fill="FFFFFF" w:themeFill="background1"/>
        </w:rPr>
        <w:t xml:space="preserve">第三章 </w:t>
      </w:r>
      <w:bookmarkEnd w:id="33"/>
      <w:bookmarkEnd w:id="34"/>
      <w:r>
        <w:rPr>
          <w:rFonts w:hint="eastAsia" w:ascii="仿宋" w:hAnsi="仿宋" w:eastAsia="仿宋" w:cs="仿宋"/>
          <w:b/>
          <w:color w:val="auto"/>
          <w:sz w:val="24"/>
          <w:szCs w:val="24"/>
          <w:highlight w:val="none"/>
          <w:shd w:val="clear" w:color="auto" w:fill="FFFFFF" w:themeFill="background1"/>
        </w:rPr>
        <w:t>合同文本</w:t>
      </w:r>
      <w:bookmarkEnd w:id="35"/>
    </w:p>
    <w:p w14:paraId="41AAB446">
      <w:pPr>
        <w:pStyle w:val="9"/>
        <w:spacing w:line="360" w:lineRule="auto"/>
        <w:ind w:firstLine="0" w:firstLineChars="0"/>
        <w:jc w:val="center"/>
        <w:rPr>
          <w:rFonts w:hint="eastAsia" w:ascii="仿宋" w:hAnsi="仿宋" w:eastAsia="仿宋" w:cs="仿宋"/>
          <w:color w:val="auto"/>
          <w:highlight w:val="none"/>
        </w:rPr>
      </w:pPr>
    </w:p>
    <w:p w14:paraId="4CD2B25A">
      <w:pPr>
        <w:pStyle w:val="9"/>
        <w:spacing w:line="360" w:lineRule="auto"/>
        <w:ind w:firstLine="0" w:firstLineChars="0"/>
        <w:jc w:val="center"/>
        <w:rPr>
          <w:rFonts w:hint="eastAsia" w:ascii="仿宋" w:hAnsi="仿宋" w:eastAsia="仿宋" w:cs="仿宋"/>
          <w:color w:val="auto"/>
          <w:highlight w:val="none"/>
        </w:rPr>
      </w:pPr>
      <w:r>
        <w:rPr>
          <w:rFonts w:hint="eastAsia" w:ascii="仿宋" w:hAnsi="仿宋" w:eastAsia="仿宋" w:cs="仿宋"/>
          <w:color w:val="auto"/>
          <w:highlight w:val="none"/>
        </w:rPr>
        <w:t>注：本合同供参考，具体内容以双方签订的为准。</w:t>
      </w:r>
    </w:p>
    <w:p w14:paraId="4A110721">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甲   方：新疆农业大学</w:t>
      </w:r>
    </w:p>
    <w:p w14:paraId="0A4B4E10">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乙   方： </w:t>
      </w:r>
    </w:p>
    <w:p w14:paraId="05FE83D3">
      <w:pPr>
        <w:pStyle w:val="37"/>
        <w:spacing w:before="0" w:beforeAutospacing="0" w:after="0" w:afterAutospacing="0" w:line="360" w:lineRule="auto"/>
        <w:ind w:left="-197" w:leftChars="-94" w:right="-172" w:rightChars="-82" w:firstLine="419"/>
        <w:rPr>
          <w:rFonts w:hint="eastAsia" w:ascii="仿宋" w:hAnsi="仿宋" w:eastAsia="仿宋" w:cs="仿宋"/>
          <w:color w:val="auto"/>
          <w:highlight w:val="none"/>
        </w:rPr>
      </w:pPr>
      <w:r>
        <w:rPr>
          <w:rFonts w:hint="eastAsia" w:ascii="仿宋" w:hAnsi="仿宋" w:eastAsia="仿宋" w:cs="仿宋"/>
          <w:color w:val="auto"/>
          <w:highlight w:val="none"/>
        </w:rPr>
        <w:t>新疆农业大学委托</w:t>
      </w:r>
      <w:r>
        <w:rPr>
          <w:rFonts w:hint="eastAsia" w:ascii="仿宋" w:hAnsi="仿宋" w:eastAsia="仿宋" w:cs="仿宋"/>
          <w:bCs/>
          <w:color w:val="auto"/>
          <w:highlight w:val="none"/>
          <w:u w:val="single"/>
        </w:rPr>
        <w:t xml:space="preserve">       </w:t>
      </w:r>
      <w:r>
        <w:rPr>
          <w:rFonts w:hint="eastAsia" w:ascii="仿宋" w:hAnsi="仿宋" w:eastAsia="仿宋" w:cs="仿宋"/>
          <w:color w:val="auto"/>
          <w:highlight w:val="none"/>
        </w:rPr>
        <w:t>于</w:t>
      </w:r>
      <w:r>
        <w:rPr>
          <w:rFonts w:hint="eastAsia" w:ascii="仿宋" w:hAnsi="仿宋" w:eastAsia="仿宋" w:cs="仿宋"/>
          <w:color w:val="auto"/>
          <w:highlight w:val="none"/>
          <w:u w:val="single"/>
        </w:rPr>
        <w:t xml:space="preserve">  年  月  日</w:t>
      </w:r>
      <w:r>
        <w:rPr>
          <w:rFonts w:hint="eastAsia" w:ascii="仿宋" w:hAnsi="仿宋" w:eastAsia="仿宋" w:cs="仿宋"/>
          <w:color w:val="auto"/>
          <w:highlight w:val="none"/>
        </w:rPr>
        <w:t>组织的</w:t>
      </w:r>
      <w:r>
        <w:rPr>
          <w:rFonts w:hint="eastAsia" w:ascii="仿宋" w:hAnsi="仿宋" w:eastAsia="仿宋" w:cs="仿宋"/>
          <w:color w:val="auto"/>
          <w:highlight w:val="none"/>
          <w:u w:val="single"/>
        </w:rPr>
        <w:t xml:space="preserve">   </w:t>
      </w:r>
      <w:r>
        <w:rPr>
          <w:rFonts w:hint="eastAsia" w:ascii="仿宋" w:hAnsi="仿宋" w:eastAsia="仿宋" w:cs="仿宋"/>
          <w:bCs/>
          <w:color w:val="auto"/>
          <w:highlight w:val="none"/>
          <w:u w:val="single"/>
        </w:rPr>
        <w:t>项目名称</w:t>
      </w:r>
      <w:r>
        <w:rPr>
          <w:rFonts w:hint="eastAsia" w:ascii="仿宋" w:hAnsi="仿宋" w:eastAsia="仿宋" w:cs="仿宋"/>
          <w:color w:val="auto"/>
          <w:highlight w:val="none"/>
        </w:rPr>
        <w:t>的公开采购中，经评定，乙方</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为中标方，最终中标总金额为人民币</w:t>
      </w:r>
      <w:r>
        <w:rPr>
          <w:rFonts w:hint="eastAsia" w:ascii="仿宋" w:hAnsi="仿宋" w:eastAsia="仿宋" w:cs="仿宋"/>
          <w:color w:val="auto"/>
          <w:highlight w:val="none"/>
          <w:u w:val="single"/>
        </w:rPr>
        <w:t>￥xxx元。</w:t>
      </w:r>
      <w:r>
        <w:rPr>
          <w:rFonts w:hint="eastAsia" w:ascii="仿宋" w:hAnsi="仿宋" w:eastAsia="仿宋" w:cs="仿宋"/>
          <w:color w:val="auto"/>
          <w:highlight w:val="none"/>
        </w:rPr>
        <w:t>根据《中华人民共和国政府采购法》和《中华人民共和国民法典》的规定，按照公平、公正、平等自愿和诚实信用、协商一致的原则，甲、乙双方授权代表就所供设备的购销、安装、调试和售后服务等事宜达成如下条款。</w:t>
      </w:r>
    </w:p>
    <w:p w14:paraId="1013D81F">
      <w:pPr>
        <w:spacing w:line="360" w:lineRule="auto"/>
        <w:ind w:firstLine="482" w:firstLineChars="20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一、货物名称、型号、数量及价格</w:t>
      </w:r>
    </w:p>
    <w:tbl>
      <w:tblPr>
        <w:tblStyle w:val="43"/>
        <w:tblW w:w="9075" w:type="dxa"/>
        <w:jc w:val="center"/>
        <w:tblLayout w:type="fixed"/>
        <w:tblCellMar>
          <w:top w:w="0" w:type="dxa"/>
          <w:left w:w="0" w:type="dxa"/>
          <w:bottom w:w="0" w:type="dxa"/>
          <w:right w:w="0" w:type="dxa"/>
        </w:tblCellMar>
      </w:tblPr>
      <w:tblGrid>
        <w:gridCol w:w="682"/>
        <w:gridCol w:w="2296"/>
        <w:gridCol w:w="1830"/>
        <w:gridCol w:w="686"/>
        <w:gridCol w:w="1454"/>
        <w:gridCol w:w="1173"/>
        <w:gridCol w:w="954"/>
      </w:tblGrid>
      <w:tr w14:paraId="524AB4A5">
        <w:tblPrEx>
          <w:tblCellMar>
            <w:top w:w="0" w:type="dxa"/>
            <w:left w:w="0" w:type="dxa"/>
            <w:bottom w:w="0" w:type="dxa"/>
            <w:right w:w="0" w:type="dxa"/>
          </w:tblCellMar>
        </w:tblPrEx>
        <w:trPr>
          <w:trHeight w:val="288" w:hRule="atLeast"/>
          <w:jc w:val="center"/>
        </w:trPr>
        <w:tc>
          <w:tcPr>
            <w:tcW w:w="68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456E604">
            <w:pPr>
              <w:widowControl/>
              <w:snapToGrid w:val="0"/>
              <w:spacing w:line="360" w:lineRule="auto"/>
              <w:jc w:val="center"/>
              <w:textAlignment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序号</w:t>
            </w:r>
          </w:p>
        </w:tc>
        <w:tc>
          <w:tcPr>
            <w:tcW w:w="229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4C30F9A">
            <w:pPr>
              <w:widowControl/>
              <w:snapToGrid w:val="0"/>
              <w:spacing w:line="360" w:lineRule="auto"/>
              <w:jc w:val="center"/>
              <w:textAlignment w:val="center"/>
              <w:rPr>
                <w:rFonts w:hint="eastAsia" w:ascii="仿宋" w:hAnsi="仿宋" w:eastAsia="仿宋" w:cs="仿宋"/>
                <w:b/>
                <w:color w:val="auto"/>
                <w:sz w:val="24"/>
                <w:szCs w:val="24"/>
                <w:highlight w:val="none"/>
              </w:rPr>
            </w:pPr>
            <w:r>
              <w:rPr>
                <w:rFonts w:hint="eastAsia" w:ascii="仿宋" w:hAnsi="仿宋" w:eastAsia="仿宋" w:cs="仿宋"/>
                <w:b/>
                <w:color w:val="auto"/>
                <w:kern w:val="0"/>
                <w:sz w:val="24"/>
                <w:szCs w:val="24"/>
                <w:highlight w:val="none"/>
                <w:lang w:bidi="ar"/>
              </w:rPr>
              <w:t>货物名称</w:t>
            </w:r>
          </w:p>
        </w:tc>
        <w:tc>
          <w:tcPr>
            <w:tcW w:w="183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A3A7337">
            <w:pPr>
              <w:widowControl/>
              <w:snapToGrid w:val="0"/>
              <w:spacing w:line="360" w:lineRule="auto"/>
              <w:jc w:val="center"/>
              <w:textAlignment w:val="center"/>
              <w:rPr>
                <w:rFonts w:hint="eastAsia" w:ascii="仿宋" w:hAnsi="仿宋" w:eastAsia="仿宋" w:cs="仿宋"/>
                <w:b/>
                <w:color w:val="auto"/>
                <w:kern w:val="0"/>
                <w:sz w:val="24"/>
                <w:szCs w:val="24"/>
                <w:highlight w:val="none"/>
                <w:lang w:bidi="ar"/>
              </w:rPr>
            </w:pPr>
            <w:r>
              <w:rPr>
                <w:rFonts w:hint="eastAsia" w:ascii="仿宋" w:hAnsi="仿宋" w:eastAsia="仿宋" w:cs="仿宋"/>
                <w:b/>
                <w:color w:val="auto"/>
                <w:kern w:val="0"/>
                <w:sz w:val="24"/>
                <w:szCs w:val="24"/>
                <w:highlight w:val="none"/>
                <w:lang w:bidi="ar"/>
              </w:rPr>
              <w:t>规格型号</w:t>
            </w:r>
          </w:p>
        </w:tc>
        <w:tc>
          <w:tcPr>
            <w:tcW w:w="68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F62F0F4">
            <w:pPr>
              <w:widowControl/>
              <w:snapToGrid w:val="0"/>
              <w:spacing w:line="360" w:lineRule="auto"/>
              <w:jc w:val="center"/>
              <w:textAlignment w:val="center"/>
              <w:rPr>
                <w:rFonts w:hint="eastAsia" w:ascii="仿宋" w:hAnsi="仿宋" w:eastAsia="仿宋" w:cs="仿宋"/>
                <w:b/>
                <w:color w:val="auto"/>
                <w:kern w:val="0"/>
                <w:sz w:val="24"/>
                <w:szCs w:val="24"/>
                <w:highlight w:val="none"/>
                <w:lang w:bidi="ar"/>
              </w:rPr>
            </w:pPr>
            <w:r>
              <w:rPr>
                <w:rFonts w:hint="eastAsia" w:ascii="仿宋" w:hAnsi="仿宋" w:eastAsia="仿宋" w:cs="仿宋"/>
                <w:b/>
                <w:color w:val="auto"/>
                <w:kern w:val="0"/>
                <w:sz w:val="24"/>
                <w:szCs w:val="24"/>
                <w:highlight w:val="none"/>
                <w:lang w:bidi="ar"/>
              </w:rPr>
              <w:t>数量</w:t>
            </w:r>
          </w:p>
        </w:tc>
        <w:tc>
          <w:tcPr>
            <w:tcW w:w="145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1C290BE">
            <w:pPr>
              <w:widowControl/>
              <w:snapToGrid w:val="0"/>
              <w:spacing w:line="360" w:lineRule="auto"/>
              <w:jc w:val="center"/>
              <w:textAlignment w:val="center"/>
              <w:rPr>
                <w:rFonts w:hint="eastAsia" w:ascii="仿宋" w:hAnsi="仿宋" w:eastAsia="仿宋" w:cs="仿宋"/>
                <w:b/>
                <w:color w:val="auto"/>
                <w:kern w:val="0"/>
                <w:sz w:val="24"/>
                <w:szCs w:val="24"/>
                <w:highlight w:val="none"/>
                <w:lang w:bidi="ar"/>
              </w:rPr>
            </w:pPr>
            <w:r>
              <w:rPr>
                <w:rFonts w:hint="eastAsia" w:ascii="仿宋" w:hAnsi="仿宋" w:eastAsia="仿宋" w:cs="仿宋"/>
                <w:b/>
                <w:color w:val="auto"/>
                <w:kern w:val="0"/>
                <w:sz w:val="24"/>
                <w:szCs w:val="24"/>
                <w:highlight w:val="none"/>
                <w:lang w:bidi="ar"/>
              </w:rPr>
              <w:t>制造商</w:t>
            </w:r>
          </w:p>
        </w:tc>
        <w:tc>
          <w:tcPr>
            <w:tcW w:w="117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037832C">
            <w:pPr>
              <w:widowControl/>
              <w:snapToGrid w:val="0"/>
              <w:spacing w:line="360" w:lineRule="auto"/>
              <w:jc w:val="center"/>
              <w:textAlignment w:val="center"/>
              <w:rPr>
                <w:rFonts w:hint="eastAsia" w:ascii="仿宋" w:hAnsi="仿宋" w:eastAsia="仿宋" w:cs="仿宋"/>
                <w:b/>
                <w:color w:val="auto"/>
                <w:sz w:val="24"/>
                <w:szCs w:val="24"/>
                <w:highlight w:val="none"/>
              </w:rPr>
            </w:pPr>
            <w:r>
              <w:rPr>
                <w:rFonts w:hint="eastAsia" w:ascii="仿宋" w:hAnsi="仿宋" w:eastAsia="仿宋" w:cs="仿宋"/>
                <w:b/>
                <w:color w:val="auto"/>
                <w:kern w:val="0"/>
                <w:sz w:val="24"/>
                <w:szCs w:val="24"/>
                <w:highlight w:val="none"/>
                <w:lang w:bidi="ar"/>
              </w:rPr>
              <w:t>单价</w:t>
            </w:r>
          </w:p>
        </w:tc>
        <w:tc>
          <w:tcPr>
            <w:tcW w:w="95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CAFE0AB">
            <w:pPr>
              <w:widowControl/>
              <w:snapToGrid w:val="0"/>
              <w:spacing w:line="360" w:lineRule="auto"/>
              <w:jc w:val="center"/>
              <w:textAlignment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合价</w:t>
            </w:r>
          </w:p>
        </w:tc>
      </w:tr>
      <w:tr w14:paraId="02D460D2">
        <w:tblPrEx>
          <w:tblCellMar>
            <w:top w:w="0" w:type="dxa"/>
            <w:left w:w="0" w:type="dxa"/>
            <w:bottom w:w="0" w:type="dxa"/>
            <w:right w:w="0" w:type="dxa"/>
          </w:tblCellMar>
        </w:tblPrEx>
        <w:trPr>
          <w:trHeight w:val="218" w:hRule="atLeast"/>
          <w:jc w:val="center"/>
        </w:trPr>
        <w:tc>
          <w:tcPr>
            <w:tcW w:w="68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7010472">
            <w:pPr>
              <w:widowControl/>
              <w:spacing w:line="360" w:lineRule="auto"/>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bidi="ar"/>
              </w:rPr>
              <w:t>1</w:t>
            </w:r>
          </w:p>
        </w:tc>
        <w:tc>
          <w:tcPr>
            <w:tcW w:w="229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D144F79">
            <w:pPr>
              <w:widowControl/>
              <w:spacing w:line="360" w:lineRule="auto"/>
              <w:textAlignment w:val="center"/>
              <w:rPr>
                <w:rFonts w:hint="eastAsia" w:ascii="仿宋" w:hAnsi="仿宋" w:eastAsia="仿宋" w:cs="仿宋"/>
                <w:color w:val="auto"/>
                <w:sz w:val="24"/>
                <w:szCs w:val="24"/>
                <w:highlight w:val="none"/>
              </w:rPr>
            </w:pPr>
          </w:p>
        </w:tc>
        <w:tc>
          <w:tcPr>
            <w:tcW w:w="183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F39A86E">
            <w:pPr>
              <w:widowControl/>
              <w:spacing w:line="360" w:lineRule="auto"/>
              <w:textAlignment w:val="center"/>
              <w:rPr>
                <w:rFonts w:hint="eastAsia" w:ascii="仿宋" w:hAnsi="仿宋" w:eastAsia="仿宋" w:cs="仿宋"/>
                <w:color w:val="auto"/>
                <w:kern w:val="0"/>
                <w:sz w:val="24"/>
                <w:szCs w:val="24"/>
                <w:highlight w:val="none"/>
                <w:lang w:bidi="ar"/>
              </w:rPr>
            </w:pPr>
          </w:p>
        </w:tc>
        <w:tc>
          <w:tcPr>
            <w:tcW w:w="68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1FF44C6">
            <w:pPr>
              <w:widowControl/>
              <w:spacing w:line="360" w:lineRule="auto"/>
              <w:textAlignment w:val="center"/>
              <w:rPr>
                <w:rFonts w:hint="eastAsia" w:ascii="仿宋" w:hAnsi="仿宋" w:eastAsia="仿宋" w:cs="仿宋"/>
                <w:color w:val="auto"/>
                <w:kern w:val="0"/>
                <w:sz w:val="24"/>
                <w:szCs w:val="24"/>
                <w:highlight w:val="none"/>
                <w:lang w:bidi="ar"/>
              </w:rPr>
            </w:pPr>
          </w:p>
        </w:tc>
        <w:tc>
          <w:tcPr>
            <w:tcW w:w="145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8FE3E57">
            <w:pPr>
              <w:widowControl/>
              <w:spacing w:line="360" w:lineRule="auto"/>
              <w:textAlignment w:val="center"/>
              <w:rPr>
                <w:rFonts w:hint="eastAsia" w:ascii="仿宋" w:hAnsi="仿宋" w:eastAsia="仿宋" w:cs="仿宋"/>
                <w:color w:val="auto"/>
                <w:kern w:val="0"/>
                <w:sz w:val="24"/>
                <w:szCs w:val="24"/>
                <w:highlight w:val="none"/>
                <w:lang w:bidi="ar"/>
              </w:rPr>
            </w:pPr>
          </w:p>
        </w:tc>
        <w:tc>
          <w:tcPr>
            <w:tcW w:w="117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CAA6459">
            <w:pPr>
              <w:widowControl/>
              <w:snapToGrid w:val="0"/>
              <w:spacing w:line="360" w:lineRule="auto"/>
              <w:textAlignment w:val="center"/>
              <w:rPr>
                <w:rFonts w:hint="eastAsia" w:ascii="仿宋" w:hAnsi="仿宋" w:eastAsia="仿宋" w:cs="仿宋"/>
                <w:color w:val="auto"/>
                <w:kern w:val="0"/>
                <w:sz w:val="24"/>
                <w:szCs w:val="24"/>
                <w:highlight w:val="none"/>
                <w:lang w:bidi="ar"/>
              </w:rPr>
            </w:pPr>
          </w:p>
        </w:tc>
        <w:tc>
          <w:tcPr>
            <w:tcW w:w="95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FD894E2">
            <w:pPr>
              <w:widowControl/>
              <w:snapToGrid w:val="0"/>
              <w:spacing w:line="360" w:lineRule="auto"/>
              <w:textAlignment w:val="center"/>
              <w:rPr>
                <w:rFonts w:hint="eastAsia" w:ascii="仿宋" w:hAnsi="仿宋" w:eastAsia="仿宋" w:cs="仿宋"/>
                <w:color w:val="auto"/>
                <w:sz w:val="24"/>
                <w:szCs w:val="24"/>
                <w:highlight w:val="none"/>
              </w:rPr>
            </w:pPr>
          </w:p>
        </w:tc>
      </w:tr>
      <w:tr w14:paraId="234E5888">
        <w:tblPrEx>
          <w:tblCellMar>
            <w:top w:w="0" w:type="dxa"/>
            <w:left w:w="0" w:type="dxa"/>
            <w:bottom w:w="0" w:type="dxa"/>
            <w:right w:w="0" w:type="dxa"/>
          </w:tblCellMar>
        </w:tblPrEx>
        <w:trPr>
          <w:trHeight w:val="229" w:hRule="atLeast"/>
          <w:jc w:val="center"/>
        </w:trPr>
        <w:tc>
          <w:tcPr>
            <w:tcW w:w="68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8930D0A">
            <w:pPr>
              <w:widowControl/>
              <w:spacing w:line="360" w:lineRule="auto"/>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bidi="ar"/>
              </w:rPr>
              <w:t>2</w:t>
            </w:r>
          </w:p>
        </w:tc>
        <w:tc>
          <w:tcPr>
            <w:tcW w:w="229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C680DAE">
            <w:pPr>
              <w:widowControl/>
              <w:spacing w:line="360" w:lineRule="auto"/>
              <w:textAlignment w:val="center"/>
              <w:rPr>
                <w:rFonts w:hint="eastAsia" w:ascii="仿宋" w:hAnsi="仿宋" w:eastAsia="仿宋" w:cs="仿宋"/>
                <w:color w:val="auto"/>
                <w:sz w:val="24"/>
                <w:szCs w:val="24"/>
                <w:highlight w:val="none"/>
              </w:rPr>
            </w:pPr>
          </w:p>
        </w:tc>
        <w:tc>
          <w:tcPr>
            <w:tcW w:w="183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EE19CE9">
            <w:pPr>
              <w:widowControl/>
              <w:spacing w:line="360" w:lineRule="auto"/>
              <w:textAlignment w:val="center"/>
              <w:rPr>
                <w:rFonts w:hint="eastAsia" w:ascii="仿宋" w:hAnsi="仿宋" w:eastAsia="仿宋" w:cs="仿宋"/>
                <w:color w:val="auto"/>
                <w:kern w:val="0"/>
                <w:sz w:val="24"/>
                <w:szCs w:val="24"/>
                <w:highlight w:val="none"/>
                <w:lang w:bidi="ar"/>
              </w:rPr>
            </w:pPr>
          </w:p>
        </w:tc>
        <w:tc>
          <w:tcPr>
            <w:tcW w:w="68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04D622D">
            <w:pPr>
              <w:widowControl/>
              <w:spacing w:line="360" w:lineRule="auto"/>
              <w:textAlignment w:val="center"/>
              <w:rPr>
                <w:rFonts w:hint="eastAsia" w:ascii="仿宋" w:hAnsi="仿宋" w:eastAsia="仿宋" w:cs="仿宋"/>
                <w:color w:val="auto"/>
                <w:kern w:val="0"/>
                <w:sz w:val="24"/>
                <w:szCs w:val="24"/>
                <w:highlight w:val="none"/>
                <w:lang w:bidi="ar"/>
              </w:rPr>
            </w:pPr>
          </w:p>
        </w:tc>
        <w:tc>
          <w:tcPr>
            <w:tcW w:w="145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3BC0F6B">
            <w:pPr>
              <w:widowControl/>
              <w:spacing w:line="360" w:lineRule="auto"/>
              <w:textAlignment w:val="center"/>
              <w:rPr>
                <w:rFonts w:hint="eastAsia" w:ascii="仿宋" w:hAnsi="仿宋" w:eastAsia="仿宋" w:cs="仿宋"/>
                <w:color w:val="auto"/>
                <w:kern w:val="0"/>
                <w:sz w:val="24"/>
                <w:szCs w:val="24"/>
                <w:highlight w:val="none"/>
                <w:lang w:bidi="ar"/>
              </w:rPr>
            </w:pPr>
          </w:p>
        </w:tc>
        <w:tc>
          <w:tcPr>
            <w:tcW w:w="117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0A8691D">
            <w:pPr>
              <w:widowControl/>
              <w:snapToGrid w:val="0"/>
              <w:spacing w:line="360" w:lineRule="auto"/>
              <w:textAlignment w:val="center"/>
              <w:rPr>
                <w:rFonts w:hint="eastAsia" w:ascii="仿宋" w:hAnsi="仿宋" w:eastAsia="仿宋" w:cs="仿宋"/>
                <w:color w:val="auto"/>
                <w:kern w:val="0"/>
                <w:sz w:val="24"/>
                <w:szCs w:val="24"/>
                <w:highlight w:val="none"/>
                <w:lang w:bidi="ar"/>
              </w:rPr>
            </w:pPr>
          </w:p>
        </w:tc>
        <w:tc>
          <w:tcPr>
            <w:tcW w:w="95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7D5774C">
            <w:pPr>
              <w:widowControl/>
              <w:snapToGrid w:val="0"/>
              <w:spacing w:line="360" w:lineRule="auto"/>
              <w:textAlignment w:val="center"/>
              <w:rPr>
                <w:rFonts w:hint="eastAsia" w:ascii="仿宋" w:hAnsi="仿宋" w:eastAsia="仿宋" w:cs="仿宋"/>
                <w:color w:val="auto"/>
                <w:sz w:val="24"/>
                <w:szCs w:val="24"/>
                <w:highlight w:val="none"/>
              </w:rPr>
            </w:pPr>
          </w:p>
        </w:tc>
      </w:tr>
      <w:tr w14:paraId="58DB234E">
        <w:tblPrEx>
          <w:tblCellMar>
            <w:top w:w="0" w:type="dxa"/>
            <w:left w:w="0" w:type="dxa"/>
            <w:bottom w:w="0" w:type="dxa"/>
            <w:right w:w="0" w:type="dxa"/>
          </w:tblCellMar>
        </w:tblPrEx>
        <w:trPr>
          <w:trHeight w:val="232" w:hRule="atLeast"/>
          <w:jc w:val="center"/>
        </w:trPr>
        <w:tc>
          <w:tcPr>
            <w:tcW w:w="68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FA71C8C">
            <w:pPr>
              <w:widowControl/>
              <w:spacing w:line="360" w:lineRule="auto"/>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bidi="ar"/>
              </w:rPr>
              <w:t>3</w:t>
            </w:r>
          </w:p>
        </w:tc>
        <w:tc>
          <w:tcPr>
            <w:tcW w:w="229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8FED0BF">
            <w:pPr>
              <w:widowControl/>
              <w:spacing w:line="360" w:lineRule="auto"/>
              <w:textAlignment w:val="center"/>
              <w:rPr>
                <w:rFonts w:hint="eastAsia" w:ascii="仿宋" w:hAnsi="仿宋" w:eastAsia="仿宋" w:cs="仿宋"/>
                <w:color w:val="auto"/>
                <w:sz w:val="24"/>
                <w:szCs w:val="24"/>
                <w:highlight w:val="none"/>
              </w:rPr>
            </w:pPr>
          </w:p>
        </w:tc>
        <w:tc>
          <w:tcPr>
            <w:tcW w:w="183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29AF779">
            <w:pPr>
              <w:widowControl/>
              <w:spacing w:line="360" w:lineRule="auto"/>
              <w:textAlignment w:val="center"/>
              <w:rPr>
                <w:rFonts w:hint="eastAsia" w:ascii="仿宋" w:hAnsi="仿宋" w:eastAsia="仿宋" w:cs="仿宋"/>
                <w:color w:val="auto"/>
                <w:kern w:val="0"/>
                <w:sz w:val="24"/>
                <w:szCs w:val="24"/>
                <w:highlight w:val="none"/>
                <w:lang w:bidi="ar"/>
              </w:rPr>
            </w:pPr>
          </w:p>
        </w:tc>
        <w:tc>
          <w:tcPr>
            <w:tcW w:w="68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E148665">
            <w:pPr>
              <w:widowControl/>
              <w:spacing w:line="360" w:lineRule="auto"/>
              <w:textAlignment w:val="center"/>
              <w:rPr>
                <w:rFonts w:hint="eastAsia" w:ascii="仿宋" w:hAnsi="仿宋" w:eastAsia="仿宋" w:cs="仿宋"/>
                <w:color w:val="auto"/>
                <w:kern w:val="0"/>
                <w:sz w:val="24"/>
                <w:szCs w:val="24"/>
                <w:highlight w:val="none"/>
                <w:lang w:bidi="ar"/>
              </w:rPr>
            </w:pPr>
          </w:p>
        </w:tc>
        <w:tc>
          <w:tcPr>
            <w:tcW w:w="145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4749554">
            <w:pPr>
              <w:widowControl/>
              <w:spacing w:line="360" w:lineRule="auto"/>
              <w:textAlignment w:val="center"/>
              <w:rPr>
                <w:rFonts w:hint="eastAsia" w:ascii="仿宋" w:hAnsi="仿宋" w:eastAsia="仿宋" w:cs="仿宋"/>
                <w:color w:val="auto"/>
                <w:kern w:val="0"/>
                <w:sz w:val="24"/>
                <w:szCs w:val="24"/>
                <w:highlight w:val="none"/>
                <w:lang w:bidi="ar"/>
              </w:rPr>
            </w:pPr>
          </w:p>
        </w:tc>
        <w:tc>
          <w:tcPr>
            <w:tcW w:w="117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79190AE">
            <w:pPr>
              <w:widowControl/>
              <w:snapToGrid w:val="0"/>
              <w:spacing w:line="360" w:lineRule="auto"/>
              <w:textAlignment w:val="center"/>
              <w:rPr>
                <w:rFonts w:hint="eastAsia" w:ascii="仿宋" w:hAnsi="仿宋" w:eastAsia="仿宋" w:cs="仿宋"/>
                <w:color w:val="auto"/>
                <w:kern w:val="0"/>
                <w:sz w:val="24"/>
                <w:szCs w:val="24"/>
                <w:highlight w:val="none"/>
                <w:lang w:bidi="ar"/>
              </w:rPr>
            </w:pPr>
          </w:p>
        </w:tc>
        <w:tc>
          <w:tcPr>
            <w:tcW w:w="95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66842E5">
            <w:pPr>
              <w:widowControl/>
              <w:snapToGrid w:val="0"/>
              <w:spacing w:line="360" w:lineRule="auto"/>
              <w:textAlignment w:val="center"/>
              <w:rPr>
                <w:rFonts w:hint="eastAsia" w:ascii="仿宋" w:hAnsi="仿宋" w:eastAsia="仿宋" w:cs="仿宋"/>
                <w:color w:val="auto"/>
                <w:sz w:val="24"/>
                <w:szCs w:val="24"/>
                <w:highlight w:val="none"/>
              </w:rPr>
            </w:pPr>
          </w:p>
        </w:tc>
      </w:tr>
      <w:tr w14:paraId="5E8B292E">
        <w:tblPrEx>
          <w:tblCellMar>
            <w:top w:w="0" w:type="dxa"/>
            <w:left w:w="0" w:type="dxa"/>
            <w:bottom w:w="0" w:type="dxa"/>
            <w:right w:w="0" w:type="dxa"/>
          </w:tblCellMar>
        </w:tblPrEx>
        <w:trPr>
          <w:trHeight w:val="228" w:hRule="atLeast"/>
          <w:jc w:val="center"/>
        </w:trPr>
        <w:tc>
          <w:tcPr>
            <w:tcW w:w="68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9E6588D">
            <w:pPr>
              <w:widowControl/>
              <w:spacing w:line="360" w:lineRule="auto"/>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bidi="ar"/>
              </w:rPr>
              <w:t>4</w:t>
            </w:r>
          </w:p>
        </w:tc>
        <w:tc>
          <w:tcPr>
            <w:tcW w:w="229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4E004AB">
            <w:pPr>
              <w:widowControl/>
              <w:spacing w:line="360" w:lineRule="auto"/>
              <w:textAlignment w:val="center"/>
              <w:rPr>
                <w:rFonts w:hint="eastAsia" w:ascii="仿宋" w:hAnsi="仿宋" w:eastAsia="仿宋" w:cs="仿宋"/>
                <w:color w:val="auto"/>
                <w:sz w:val="24"/>
                <w:szCs w:val="24"/>
                <w:highlight w:val="none"/>
              </w:rPr>
            </w:pPr>
          </w:p>
        </w:tc>
        <w:tc>
          <w:tcPr>
            <w:tcW w:w="183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1200017">
            <w:pPr>
              <w:widowControl/>
              <w:spacing w:line="360" w:lineRule="auto"/>
              <w:textAlignment w:val="center"/>
              <w:rPr>
                <w:rFonts w:hint="eastAsia" w:ascii="仿宋" w:hAnsi="仿宋" w:eastAsia="仿宋" w:cs="仿宋"/>
                <w:color w:val="auto"/>
                <w:kern w:val="0"/>
                <w:sz w:val="24"/>
                <w:szCs w:val="24"/>
                <w:highlight w:val="none"/>
                <w:lang w:bidi="ar"/>
              </w:rPr>
            </w:pPr>
          </w:p>
        </w:tc>
        <w:tc>
          <w:tcPr>
            <w:tcW w:w="68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3B068BF">
            <w:pPr>
              <w:widowControl/>
              <w:spacing w:line="360" w:lineRule="auto"/>
              <w:textAlignment w:val="center"/>
              <w:rPr>
                <w:rFonts w:hint="eastAsia" w:ascii="仿宋" w:hAnsi="仿宋" w:eastAsia="仿宋" w:cs="仿宋"/>
                <w:color w:val="auto"/>
                <w:kern w:val="0"/>
                <w:sz w:val="24"/>
                <w:szCs w:val="24"/>
                <w:highlight w:val="none"/>
                <w:lang w:bidi="ar"/>
              </w:rPr>
            </w:pPr>
          </w:p>
        </w:tc>
        <w:tc>
          <w:tcPr>
            <w:tcW w:w="145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1AF1A90">
            <w:pPr>
              <w:widowControl/>
              <w:spacing w:line="360" w:lineRule="auto"/>
              <w:textAlignment w:val="center"/>
              <w:rPr>
                <w:rFonts w:hint="eastAsia" w:ascii="仿宋" w:hAnsi="仿宋" w:eastAsia="仿宋" w:cs="仿宋"/>
                <w:color w:val="auto"/>
                <w:kern w:val="0"/>
                <w:sz w:val="24"/>
                <w:szCs w:val="24"/>
                <w:highlight w:val="none"/>
                <w:lang w:bidi="ar"/>
              </w:rPr>
            </w:pPr>
          </w:p>
        </w:tc>
        <w:tc>
          <w:tcPr>
            <w:tcW w:w="117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59AE279">
            <w:pPr>
              <w:widowControl/>
              <w:snapToGrid w:val="0"/>
              <w:spacing w:line="360" w:lineRule="auto"/>
              <w:textAlignment w:val="center"/>
              <w:rPr>
                <w:rFonts w:hint="eastAsia" w:ascii="仿宋" w:hAnsi="仿宋" w:eastAsia="仿宋" w:cs="仿宋"/>
                <w:color w:val="auto"/>
                <w:kern w:val="0"/>
                <w:sz w:val="24"/>
                <w:szCs w:val="24"/>
                <w:highlight w:val="none"/>
                <w:lang w:bidi="ar"/>
              </w:rPr>
            </w:pPr>
          </w:p>
        </w:tc>
        <w:tc>
          <w:tcPr>
            <w:tcW w:w="95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1EF25D4">
            <w:pPr>
              <w:widowControl/>
              <w:snapToGrid w:val="0"/>
              <w:spacing w:line="360" w:lineRule="auto"/>
              <w:textAlignment w:val="center"/>
              <w:rPr>
                <w:rFonts w:hint="eastAsia" w:ascii="仿宋" w:hAnsi="仿宋" w:eastAsia="仿宋" w:cs="仿宋"/>
                <w:color w:val="auto"/>
                <w:sz w:val="24"/>
                <w:szCs w:val="24"/>
                <w:highlight w:val="none"/>
              </w:rPr>
            </w:pPr>
          </w:p>
        </w:tc>
      </w:tr>
      <w:tr w14:paraId="70157DDD">
        <w:tblPrEx>
          <w:tblCellMar>
            <w:top w:w="0" w:type="dxa"/>
            <w:left w:w="0" w:type="dxa"/>
            <w:bottom w:w="0" w:type="dxa"/>
            <w:right w:w="0" w:type="dxa"/>
          </w:tblCellMar>
        </w:tblPrEx>
        <w:trPr>
          <w:trHeight w:val="367" w:hRule="atLeast"/>
          <w:jc w:val="center"/>
        </w:trPr>
        <w:tc>
          <w:tcPr>
            <w:tcW w:w="9075" w:type="dxa"/>
            <w:gridSpan w:val="7"/>
            <w:tcBorders>
              <w:top w:val="single" w:color="000000" w:sz="4" w:space="0"/>
              <w:left w:val="single" w:color="000000" w:sz="4" w:space="0"/>
              <w:bottom w:val="single" w:color="000000" w:sz="4" w:space="0"/>
              <w:right w:val="single" w:color="auto" w:sz="4" w:space="0"/>
            </w:tcBorders>
            <w:tcMar>
              <w:top w:w="15" w:type="dxa"/>
              <w:left w:w="15" w:type="dxa"/>
              <w:right w:w="15" w:type="dxa"/>
            </w:tcMar>
            <w:vAlign w:val="center"/>
          </w:tcPr>
          <w:p w14:paraId="1BB7AA85">
            <w:pPr>
              <w:widowControl/>
              <w:snapToGrid w:val="0"/>
              <w:spacing w:line="360" w:lineRule="auto"/>
              <w:jc w:val="left"/>
              <w:textAlignment w:val="center"/>
              <w:rPr>
                <w:rFonts w:hint="eastAsia" w:ascii="仿宋" w:hAnsi="仿宋" w:eastAsia="仿宋" w:cs="仿宋"/>
                <w:b/>
                <w:color w:val="auto"/>
                <w:kern w:val="0"/>
                <w:sz w:val="24"/>
                <w:szCs w:val="24"/>
                <w:highlight w:val="none"/>
                <w:lang w:bidi="ar"/>
              </w:rPr>
            </w:pPr>
            <w:r>
              <w:rPr>
                <w:rFonts w:hint="eastAsia" w:ascii="仿宋" w:hAnsi="仿宋" w:eastAsia="仿宋" w:cs="仿宋"/>
                <w:b/>
                <w:color w:val="auto"/>
                <w:kern w:val="0"/>
                <w:sz w:val="24"/>
                <w:szCs w:val="24"/>
                <w:highlight w:val="none"/>
                <w:lang w:bidi="ar"/>
              </w:rPr>
              <w:t>总计（大写）</w:t>
            </w:r>
            <w:bookmarkStart w:id="36" w:name="_Hlk147664522"/>
            <w:r>
              <w:rPr>
                <w:rFonts w:hint="eastAsia" w:ascii="仿宋" w:hAnsi="仿宋" w:eastAsia="仿宋" w:cs="仿宋"/>
                <w:b/>
                <w:color w:val="auto"/>
                <w:kern w:val="0"/>
                <w:sz w:val="24"/>
                <w:szCs w:val="24"/>
                <w:highlight w:val="none"/>
                <w:lang w:bidi="ar"/>
              </w:rPr>
              <w:t>人民币</w:t>
            </w:r>
            <w:bookmarkEnd w:id="36"/>
            <w:r>
              <w:rPr>
                <w:rFonts w:hint="eastAsia" w:ascii="仿宋" w:hAnsi="仿宋" w:eastAsia="仿宋" w:cs="仿宋"/>
                <w:b/>
                <w:color w:val="auto"/>
                <w:kern w:val="0"/>
                <w:sz w:val="24"/>
                <w:szCs w:val="24"/>
                <w:highlight w:val="none"/>
                <w:lang w:bidi="ar"/>
              </w:rPr>
              <w:t>xxxxx   ￥xxxxxx</w:t>
            </w:r>
          </w:p>
        </w:tc>
      </w:tr>
    </w:tbl>
    <w:p w14:paraId="038A876B">
      <w:pPr>
        <w:tabs>
          <w:tab w:val="left" w:pos="775"/>
        </w:tabs>
        <w:spacing w:line="360" w:lineRule="auto"/>
        <w:rPr>
          <w:rFonts w:hint="eastAsia" w:ascii="仿宋" w:hAnsi="仿宋" w:eastAsia="仿宋" w:cs="仿宋"/>
          <w:b/>
          <w:color w:val="auto"/>
          <w:sz w:val="24"/>
          <w:szCs w:val="24"/>
          <w:highlight w:val="none"/>
        </w:rPr>
      </w:pPr>
    </w:p>
    <w:p w14:paraId="7479B85C">
      <w:pPr>
        <w:spacing w:line="360" w:lineRule="auto"/>
        <w:ind w:firstLine="482" w:firstLineChars="20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二、报价币种、合同总价</w:t>
      </w:r>
    </w:p>
    <w:p w14:paraId="7CA28CDE">
      <w:pPr>
        <w:spacing w:line="360" w:lineRule="auto"/>
        <w:ind w:firstLine="480" w:firstLineChars="20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本合同总金额为</w:t>
      </w:r>
      <w:r>
        <w:rPr>
          <w:rFonts w:hint="eastAsia" w:ascii="仿宋" w:hAnsi="仿宋" w:eastAsia="仿宋" w:cs="仿宋"/>
          <w:color w:val="auto"/>
          <w:sz w:val="24"/>
          <w:szCs w:val="24"/>
          <w:highlight w:val="none"/>
          <w:u w:val="single"/>
        </w:rPr>
        <w:t>xxxxx元，（大写人民币：xxxxxx元整）</w:t>
      </w:r>
      <w:r>
        <w:rPr>
          <w:rFonts w:hint="eastAsia" w:ascii="仿宋" w:hAnsi="仿宋" w:eastAsia="仿宋" w:cs="仿宋"/>
          <w:color w:val="auto"/>
          <w:sz w:val="24"/>
          <w:szCs w:val="24"/>
          <w:highlight w:val="none"/>
        </w:rPr>
        <w:t>，该费用包括设备、材料、安装、调试、包装、培训、运费、税费等费用。</w:t>
      </w:r>
    </w:p>
    <w:p w14:paraId="03030CC6">
      <w:pPr>
        <w:spacing w:line="360" w:lineRule="auto"/>
        <w:ind w:firstLine="482" w:firstLineChars="20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三、付款方式</w:t>
      </w:r>
    </w:p>
    <w:p w14:paraId="270DBF9A">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1、甲方在签订合同后15个工作日内支付乙方合同总额的30%预付款，即：￥XX元（大写:XX元整）。</w:t>
      </w:r>
    </w:p>
    <w:p w14:paraId="557C4F36">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2、设备全部运抵指定地点并安装调试完毕，经甲方验收合格正常运行半年后支付合同总额的70%，即：￥XX元（大写:XX元整）。</w:t>
      </w:r>
    </w:p>
    <w:p w14:paraId="1CF7BA6A">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3、甲方付款时，乙方应提供同等数额的甲方认可的合法收据或发票，否则甲方有权拒绝付款，并不因此承担任何逾期付款的违约责任。</w:t>
      </w:r>
    </w:p>
    <w:p w14:paraId="66B72848">
      <w:pPr>
        <w:spacing w:line="360" w:lineRule="auto"/>
        <w:ind w:firstLine="482" w:firstLineChars="20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四、交货地点、时间</w:t>
      </w:r>
    </w:p>
    <w:p w14:paraId="1B913FB4">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交货地点：</w:t>
      </w:r>
      <w:r>
        <w:rPr>
          <w:rFonts w:hint="eastAsia" w:ascii="仿宋" w:hAnsi="仿宋" w:eastAsia="仿宋" w:cs="仿宋"/>
          <w:color w:val="auto"/>
          <w:sz w:val="24"/>
          <w:szCs w:val="24"/>
          <w:highlight w:val="none"/>
          <w:u w:val="single"/>
        </w:rPr>
        <w:t xml:space="preserve"> 新疆农业大学  </w:t>
      </w:r>
      <w:r>
        <w:rPr>
          <w:rFonts w:hint="eastAsia" w:ascii="仿宋" w:hAnsi="仿宋" w:eastAsia="仿宋" w:cs="仿宋"/>
          <w:color w:val="auto"/>
          <w:sz w:val="24"/>
          <w:szCs w:val="24"/>
          <w:highlight w:val="none"/>
        </w:rPr>
        <w:t xml:space="preserve">；     </w:t>
      </w:r>
    </w:p>
    <w:p w14:paraId="2E45A54C">
      <w:pPr>
        <w:spacing w:line="360" w:lineRule="auto"/>
        <w:ind w:firstLine="480" w:firstLineChars="200"/>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交货时间：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40E32455">
      <w:pPr>
        <w:spacing w:line="360" w:lineRule="auto"/>
        <w:ind w:firstLine="482" w:firstLineChars="20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五、产品质量保证</w:t>
      </w:r>
    </w:p>
    <w:p w14:paraId="64F5B4E8">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1、乙方保证提供的</w:t>
      </w:r>
      <w:r>
        <w:rPr>
          <w:rFonts w:hint="eastAsia" w:ascii="仿宋" w:hAnsi="仿宋" w:eastAsia="仿宋" w:cs="仿宋"/>
          <w:color w:val="auto"/>
          <w:sz w:val="24"/>
          <w:szCs w:val="24"/>
          <w:highlight w:val="none"/>
          <w:u w:val="single"/>
        </w:rPr>
        <w:t>合同内全部产品</w:t>
      </w:r>
      <w:r>
        <w:rPr>
          <w:rFonts w:hint="eastAsia" w:ascii="仿宋" w:hAnsi="仿宋" w:eastAsia="仿宋" w:cs="仿宋"/>
          <w:color w:val="auto"/>
          <w:sz w:val="24"/>
          <w:szCs w:val="24"/>
          <w:highlight w:val="none"/>
        </w:rPr>
        <w:t>为全新的产品。</w:t>
      </w:r>
    </w:p>
    <w:p w14:paraId="412A14ED">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2、乙方所提供的</w:t>
      </w:r>
      <w:r>
        <w:rPr>
          <w:rFonts w:hint="eastAsia" w:ascii="仿宋" w:hAnsi="仿宋" w:eastAsia="仿宋" w:cs="仿宋"/>
          <w:color w:val="auto"/>
          <w:sz w:val="24"/>
          <w:szCs w:val="24"/>
          <w:highlight w:val="none"/>
          <w:u w:val="single"/>
        </w:rPr>
        <w:t>合同内全部产品</w:t>
      </w:r>
      <w:r>
        <w:rPr>
          <w:rFonts w:hint="eastAsia" w:ascii="仿宋" w:hAnsi="仿宋" w:eastAsia="仿宋" w:cs="仿宋"/>
          <w:color w:val="auto"/>
          <w:sz w:val="24"/>
          <w:szCs w:val="24"/>
          <w:highlight w:val="none"/>
        </w:rPr>
        <w:t>的型号、数量、规格及技术、质量标准、售后服务必须满足</w:t>
      </w:r>
      <w:r>
        <w:rPr>
          <w:rFonts w:hint="eastAsia" w:ascii="仿宋" w:hAnsi="仿宋" w:eastAsia="仿宋" w:cs="仿宋"/>
          <w:color w:val="auto"/>
          <w:sz w:val="24"/>
          <w:szCs w:val="24"/>
          <w:highlight w:val="none"/>
          <w:u w:val="single"/>
        </w:rPr>
        <w:t xml:space="preserve"> 招标编号</w:t>
      </w:r>
      <w:r>
        <w:rPr>
          <w:rFonts w:hint="eastAsia" w:ascii="仿宋" w:hAnsi="仿宋" w:eastAsia="仿宋" w:cs="仿宋"/>
          <w:color w:val="auto"/>
          <w:sz w:val="24"/>
          <w:szCs w:val="24"/>
          <w:highlight w:val="none"/>
        </w:rPr>
        <w:t>的</w:t>
      </w:r>
      <w:r>
        <w:rPr>
          <w:rFonts w:hint="eastAsia" w:ascii="仿宋" w:hAnsi="仿宋" w:eastAsia="仿宋" w:cs="仿宋"/>
          <w:bCs/>
          <w:color w:val="auto"/>
          <w:sz w:val="24"/>
          <w:szCs w:val="24"/>
          <w:highlight w:val="none"/>
          <w:u w:val="single"/>
        </w:rPr>
        <w:t>xxxxxxxxx项</w:t>
      </w:r>
      <w:r>
        <w:rPr>
          <w:rFonts w:hint="eastAsia" w:ascii="仿宋" w:hAnsi="仿宋" w:eastAsia="仿宋" w:cs="仿宋"/>
          <w:color w:val="auto"/>
          <w:sz w:val="24"/>
          <w:szCs w:val="24"/>
          <w:highlight w:val="none"/>
          <w:u w:val="single"/>
        </w:rPr>
        <w:t>目</w:t>
      </w:r>
      <w:r>
        <w:rPr>
          <w:rFonts w:hint="eastAsia" w:ascii="仿宋" w:hAnsi="仿宋" w:eastAsia="仿宋" w:cs="仿宋"/>
          <w:color w:val="auto"/>
          <w:sz w:val="24"/>
          <w:szCs w:val="24"/>
          <w:highlight w:val="none"/>
        </w:rPr>
        <w:t>采购文件规定的技术要求。</w:t>
      </w:r>
    </w:p>
    <w:p w14:paraId="0671B07A">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3、乙方保证提供的合同内全部产品货物按国家标准要求制作，质量完全满足用户的要求。</w:t>
      </w:r>
    </w:p>
    <w:p w14:paraId="528BECC5">
      <w:pPr>
        <w:spacing w:line="360" w:lineRule="auto"/>
        <w:ind w:firstLine="482" w:firstLineChars="20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六、质量保证期</w:t>
      </w:r>
    </w:p>
    <w:p w14:paraId="5D072119">
      <w:pPr>
        <w:spacing w:line="360" w:lineRule="auto"/>
        <w:ind w:left="-105" w:right="-105"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合同内货物质保期：验收合格后</w:t>
      </w:r>
      <w:r>
        <w:rPr>
          <w:rFonts w:hint="eastAsia" w:ascii="仿宋" w:hAnsi="仿宋" w:eastAsia="仿宋" w:cs="仿宋"/>
          <w:color w:val="auto"/>
          <w:sz w:val="24"/>
          <w:szCs w:val="24"/>
          <w:highlight w:val="none"/>
          <w:u w:val="single"/>
        </w:rPr>
        <w:t xml:space="preserve"> </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年。 </w:t>
      </w:r>
    </w:p>
    <w:p w14:paraId="758DAC9F">
      <w:pPr>
        <w:spacing w:line="360" w:lineRule="auto"/>
        <w:ind w:firstLine="482" w:firstLineChars="20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七、技术资料</w:t>
      </w:r>
    </w:p>
    <w:p w14:paraId="57244938">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乙方需向甲方提供下述资料：</w:t>
      </w:r>
    </w:p>
    <w:p w14:paraId="2619D41E">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所供货物的型号、规格、数量及生产厂家的产品检验证书、出厂检验报告、使用说明书等。</w:t>
      </w:r>
    </w:p>
    <w:p w14:paraId="47EB5685">
      <w:pPr>
        <w:spacing w:line="360" w:lineRule="auto"/>
        <w:ind w:firstLine="482" w:firstLineChars="20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八、包装及验收</w:t>
      </w:r>
    </w:p>
    <w:p w14:paraId="2A62FB11">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1、所提供设备必须进行包装，免收包装费，包装物不回收。</w:t>
      </w:r>
    </w:p>
    <w:p w14:paraId="32469158">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2、因包装原因造成合同标的物在运输过程中丢失的、损坏的，乙方承担全部责任。</w:t>
      </w:r>
    </w:p>
    <w:p w14:paraId="5842B276">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验收标准：按投标文件规定的型号、技术参数、数量、产地，并根据制造商的《产品合格证》、《出厂清单》、《技术文件》进行现场验收，并由甲、乙双方签署验收报告。如有异议，各方应当在验收后七天内以书面形式通知对方。合同标的物验收合格后由甲方提供货物的存放地点，并负责货物的保管和安全。</w:t>
      </w:r>
    </w:p>
    <w:p w14:paraId="11C53C60">
      <w:pPr>
        <w:spacing w:line="360" w:lineRule="auto"/>
        <w:ind w:firstLine="482" w:firstLineChars="20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九、甲、乙双方的权利及义务</w:t>
      </w:r>
    </w:p>
    <w:p w14:paraId="56A9EABE">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若甲方对订购的货物有任何更改，包括货物的型号、品种、规格、数量、颜色、交货期等事宜，必须在双方签订合同后七天内书面通知乙方，交货期从变更之日起顺延。若乙方接到通知后不予更改，由此造成的甲方损失，由乙方承担。</w:t>
      </w:r>
    </w:p>
    <w:p w14:paraId="4F9F59E2">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2、若乙方在交货时，由于甲方的原因或要求，不能及时将货物送达指定地点和验收时，则双方再次协商送货及验收时间。</w:t>
      </w:r>
    </w:p>
    <w:p w14:paraId="2F480B4B">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3、若甲方在验收后的质量保证期内，发现货物内有部分出现质量问题，应及时通知乙方，若需要更换时，乙方应在接到通知后10天内给予更换。</w:t>
      </w:r>
    </w:p>
    <w:p w14:paraId="79E60E11">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4、乙方须按合同要求提供质量合格的货物，如期交付至甲方指定的交货地点。合同标的物需安装调试的，乙方提供免费的安装调试。</w:t>
      </w:r>
    </w:p>
    <w:p w14:paraId="09B68981">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5、乙方对售予甲方的货物提供的质量保证期的质量保证范围，不包括意外事件、不可抗力原因及违规使用。</w:t>
      </w:r>
    </w:p>
    <w:p w14:paraId="3AC5DFEC">
      <w:pPr>
        <w:spacing w:line="360" w:lineRule="auto"/>
        <w:ind w:firstLine="482" w:firstLineChars="20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十、合同变更、违约及其它</w:t>
      </w:r>
    </w:p>
    <w:p w14:paraId="542C3434">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1、合同的变更需甲、乙双方协商一致签订补充协议，并由法定代表人或授权代理人签字（盖章）且加盖单位公章后立即生效。补充协议与本合同具有同等法律效力。</w:t>
      </w:r>
    </w:p>
    <w:p w14:paraId="3EDB9611">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2、甲方按合同规定的付款要求履约，合同价格不变，甲方由于不可抗力不能在本合同规定的时间内支付合同款项时，应事先告知乙方。</w:t>
      </w:r>
    </w:p>
    <w:p w14:paraId="0918E897">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乙方必须在本合同规定的时间内按时交货，否则由乙方负责承担全部责任。如果乙方在甲方同意延长的交货时间内仍不能交货时，甲方有权撤销合同，同时乙方还需要按照每延误一天，按合同总金额千分之五的标准向甲方支付违约金，延误超过15日，甲方有权解除合同，并要求乙方返还已收到款项，承担合同总额30%违约金。</w:t>
      </w:r>
    </w:p>
    <w:p w14:paraId="1B9F973D">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乙方应严格按照投标、投标文件中规定的产品规格、型号名称、数量和质量提供相应的产品及服务。乙方提供的产品或服务不符合合同约定的，必须按照甲方的要求进行改正，若整改后导致延迟交货，按照上款执行。若交货后仍然不符合要求，甲方有权解除合同，并要求乙方返还已收到款项，承担合同总额30%违约金。</w:t>
      </w:r>
    </w:p>
    <w:p w14:paraId="5479C358">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同生效后，乙方中途废止合同（不可抗力原因除外），应按给甲方造成的损失向甲方支付赔偿金，并向甲方支付合同总金额20%的违约金；甲方中途废止合同（不可抗力原因除外），应按实际损失向乙方支付赔偿金。</w:t>
      </w:r>
    </w:p>
    <w:p w14:paraId="5E47EC0C">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乙方违反本合同约定，应当承担的违约金及赔偿，甲方有权在未付款内扣除，若因此造成甲方损失，应当承担由此造成的甲方损失，该损失包括但不限于由此产生的诉讼费、律师费、公证费、鉴定费、评估费、差旅费等费用。</w:t>
      </w:r>
    </w:p>
    <w:p w14:paraId="0837637A">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5、本合同根据</w:t>
      </w:r>
      <w:r>
        <w:rPr>
          <w:rFonts w:hint="eastAsia" w:ascii="仿宋" w:hAnsi="仿宋" w:eastAsia="仿宋" w:cs="仿宋"/>
          <w:color w:val="auto"/>
          <w:sz w:val="24"/>
          <w:szCs w:val="24"/>
          <w:highlight w:val="none"/>
          <w:u w:val="single"/>
        </w:rPr>
        <w:t>xx年x月xx日</w:t>
      </w:r>
      <w:r>
        <w:rPr>
          <w:rFonts w:hint="eastAsia" w:ascii="仿宋" w:hAnsi="仿宋" w:eastAsia="仿宋" w:cs="仿宋"/>
          <w:color w:val="auto"/>
          <w:sz w:val="24"/>
          <w:szCs w:val="24"/>
          <w:highlight w:val="none"/>
        </w:rPr>
        <w:t>由</w:t>
      </w:r>
      <w:r>
        <w:rPr>
          <w:rFonts w:hint="eastAsia" w:ascii="仿宋" w:hAnsi="仿宋" w:eastAsia="仿宋" w:cs="仿宋"/>
          <w:bCs/>
          <w:color w:val="auto"/>
          <w:sz w:val="24"/>
          <w:szCs w:val="24"/>
          <w:highlight w:val="none"/>
          <w:u w:val="single"/>
        </w:rPr>
        <w:t>xxx招标公司</w:t>
      </w:r>
      <w:r>
        <w:rPr>
          <w:rFonts w:hint="eastAsia" w:ascii="仿宋" w:hAnsi="仿宋" w:eastAsia="仿宋" w:cs="仿宋"/>
          <w:color w:val="auto"/>
          <w:sz w:val="24"/>
          <w:szCs w:val="24"/>
          <w:highlight w:val="none"/>
        </w:rPr>
        <w:t>组织的招标会的招投标结果签订。投标文件及开标会议上签名的答疑记录等均作为合同的附件，是合同文本不可分割的组成部分。合同文本未述及和不详之处，以附件为准。</w:t>
      </w:r>
    </w:p>
    <w:p w14:paraId="4FEFEE00">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6、合同文本不得涂改，如需修改应在合同附件中注明。经甲、乙双方协商达成一致修改意见，需经甲、乙双方代表共同签署此附件，方能生效。</w:t>
      </w:r>
    </w:p>
    <w:p w14:paraId="428A560F">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7、合同所有附件，均与合同具有同等法律效力。</w:t>
      </w:r>
    </w:p>
    <w:p w14:paraId="5014520B">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8、合同经甲、乙双方法定代表人或授权代理人签字（盖章）并加盖单位公章后立即生效。</w:t>
      </w:r>
    </w:p>
    <w:p w14:paraId="369C4C9C">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9、甲、乙双方发生争议时，应先协商解决，经协商不能达成协议时，任何一方均可向</w:t>
      </w:r>
      <w:r>
        <w:rPr>
          <w:rFonts w:hint="eastAsia" w:ascii="仿宋" w:hAnsi="仿宋" w:eastAsia="仿宋" w:cs="仿宋"/>
          <w:color w:val="auto"/>
          <w:sz w:val="24"/>
          <w:szCs w:val="24"/>
          <w:highlight w:val="none"/>
          <w:u w:val="single"/>
        </w:rPr>
        <w:t>甲方所在地</w:t>
      </w:r>
      <w:r>
        <w:rPr>
          <w:rFonts w:hint="eastAsia" w:ascii="仿宋" w:hAnsi="仿宋" w:eastAsia="仿宋" w:cs="仿宋"/>
          <w:color w:val="auto"/>
          <w:sz w:val="24"/>
          <w:szCs w:val="24"/>
          <w:highlight w:val="none"/>
        </w:rPr>
        <w:t>人民法院提起诉讼。</w:t>
      </w:r>
    </w:p>
    <w:p w14:paraId="2533C3A2">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10、合同一式八份，甲方执五份，乙方执叁份。</w:t>
      </w:r>
    </w:p>
    <w:p w14:paraId="4DE4D1DA">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11、本合同自签字盖章完毕之日起生效，质量保证期满后终止。</w:t>
      </w:r>
    </w:p>
    <w:p w14:paraId="5E537448">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12、本合同尾部载明的双方地址、电话等信息，系双方有效联系方式，如发生变更，应提前书面通知另一方，否则依该联系方式送达相关文书的，视为送达成功。</w:t>
      </w:r>
    </w:p>
    <w:p w14:paraId="42A0D110">
      <w:pPr>
        <w:spacing w:line="360" w:lineRule="auto"/>
        <w:ind w:firstLine="480" w:firstLineChars="200"/>
        <w:rPr>
          <w:rFonts w:hint="eastAsia" w:ascii="仿宋" w:hAnsi="仿宋" w:eastAsia="仿宋" w:cs="仿宋"/>
          <w:color w:val="auto"/>
          <w:sz w:val="24"/>
          <w:szCs w:val="24"/>
          <w:highlight w:val="none"/>
        </w:rPr>
      </w:pPr>
    </w:p>
    <w:p w14:paraId="2E8123A9">
      <w:pPr>
        <w:pStyle w:val="9"/>
        <w:spacing w:line="360" w:lineRule="auto"/>
        <w:ind w:firstLine="480"/>
        <w:rPr>
          <w:rFonts w:hint="eastAsia" w:ascii="仿宋" w:hAnsi="仿宋" w:eastAsia="仿宋" w:cs="仿宋"/>
          <w:color w:val="auto"/>
          <w:szCs w:val="24"/>
          <w:highlight w:val="none"/>
        </w:rPr>
      </w:pPr>
    </w:p>
    <w:p w14:paraId="2B41E3DC">
      <w:pPr>
        <w:pStyle w:val="9"/>
        <w:spacing w:line="360" w:lineRule="auto"/>
        <w:ind w:firstLine="480"/>
        <w:rPr>
          <w:rFonts w:hint="eastAsia" w:ascii="仿宋" w:hAnsi="仿宋" w:eastAsia="仿宋" w:cs="仿宋"/>
          <w:color w:val="auto"/>
          <w:szCs w:val="24"/>
          <w:highlight w:val="none"/>
        </w:rPr>
      </w:pPr>
    </w:p>
    <w:p w14:paraId="19CF441E">
      <w:pPr>
        <w:spacing w:line="360" w:lineRule="auto"/>
        <w:ind w:firstLine="240" w:firstLineChars="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甲    方：(盖章）              乙    方：(盖章） </w:t>
      </w:r>
    </w:p>
    <w:p w14:paraId="3F74FA88">
      <w:pPr>
        <w:spacing w:line="360" w:lineRule="auto"/>
        <w:ind w:firstLine="240" w:firstLineChars="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法定代表人：(签字或盖章）      法定代表人：(签字或盖章）</w:t>
      </w:r>
    </w:p>
    <w:p w14:paraId="05BBFFC3">
      <w:pPr>
        <w:spacing w:line="360" w:lineRule="auto"/>
        <w:ind w:firstLine="240" w:firstLineChars="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 系 人：                     联 系 人：</w:t>
      </w:r>
    </w:p>
    <w:p w14:paraId="184F92D7">
      <w:pPr>
        <w:spacing w:line="360" w:lineRule="auto"/>
        <w:ind w:firstLine="240" w:firstLineChars="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    话：                     电    话：</w:t>
      </w:r>
    </w:p>
    <w:p w14:paraId="3FC10205">
      <w:pPr>
        <w:pStyle w:val="9"/>
        <w:spacing w:line="360" w:lineRule="auto"/>
        <w:ind w:firstLine="240" w:firstLineChars="100"/>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地    址：                     地    址： </w:t>
      </w:r>
    </w:p>
    <w:p w14:paraId="6A775155">
      <w:pPr>
        <w:spacing w:line="360" w:lineRule="auto"/>
        <w:ind w:firstLine="240" w:firstLineChars="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开户银行：                     开户银行： </w:t>
      </w:r>
    </w:p>
    <w:p w14:paraId="7E7809B5">
      <w:pPr>
        <w:spacing w:line="360" w:lineRule="auto"/>
        <w:ind w:firstLine="240" w:firstLineChars="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帐    号：                     帐    号： </w:t>
      </w:r>
    </w:p>
    <w:p w14:paraId="5E19712B">
      <w:pPr>
        <w:spacing w:line="360" w:lineRule="auto"/>
        <w:ind w:firstLine="240" w:firstLineChars="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行    号：                     行    号： </w:t>
      </w:r>
    </w:p>
    <w:p w14:paraId="111767C0">
      <w:pPr>
        <w:pStyle w:val="9"/>
        <w:ind w:firstLine="480"/>
        <w:rPr>
          <w:rFonts w:hint="eastAsia" w:ascii="仿宋" w:hAnsi="仿宋" w:eastAsia="仿宋" w:cs="仿宋"/>
          <w:color w:val="auto"/>
          <w:highlight w:val="none"/>
        </w:rPr>
      </w:pPr>
    </w:p>
    <w:p w14:paraId="49F3DE28">
      <w:pPr>
        <w:pStyle w:val="9"/>
        <w:ind w:firstLine="480"/>
        <w:rPr>
          <w:rFonts w:hint="eastAsia" w:ascii="仿宋" w:hAnsi="仿宋" w:eastAsia="仿宋" w:cs="仿宋"/>
          <w:color w:val="auto"/>
          <w:highlight w:val="none"/>
        </w:rPr>
      </w:pPr>
    </w:p>
    <w:p w14:paraId="2B9E8138">
      <w:pPr>
        <w:spacing w:line="360" w:lineRule="auto"/>
        <w:ind w:firstLine="240" w:firstLineChars="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合同签订时间：xx年x 月xx日</w:t>
      </w:r>
    </w:p>
    <w:p w14:paraId="7AD00F44">
      <w:pPr>
        <w:pStyle w:val="14"/>
        <w:rPr>
          <w:rFonts w:hint="eastAsia" w:ascii="仿宋" w:hAnsi="仿宋" w:eastAsia="仿宋" w:cs="仿宋"/>
          <w:color w:val="auto"/>
          <w:highlight w:val="none"/>
        </w:rPr>
      </w:pPr>
    </w:p>
    <w:p w14:paraId="1AE6A050">
      <w:pPr>
        <w:rPr>
          <w:rFonts w:hint="eastAsia" w:ascii="仿宋" w:hAnsi="仿宋" w:eastAsia="仿宋" w:cs="仿宋"/>
          <w:b/>
          <w:color w:val="auto"/>
          <w:sz w:val="24"/>
          <w:szCs w:val="24"/>
          <w:highlight w:val="none"/>
        </w:rPr>
      </w:pPr>
    </w:p>
    <w:p w14:paraId="1CA0D33D">
      <w:pPr>
        <w:widowControl/>
        <w:spacing w:line="360" w:lineRule="auto"/>
        <w:rPr>
          <w:rFonts w:hint="eastAsia" w:ascii="仿宋" w:hAnsi="仿宋" w:eastAsia="仿宋" w:cs="仿宋"/>
          <w:color w:val="auto"/>
          <w:sz w:val="24"/>
          <w:szCs w:val="24"/>
          <w:highlight w:val="none"/>
        </w:rPr>
      </w:pPr>
    </w:p>
    <w:p w14:paraId="60D48B26">
      <w:pPr>
        <w:rPr>
          <w:rFonts w:hint="eastAsia" w:ascii="仿宋" w:hAnsi="仿宋" w:eastAsia="仿宋" w:cs="仿宋"/>
          <w:b/>
          <w:color w:val="auto"/>
          <w:sz w:val="24"/>
          <w:szCs w:val="24"/>
          <w:highlight w:val="none"/>
          <w:shd w:val="clear" w:color="auto" w:fill="FFFFFF" w:themeFill="background1"/>
        </w:rPr>
      </w:pPr>
      <w:r>
        <w:rPr>
          <w:rFonts w:hint="eastAsia" w:ascii="仿宋" w:hAnsi="仿宋" w:eastAsia="仿宋" w:cs="仿宋"/>
          <w:b/>
          <w:color w:val="auto"/>
          <w:sz w:val="24"/>
          <w:szCs w:val="24"/>
          <w:highlight w:val="none"/>
          <w:shd w:val="clear" w:color="auto" w:fill="FFFFFF" w:themeFill="background1"/>
        </w:rPr>
        <w:br w:type="page"/>
      </w:r>
    </w:p>
    <w:p w14:paraId="54EB0F4A">
      <w:pPr>
        <w:spacing w:line="360" w:lineRule="auto"/>
        <w:jc w:val="center"/>
        <w:outlineLvl w:val="0"/>
        <w:rPr>
          <w:rFonts w:hint="eastAsia" w:ascii="仿宋" w:hAnsi="仿宋" w:eastAsia="仿宋" w:cs="仿宋"/>
          <w:b/>
          <w:color w:val="auto"/>
          <w:sz w:val="24"/>
          <w:szCs w:val="24"/>
          <w:highlight w:val="none"/>
          <w:shd w:val="clear" w:color="auto" w:fill="FFFFFF" w:themeFill="background1"/>
        </w:rPr>
      </w:pPr>
      <w:bookmarkStart w:id="37" w:name="_Toc19605"/>
      <w:r>
        <w:rPr>
          <w:rFonts w:hint="eastAsia" w:ascii="仿宋" w:hAnsi="仿宋" w:eastAsia="仿宋" w:cs="仿宋"/>
          <w:b/>
          <w:color w:val="auto"/>
          <w:sz w:val="24"/>
          <w:szCs w:val="24"/>
          <w:highlight w:val="none"/>
          <w:shd w:val="clear" w:color="auto" w:fill="FFFFFF" w:themeFill="background1"/>
        </w:rPr>
        <w:t>第四章 技术标准和要求</w:t>
      </w:r>
      <w:bookmarkEnd w:id="37"/>
    </w:p>
    <w:p w14:paraId="58B66598">
      <w:pPr>
        <w:spacing w:line="360" w:lineRule="auto"/>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说明：供应商应注意采购人在技术要求中指出的参数、工艺、材料和设备等内容仅起说明作用，无任何倾向性或限制性；任何品牌的产品均可依法参加本项目的采购活动。所有产品在安装调试中所需辅材费用包含在供应商投标产品的报价中，不再单独计取。</w:t>
      </w:r>
    </w:p>
    <w:p w14:paraId="68645EA5">
      <w:pPr>
        <w:rPr>
          <w:rFonts w:hint="eastAsia" w:ascii="仿宋" w:hAnsi="仿宋" w:eastAsia="仿宋" w:cs="仿宋"/>
          <w:b/>
          <w:color w:val="auto"/>
          <w:sz w:val="24"/>
          <w:szCs w:val="24"/>
          <w:highlight w:val="none"/>
          <w:shd w:val="clear" w:color="auto" w:fill="FFFFFF" w:themeFill="background1"/>
        </w:rPr>
      </w:pPr>
    </w:p>
    <w:tbl>
      <w:tblPr>
        <w:tblStyle w:val="43"/>
        <w:tblW w:w="4996" w:type="pct"/>
        <w:tblInd w:w="0" w:type="dxa"/>
        <w:tblLayout w:type="autofit"/>
        <w:tblCellMar>
          <w:top w:w="0" w:type="dxa"/>
          <w:left w:w="108" w:type="dxa"/>
          <w:bottom w:w="0" w:type="dxa"/>
          <w:right w:w="108" w:type="dxa"/>
        </w:tblCellMar>
      </w:tblPr>
      <w:tblGrid>
        <w:gridCol w:w="583"/>
        <w:gridCol w:w="1233"/>
        <w:gridCol w:w="6030"/>
        <w:gridCol w:w="635"/>
        <w:gridCol w:w="798"/>
      </w:tblGrid>
      <w:tr w14:paraId="2E4E4D89">
        <w:tblPrEx>
          <w:tblCellMar>
            <w:top w:w="0" w:type="dxa"/>
            <w:left w:w="108" w:type="dxa"/>
            <w:bottom w:w="0" w:type="dxa"/>
            <w:right w:w="108" w:type="dxa"/>
          </w:tblCellMar>
        </w:tblPrEx>
        <w:trPr>
          <w:trHeight w:val="480" w:hRule="atLeast"/>
          <w:tblHeader/>
        </w:trPr>
        <w:tc>
          <w:tcPr>
            <w:tcW w:w="314" w:type="pct"/>
            <w:tcBorders>
              <w:top w:val="single" w:color="000000" w:sz="4" w:space="0"/>
              <w:left w:val="single" w:color="000000" w:sz="4" w:space="0"/>
              <w:bottom w:val="single" w:color="000000" w:sz="4" w:space="0"/>
              <w:right w:val="single" w:color="000000" w:sz="4" w:space="0"/>
            </w:tcBorders>
            <w:vAlign w:val="center"/>
          </w:tcPr>
          <w:p w14:paraId="640BAACD">
            <w:pPr>
              <w:widowControl/>
              <w:jc w:val="center"/>
              <w:textAlignment w:val="center"/>
              <w:rPr>
                <w:rFonts w:hint="eastAsia" w:ascii="仿宋" w:hAnsi="仿宋" w:eastAsia="仿宋" w:cs="仿宋"/>
                <w:b/>
                <w:bCs/>
                <w:color w:val="auto"/>
                <w:szCs w:val="21"/>
                <w:highlight w:val="none"/>
              </w:rPr>
            </w:pPr>
            <w:bookmarkStart w:id="38" w:name="_Toc6210"/>
            <w:bookmarkStart w:id="39" w:name="_Toc27105"/>
            <w:r>
              <w:rPr>
                <w:rFonts w:hint="eastAsia" w:ascii="仿宋" w:hAnsi="仿宋" w:eastAsia="仿宋" w:cs="仿宋"/>
                <w:b/>
                <w:bCs/>
                <w:color w:val="auto"/>
                <w:kern w:val="0"/>
                <w:szCs w:val="21"/>
                <w:highlight w:val="none"/>
                <w:lang w:bidi="ar"/>
              </w:rPr>
              <w:t>序号</w:t>
            </w:r>
          </w:p>
        </w:tc>
        <w:tc>
          <w:tcPr>
            <w:tcW w:w="664" w:type="pct"/>
            <w:tcBorders>
              <w:top w:val="single" w:color="000000" w:sz="4" w:space="0"/>
              <w:left w:val="single" w:color="000000" w:sz="4" w:space="0"/>
              <w:bottom w:val="single" w:color="000000" w:sz="4" w:space="0"/>
              <w:right w:val="single" w:color="000000" w:sz="4" w:space="0"/>
            </w:tcBorders>
            <w:vAlign w:val="center"/>
          </w:tcPr>
          <w:p w14:paraId="5C606F97">
            <w:pPr>
              <w:widowControl/>
              <w:jc w:val="center"/>
              <w:textAlignment w:val="center"/>
              <w:rPr>
                <w:rFonts w:hint="eastAsia" w:ascii="仿宋" w:hAnsi="仿宋" w:eastAsia="仿宋" w:cs="仿宋"/>
                <w:b/>
                <w:bCs/>
                <w:color w:val="auto"/>
                <w:szCs w:val="21"/>
                <w:highlight w:val="none"/>
              </w:rPr>
            </w:pPr>
            <w:r>
              <w:rPr>
                <w:rFonts w:hint="eastAsia" w:ascii="仿宋" w:hAnsi="仿宋" w:eastAsia="仿宋" w:cs="仿宋"/>
                <w:b/>
                <w:bCs/>
                <w:color w:val="auto"/>
                <w:kern w:val="0"/>
                <w:szCs w:val="21"/>
                <w:highlight w:val="none"/>
                <w:lang w:bidi="ar"/>
              </w:rPr>
              <w:t>标的名称</w:t>
            </w:r>
          </w:p>
        </w:tc>
        <w:tc>
          <w:tcPr>
            <w:tcW w:w="3248" w:type="pct"/>
            <w:tcBorders>
              <w:top w:val="single" w:color="000000" w:sz="4" w:space="0"/>
              <w:left w:val="single" w:color="000000" w:sz="4" w:space="0"/>
              <w:bottom w:val="single" w:color="000000" w:sz="4" w:space="0"/>
              <w:right w:val="single" w:color="000000" w:sz="4" w:space="0"/>
            </w:tcBorders>
            <w:vAlign w:val="center"/>
          </w:tcPr>
          <w:p w14:paraId="5D6DFC1A">
            <w:pPr>
              <w:widowControl/>
              <w:jc w:val="center"/>
              <w:textAlignment w:val="center"/>
              <w:rPr>
                <w:rFonts w:hint="eastAsia" w:ascii="仿宋" w:hAnsi="仿宋" w:eastAsia="仿宋" w:cs="仿宋"/>
                <w:b/>
                <w:bCs/>
                <w:color w:val="auto"/>
                <w:kern w:val="0"/>
                <w:szCs w:val="21"/>
                <w:highlight w:val="none"/>
                <w:lang w:bidi="ar"/>
              </w:rPr>
            </w:pPr>
            <w:r>
              <w:rPr>
                <w:rFonts w:hint="eastAsia" w:ascii="仿宋" w:hAnsi="仿宋" w:eastAsia="仿宋" w:cs="仿宋"/>
                <w:b/>
                <w:bCs/>
                <w:color w:val="auto"/>
                <w:kern w:val="0"/>
                <w:szCs w:val="21"/>
                <w:highlight w:val="none"/>
                <w:lang w:bidi="ar"/>
              </w:rPr>
              <w:t>技术指标</w:t>
            </w:r>
          </w:p>
        </w:tc>
        <w:tc>
          <w:tcPr>
            <w:tcW w:w="342" w:type="pct"/>
            <w:tcBorders>
              <w:top w:val="single" w:color="000000" w:sz="4" w:space="0"/>
              <w:left w:val="single" w:color="000000" w:sz="4" w:space="0"/>
              <w:bottom w:val="single" w:color="000000" w:sz="4" w:space="0"/>
              <w:right w:val="single" w:color="000000" w:sz="4" w:space="0"/>
            </w:tcBorders>
            <w:vAlign w:val="center"/>
          </w:tcPr>
          <w:p w14:paraId="66A0F11B">
            <w:pPr>
              <w:widowControl/>
              <w:jc w:val="center"/>
              <w:textAlignment w:val="center"/>
              <w:rPr>
                <w:rFonts w:hint="eastAsia" w:ascii="仿宋" w:hAnsi="仿宋" w:eastAsia="仿宋" w:cs="仿宋"/>
                <w:b/>
                <w:bCs/>
                <w:color w:val="auto"/>
                <w:szCs w:val="21"/>
                <w:highlight w:val="none"/>
              </w:rPr>
            </w:pPr>
            <w:r>
              <w:rPr>
                <w:rFonts w:hint="eastAsia" w:ascii="仿宋" w:hAnsi="仿宋" w:eastAsia="仿宋" w:cs="仿宋"/>
                <w:b/>
                <w:bCs/>
                <w:color w:val="auto"/>
                <w:kern w:val="0"/>
                <w:szCs w:val="21"/>
                <w:highlight w:val="none"/>
                <w:lang w:bidi="ar"/>
              </w:rPr>
              <w:t>单位</w:t>
            </w:r>
          </w:p>
        </w:tc>
        <w:tc>
          <w:tcPr>
            <w:tcW w:w="430" w:type="pct"/>
            <w:tcBorders>
              <w:top w:val="single" w:color="000000" w:sz="4" w:space="0"/>
              <w:left w:val="single" w:color="000000" w:sz="4" w:space="0"/>
              <w:bottom w:val="single" w:color="000000" w:sz="4" w:space="0"/>
              <w:right w:val="single" w:color="000000" w:sz="4" w:space="0"/>
            </w:tcBorders>
            <w:vAlign w:val="center"/>
          </w:tcPr>
          <w:p w14:paraId="12A0312C">
            <w:pPr>
              <w:widowControl/>
              <w:jc w:val="center"/>
              <w:textAlignment w:val="center"/>
              <w:rPr>
                <w:rFonts w:hint="eastAsia" w:ascii="仿宋" w:hAnsi="仿宋" w:eastAsia="仿宋" w:cs="仿宋"/>
                <w:b/>
                <w:bCs/>
                <w:color w:val="auto"/>
                <w:szCs w:val="21"/>
                <w:highlight w:val="none"/>
              </w:rPr>
            </w:pPr>
            <w:r>
              <w:rPr>
                <w:rFonts w:hint="eastAsia" w:ascii="仿宋" w:hAnsi="仿宋" w:eastAsia="仿宋" w:cs="仿宋"/>
                <w:b/>
                <w:bCs/>
                <w:color w:val="auto"/>
                <w:kern w:val="0"/>
                <w:szCs w:val="21"/>
                <w:highlight w:val="none"/>
                <w:lang w:bidi="ar"/>
              </w:rPr>
              <w:t>数量</w:t>
            </w:r>
          </w:p>
        </w:tc>
      </w:tr>
      <w:tr w14:paraId="5BC1E80A">
        <w:tblPrEx>
          <w:tblCellMar>
            <w:top w:w="0" w:type="dxa"/>
            <w:left w:w="108" w:type="dxa"/>
            <w:bottom w:w="0" w:type="dxa"/>
            <w:right w:w="108" w:type="dxa"/>
          </w:tblCellMar>
        </w:tblPrEx>
        <w:trPr>
          <w:trHeight w:val="469" w:hRule="atLeast"/>
        </w:trPr>
        <w:tc>
          <w:tcPr>
            <w:tcW w:w="314" w:type="pct"/>
            <w:tcBorders>
              <w:top w:val="single" w:color="000000" w:sz="4" w:space="0"/>
              <w:left w:val="single" w:color="000000" w:sz="4" w:space="0"/>
              <w:bottom w:val="single" w:color="000000" w:sz="4" w:space="0"/>
              <w:right w:val="single" w:color="000000" w:sz="4" w:space="0"/>
            </w:tcBorders>
            <w:vAlign w:val="center"/>
          </w:tcPr>
          <w:p w14:paraId="0652557C">
            <w:pPr>
              <w:widowControl/>
              <w:jc w:val="center"/>
              <w:textAlignment w:val="center"/>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1</w:t>
            </w:r>
          </w:p>
        </w:tc>
        <w:tc>
          <w:tcPr>
            <w:tcW w:w="664" w:type="pct"/>
            <w:tcBorders>
              <w:top w:val="single" w:color="auto" w:sz="4" w:space="0"/>
              <w:left w:val="single" w:color="auto" w:sz="4" w:space="0"/>
              <w:bottom w:val="single" w:color="auto" w:sz="4" w:space="0"/>
              <w:right w:val="single" w:color="auto" w:sz="4" w:space="0"/>
            </w:tcBorders>
            <w:vAlign w:val="center"/>
          </w:tcPr>
          <w:p w14:paraId="5EC500E2">
            <w:pPr>
              <w:widowControl/>
              <w:jc w:val="center"/>
              <w:textAlignment w:val="center"/>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高速台式冷冻离心机</w:t>
            </w:r>
          </w:p>
        </w:tc>
        <w:tc>
          <w:tcPr>
            <w:tcW w:w="3248" w:type="pct"/>
            <w:tcBorders>
              <w:top w:val="single" w:color="000000" w:sz="4" w:space="0"/>
              <w:left w:val="single" w:color="000000" w:sz="4" w:space="0"/>
              <w:bottom w:val="single" w:color="000000" w:sz="4" w:space="0"/>
              <w:right w:val="single" w:color="000000" w:sz="4" w:space="0"/>
            </w:tcBorders>
            <w:vAlign w:val="center"/>
          </w:tcPr>
          <w:p w14:paraId="13D87D0F">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w:t>
            </w:r>
            <w:r>
              <w:rPr>
                <w:rFonts w:hint="eastAsia"/>
                <w:color w:val="auto"/>
                <w:highlight w:val="none"/>
              </w:rPr>
              <w:t xml:space="preserve"> </w:t>
            </w:r>
            <w:r>
              <w:rPr>
                <w:rFonts w:hint="eastAsia" w:ascii="仿宋" w:hAnsi="仿宋" w:eastAsia="仿宋" w:cs="仿宋"/>
                <w:color w:val="auto"/>
                <w:szCs w:val="21"/>
                <w:highlight w:val="none"/>
              </w:rPr>
              <w:t>最高转速≥16500r/min，</w:t>
            </w:r>
          </w:p>
          <w:p w14:paraId="52AEFA43">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2.转速精度≤±10r/min；</w:t>
            </w:r>
          </w:p>
          <w:p w14:paraId="5724410B">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3.最大相对离心力≥26054xg；</w:t>
            </w:r>
          </w:p>
          <w:p w14:paraId="59C7093F">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4.可以直接设置离心力或转速，能以1或10或100三种步进任意选取一种递增；</w:t>
            </w:r>
          </w:p>
          <w:p w14:paraId="518B87A5">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5.最大容量：≥8×10ml；</w:t>
            </w:r>
          </w:p>
          <w:p w14:paraId="316DEFDC">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6.整机噪音≤60dB；</w:t>
            </w:r>
          </w:p>
          <w:p w14:paraId="19DF02FD">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7.定时范围：1s～99min59s、1min～99h59min；具有启动计时、到转速计时两种计时模式； </w:t>
            </w:r>
          </w:p>
          <w:p w14:paraId="6389B5C0">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8.温度设置范围：-20℃～+40℃，以1℃递增，</w:t>
            </w:r>
          </w:p>
          <w:p w14:paraId="42734953">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9. 压缩机组：环保制冷剂（R134A）温度控制精度≤±1℃；</w:t>
            </w:r>
          </w:p>
          <w:p w14:paraId="6CEEF829">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10.加/减速曲线：10档加速曲线、11档减速曲线，可根据实验需求，自定义升速、降速时间曲线；</w:t>
            </w:r>
          </w:p>
          <w:p w14:paraId="41A7D57E">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11.驱动系统：直流无刷电子驱动，最快升降速≤12秒 </w:t>
            </w:r>
          </w:p>
          <w:p w14:paraId="2FE0D2B7">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12.控制系统：5寸高灵敏度（可戴手套直接操作）触摸屏；</w:t>
            </w:r>
          </w:p>
          <w:p w14:paraId="7F9E0DD8">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13.独立的PULSE键。</w:t>
            </w:r>
          </w:p>
          <w:p w14:paraId="57443DEC">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14.具有转子识别、不平衡保护、超速、超温、电机过热、门盖自锁等多种保护功能。</w:t>
            </w:r>
          </w:p>
          <w:p w14:paraId="089810C7">
            <w:pPr>
              <w:spacing w:line="360" w:lineRule="auto"/>
              <w:rPr>
                <w:rFonts w:hint="eastAsia" w:ascii="仿宋" w:hAnsi="仿宋" w:eastAsia="仿宋" w:cs="仿宋"/>
                <w:color w:val="auto"/>
                <w:szCs w:val="21"/>
                <w:highlight w:val="none"/>
              </w:rPr>
            </w:pPr>
            <w:r>
              <w:rPr>
                <w:rFonts w:hint="eastAsia" w:ascii="仿宋" w:hAnsi="仿宋" w:eastAsia="仿宋" w:cs="仿宋"/>
                <w:b/>
                <w:bCs/>
                <w:color w:val="auto"/>
                <w:szCs w:val="21"/>
                <w:highlight w:val="none"/>
              </w:rPr>
              <w:t>★</w:t>
            </w:r>
            <w:r>
              <w:rPr>
                <w:rFonts w:hint="eastAsia" w:ascii="仿宋" w:hAnsi="仿宋" w:eastAsia="仿宋" w:cs="仿宋"/>
                <w:color w:val="auto"/>
                <w:szCs w:val="21"/>
                <w:highlight w:val="none"/>
              </w:rPr>
              <w:t>15.具备动态微生物气密性转子，提供检测报告。</w:t>
            </w:r>
          </w:p>
          <w:p w14:paraId="2242A6AC">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16.3步可完成单个预设程序的存储，可设置不少于5级的阶梯离心。</w:t>
            </w:r>
          </w:p>
          <w:p w14:paraId="36B0684C">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18.可根据实验的时间间隔设置预约预冷功能和仪器休眠功能。</w:t>
            </w:r>
          </w:p>
          <w:p w14:paraId="2EF54560">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19.运行记录、故障记录自动保存，可以查看仪器的运行情况与每批样品的分离情况。</w:t>
            </w:r>
          </w:p>
          <w:p w14:paraId="5B5E2C0A">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20.配置要求：24*1.5ml角转子（最高转速≥16500r/min，最大相对离心力≥26054xg）；</w:t>
            </w:r>
          </w:p>
        </w:tc>
        <w:tc>
          <w:tcPr>
            <w:tcW w:w="635" w:type="dxa"/>
            <w:tcBorders>
              <w:top w:val="single" w:color="000000" w:sz="4" w:space="0"/>
              <w:left w:val="single" w:color="000000" w:sz="4" w:space="0"/>
              <w:bottom w:val="single" w:color="000000" w:sz="4" w:space="0"/>
              <w:right w:val="single" w:color="000000" w:sz="4" w:space="0"/>
            </w:tcBorders>
            <w:vAlign w:val="center"/>
          </w:tcPr>
          <w:p w14:paraId="0EC61E4B">
            <w:pPr>
              <w:widowControl/>
              <w:jc w:val="center"/>
              <w:textAlignment w:val="center"/>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台</w:t>
            </w:r>
          </w:p>
        </w:tc>
        <w:tc>
          <w:tcPr>
            <w:tcW w:w="798" w:type="dxa"/>
            <w:tcBorders>
              <w:top w:val="single" w:color="000000" w:sz="4" w:space="0"/>
              <w:left w:val="single" w:color="000000" w:sz="4" w:space="0"/>
              <w:bottom w:val="single" w:color="000000" w:sz="4" w:space="0"/>
              <w:right w:val="single" w:color="000000" w:sz="4" w:space="0"/>
            </w:tcBorders>
            <w:vAlign w:val="center"/>
          </w:tcPr>
          <w:p w14:paraId="063F18E5">
            <w:pPr>
              <w:widowControl/>
              <w:jc w:val="center"/>
              <w:textAlignment w:val="center"/>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1</w:t>
            </w:r>
          </w:p>
        </w:tc>
      </w:tr>
      <w:tr w14:paraId="39CE40DB">
        <w:tblPrEx>
          <w:tblCellMar>
            <w:top w:w="0" w:type="dxa"/>
            <w:left w:w="108" w:type="dxa"/>
            <w:bottom w:w="0" w:type="dxa"/>
            <w:right w:w="108" w:type="dxa"/>
          </w:tblCellMar>
        </w:tblPrEx>
        <w:trPr>
          <w:trHeight w:val="469" w:hRule="atLeast"/>
        </w:trPr>
        <w:tc>
          <w:tcPr>
            <w:tcW w:w="314" w:type="pct"/>
            <w:tcBorders>
              <w:top w:val="single" w:color="000000" w:sz="4" w:space="0"/>
              <w:left w:val="single" w:color="000000" w:sz="4" w:space="0"/>
              <w:bottom w:val="single" w:color="000000" w:sz="4" w:space="0"/>
              <w:right w:val="single" w:color="000000" w:sz="4" w:space="0"/>
            </w:tcBorders>
            <w:vAlign w:val="center"/>
          </w:tcPr>
          <w:p w14:paraId="00F24975">
            <w:pPr>
              <w:widowControl/>
              <w:jc w:val="center"/>
              <w:textAlignment w:val="center"/>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2</w:t>
            </w:r>
          </w:p>
        </w:tc>
        <w:tc>
          <w:tcPr>
            <w:tcW w:w="664" w:type="pct"/>
            <w:tcBorders>
              <w:top w:val="single" w:color="auto" w:sz="4" w:space="0"/>
              <w:left w:val="single" w:color="auto" w:sz="4" w:space="0"/>
              <w:bottom w:val="single" w:color="auto" w:sz="4" w:space="0"/>
              <w:right w:val="single" w:color="auto" w:sz="4" w:space="0"/>
            </w:tcBorders>
            <w:vAlign w:val="center"/>
          </w:tcPr>
          <w:p w14:paraId="6DCC9D3F">
            <w:pPr>
              <w:widowControl/>
              <w:jc w:val="center"/>
              <w:textAlignment w:val="center"/>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荧光定量PCR仪</w:t>
            </w:r>
          </w:p>
        </w:tc>
        <w:tc>
          <w:tcPr>
            <w:tcW w:w="3248" w:type="pct"/>
            <w:tcBorders>
              <w:top w:val="single" w:color="000000" w:sz="4" w:space="0"/>
              <w:left w:val="single" w:color="000000" w:sz="4" w:space="0"/>
              <w:bottom w:val="single" w:color="000000" w:sz="4" w:space="0"/>
              <w:right w:val="single" w:color="000000" w:sz="4" w:space="0"/>
            </w:tcBorders>
            <w:vAlign w:val="center"/>
          </w:tcPr>
          <w:p w14:paraId="3B6A7390">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主要用途：</w:t>
            </w:r>
          </w:p>
          <w:p w14:paraId="71CA8428">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用于基因表达分析研究，目的基因的定量分析，进行SNP单核苷酸多态性和突变位点的分析检测。</w:t>
            </w:r>
          </w:p>
          <w:p w14:paraId="2FA739CE">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1仪器性能</w:t>
            </w:r>
          </w:p>
          <w:p w14:paraId="50A6DC52">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1.1</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装机指标：成功区分起始模板为1000和2000个拷贝的浓度差，置信度&gt;99.8%</w:t>
            </w:r>
          </w:p>
          <w:p w14:paraId="78A9F52D">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1.2</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反应时间：≤40分钟（96孔标准检测，40个循环反应）</w:t>
            </w:r>
          </w:p>
          <w:p w14:paraId="234E13E6">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1.3</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检测模式：染料模式、水解探针、简单探针、分子信标、蝎型探针、高分辨率熔解曲线（HRM）等</w:t>
            </w:r>
          </w:p>
          <w:p w14:paraId="07859F88">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1.4</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线性范围：1-1010个拷贝</w:t>
            </w:r>
          </w:p>
          <w:p w14:paraId="199D2706">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1.5</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检测灵敏度：可检测单拷贝基因</w:t>
            </w:r>
          </w:p>
          <w:p w14:paraId="1D03552A">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1.6</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精密度：≤1.5倍拷贝数差异，置信度≥99.8%</w:t>
            </w:r>
          </w:p>
          <w:p w14:paraId="2BB12AAA">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1.7</w:t>
            </w:r>
            <w:r>
              <w:rPr>
                <w:rFonts w:hint="eastAsia" w:ascii="仿宋" w:hAnsi="仿宋" w:eastAsia="仿宋" w:cs="仿宋"/>
                <w:color w:val="auto"/>
                <w:szCs w:val="21"/>
                <w:highlight w:val="none"/>
              </w:rPr>
              <w:tab/>
            </w:r>
            <w:r>
              <w:rPr>
                <w:rFonts w:hint="eastAsia" w:ascii="仿宋" w:hAnsi="仿宋" w:eastAsia="仿宋" w:cs="仿宋"/>
                <w:b/>
                <w:bCs/>
                <w:color w:val="auto"/>
                <w:szCs w:val="21"/>
                <w:highlight w:val="none"/>
              </w:rPr>
              <w:t>★</w:t>
            </w:r>
            <w:r>
              <w:rPr>
                <w:rFonts w:hint="eastAsia" w:ascii="仿宋" w:hAnsi="仿宋" w:eastAsia="仿宋" w:cs="仿宋"/>
                <w:color w:val="auto"/>
                <w:szCs w:val="21"/>
                <w:highlight w:val="none"/>
              </w:rPr>
              <w:t>荧光染料校正：无需ROX等被动染料校正</w:t>
            </w:r>
          </w:p>
          <w:p w14:paraId="62161FA0">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2</w:t>
            </w:r>
            <w:r>
              <w:rPr>
                <w:rFonts w:hint="eastAsia" w:ascii="仿宋" w:hAnsi="仿宋" w:eastAsia="仿宋" w:cs="仿宋"/>
                <w:color w:val="auto"/>
                <w:szCs w:val="21"/>
                <w:highlight w:val="none"/>
              </w:rPr>
              <w:t>硬件配置</w:t>
            </w:r>
          </w:p>
          <w:p w14:paraId="4A6D7360">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2</w:t>
            </w:r>
            <w:r>
              <w:rPr>
                <w:rFonts w:hint="eastAsia" w:ascii="仿宋" w:hAnsi="仿宋" w:eastAsia="仿宋" w:cs="仿宋"/>
                <w:color w:val="auto"/>
                <w:szCs w:val="21"/>
                <w:highlight w:val="none"/>
              </w:rPr>
              <w:t>.1</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温控系统</w:t>
            </w:r>
          </w:p>
          <w:p w14:paraId="7344CA04">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2</w:t>
            </w:r>
            <w:r>
              <w:rPr>
                <w:rFonts w:hint="eastAsia" w:ascii="仿宋" w:hAnsi="仿宋" w:eastAsia="仿宋" w:cs="仿宋"/>
                <w:color w:val="auto"/>
                <w:szCs w:val="21"/>
                <w:highlight w:val="none"/>
              </w:rPr>
              <w:t>.1.1</w:t>
            </w:r>
            <w:r>
              <w:rPr>
                <w:rFonts w:hint="eastAsia" w:ascii="仿宋" w:hAnsi="仿宋" w:eastAsia="仿宋" w:cs="仿宋"/>
                <w:b/>
                <w:bCs/>
                <w:color w:val="auto"/>
                <w:szCs w:val="21"/>
                <w:highlight w:val="none"/>
              </w:rPr>
              <w:t xml:space="preserve"> </w:t>
            </w:r>
            <w:r>
              <w:rPr>
                <w:rFonts w:hint="eastAsia" w:ascii="仿宋" w:hAnsi="仿宋" w:eastAsia="仿宋" w:cs="仿宋"/>
                <w:color w:val="auto"/>
                <w:szCs w:val="21"/>
                <w:highlight w:val="none"/>
              </w:rPr>
              <w:t>温控模块：银质半导体温控模块</w:t>
            </w:r>
          </w:p>
          <w:p w14:paraId="7EC44BBA">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2</w:t>
            </w:r>
            <w:r>
              <w:rPr>
                <w:rFonts w:hint="eastAsia" w:ascii="仿宋" w:hAnsi="仿宋" w:eastAsia="仿宋" w:cs="仿宋"/>
                <w:color w:val="auto"/>
                <w:szCs w:val="21"/>
                <w:highlight w:val="none"/>
              </w:rPr>
              <w:t>.1.2模块：96个样本对应的温控模块一体化成型，不由独立的多个小型模块组合而成</w:t>
            </w:r>
          </w:p>
          <w:p w14:paraId="1C64E72F">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2</w:t>
            </w:r>
            <w:r>
              <w:rPr>
                <w:rFonts w:hint="eastAsia" w:ascii="仿宋" w:hAnsi="仿宋" w:eastAsia="仿宋" w:cs="仿宋"/>
                <w:color w:val="auto"/>
                <w:szCs w:val="21"/>
                <w:highlight w:val="none"/>
              </w:rPr>
              <w:t>.1.3</w:t>
            </w:r>
            <w:r>
              <w:rPr>
                <w:rFonts w:hint="eastAsia" w:ascii="仿宋" w:hAnsi="仿宋" w:eastAsia="仿宋" w:cs="仿宋"/>
                <w:b/>
                <w:bCs/>
                <w:color w:val="auto"/>
                <w:szCs w:val="21"/>
                <w:highlight w:val="none"/>
              </w:rPr>
              <w:t>★</w:t>
            </w:r>
            <w:r>
              <w:rPr>
                <w:rFonts w:hint="eastAsia" w:ascii="仿宋" w:hAnsi="仿宋" w:eastAsia="仿宋" w:cs="仿宋"/>
                <w:color w:val="auto"/>
                <w:szCs w:val="21"/>
                <w:highlight w:val="none"/>
              </w:rPr>
              <w:t>模块平均温控速率：≥6.8 ℃/s</w:t>
            </w:r>
          </w:p>
          <w:p w14:paraId="38C9AB6B">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2</w:t>
            </w:r>
            <w:r>
              <w:rPr>
                <w:rFonts w:hint="eastAsia" w:ascii="仿宋" w:hAnsi="仿宋" w:eastAsia="仿宋" w:cs="仿宋"/>
                <w:color w:val="auto"/>
                <w:szCs w:val="21"/>
                <w:highlight w:val="none"/>
              </w:rPr>
              <w:t>.1.4样本平均温控速率：4.4 ℃/s</w:t>
            </w:r>
          </w:p>
          <w:p w14:paraId="06469582">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2</w:t>
            </w:r>
            <w:r>
              <w:rPr>
                <w:rFonts w:hint="eastAsia" w:ascii="仿宋" w:hAnsi="仿宋" w:eastAsia="仿宋" w:cs="仿宋"/>
                <w:color w:val="auto"/>
                <w:szCs w:val="21"/>
                <w:highlight w:val="none"/>
              </w:rPr>
              <w:t>.1.5温度准确性: ≤ 0.2 ℃（37-98 ℃）</w:t>
            </w:r>
          </w:p>
          <w:p w14:paraId="2254724B">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2</w:t>
            </w:r>
            <w:r>
              <w:rPr>
                <w:rFonts w:hint="eastAsia" w:ascii="仿宋" w:hAnsi="仿宋" w:eastAsia="仿宋" w:cs="仿宋"/>
                <w:color w:val="auto"/>
                <w:szCs w:val="21"/>
                <w:highlight w:val="none"/>
              </w:rPr>
              <w:t>.1.6温度均一性（Tm）: ≤ 0.2℃（37-98 ℃）</w:t>
            </w:r>
          </w:p>
          <w:p w14:paraId="4B13C3CE">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2</w:t>
            </w:r>
            <w:r>
              <w:rPr>
                <w:rFonts w:hint="eastAsia" w:ascii="仿宋" w:hAnsi="仿宋" w:eastAsia="仿宋" w:cs="仿宋"/>
                <w:color w:val="auto"/>
                <w:szCs w:val="21"/>
                <w:highlight w:val="none"/>
              </w:rPr>
              <w:t>.1.7熔解曲线温度分辨率：0.04 ℃</w:t>
            </w:r>
          </w:p>
          <w:p w14:paraId="4DDB5AF6">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2</w:t>
            </w:r>
            <w:r>
              <w:rPr>
                <w:rFonts w:hint="eastAsia" w:ascii="仿宋" w:hAnsi="仿宋" w:eastAsia="仿宋" w:cs="仿宋"/>
                <w:color w:val="auto"/>
                <w:szCs w:val="21"/>
                <w:highlight w:val="none"/>
              </w:rPr>
              <w:t>.1.8熔解曲线数据采集频率：每摄氏度采集25个数据</w:t>
            </w:r>
          </w:p>
          <w:p w14:paraId="6D30A771">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2</w:t>
            </w:r>
            <w:r>
              <w:rPr>
                <w:rFonts w:hint="eastAsia" w:ascii="仿宋" w:hAnsi="仿宋" w:eastAsia="仿宋" w:cs="仿宋"/>
                <w:color w:val="auto"/>
                <w:szCs w:val="21"/>
                <w:highlight w:val="none"/>
              </w:rPr>
              <w:t>.1.9梯度PCR温控范围：37-98 ℃</w:t>
            </w:r>
          </w:p>
          <w:p w14:paraId="08085E9C">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2</w:t>
            </w:r>
            <w:r>
              <w:rPr>
                <w:rFonts w:hint="eastAsia" w:ascii="仿宋" w:hAnsi="仿宋" w:eastAsia="仿宋" w:cs="仿宋"/>
                <w:color w:val="auto"/>
                <w:szCs w:val="21"/>
                <w:highlight w:val="none"/>
              </w:rPr>
              <w:t>.1.10梯度PCR温度数量：同时实现12个不同的温度梯度</w:t>
            </w:r>
          </w:p>
          <w:p w14:paraId="3A1E4266">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2</w:t>
            </w:r>
            <w:r>
              <w:rPr>
                <w:rFonts w:hint="eastAsia" w:ascii="仿宋" w:hAnsi="仿宋" w:eastAsia="仿宋" w:cs="仿宋"/>
                <w:color w:val="auto"/>
                <w:szCs w:val="21"/>
                <w:highlight w:val="none"/>
              </w:rPr>
              <w:t>.1.11梯度PCR温控跨度：20 ℃</w:t>
            </w:r>
          </w:p>
          <w:p w14:paraId="2F3A79BC">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2</w:t>
            </w:r>
            <w:r>
              <w:rPr>
                <w:rFonts w:hint="eastAsia" w:ascii="仿宋" w:hAnsi="仿宋" w:eastAsia="仿宋" w:cs="仿宋"/>
                <w:color w:val="auto"/>
                <w:szCs w:val="21"/>
                <w:highlight w:val="none"/>
              </w:rPr>
              <w:t>.1.1</w:t>
            </w:r>
            <w:r>
              <w:rPr>
                <w:rFonts w:hint="eastAsia" w:ascii="仿宋" w:hAnsi="仿宋" w:eastAsia="仿宋" w:cs="仿宋"/>
                <w:color w:val="auto"/>
                <w:szCs w:val="21"/>
                <w:highlight w:val="none"/>
                <w:lang w:val="en-US" w:eastAsia="zh-CN"/>
              </w:rPr>
              <w:t>2</w:t>
            </w:r>
            <w:r>
              <w:rPr>
                <w:rFonts w:hint="eastAsia" w:ascii="仿宋" w:hAnsi="仿宋" w:eastAsia="仿宋" w:cs="仿宋"/>
                <w:color w:val="auto"/>
                <w:szCs w:val="21"/>
                <w:highlight w:val="none"/>
              </w:rPr>
              <w:t>样本容量：96孔板或者八联管</w:t>
            </w:r>
          </w:p>
          <w:p w14:paraId="223CAEB2">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2</w:t>
            </w:r>
            <w:r>
              <w:rPr>
                <w:rFonts w:hint="eastAsia" w:ascii="仿宋" w:hAnsi="仿宋" w:eastAsia="仿宋" w:cs="仿宋"/>
                <w:color w:val="auto"/>
                <w:szCs w:val="21"/>
                <w:highlight w:val="none"/>
              </w:rPr>
              <w:t>.2</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光学系统</w:t>
            </w:r>
          </w:p>
          <w:p w14:paraId="734FC2D2">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2</w:t>
            </w:r>
            <w:r>
              <w:rPr>
                <w:rFonts w:hint="eastAsia" w:ascii="仿宋" w:hAnsi="仿宋" w:eastAsia="仿宋" w:cs="仿宋"/>
                <w:color w:val="auto"/>
                <w:szCs w:val="21"/>
                <w:highlight w:val="none"/>
              </w:rPr>
              <w:t>.2.1光源：高强度白色固态光源</w:t>
            </w:r>
          </w:p>
          <w:p w14:paraId="5AD9698E">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2</w:t>
            </w:r>
            <w:r>
              <w:rPr>
                <w:rFonts w:hint="eastAsia" w:ascii="仿宋" w:hAnsi="仿宋" w:eastAsia="仿宋" w:cs="仿宋"/>
                <w:color w:val="auto"/>
                <w:szCs w:val="21"/>
                <w:highlight w:val="none"/>
              </w:rPr>
              <w:t>.2.2</w:t>
            </w:r>
            <w:r>
              <w:rPr>
                <w:rFonts w:hint="eastAsia" w:ascii="仿宋" w:hAnsi="仿宋" w:eastAsia="仿宋" w:cs="仿宋"/>
                <w:b/>
                <w:bCs/>
                <w:color w:val="auto"/>
                <w:szCs w:val="21"/>
                <w:highlight w:val="none"/>
              </w:rPr>
              <w:t>★</w:t>
            </w:r>
            <w:r>
              <w:rPr>
                <w:rFonts w:hint="eastAsia" w:ascii="仿宋" w:hAnsi="仿宋" w:eastAsia="仿宋" w:cs="仿宋"/>
                <w:color w:val="auto"/>
                <w:szCs w:val="21"/>
                <w:highlight w:val="none"/>
              </w:rPr>
              <w:t>激发波长：390-710 nm，连续不间断</w:t>
            </w:r>
          </w:p>
          <w:p w14:paraId="1AF68F03">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2</w:t>
            </w:r>
            <w:r>
              <w:rPr>
                <w:rFonts w:hint="eastAsia" w:ascii="仿宋" w:hAnsi="仿宋" w:eastAsia="仿宋" w:cs="仿宋"/>
                <w:color w:val="auto"/>
                <w:szCs w:val="21"/>
                <w:highlight w:val="none"/>
              </w:rPr>
              <w:t>.2.3单个光源寿命：&gt; 10000小时</w:t>
            </w:r>
          </w:p>
          <w:p w14:paraId="758C1490">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2</w:t>
            </w:r>
            <w:r>
              <w:rPr>
                <w:rFonts w:hint="eastAsia" w:ascii="仿宋" w:hAnsi="仿宋" w:eastAsia="仿宋" w:cs="仿宋"/>
                <w:color w:val="auto"/>
                <w:szCs w:val="21"/>
                <w:highlight w:val="none"/>
              </w:rPr>
              <w:t>.2.4检测通道数：4通道激发/检测</w:t>
            </w:r>
          </w:p>
          <w:p w14:paraId="0E233145">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2</w:t>
            </w:r>
            <w:r>
              <w:rPr>
                <w:rFonts w:hint="eastAsia" w:ascii="仿宋" w:hAnsi="仿宋" w:eastAsia="仿宋" w:cs="仿宋"/>
                <w:color w:val="auto"/>
                <w:szCs w:val="21"/>
                <w:highlight w:val="none"/>
              </w:rPr>
              <w:t>.2.5</w:t>
            </w:r>
            <w:r>
              <w:rPr>
                <w:rFonts w:hint="eastAsia" w:ascii="仿宋" w:hAnsi="仿宋" w:eastAsia="仿宋" w:cs="仿宋"/>
                <w:b/>
                <w:bCs/>
                <w:color w:val="auto"/>
                <w:szCs w:val="21"/>
                <w:highlight w:val="none"/>
              </w:rPr>
              <w:t>★</w:t>
            </w:r>
            <w:r>
              <w:rPr>
                <w:rFonts w:hint="eastAsia" w:ascii="仿宋" w:hAnsi="仿宋" w:eastAsia="仿宋" w:cs="仿宋"/>
                <w:color w:val="auto"/>
                <w:szCs w:val="21"/>
                <w:highlight w:val="none"/>
              </w:rPr>
              <w:t>导光系统：192根等长独立光纤导光，完全消除光路边缘效应</w:t>
            </w:r>
          </w:p>
          <w:p w14:paraId="325E78D0">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2</w:t>
            </w:r>
            <w:r>
              <w:rPr>
                <w:rFonts w:hint="eastAsia" w:ascii="仿宋" w:hAnsi="仿宋" w:eastAsia="仿宋" w:cs="仿宋"/>
                <w:color w:val="auto"/>
                <w:szCs w:val="21"/>
                <w:highlight w:val="none"/>
              </w:rPr>
              <w:t>.2.6检测系统： CCD</w:t>
            </w:r>
          </w:p>
          <w:p w14:paraId="673D477E">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2</w:t>
            </w:r>
            <w:r>
              <w:rPr>
                <w:rFonts w:hint="eastAsia" w:ascii="仿宋" w:hAnsi="仿宋" w:eastAsia="仿宋" w:cs="仿宋"/>
                <w:color w:val="auto"/>
                <w:szCs w:val="21"/>
                <w:highlight w:val="none"/>
              </w:rPr>
              <w:t>.2.7光路设计：</w:t>
            </w:r>
          </w:p>
          <w:p w14:paraId="3BAA40D5">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2</w:t>
            </w:r>
            <w:r>
              <w:rPr>
                <w:rFonts w:hint="eastAsia" w:ascii="仿宋" w:hAnsi="仿宋" w:eastAsia="仿宋" w:cs="仿宋"/>
                <w:color w:val="auto"/>
                <w:szCs w:val="21"/>
                <w:highlight w:val="none"/>
              </w:rPr>
              <w:t>.2.7.1所有样本同时检测：支持，所有样本同时激发并采集数据，孔间无时间差</w:t>
            </w:r>
          </w:p>
          <w:p w14:paraId="2D793482">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2</w:t>
            </w:r>
            <w:r>
              <w:rPr>
                <w:rFonts w:hint="eastAsia" w:ascii="仿宋" w:hAnsi="仿宋" w:eastAsia="仿宋" w:cs="仿宋"/>
                <w:color w:val="auto"/>
                <w:szCs w:val="21"/>
                <w:highlight w:val="none"/>
              </w:rPr>
              <w:t>.2.7.2</w:t>
            </w:r>
            <w:r>
              <w:rPr>
                <w:rFonts w:hint="eastAsia" w:ascii="仿宋" w:hAnsi="仿宋" w:eastAsia="仿宋" w:cs="仿宋"/>
                <w:b/>
                <w:bCs/>
                <w:color w:val="auto"/>
                <w:szCs w:val="21"/>
                <w:highlight w:val="none"/>
              </w:rPr>
              <w:t>★</w:t>
            </w:r>
            <w:r>
              <w:rPr>
                <w:rFonts w:hint="eastAsia" w:ascii="仿宋" w:hAnsi="仿宋" w:eastAsia="仿宋" w:cs="仿宋"/>
                <w:color w:val="auto"/>
                <w:szCs w:val="21"/>
                <w:highlight w:val="none"/>
              </w:rPr>
              <w:t>全固定光路设计，无移动机械部件：支持，激发光源与检测系统在工作中无需移动，保证系统稳定性</w:t>
            </w:r>
          </w:p>
          <w:p w14:paraId="24BCEDCB">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2</w:t>
            </w:r>
            <w:r>
              <w:rPr>
                <w:rFonts w:hint="eastAsia" w:ascii="仿宋" w:hAnsi="仿宋" w:eastAsia="仿宋" w:cs="仿宋"/>
                <w:color w:val="auto"/>
                <w:szCs w:val="21"/>
                <w:highlight w:val="none"/>
              </w:rPr>
              <w:t>.2.7.3免维护：支持，无需定期校正光路。</w:t>
            </w:r>
          </w:p>
          <w:p w14:paraId="25C0755D">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2</w:t>
            </w:r>
            <w:r>
              <w:rPr>
                <w:rFonts w:hint="eastAsia" w:ascii="仿宋" w:hAnsi="仿宋" w:eastAsia="仿宋" w:cs="仿宋"/>
                <w:color w:val="auto"/>
                <w:szCs w:val="21"/>
                <w:highlight w:val="none"/>
              </w:rPr>
              <w:t>.3</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控制系统</w:t>
            </w:r>
          </w:p>
          <w:p w14:paraId="6B899D95">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2</w:t>
            </w:r>
            <w:r>
              <w:rPr>
                <w:rFonts w:hint="eastAsia" w:ascii="仿宋" w:hAnsi="仿宋" w:eastAsia="仿宋" w:cs="仿宋"/>
                <w:color w:val="auto"/>
                <w:szCs w:val="21"/>
                <w:highlight w:val="none"/>
              </w:rPr>
              <w:t>.3.1控制界面：＞10英寸全彩色触控屏</w:t>
            </w:r>
          </w:p>
          <w:p w14:paraId="2E0B6800">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2</w:t>
            </w:r>
            <w:r>
              <w:rPr>
                <w:rFonts w:hint="eastAsia" w:ascii="仿宋" w:hAnsi="仿宋" w:eastAsia="仿宋" w:cs="仿宋"/>
                <w:color w:val="auto"/>
                <w:szCs w:val="21"/>
                <w:highlight w:val="none"/>
              </w:rPr>
              <w:t>.3.2支持通过USB控制仪器运行程序和存储数据</w:t>
            </w:r>
          </w:p>
          <w:p w14:paraId="02E222B0">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2</w:t>
            </w:r>
            <w:r>
              <w:rPr>
                <w:rFonts w:hint="eastAsia" w:ascii="仿宋" w:hAnsi="仿宋" w:eastAsia="仿宋" w:cs="仿宋"/>
                <w:color w:val="auto"/>
                <w:szCs w:val="21"/>
                <w:highlight w:val="none"/>
              </w:rPr>
              <w:t>.3.3可外接条形码扫描仪：是</w:t>
            </w:r>
          </w:p>
          <w:p w14:paraId="006D725B">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2</w:t>
            </w:r>
            <w:r>
              <w:rPr>
                <w:rFonts w:hint="eastAsia" w:ascii="仿宋" w:hAnsi="仿宋" w:eastAsia="仿宋" w:cs="仿宋"/>
                <w:color w:val="auto"/>
                <w:szCs w:val="21"/>
                <w:highlight w:val="none"/>
              </w:rPr>
              <w:t>.3.4单机模式：触控屏设定实验运行与主机控制，实时荧光显示</w:t>
            </w:r>
          </w:p>
          <w:p w14:paraId="79373F1A">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2</w:t>
            </w:r>
            <w:r>
              <w:rPr>
                <w:rFonts w:hint="eastAsia" w:ascii="仿宋" w:hAnsi="仿宋" w:eastAsia="仿宋" w:cs="仿宋"/>
                <w:color w:val="auto"/>
                <w:szCs w:val="21"/>
                <w:highlight w:val="none"/>
              </w:rPr>
              <w:t>.3.5PC连接：实时主机监控及分析</w:t>
            </w:r>
          </w:p>
          <w:p w14:paraId="0EAB19CB">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2</w:t>
            </w:r>
            <w:r>
              <w:rPr>
                <w:rFonts w:hint="eastAsia" w:ascii="仿宋" w:hAnsi="仿宋" w:eastAsia="仿宋" w:cs="仿宋"/>
                <w:color w:val="auto"/>
                <w:szCs w:val="21"/>
                <w:highlight w:val="none"/>
              </w:rPr>
              <w:t>.3.6网络模式：通过局域网进行实时主机监控</w:t>
            </w:r>
          </w:p>
          <w:p w14:paraId="1AFC7079">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2</w:t>
            </w:r>
            <w:r>
              <w:rPr>
                <w:rFonts w:hint="eastAsia" w:ascii="仿宋" w:hAnsi="仿宋" w:eastAsia="仿宋" w:cs="仿宋"/>
                <w:color w:val="auto"/>
                <w:szCs w:val="21"/>
                <w:highlight w:val="none"/>
              </w:rPr>
              <w:t>.3.7数据接收方式：PC连接模式下，直接同步获取数据；局域网模式下，通过网络连接获取数据，或设定仪器将实验数据作为电子邮件发送至指定邮箱</w:t>
            </w:r>
          </w:p>
          <w:p w14:paraId="49172E2D">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3</w:t>
            </w:r>
            <w:r>
              <w:rPr>
                <w:rFonts w:hint="eastAsia" w:ascii="仿宋" w:hAnsi="仿宋" w:eastAsia="仿宋" w:cs="仿宋"/>
                <w:color w:val="auto"/>
                <w:szCs w:val="21"/>
                <w:highlight w:val="none"/>
              </w:rPr>
              <w:t>分析软件功能</w:t>
            </w:r>
          </w:p>
          <w:p w14:paraId="1CC804FB">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3</w:t>
            </w:r>
            <w:r>
              <w:rPr>
                <w:rFonts w:hint="eastAsia" w:ascii="仿宋" w:hAnsi="仿宋" w:eastAsia="仿宋" w:cs="仿宋"/>
                <w:color w:val="auto"/>
                <w:szCs w:val="21"/>
                <w:highlight w:val="none"/>
              </w:rPr>
              <w:t>.1</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支持的荧光染料种类开放：包括但不限于FAM™、SYBR®、Fluorescein、SYPRO® Orange、VIC®、JOE™、TET™、HEX™、TAMRA™、Texas Red®、Alexa Fluor 633、ResoLight、EvaGreen、LC Green、Cy3、Cy5、Yellow555、ROX、SYPRO Ruby、LC Red640、Snarf 1、Acid Fuchsin、Cy5.5等</w:t>
            </w:r>
          </w:p>
          <w:p w14:paraId="11E4CB7D">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3</w:t>
            </w:r>
            <w:r>
              <w:rPr>
                <w:rFonts w:hint="eastAsia" w:ascii="仿宋" w:hAnsi="仿宋" w:eastAsia="仿宋" w:cs="仿宋"/>
                <w:color w:val="auto"/>
                <w:szCs w:val="21"/>
                <w:highlight w:val="none"/>
              </w:rPr>
              <w:t>.2</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分析模式：具有定性定量（绝对定量、相对定量）、自动报告熔解温度、自动报告基因分型结果、高分辨率熔解曲线、阴阳性判读等功能，实时动态监测运行，扩增和检测同时进行</w:t>
            </w:r>
          </w:p>
          <w:p w14:paraId="24A7AA59">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3</w:t>
            </w:r>
            <w:r>
              <w:rPr>
                <w:rFonts w:hint="eastAsia" w:ascii="仿宋" w:hAnsi="仿宋" w:eastAsia="仿宋" w:cs="仿宋"/>
                <w:color w:val="auto"/>
                <w:szCs w:val="21"/>
                <w:highlight w:val="none"/>
              </w:rPr>
              <w:t>.3</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高分辨率熔解曲线 HRM分析：支持</w:t>
            </w:r>
          </w:p>
          <w:p w14:paraId="4E7299EF">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3</w:t>
            </w:r>
            <w:r>
              <w:rPr>
                <w:rFonts w:hint="eastAsia" w:ascii="仿宋" w:hAnsi="仿宋" w:eastAsia="仿宋" w:cs="仿宋"/>
                <w:color w:val="auto"/>
                <w:szCs w:val="21"/>
                <w:highlight w:val="none"/>
              </w:rPr>
              <w:t>.4</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数据导出：TXT表单, GIF, PNG</w:t>
            </w:r>
          </w:p>
          <w:p w14:paraId="34C9870B">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4</w:t>
            </w:r>
            <w:r>
              <w:rPr>
                <w:rFonts w:hint="eastAsia" w:ascii="仿宋" w:hAnsi="仿宋" w:eastAsia="仿宋" w:cs="仿宋"/>
                <w:color w:val="auto"/>
                <w:szCs w:val="21"/>
                <w:highlight w:val="none"/>
              </w:rPr>
              <w:t>仪器配置</w:t>
            </w:r>
          </w:p>
          <w:p w14:paraId="2C6D2242">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4</w:t>
            </w:r>
            <w:r>
              <w:rPr>
                <w:rFonts w:hint="eastAsia" w:ascii="仿宋" w:hAnsi="仿宋" w:eastAsia="仿宋" w:cs="仿宋"/>
                <w:color w:val="auto"/>
                <w:szCs w:val="21"/>
                <w:highlight w:val="none"/>
              </w:rPr>
              <w:t>.1</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仪器主机，带96孔温控模块</w:t>
            </w:r>
          </w:p>
          <w:p w14:paraId="527ACF05">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4</w:t>
            </w:r>
            <w:r>
              <w:rPr>
                <w:rFonts w:hint="eastAsia" w:ascii="仿宋" w:hAnsi="仿宋" w:eastAsia="仿宋" w:cs="仿宋"/>
                <w:color w:val="auto"/>
                <w:szCs w:val="21"/>
                <w:highlight w:val="none"/>
              </w:rPr>
              <w:t>.2</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快速操作指南</w:t>
            </w:r>
          </w:p>
          <w:p w14:paraId="0A9FF95A">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4</w:t>
            </w:r>
            <w:r>
              <w:rPr>
                <w:rFonts w:hint="eastAsia" w:ascii="仿宋" w:hAnsi="仿宋" w:eastAsia="仿宋" w:cs="仿宋"/>
                <w:color w:val="auto"/>
                <w:szCs w:val="21"/>
                <w:highlight w:val="none"/>
              </w:rPr>
              <w:t>.3 显示器一套</w:t>
            </w:r>
          </w:p>
          <w:p w14:paraId="3D54AFDE">
            <w:pPr>
              <w:spacing w:line="360" w:lineRule="auto"/>
              <w:rPr>
                <w:rFonts w:hint="eastAsia" w:ascii="仿宋" w:hAnsi="仿宋" w:eastAsia="仿宋" w:cs="仿宋"/>
                <w:color w:val="auto"/>
                <w:kern w:val="0"/>
                <w:szCs w:val="21"/>
                <w:highlight w:val="none"/>
                <w:lang w:bidi="ar"/>
              </w:rPr>
            </w:pPr>
            <w:r>
              <w:rPr>
                <w:rFonts w:hint="eastAsia" w:ascii="仿宋" w:hAnsi="仿宋" w:eastAsia="仿宋" w:cs="仿宋"/>
                <w:color w:val="auto"/>
                <w:szCs w:val="21"/>
                <w:highlight w:val="none"/>
                <w:lang w:val="en-US" w:eastAsia="zh-CN"/>
              </w:rPr>
              <w:t>4</w:t>
            </w:r>
            <w:r>
              <w:rPr>
                <w:rFonts w:hint="eastAsia" w:ascii="仿宋" w:hAnsi="仿宋" w:eastAsia="仿宋" w:cs="仿宋"/>
                <w:color w:val="auto"/>
                <w:szCs w:val="21"/>
                <w:highlight w:val="none"/>
              </w:rPr>
              <w:t>.4遮阳罩  宽2.5米，长2.1米  一付</w:t>
            </w:r>
          </w:p>
        </w:tc>
        <w:tc>
          <w:tcPr>
            <w:tcW w:w="635" w:type="dxa"/>
            <w:tcBorders>
              <w:top w:val="single" w:color="000000" w:sz="4" w:space="0"/>
              <w:left w:val="single" w:color="000000" w:sz="4" w:space="0"/>
              <w:bottom w:val="single" w:color="000000" w:sz="4" w:space="0"/>
              <w:right w:val="single" w:color="000000" w:sz="4" w:space="0"/>
            </w:tcBorders>
            <w:vAlign w:val="center"/>
          </w:tcPr>
          <w:p w14:paraId="388D68A3">
            <w:pPr>
              <w:widowControl/>
              <w:jc w:val="center"/>
              <w:textAlignment w:val="center"/>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台</w:t>
            </w:r>
          </w:p>
        </w:tc>
        <w:tc>
          <w:tcPr>
            <w:tcW w:w="798" w:type="dxa"/>
            <w:tcBorders>
              <w:top w:val="single" w:color="000000" w:sz="4" w:space="0"/>
              <w:left w:val="single" w:color="000000" w:sz="4" w:space="0"/>
              <w:bottom w:val="single" w:color="000000" w:sz="4" w:space="0"/>
              <w:right w:val="single" w:color="000000" w:sz="4" w:space="0"/>
            </w:tcBorders>
            <w:vAlign w:val="center"/>
          </w:tcPr>
          <w:p w14:paraId="693751FB">
            <w:pPr>
              <w:widowControl/>
              <w:jc w:val="center"/>
              <w:textAlignment w:val="center"/>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1</w:t>
            </w:r>
          </w:p>
        </w:tc>
      </w:tr>
      <w:tr w14:paraId="79B7ED1A">
        <w:tblPrEx>
          <w:tblCellMar>
            <w:top w:w="0" w:type="dxa"/>
            <w:left w:w="108" w:type="dxa"/>
            <w:bottom w:w="0" w:type="dxa"/>
            <w:right w:w="108" w:type="dxa"/>
          </w:tblCellMar>
        </w:tblPrEx>
        <w:trPr>
          <w:trHeight w:val="469" w:hRule="atLeast"/>
        </w:trPr>
        <w:tc>
          <w:tcPr>
            <w:tcW w:w="314" w:type="pct"/>
            <w:tcBorders>
              <w:top w:val="single" w:color="000000" w:sz="4" w:space="0"/>
              <w:left w:val="single" w:color="000000" w:sz="4" w:space="0"/>
              <w:bottom w:val="single" w:color="000000" w:sz="4" w:space="0"/>
              <w:right w:val="single" w:color="000000" w:sz="4" w:space="0"/>
            </w:tcBorders>
            <w:vAlign w:val="center"/>
          </w:tcPr>
          <w:p w14:paraId="1F7CCDCF">
            <w:pPr>
              <w:widowControl/>
              <w:jc w:val="center"/>
              <w:textAlignment w:val="center"/>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3</w:t>
            </w:r>
          </w:p>
        </w:tc>
        <w:tc>
          <w:tcPr>
            <w:tcW w:w="664" w:type="pct"/>
            <w:tcBorders>
              <w:top w:val="single" w:color="auto" w:sz="4" w:space="0"/>
              <w:left w:val="single" w:color="auto" w:sz="4" w:space="0"/>
              <w:bottom w:val="single" w:color="auto" w:sz="4" w:space="0"/>
              <w:right w:val="single" w:color="auto" w:sz="4" w:space="0"/>
            </w:tcBorders>
            <w:vAlign w:val="center"/>
          </w:tcPr>
          <w:p w14:paraId="1D333A05">
            <w:pPr>
              <w:widowControl/>
              <w:jc w:val="center"/>
              <w:textAlignment w:val="center"/>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高压灭菌锅</w:t>
            </w:r>
          </w:p>
        </w:tc>
        <w:tc>
          <w:tcPr>
            <w:tcW w:w="3248" w:type="pct"/>
            <w:tcBorders>
              <w:top w:val="single" w:color="000000" w:sz="4" w:space="0"/>
              <w:left w:val="single" w:color="000000" w:sz="4" w:space="0"/>
              <w:bottom w:val="single" w:color="000000" w:sz="4" w:space="0"/>
              <w:right w:val="single" w:color="000000" w:sz="4" w:space="0"/>
            </w:tcBorders>
            <w:vAlign w:val="center"/>
          </w:tcPr>
          <w:p w14:paraId="5963EBE7">
            <w:pPr>
              <w:widowControl/>
              <w:spacing w:line="360" w:lineRule="auto"/>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1、手轮式旋压密封结构，锅盖开启方式采用移位式开盖</w:t>
            </w:r>
          </w:p>
          <w:p w14:paraId="75520D32">
            <w:pPr>
              <w:widowControl/>
              <w:spacing w:line="360" w:lineRule="auto"/>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2、灭菌锅体采用优质不锈钢304材质</w:t>
            </w:r>
          </w:p>
          <w:p w14:paraId="66E77C23">
            <w:pPr>
              <w:widowControl/>
              <w:spacing w:line="360" w:lineRule="auto"/>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3、自胀式密封圈结构</w:t>
            </w:r>
          </w:p>
          <w:p w14:paraId="6C8BDF9C">
            <w:pPr>
              <w:widowControl/>
              <w:spacing w:line="360" w:lineRule="auto"/>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4、操作台采用LCD液晶窗图文显示，功能设置均应用滚动式图文选择，整个灭菌行程实行微电脑图文显示及自动控制循环程序，灭菌结束（报警）后自动停机</w:t>
            </w:r>
          </w:p>
          <w:p w14:paraId="1A111AAB">
            <w:pPr>
              <w:widowControl/>
              <w:spacing w:line="360" w:lineRule="auto"/>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5、灭菌过程具有动态指示.</w:t>
            </w:r>
          </w:p>
          <w:p w14:paraId="792207E7">
            <w:pPr>
              <w:widowControl/>
              <w:spacing w:line="360" w:lineRule="auto"/>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6、设定温度时间采用一键式操作方式，可根据不同的灭菌物品快速明了的进行所需选择</w:t>
            </w:r>
          </w:p>
          <w:p w14:paraId="46A1920F">
            <w:pPr>
              <w:widowControl/>
              <w:spacing w:line="360" w:lineRule="auto"/>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7、具有灭菌时间的预约功能，可以定时开机</w:t>
            </w:r>
          </w:p>
          <w:p w14:paraId="1FE826AD">
            <w:pPr>
              <w:widowControl/>
              <w:spacing w:line="360" w:lineRule="auto"/>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8、全自动控制，故障自动检测判断系统</w:t>
            </w:r>
          </w:p>
          <w:p w14:paraId="3DF6F111">
            <w:pPr>
              <w:widowControl/>
              <w:spacing w:line="360" w:lineRule="auto"/>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9、具有安全联锁装置，采用电子与机械互动的安全联锁结构，确保有压力时自动锁盖</w:t>
            </w:r>
          </w:p>
          <w:p w14:paraId="4BB10EDD">
            <w:pPr>
              <w:widowControl/>
              <w:spacing w:line="360" w:lineRule="auto"/>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10、机械式安全泄压阀和电控式过压保护装置的双套保护系统</w:t>
            </w:r>
          </w:p>
          <w:p w14:paraId="123142E5">
            <w:pPr>
              <w:widowControl/>
              <w:spacing w:line="360" w:lineRule="auto"/>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11、具有断水保护防干烧和漏电保护系统</w:t>
            </w:r>
          </w:p>
          <w:p w14:paraId="3120BCF1">
            <w:pPr>
              <w:widowControl/>
              <w:spacing w:line="360" w:lineRule="auto"/>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12、温度偏差修正功能</w:t>
            </w:r>
          </w:p>
          <w:p w14:paraId="514EDF3F">
            <w:pPr>
              <w:widowControl/>
              <w:spacing w:line="360" w:lineRule="auto"/>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13、超温超压报警功能，超压自泄排气</w:t>
            </w:r>
          </w:p>
          <w:p w14:paraId="1DBD795E">
            <w:pPr>
              <w:widowControl/>
              <w:spacing w:line="360" w:lineRule="auto"/>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14、底部带脚轮，方便移动</w:t>
            </w:r>
          </w:p>
          <w:p w14:paraId="30FB6D9C">
            <w:pPr>
              <w:widowControl/>
              <w:spacing w:line="360" w:lineRule="auto"/>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15、具有验证接口</w:t>
            </w:r>
          </w:p>
          <w:p w14:paraId="3749711D">
            <w:pPr>
              <w:widowControl/>
              <w:spacing w:line="360" w:lineRule="auto"/>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16、内腔厚度≥2mm</w:t>
            </w:r>
          </w:p>
          <w:p w14:paraId="4D6198B5">
            <w:pPr>
              <w:widowControl/>
              <w:spacing w:line="360" w:lineRule="auto"/>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17、设计使用年限≥10年</w:t>
            </w:r>
          </w:p>
          <w:p w14:paraId="762AECB7">
            <w:pPr>
              <w:widowControl/>
              <w:spacing w:line="360" w:lineRule="auto"/>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18、灭菌温度可选设定范围50℃-126℃</w:t>
            </w:r>
            <w:bookmarkStart w:id="282" w:name="_GoBack"/>
            <w:bookmarkEnd w:id="282"/>
          </w:p>
          <w:p w14:paraId="4BBC1246">
            <w:pPr>
              <w:widowControl/>
              <w:spacing w:line="360" w:lineRule="auto"/>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19、灭菌时间可调设定范围0-9999min</w:t>
            </w:r>
          </w:p>
          <w:p w14:paraId="5723AF43">
            <w:pPr>
              <w:widowControl/>
              <w:spacing w:line="360" w:lineRule="auto"/>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20、容积：75升,电源电压:220V/50Hz 功率:3.5KW</w:t>
            </w:r>
          </w:p>
          <w:p w14:paraId="5CFF6B64">
            <w:pPr>
              <w:widowControl/>
              <w:spacing w:line="360" w:lineRule="auto"/>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21、灭菌室尺寸：≥φ350×700（mm）</w:t>
            </w:r>
          </w:p>
          <w:p w14:paraId="751E383D">
            <w:pPr>
              <w:widowControl/>
              <w:spacing w:line="360" w:lineRule="auto"/>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22、内置网篮2只，尺寸：≥335×190（mm）335×360（mm）</w:t>
            </w:r>
          </w:p>
          <w:p w14:paraId="3CCBF1D1">
            <w:pPr>
              <w:widowControl/>
              <w:spacing w:line="360" w:lineRule="auto"/>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23、设计压力：0.23Mpa ，设计温度:136℃，额定工作压力：0.142Mpa</w:t>
            </w:r>
          </w:p>
          <w:p w14:paraId="329CA5EC">
            <w:pPr>
              <w:widowControl/>
              <w:spacing w:line="360" w:lineRule="auto"/>
              <w:jc w:val="left"/>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rPr>
              <w:t>24、具有国家规定的特种设备压力容器证书（实质性要求）</w:t>
            </w:r>
          </w:p>
        </w:tc>
        <w:tc>
          <w:tcPr>
            <w:tcW w:w="635" w:type="dxa"/>
            <w:tcBorders>
              <w:top w:val="single" w:color="000000" w:sz="4" w:space="0"/>
              <w:left w:val="single" w:color="000000" w:sz="4" w:space="0"/>
              <w:bottom w:val="single" w:color="000000" w:sz="4" w:space="0"/>
              <w:right w:val="single" w:color="000000" w:sz="4" w:space="0"/>
            </w:tcBorders>
            <w:vAlign w:val="center"/>
          </w:tcPr>
          <w:p w14:paraId="2061D97D">
            <w:pPr>
              <w:widowControl/>
              <w:jc w:val="center"/>
              <w:textAlignment w:val="center"/>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台</w:t>
            </w:r>
          </w:p>
        </w:tc>
        <w:tc>
          <w:tcPr>
            <w:tcW w:w="798" w:type="dxa"/>
            <w:tcBorders>
              <w:top w:val="single" w:color="000000" w:sz="4" w:space="0"/>
              <w:left w:val="single" w:color="000000" w:sz="4" w:space="0"/>
              <w:bottom w:val="single" w:color="000000" w:sz="4" w:space="0"/>
              <w:right w:val="single" w:color="000000" w:sz="4" w:space="0"/>
            </w:tcBorders>
            <w:vAlign w:val="center"/>
          </w:tcPr>
          <w:p w14:paraId="29DFB7DF">
            <w:pPr>
              <w:widowControl/>
              <w:jc w:val="center"/>
              <w:textAlignment w:val="center"/>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1</w:t>
            </w:r>
          </w:p>
        </w:tc>
      </w:tr>
      <w:tr w14:paraId="4059DE1A">
        <w:tblPrEx>
          <w:tblCellMar>
            <w:top w:w="0" w:type="dxa"/>
            <w:left w:w="108" w:type="dxa"/>
            <w:bottom w:w="0" w:type="dxa"/>
            <w:right w:w="108" w:type="dxa"/>
          </w:tblCellMar>
        </w:tblPrEx>
        <w:trPr>
          <w:trHeight w:val="469" w:hRule="atLeast"/>
        </w:trPr>
        <w:tc>
          <w:tcPr>
            <w:tcW w:w="314" w:type="pct"/>
            <w:tcBorders>
              <w:top w:val="single" w:color="000000" w:sz="4" w:space="0"/>
              <w:left w:val="single" w:color="000000" w:sz="4" w:space="0"/>
              <w:bottom w:val="single" w:color="000000" w:sz="4" w:space="0"/>
              <w:right w:val="single" w:color="000000" w:sz="4" w:space="0"/>
            </w:tcBorders>
            <w:vAlign w:val="center"/>
          </w:tcPr>
          <w:p w14:paraId="0D401116">
            <w:pPr>
              <w:widowControl/>
              <w:jc w:val="center"/>
              <w:textAlignment w:val="center"/>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4</w:t>
            </w:r>
          </w:p>
        </w:tc>
        <w:tc>
          <w:tcPr>
            <w:tcW w:w="664" w:type="pct"/>
            <w:tcBorders>
              <w:top w:val="single" w:color="auto" w:sz="4" w:space="0"/>
              <w:left w:val="single" w:color="auto" w:sz="4" w:space="0"/>
              <w:bottom w:val="single" w:color="auto" w:sz="4" w:space="0"/>
              <w:right w:val="single" w:color="auto" w:sz="4" w:space="0"/>
            </w:tcBorders>
            <w:vAlign w:val="center"/>
          </w:tcPr>
          <w:p w14:paraId="5508BF59">
            <w:pPr>
              <w:widowControl/>
              <w:jc w:val="center"/>
              <w:textAlignment w:val="center"/>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WB电泳系统</w:t>
            </w:r>
          </w:p>
        </w:tc>
        <w:tc>
          <w:tcPr>
            <w:tcW w:w="3248" w:type="pct"/>
            <w:tcBorders>
              <w:top w:val="single" w:color="000000" w:sz="4" w:space="0"/>
              <w:left w:val="single" w:color="000000" w:sz="4" w:space="0"/>
              <w:bottom w:val="single" w:color="000000" w:sz="4" w:space="0"/>
              <w:right w:val="single" w:color="000000" w:sz="4" w:space="0"/>
            </w:tcBorders>
            <w:vAlign w:val="center"/>
          </w:tcPr>
          <w:p w14:paraId="5434CE10">
            <w:pPr>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一、基础电源：</w:t>
            </w:r>
          </w:p>
          <w:p w14:paraId="3CD7769B">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输出范围（可编程） 10–300 V，完全可调，增量为 1 V</w:t>
            </w:r>
          </w:p>
          <w:p w14:paraId="651A276E">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4–400 mA，完全可调，增量为 1 mA</w:t>
            </w:r>
          </w:p>
          <w:p w14:paraId="07A8FD55">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75 W（最大）</w:t>
            </w:r>
          </w:p>
          <w:p w14:paraId="55C8A562">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输出类型 可自动切换的恒定电压或恒定电流</w:t>
            </w:r>
          </w:p>
          <w:p w14:paraId="18ACEDE5">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输出终端 并行的 4 对嵌入式香蕉插座</w:t>
            </w:r>
          </w:p>
          <w:p w14:paraId="789AA51E">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定时器 1 分钟–99 小时 59 分钟，完全可调</w:t>
            </w:r>
          </w:p>
          <w:p w14:paraId="6BB433F7">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暂停/恢复功能 是</w:t>
            </w:r>
          </w:p>
          <w:p w14:paraId="0F0D8E98">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显示屏 三位光电二极管</w:t>
            </w:r>
          </w:p>
          <w:p w14:paraId="5C526DD2">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操作条件 0–40°C，0–90% 湿度，无冷凝</w:t>
            </w:r>
          </w:p>
          <w:p w14:paraId="1C6879DF">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安全特性 无负荷检测，负荷突变检测，超负荷/短路检测，过电压保护</w:t>
            </w:r>
          </w:p>
          <w:p w14:paraId="3727017A">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输入保护 热端和中性端的保险丝</w:t>
            </w:r>
          </w:p>
          <w:p w14:paraId="07FE4C83">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输入功率（实际） 90–120 或 198–264 VAC，50/60 Hz，自动切换</w:t>
            </w:r>
          </w:p>
          <w:p w14:paraId="4E16FBD8">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尺寸（宽 x 长 x 高），cm/in ≤21 x 24.5 x 6.5/8.3 x 9.6 x 2.6</w:t>
            </w:r>
          </w:p>
          <w:p w14:paraId="57DAF920">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配置清单：电源主机一台，电源线一根</w:t>
            </w:r>
          </w:p>
          <w:p w14:paraId="19AEAE28">
            <w:pPr>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二、垂直电泳槽参数：</w:t>
            </w:r>
          </w:p>
          <w:p w14:paraId="04E6BA88">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1小时内完成不少于四块小型胶电泳</w:t>
            </w:r>
          </w:p>
          <w:p w14:paraId="309E4D10">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软橡胶垫片与玻板密封确保无泄漏灌胶</w:t>
            </w:r>
          </w:p>
          <w:p w14:paraId="6F282288">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带有凸轮的灌制框实现精确对齐</w:t>
            </w:r>
          </w:p>
          <w:p w14:paraId="6A2050E3">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灌胶架能同时灌制两块凝胶，弹簧杠杆设计</w:t>
            </w:r>
          </w:p>
          <w:p w14:paraId="4ED9F9E6">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一天内完成双向凝胶电泳</w:t>
            </w:r>
          </w:p>
          <w:p w14:paraId="2B4FCDD1">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凝胶数 1–4</w:t>
            </w:r>
          </w:p>
          <w:p w14:paraId="53D4A0AE">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预制胶</w:t>
            </w:r>
          </w:p>
          <w:p w14:paraId="585CDFE9">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手灌胶 使用玻板灌制</w:t>
            </w:r>
          </w:p>
          <w:p w14:paraId="6D4DABBB">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凝胶尺寸（宽 x 长） 预制：≥ 8.6 x 6.8；手灌：≥ 8.3 x 7.3</w:t>
            </w:r>
          </w:p>
          <w:p w14:paraId="2501B80C">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玻璃板尺寸  </w:t>
            </w:r>
          </w:p>
          <w:p w14:paraId="4F920E42">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短板 ≥10.1 x 7.3</w:t>
            </w:r>
          </w:p>
          <w:p w14:paraId="2D7950C0">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玻板 ≥10.1 x 8.2</w:t>
            </w:r>
          </w:p>
          <w:p w14:paraId="1B642C54">
            <w:pPr>
              <w:widowControl/>
              <w:spacing w:line="360" w:lineRule="auto"/>
              <w:jc w:val="left"/>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配置清单：</w:t>
            </w:r>
          </w:p>
          <w:p w14:paraId="5D5D108F">
            <w:pPr>
              <w:widowControl/>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缓冲液槽+盖 1 个</w:t>
            </w:r>
          </w:p>
          <w:p w14:paraId="052FAC8B">
            <w:pPr>
              <w:widowControl/>
              <w:spacing w:line="360" w:lineRule="auto"/>
              <w:jc w:val="left"/>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电极主芯 1 个</w:t>
            </w:r>
          </w:p>
          <w:p w14:paraId="0A223AA0">
            <w:pPr>
              <w:widowControl/>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电极副芯 1 个</w:t>
            </w:r>
          </w:p>
          <w:p w14:paraId="54F87294">
            <w:pPr>
              <w:widowControl/>
              <w:spacing w:line="360" w:lineRule="auto"/>
              <w:jc w:val="left"/>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制胶架 2 个，绿色制胶框 4 个，垫片 4 片，剥胶铲 1 包 （5 片/包）</w:t>
            </w:r>
          </w:p>
          <w:p w14:paraId="7F17D408">
            <w:pPr>
              <w:widowControl/>
              <w:spacing w:line="360" w:lineRule="auto"/>
              <w:jc w:val="left"/>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梳子 1 包，5 把/包（标配 1.0mm，10 孔）</w:t>
            </w:r>
          </w:p>
          <w:p w14:paraId="714BDB44">
            <w:pPr>
              <w:widowControl/>
              <w:spacing w:line="360" w:lineRule="auto"/>
              <w:jc w:val="left"/>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短玻璃板一盒</w:t>
            </w:r>
          </w:p>
          <w:p w14:paraId="66E319DF">
            <w:pPr>
              <w:widowControl/>
              <w:spacing w:line="360" w:lineRule="auto"/>
              <w:jc w:val="left"/>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长玻璃板一盒（1mm）</w:t>
            </w:r>
          </w:p>
          <w:p w14:paraId="0B7F48DA">
            <w:pPr>
              <w:widowControl/>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上样引导器 1 个</w:t>
            </w:r>
          </w:p>
          <w:p w14:paraId="56AFDE47">
            <w:pPr>
              <w:widowControl/>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挡板 1 个</w:t>
            </w:r>
          </w:p>
          <w:p w14:paraId="03A8D39D">
            <w:pPr>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三 转印槽参数：</w:t>
            </w:r>
          </w:p>
          <w:p w14:paraId="2326F82C">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 小时内转印2块10 x 7.5 cm 凝胶；也可以进行低强度的隔夜转印</w:t>
            </w:r>
          </w:p>
          <w:p w14:paraId="6A4C1D35">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电极丝相距 4 cm </w:t>
            </w:r>
          </w:p>
          <w:p w14:paraId="309E2E5B">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彩色标记的转印夹和电极</w:t>
            </w:r>
          </w:p>
          <w:p w14:paraId="7949F4D2">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致冷芯可完全置于转印槽内</w:t>
            </w:r>
          </w:p>
          <w:p w14:paraId="1F8304F1">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既可作为完整的独立设备，也可作为一个模块与缓冲液槽和盖兼容  </w:t>
            </w:r>
          </w:p>
          <w:p w14:paraId="4AD60A11">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最大凝胶尺寸（宽 x 长），cm</w:t>
            </w:r>
          </w:p>
          <w:p w14:paraId="3E2A872F">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≥10 x 7.5</w:t>
            </w:r>
          </w:p>
          <w:p w14:paraId="71A684C1">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缓冲液要求，450ml</w:t>
            </w:r>
          </w:p>
          <w:p w14:paraId="7A1229BC">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凝胶容量</w:t>
            </w:r>
          </w:p>
          <w:p w14:paraId="64E93386">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 个预制或手灌胶，或者 2 个预制胶</w:t>
            </w:r>
          </w:p>
          <w:p w14:paraId="31376619">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配置清单</w:t>
            </w:r>
          </w:p>
          <w:p w14:paraId="4B2A0589">
            <w:pPr>
              <w:widowControl/>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缓冲液槽+盖 1 个</w:t>
            </w:r>
          </w:p>
          <w:p w14:paraId="2C605FE9">
            <w:pPr>
              <w:widowControl/>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转印电极芯 1 个</w:t>
            </w:r>
          </w:p>
          <w:p w14:paraId="0D05593D">
            <w:pPr>
              <w:widowControl/>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三明治夹板 2 个</w:t>
            </w:r>
          </w:p>
          <w:p w14:paraId="56FE2659">
            <w:pPr>
              <w:widowControl/>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转印海绵 4 片</w:t>
            </w:r>
          </w:p>
          <w:p w14:paraId="3EB3E207">
            <w:pPr>
              <w:widowControl/>
              <w:spacing w:line="360" w:lineRule="auto"/>
              <w:jc w:val="left"/>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蓝色冷却芯 1 个</w:t>
            </w:r>
          </w:p>
          <w:p w14:paraId="185D1A9E">
            <w:pPr>
              <w:widowControl/>
              <w:spacing w:line="360" w:lineRule="auto"/>
              <w:jc w:val="left"/>
              <w:rPr>
                <w:rFonts w:hint="eastAsia" w:ascii="仿宋" w:hAnsi="仿宋" w:eastAsia="仿宋" w:cs="仿宋"/>
                <w:color w:val="auto"/>
                <w:kern w:val="0"/>
                <w:szCs w:val="21"/>
                <w:highlight w:val="none"/>
                <w:lang w:bidi="ar"/>
              </w:rPr>
            </w:pPr>
            <w:r>
              <w:rPr>
                <w:rFonts w:hint="eastAsia" w:ascii="仿宋" w:hAnsi="仿宋" w:eastAsia="仿宋" w:cs="仿宋"/>
                <w:color w:val="auto"/>
                <w:szCs w:val="21"/>
                <w:highlight w:val="none"/>
              </w:rPr>
              <w:t>滤纸一包</w:t>
            </w:r>
          </w:p>
        </w:tc>
        <w:tc>
          <w:tcPr>
            <w:tcW w:w="635" w:type="dxa"/>
            <w:tcBorders>
              <w:top w:val="single" w:color="000000" w:sz="4" w:space="0"/>
              <w:left w:val="single" w:color="000000" w:sz="4" w:space="0"/>
              <w:bottom w:val="single" w:color="000000" w:sz="4" w:space="0"/>
              <w:right w:val="single" w:color="000000" w:sz="4" w:space="0"/>
            </w:tcBorders>
            <w:vAlign w:val="center"/>
          </w:tcPr>
          <w:p w14:paraId="42D0DC07">
            <w:pPr>
              <w:widowControl/>
              <w:jc w:val="center"/>
              <w:textAlignment w:val="center"/>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套</w:t>
            </w:r>
          </w:p>
        </w:tc>
        <w:tc>
          <w:tcPr>
            <w:tcW w:w="798" w:type="dxa"/>
            <w:tcBorders>
              <w:top w:val="single" w:color="000000" w:sz="4" w:space="0"/>
              <w:left w:val="single" w:color="000000" w:sz="4" w:space="0"/>
              <w:bottom w:val="single" w:color="000000" w:sz="4" w:space="0"/>
              <w:right w:val="single" w:color="000000" w:sz="4" w:space="0"/>
            </w:tcBorders>
            <w:vAlign w:val="center"/>
          </w:tcPr>
          <w:p w14:paraId="51D19AC9">
            <w:pPr>
              <w:widowControl/>
              <w:jc w:val="center"/>
              <w:textAlignment w:val="center"/>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1</w:t>
            </w:r>
          </w:p>
        </w:tc>
      </w:tr>
      <w:tr w14:paraId="41831BA0">
        <w:tblPrEx>
          <w:tblCellMar>
            <w:top w:w="0" w:type="dxa"/>
            <w:left w:w="108" w:type="dxa"/>
            <w:bottom w:w="0" w:type="dxa"/>
            <w:right w:w="108" w:type="dxa"/>
          </w:tblCellMar>
        </w:tblPrEx>
        <w:trPr>
          <w:trHeight w:val="469" w:hRule="atLeast"/>
        </w:trPr>
        <w:tc>
          <w:tcPr>
            <w:tcW w:w="314" w:type="pct"/>
            <w:tcBorders>
              <w:top w:val="single" w:color="000000" w:sz="4" w:space="0"/>
              <w:left w:val="single" w:color="000000" w:sz="4" w:space="0"/>
              <w:bottom w:val="single" w:color="000000" w:sz="4" w:space="0"/>
              <w:right w:val="single" w:color="000000" w:sz="4" w:space="0"/>
            </w:tcBorders>
            <w:vAlign w:val="center"/>
          </w:tcPr>
          <w:p w14:paraId="3DBA4271">
            <w:pPr>
              <w:widowControl/>
              <w:jc w:val="center"/>
              <w:textAlignment w:val="center"/>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5</w:t>
            </w:r>
          </w:p>
        </w:tc>
        <w:tc>
          <w:tcPr>
            <w:tcW w:w="664" w:type="pct"/>
            <w:tcBorders>
              <w:top w:val="single" w:color="auto" w:sz="4" w:space="0"/>
              <w:left w:val="single" w:color="auto" w:sz="4" w:space="0"/>
              <w:bottom w:val="single" w:color="auto" w:sz="4" w:space="0"/>
              <w:right w:val="single" w:color="auto" w:sz="4" w:space="0"/>
            </w:tcBorders>
            <w:vAlign w:val="center"/>
          </w:tcPr>
          <w:p w14:paraId="259E82CD">
            <w:pPr>
              <w:widowControl/>
              <w:jc w:val="center"/>
              <w:textAlignment w:val="center"/>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纳米粒度电位仪</w:t>
            </w:r>
          </w:p>
        </w:tc>
        <w:tc>
          <w:tcPr>
            <w:tcW w:w="3248" w:type="pct"/>
            <w:tcBorders>
              <w:top w:val="single" w:color="000000" w:sz="4" w:space="0"/>
              <w:left w:val="single" w:color="000000" w:sz="4" w:space="0"/>
              <w:bottom w:val="single" w:color="000000" w:sz="4" w:space="0"/>
              <w:right w:val="single" w:color="000000" w:sz="4" w:space="0"/>
            </w:tcBorders>
            <w:vAlign w:val="center"/>
          </w:tcPr>
          <w:p w14:paraId="6B463E3D">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一、系统</w:t>
            </w:r>
          </w:p>
          <w:p w14:paraId="16BFE8DC">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★高稳定性He-Ne激光器, ≤10mW</w:t>
            </w:r>
          </w:p>
          <w:p w14:paraId="60CCF77E">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激光器发热少，不影响控温精度</w:t>
            </w:r>
          </w:p>
          <w:p w14:paraId="03024AA3">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3.</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激光能量调整：自动，调节范围：100%-0.0003%</w:t>
            </w:r>
          </w:p>
          <w:p w14:paraId="252EC71F">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4.</w:t>
            </w:r>
            <w:r>
              <w:rPr>
                <w:rFonts w:hint="eastAsia" w:ascii="仿宋" w:hAnsi="仿宋" w:eastAsia="仿宋" w:cs="仿宋"/>
                <w:color w:val="auto"/>
                <w:szCs w:val="21"/>
                <w:highlight w:val="none"/>
              </w:rPr>
              <w:tab/>
            </w:r>
            <w:r>
              <w:rPr>
                <w:rFonts w:hint="eastAsia" w:ascii="仿宋" w:hAnsi="仿宋" w:eastAsia="仿宋" w:cs="仿宋"/>
                <w:b/>
                <w:bCs/>
                <w:color w:val="auto"/>
                <w:szCs w:val="21"/>
                <w:highlight w:val="none"/>
              </w:rPr>
              <w:t>★</w:t>
            </w:r>
            <w:r>
              <w:rPr>
                <w:rFonts w:hint="eastAsia" w:ascii="仿宋" w:hAnsi="仿宋" w:eastAsia="仿宋" w:cs="仿宋"/>
                <w:color w:val="auto"/>
                <w:szCs w:val="21"/>
                <w:highlight w:val="none"/>
              </w:rPr>
              <w:t>采用APD检测器，高灵敏度，量子效率QE高于55%；</w:t>
            </w:r>
          </w:p>
          <w:p w14:paraId="74F57791">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5.</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★温度控制范围：0 - 118度，精度+/- 0.1度；</w:t>
            </w:r>
          </w:p>
          <w:p w14:paraId="75B0AD5D">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6.</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主机具有气体接入端口，可以通过连接压缩空气或者压缩氮气控制冷凝；</w:t>
            </w:r>
          </w:p>
          <w:p w14:paraId="6E8890B4">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7.</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采用自适应相关器技术，通常样品检测时间≤24S;</w:t>
            </w:r>
          </w:p>
          <w:p w14:paraId="691C5B9C">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二、粒度</w:t>
            </w:r>
          </w:p>
          <w:p w14:paraId="0C8E93FB">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★检测角度：173° + 13°+90°</w:t>
            </w:r>
          </w:p>
          <w:p w14:paraId="55869E7E">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检测范围：0.3－15000 nm</w:t>
            </w:r>
          </w:p>
          <w:p w14:paraId="77EBF819">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3.</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★高速数字相关器：&gt;4000物理通道，线性范围 &gt; 1011</w:t>
            </w:r>
          </w:p>
          <w:p w14:paraId="1EA7505C">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4.</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★检测位置可自动连续移动</w:t>
            </w:r>
          </w:p>
          <w:p w14:paraId="63347269">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5.</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★最大样品浓度：40%w/v；</w:t>
            </w:r>
          </w:p>
          <w:p w14:paraId="1808AF6B">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6.</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毛细管粒径样品池，最小样品量 3μL</w:t>
            </w:r>
          </w:p>
          <w:p w14:paraId="5CA341EF">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7.</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能符合国际标准有效消除多重光散射</w:t>
            </w:r>
          </w:p>
          <w:p w14:paraId="67BA8D2C">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8.</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具有三种以上粒径分布计算模式（标准: General Purpose, Multiple narrow mode, Discrete Exponentials ）</w:t>
            </w:r>
          </w:p>
          <w:p w14:paraId="1BEE2F55">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三、ZETA电位：</w:t>
            </w:r>
          </w:p>
          <w:p w14:paraId="09EA2DB3">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zeta检测粒度范围：3.8nm-100um</w:t>
            </w:r>
          </w:p>
          <w:p w14:paraId="1D7245AB">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★zeta电位范围：无有效限制</w:t>
            </w:r>
          </w:p>
          <w:p w14:paraId="403E5040">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3.</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迁移率：&gt; ± 20 μ.cm/V.s；</w:t>
            </w:r>
          </w:p>
          <w:p w14:paraId="4D3EB361">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4.</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★高频快场+低频慢场测量技术，无需校准样品池，克服电渗影响；</w:t>
            </w:r>
          </w:p>
          <w:p w14:paraId="3EB3FA89">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5.</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最新PALS相位分析技术，可检测高盐低盐浓度；</w:t>
            </w:r>
          </w:p>
          <w:p w14:paraId="690E7C74">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6.</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★弯曲式毛细管流动池，避免交叉污染；</w:t>
            </w:r>
          </w:p>
          <w:p w14:paraId="4D4393D5">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7.</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最小样品量 20 μL</w:t>
            </w:r>
          </w:p>
          <w:p w14:paraId="65002534">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8.</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电导率范围： 0 - 260 mS/cm；</w:t>
            </w:r>
          </w:p>
          <w:p w14:paraId="49A9BD04">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9.</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最大浓度范围 40% w/v</w:t>
            </w:r>
          </w:p>
          <w:p w14:paraId="06E1179C">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样品浓度检测</w:t>
            </w:r>
          </w:p>
          <w:p w14:paraId="661509B0">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★检测原理：多角度光散射+米氏理论</w:t>
            </w:r>
          </w:p>
          <w:p w14:paraId="5E9748C2">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 xml:space="preserve">★浓度范围：1 x 108 – 1 x 1012 个/ml </w:t>
            </w:r>
          </w:p>
          <w:p w14:paraId="69E52B1B">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软件功能</w:t>
            </w:r>
          </w:p>
          <w:p w14:paraId="63343951">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提供专家诊断程序，判断测试质量</w:t>
            </w:r>
          </w:p>
          <w:p w14:paraId="0E38DC3B">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平均结果，标准偏差自动计算</w:t>
            </w:r>
          </w:p>
          <w:p w14:paraId="20418128">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3.</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浓度计算器：计算适当浓度范围</w:t>
            </w:r>
          </w:p>
          <w:p w14:paraId="36E443C0">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4.</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灰尘过滤器 - 消除灰尘影响</w:t>
            </w:r>
          </w:p>
          <w:p w14:paraId="2A2FBA64">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配置：</w:t>
            </w:r>
          </w:p>
          <w:p w14:paraId="1DBD80A2">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 纳米粒度及ZETA电位测定仪 1台</w:t>
            </w:r>
          </w:p>
          <w:p w14:paraId="0798A03F">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 粒径样品池1盒（100个/盒）</w:t>
            </w:r>
          </w:p>
          <w:p w14:paraId="33ADCFC7">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3 电位样品池1盒（10个/盒）</w:t>
            </w:r>
          </w:p>
          <w:p w14:paraId="011C0153">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4 随机电位标样1瓶</w:t>
            </w:r>
          </w:p>
          <w:p w14:paraId="26FDFC23">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5 玻璃粒径样品池1个</w:t>
            </w:r>
          </w:p>
          <w:p w14:paraId="4CEA56C8">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6 满足软件运行要求的电脑1台</w:t>
            </w:r>
          </w:p>
          <w:p w14:paraId="055E0B18">
            <w:pPr>
              <w:widowControl/>
              <w:spacing w:line="360" w:lineRule="auto"/>
              <w:jc w:val="left"/>
              <w:rPr>
                <w:rFonts w:hint="eastAsia" w:ascii="仿宋" w:hAnsi="仿宋" w:eastAsia="仿宋" w:cs="仿宋"/>
                <w:color w:val="auto"/>
                <w:kern w:val="0"/>
                <w:szCs w:val="21"/>
                <w:highlight w:val="none"/>
                <w:lang w:bidi="ar"/>
              </w:rPr>
            </w:pPr>
            <w:r>
              <w:rPr>
                <w:rFonts w:hint="eastAsia" w:ascii="仿宋" w:hAnsi="仿宋" w:eastAsia="仿宋" w:cs="仿宋"/>
                <w:color w:val="auto"/>
                <w:szCs w:val="21"/>
                <w:highlight w:val="none"/>
              </w:rPr>
              <w:t>7 激光打印机1台</w:t>
            </w:r>
          </w:p>
        </w:tc>
        <w:tc>
          <w:tcPr>
            <w:tcW w:w="635" w:type="dxa"/>
            <w:tcBorders>
              <w:top w:val="single" w:color="000000" w:sz="4" w:space="0"/>
              <w:left w:val="single" w:color="000000" w:sz="4" w:space="0"/>
              <w:bottom w:val="single" w:color="000000" w:sz="4" w:space="0"/>
              <w:right w:val="single" w:color="000000" w:sz="4" w:space="0"/>
            </w:tcBorders>
            <w:vAlign w:val="center"/>
          </w:tcPr>
          <w:p w14:paraId="5BA971DD">
            <w:pPr>
              <w:widowControl/>
              <w:jc w:val="center"/>
              <w:textAlignment w:val="center"/>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台</w:t>
            </w:r>
          </w:p>
        </w:tc>
        <w:tc>
          <w:tcPr>
            <w:tcW w:w="798" w:type="dxa"/>
            <w:tcBorders>
              <w:top w:val="single" w:color="000000" w:sz="4" w:space="0"/>
              <w:left w:val="single" w:color="000000" w:sz="4" w:space="0"/>
              <w:bottom w:val="single" w:color="000000" w:sz="4" w:space="0"/>
              <w:right w:val="single" w:color="000000" w:sz="4" w:space="0"/>
            </w:tcBorders>
            <w:vAlign w:val="center"/>
          </w:tcPr>
          <w:p w14:paraId="19E52316">
            <w:pPr>
              <w:widowControl/>
              <w:jc w:val="center"/>
              <w:textAlignment w:val="center"/>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1</w:t>
            </w:r>
          </w:p>
        </w:tc>
      </w:tr>
      <w:tr w14:paraId="24CAC365">
        <w:tblPrEx>
          <w:tblCellMar>
            <w:top w:w="0" w:type="dxa"/>
            <w:left w:w="108" w:type="dxa"/>
            <w:bottom w:w="0" w:type="dxa"/>
            <w:right w:w="108" w:type="dxa"/>
          </w:tblCellMar>
        </w:tblPrEx>
        <w:trPr>
          <w:trHeight w:val="469" w:hRule="atLeast"/>
        </w:trPr>
        <w:tc>
          <w:tcPr>
            <w:tcW w:w="314" w:type="pct"/>
            <w:tcBorders>
              <w:top w:val="single" w:color="000000" w:sz="4" w:space="0"/>
              <w:left w:val="single" w:color="000000" w:sz="4" w:space="0"/>
              <w:bottom w:val="single" w:color="000000" w:sz="4" w:space="0"/>
              <w:right w:val="single" w:color="000000" w:sz="4" w:space="0"/>
            </w:tcBorders>
            <w:vAlign w:val="center"/>
          </w:tcPr>
          <w:p w14:paraId="6F4F5BAF">
            <w:pPr>
              <w:widowControl/>
              <w:jc w:val="center"/>
              <w:textAlignment w:val="center"/>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6</w:t>
            </w:r>
          </w:p>
        </w:tc>
        <w:tc>
          <w:tcPr>
            <w:tcW w:w="664" w:type="pct"/>
            <w:tcBorders>
              <w:top w:val="single" w:color="auto" w:sz="4" w:space="0"/>
              <w:left w:val="single" w:color="auto" w:sz="4" w:space="0"/>
              <w:bottom w:val="single" w:color="auto" w:sz="4" w:space="0"/>
              <w:right w:val="single" w:color="auto" w:sz="4" w:space="0"/>
            </w:tcBorders>
            <w:vAlign w:val="center"/>
          </w:tcPr>
          <w:p w14:paraId="74217C8D">
            <w:pPr>
              <w:widowControl/>
              <w:jc w:val="center"/>
              <w:textAlignment w:val="center"/>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恒温培养振荡器</w:t>
            </w:r>
          </w:p>
        </w:tc>
        <w:tc>
          <w:tcPr>
            <w:tcW w:w="3248" w:type="pct"/>
            <w:tcBorders>
              <w:top w:val="single" w:color="000000" w:sz="4" w:space="0"/>
              <w:left w:val="single" w:color="000000" w:sz="4" w:space="0"/>
              <w:bottom w:val="single" w:color="000000" w:sz="4" w:space="0"/>
              <w:right w:val="single" w:color="000000" w:sz="4" w:space="0"/>
            </w:tcBorders>
            <w:vAlign w:val="center"/>
          </w:tcPr>
          <w:p w14:paraId="13D174F6">
            <w:pPr>
              <w:spacing w:line="360" w:lineRule="auto"/>
              <w:rPr>
                <w:rFonts w:hint="eastAsia" w:ascii="仿宋" w:hAnsi="仿宋" w:eastAsia="仿宋" w:cs="仿宋"/>
                <w:bCs/>
                <w:color w:val="auto"/>
                <w:kern w:val="0"/>
                <w:szCs w:val="21"/>
                <w:highlight w:val="none"/>
              </w:rPr>
            </w:pPr>
            <w:r>
              <w:rPr>
                <w:rFonts w:hint="eastAsia" w:ascii="仿宋" w:hAnsi="仿宋" w:eastAsia="仿宋" w:cs="仿宋"/>
                <w:bCs/>
                <w:color w:val="auto"/>
                <w:kern w:val="0"/>
                <w:szCs w:val="21"/>
                <w:highlight w:val="none"/>
              </w:rPr>
              <w:t xml:space="preserve">控制方式： P．I．D（微电脑环境扫描微处理芯片） </w:t>
            </w:r>
          </w:p>
          <w:p w14:paraId="62CCD5A7">
            <w:pPr>
              <w:spacing w:line="360" w:lineRule="auto"/>
              <w:rPr>
                <w:rFonts w:hint="eastAsia" w:ascii="仿宋" w:hAnsi="仿宋" w:eastAsia="仿宋" w:cs="仿宋"/>
                <w:bCs/>
                <w:color w:val="auto"/>
                <w:kern w:val="0"/>
                <w:szCs w:val="21"/>
                <w:highlight w:val="none"/>
              </w:rPr>
            </w:pPr>
            <w:r>
              <w:rPr>
                <w:rFonts w:hint="eastAsia" w:ascii="仿宋" w:hAnsi="仿宋" w:eastAsia="仿宋" w:cs="仿宋"/>
                <w:bCs/>
                <w:color w:val="auto"/>
                <w:kern w:val="0"/>
                <w:szCs w:val="21"/>
                <w:highlight w:val="none"/>
              </w:rPr>
              <w:t xml:space="preserve">显示方式： LCD(液晶显示屏)  </w:t>
            </w:r>
          </w:p>
          <w:p w14:paraId="7CA1B12D">
            <w:pPr>
              <w:spacing w:line="360" w:lineRule="auto"/>
              <w:rPr>
                <w:rFonts w:hint="eastAsia" w:ascii="仿宋" w:hAnsi="仿宋" w:eastAsia="仿宋" w:cs="仿宋"/>
                <w:bCs/>
                <w:color w:val="auto"/>
                <w:kern w:val="0"/>
                <w:szCs w:val="21"/>
                <w:highlight w:val="none"/>
              </w:rPr>
            </w:pPr>
            <w:r>
              <w:rPr>
                <w:rFonts w:hint="eastAsia" w:ascii="仿宋" w:hAnsi="仿宋" w:eastAsia="仿宋" w:cs="仿宋"/>
                <w:bCs/>
                <w:color w:val="auto"/>
                <w:kern w:val="0"/>
                <w:szCs w:val="21"/>
                <w:highlight w:val="none"/>
              </w:rPr>
              <w:t xml:space="preserve">对流方式： 强制对流式  </w:t>
            </w:r>
          </w:p>
          <w:p w14:paraId="0ECCB2D2">
            <w:pPr>
              <w:spacing w:line="360" w:lineRule="auto"/>
              <w:rPr>
                <w:rFonts w:hint="eastAsia" w:ascii="仿宋" w:hAnsi="仿宋" w:eastAsia="仿宋" w:cs="仿宋"/>
                <w:bCs/>
                <w:color w:val="auto"/>
                <w:kern w:val="0"/>
                <w:szCs w:val="21"/>
                <w:highlight w:val="none"/>
              </w:rPr>
            </w:pPr>
            <w:r>
              <w:rPr>
                <w:rFonts w:hint="eastAsia" w:ascii="仿宋" w:hAnsi="仿宋" w:eastAsia="仿宋" w:cs="仿宋"/>
                <w:bCs/>
                <w:color w:val="auto"/>
                <w:kern w:val="0"/>
                <w:szCs w:val="21"/>
                <w:highlight w:val="none"/>
              </w:rPr>
              <w:t xml:space="preserve">振荡方式： 回旋振荡式  </w:t>
            </w:r>
          </w:p>
          <w:p w14:paraId="4B91B0FA">
            <w:pPr>
              <w:spacing w:line="360" w:lineRule="auto"/>
              <w:rPr>
                <w:rFonts w:hint="eastAsia" w:ascii="仿宋" w:hAnsi="仿宋" w:eastAsia="仿宋" w:cs="仿宋"/>
                <w:bCs/>
                <w:color w:val="auto"/>
                <w:kern w:val="0"/>
                <w:szCs w:val="21"/>
                <w:highlight w:val="none"/>
              </w:rPr>
            </w:pPr>
            <w:r>
              <w:rPr>
                <w:rFonts w:hint="eastAsia" w:ascii="仿宋" w:hAnsi="仿宋" w:eastAsia="仿宋" w:cs="仿宋"/>
                <w:bCs/>
                <w:color w:val="auto"/>
                <w:kern w:val="0"/>
                <w:szCs w:val="21"/>
                <w:highlight w:val="none"/>
              </w:rPr>
              <w:t xml:space="preserve">驱动方式： 多维驱动式  </w:t>
            </w:r>
          </w:p>
          <w:p w14:paraId="406E9491">
            <w:pPr>
              <w:spacing w:line="360" w:lineRule="auto"/>
              <w:rPr>
                <w:rFonts w:hint="eastAsia" w:ascii="仿宋" w:hAnsi="仿宋" w:eastAsia="仿宋" w:cs="仿宋"/>
                <w:bCs/>
                <w:color w:val="auto"/>
                <w:kern w:val="0"/>
                <w:szCs w:val="21"/>
                <w:highlight w:val="none"/>
              </w:rPr>
            </w:pPr>
            <w:r>
              <w:rPr>
                <w:rFonts w:hint="eastAsia" w:ascii="仿宋" w:hAnsi="仿宋" w:eastAsia="仿宋" w:cs="仿宋"/>
                <w:bCs/>
                <w:color w:val="auto"/>
                <w:kern w:val="0"/>
                <w:szCs w:val="21"/>
                <w:highlight w:val="none"/>
              </w:rPr>
              <w:t xml:space="preserve">开门方式： 单开门 </w:t>
            </w:r>
          </w:p>
          <w:p w14:paraId="18B14E1C">
            <w:pPr>
              <w:spacing w:line="360" w:lineRule="auto"/>
              <w:rPr>
                <w:rFonts w:hint="eastAsia" w:ascii="仿宋" w:hAnsi="仿宋" w:eastAsia="仿宋" w:cs="仿宋"/>
                <w:color w:val="auto"/>
                <w:kern w:val="0"/>
                <w:szCs w:val="21"/>
                <w:highlight w:val="none"/>
              </w:rPr>
            </w:pPr>
            <w:r>
              <w:rPr>
                <w:rFonts w:hint="eastAsia" w:ascii="仿宋" w:hAnsi="仿宋" w:eastAsia="仿宋" w:cs="仿宋"/>
                <w:color w:val="auto"/>
                <w:szCs w:val="21"/>
                <w:highlight w:val="none"/>
              </w:rPr>
              <w:t>★</w:t>
            </w:r>
            <w:r>
              <w:rPr>
                <w:rFonts w:hint="eastAsia" w:ascii="仿宋" w:hAnsi="仿宋" w:eastAsia="仿宋" w:cs="仿宋"/>
                <w:color w:val="auto"/>
                <w:kern w:val="0"/>
                <w:szCs w:val="21"/>
                <w:highlight w:val="none"/>
              </w:rPr>
              <w:t>可以选择上层静止下层振荡，或两层同时振荡</w:t>
            </w:r>
          </w:p>
          <w:p w14:paraId="261C6619">
            <w:pPr>
              <w:spacing w:line="360" w:lineRule="auto"/>
              <w:rPr>
                <w:rFonts w:hint="eastAsia" w:ascii="仿宋" w:hAnsi="仿宋" w:eastAsia="仿宋" w:cs="仿宋"/>
                <w:bCs/>
                <w:color w:val="auto"/>
                <w:kern w:val="0"/>
                <w:szCs w:val="21"/>
                <w:highlight w:val="none"/>
              </w:rPr>
            </w:pPr>
            <w:r>
              <w:rPr>
                <w:rFonts w:hint="eastAsia" w:ascii="仿宋" w:hAnsi="仿宋" w:eastAsia="仿宋" w:cs="仿宋"/>
                <w:bCs/>
                <w:color w:val="auto"/>
                <w:kern w:val="0"/>
                <w:szCs w:val="21"/>
                <w:highlight w:val="none"/>
              </w:rPr>
              <w:t xml:space="preserve">环境温度要求（℃）： 5～25  </w:t>
            </w:r>
          </w:p>
          <w:p w14:paraId="6EBA0CD4">
            <w:pPr>
              <w:spacing w:line="360" w:lineRule="auto"/>
              <w:rPr>
                <w:rFonts w:hint="eastAsia" w:ascii="仿宋" w:hAnsi="仿宋" w:eastAsia="仿宋" w:cs="仿宋"/>
                <w:bCs/>
                <w:color w:val="auto"/>
                <w:kern w:val="0"/>
                <w:szCs w:val="21"/>
                <w:highlight w:val="none"/>
              </w:rPr>
            </w:pPr>
            <w:r>
              <w:rPr>
                <w:rFonts w:hint="eastAsia" w:ascii="仿宋" w:hAnsi="仿宋" w:eastAsia="仿宋" w:cs="仿宋"/>
                <w:bCs/>
                <w:color w:val="auto"/>
                <w:kern w:val="0"/>
                <w:szCs w:val="21"/>
                <w:highlight w:val="none"/>
              </w:rPr>
              <w:t>温度控制范围（℃）：</w:t>
            </w:r>
            <w:r>
              <w:rPr>
                <w:rFonts w:hint="eastAsia" w:ascii="仿宋" w:hAnsi="仿宋" w:eastAsia="仿宋" w:cs="仿宋"/>
                <w:color w:val="auto"/>
                <w:szCs w:val="21"/>
                <w:highlight w:val="none"/>
              </w:rPr>
              <w:t>室温+5～60℃</w:t>
            </w:r>
            <w:r>
              <w:rPr>
                <w:rFonts w:hint="eastAsia" w:ascii="仿宋" w:hAnsi="仿宋" w:eastAsia="仿宋" w:cs="仿宋"/>
                <w:bCs/>
                <w:color w:val="auto"/>
                <w:kern w:val="0"/>
                <w:szCs w:val="21"/>
                <w:highlight w:val="none"/>
              </w:rPr>
              <w:t xml:space="preserve">  </w:t>
            </w:r>
          </w:p>
          <w:p w14:paraId="1EC4A919">
            <w:pPr>
              <w:spacing w:line="360" w:lineRule="auto"/>
              <w:rPr>
                <w:rFonts w:hint="eastAsia" w:ascii="仿宋" w:hAnsi="仿宋" w:eastAsia="仿宋" w:cs="仿宋"/>
                <w:bCs/>
                <w:color w:val="auto"/>
                <w:kern w:val="0"/>
                <w:szCs w:val="21"/>
                <w:highlight w:val="none"/>
              </w:rPr>
            </w:pPr>
            <w:r>
              <w:rPr>
                <w:rFonts w:hint="eastAsia" w:ascii="仿宋" w:hAnsi="仿宋" w:eastAsia="仿宋" w:cs="仿宋"/>
                <w:bCs/>
                <w:color w:val="auto"/>
                <w:kern w:val="0"/>
                <w:szCs w:val="21"/>
                <w:highlight w:val="none"/>
              </w:rPr>
              <w:t xml:space="preserve">温度分辨精度（℃）： ±0.1 </w:t>
            </w:r>
          </w:p>
          <w:p w14:paraId="63DC557F">
            <w:pPr>
              <w:spacing w:line="360" w:lineRule="auto"/>
              <w:rPr>
                <w:rFonts w:hint="eastAsia" w:ascii="仿宋" w:hAnsi="仿宋" w:eastAsia="仿宋" w:cs="仿宋"/>
                <w:bCs/>
                <w:color w:val="auto"/>
                <w:kern w:val="0"/>
                <w:szCs w:val="21"/>
                <w:highlight w:val="none"/>
              </w:rPr>
            </w:pPr>
            <w:r>
              <w:rPr>
                <w:rFonts w:hint="eastAsia" w:ascii="仿宋" w:hAnsi="仿宋" w:eastAsia="仿宋" w:cs="仿宋"/>
                <w:bCs/>
                <w:color w:val="auto"/>
                <w:kern w:val="0"/>
                <w:szCs w:val="21"/>
                <w:highlight w:val="none"/>
              </w:rPr>
              <w:t xml:space="preserve">温度波动度（℃）： ≤±0.5（37℃时） </w:t>
            </w:r>
          </w:p>
          <w:p w14:paraId="4D96F772">
            <w:pPr>
              <w:spacing w:line="360" w:lineRule="auto"/>
              <w:rPr>
                <w:rFonts w:hint="eastAsia" w:ascii="仿宋" w:hAnsi="仿宋" w:eastAsia="仿宋" w:cs="仿宋"/>
                <w:bCs/>
                <w:color w:val="auto"/>
                <w:kern w:val="0"/>
                <w:szCs w:val="21"/>
                <w:highlight w:val="none"/>
              </w:rPr>
            </w:pPr>
            <w:r>
              <w:rPr>
                <w:rFonts w:hint="eastAsia" w:ascii="仿宋" w:hAnsi="仿宋" w:eastAsia="仿宋" w:cs="仿宋"/>
                <w:bCs/>
                <w:color w:val="auto"/>
                <w:kern w:val="0"/>
                <w:szCs w:val="21"/>
                <w:highlight w:val="none"/>
              </w:rPr>
              <w:t xml:space="preserve">温度均匀度（℃）： ≤±1（37℃时） </w:t>
            </w:r>
          </w:p>
          <w:p w14:paraId="7215875E">
            <w:pPr>
              <w:spacing w:line="360" w:lineRule="auto"/>
              <w:rPr>
                <w:rFonts w:hint="eastAsia" w:ascii="仿宋" w:hAnsi="仿宋" w:eastAsia="仿宋" w:cs="仿宋"/>
                <w:bCs/>
                <w:color w:val="auto"/>
                <w:kern w:val="0"/>
                <w:szCs w:val="21"/>
                <w:highlight w:val="none"/>
              </w:rPr>
            </w:pPr>
            <w:r>
              <w:rPr>
                <w:rFonts w:hint="eastAsia" w:ascii="仿宋" w:hAnsi="仿宋" w:eastAsia="仿宋" w:cs="仿宋"/>
                <w:bCs/>
                <w:color w:val="auto"/>
                <w:kern w:val="0"/>
                <w:szCs w:val="21"/>
                <w:highlight w:val="none"/>
              </w:rPr>
              <w:t xml:space="preserve">回旋频率范围（r/min）： 30～300  </w:t>
            </w:r>
          </w:p>
          <w:p w14:paraId="3B029E60">
            <w:pPr>
              <w:spacing w:line="360" w:lineRule="auto"/>
              <w:rPr>
                <w:rFonts w:hint="eastAsia" w:ascii="仿宋" w:hAnsi="仿宋" w:eastAsia="仿宋" w:cs="仿宋"/>
                <w:bCs/>
                <w:color w:val="auto"/>
                <w:kern w:val="0"/>
                <w:szCs w:val="21"/>
                <w:highlight w:val="none"/>
              </w:rPr>
            </w:pPr>
            <w:r>
              <w:rPr>
                <w:rFonts w:hint="eastAsia" w:ascii="仿宋" w:hAnsi="仿宋" w:eastAsia="仿宋" w:cs="仿宋"/>
                <w:bCs/>
                <w:color w:val="auto"/>
                <w:kern w:val="0"/>
                <w:szCs w:val="21"/>
                <w:highlight w:val="none"/>
              </w:rPr>
              <w:t xml:space="preserve">回旋频率精度（r/min）： ±1  </w:t>
            </w:r>
          </w:p>
          <w:p w14:paraId="42939951">
            <w:pPr>
              <w:spacing w:line="360" w:lineRule="auto"/>
              <w:rPr>
                <w:rFonts w:hint="eastAsia" w:ascii="仿宋" w:hAnsi="仿宋" w:eastAsia="仿宋" w:cs="仿宋"/>
                <w:bCs/>
                <w:color w:val="auto"/>
                <w:kern w:val="0"/>
                <w:szCs w:val="21"/>
                <w:highlight w:val="none"/>
              </w:rPr>
            </w:pPr>
            <w:r>
              <w:rPr>
                <w:rFonts w:hint="eastAsia" w:ascii="仿宋" w:hAnsi="仿宋" w:eastAsia="仿宋" w:cs="仿宋"/>
                <w:bCs/>
                <w:color w:val="auto"/>
                <w:kern w:val="0"/>
                <w:szCs w:val="21"/>
                <w:highlight w:val="none"/>
              </w:rPr>
              <w:t xml:space="preserve">摇板振荡幅度（mm） Φ26  </w:t>
            </w:r>
          </w:p>
          <w:p w14:paraId="3A61D371">
            <w:pPr>
              <w:spacing w:line="360" w:lineRule="auto"/>
              <w:rPr>
                <w:rFonts w:hint="eastAsia" w:ascii="仿宋" w:hAnsi="仿宋" w:eastAsia="仿宋" w:cs="仿宋"/>
                <w:bCs/>
                <w:color w:val="auto"/>
                <w:kern w:val="0"/>
                <w:szCs w:val="21"/>
                <w:highlight w:val="none"/>
              </w:rPr>
            </w:pPr>
            <w:r>
              <w:rPr>
                <w:rFonts w:hint="eastAsia" w:ascii="仿宋" w:hAnsi="仿宋" w:eastAsia="仿宋" w:cs="仿宋"/>
                <w:bCs/>
                <w:color w:val="auto"/>
                <w:kern w:val="0"/>
                <w:szCs w:val="21"/>
                <w:highlight w:val="none"/>
              </w:rPr>
              <w:t xml:space="preserve">定时范围（min）： 0～9999  </w:t>
            </w:r>
          </w:p>
          <w:p w14:paraId="32D2F5D9">
            <w:pPr>
              <w:spacing w:line="360" w:lineRule="auto"/>
              <w:rPr>
                <w:rFonts w:hint="eastAsia" w:ascii="仿宋" w:hAnsi="仿宋" w:eastAsia="仿宋" w:cs="仿宋"/>
                <w:bCs/>
                <w:color w:val="auto"/>
                <w:kern w:val="0"/>
                <w:szCs w:val="21"/>
                <w:highlight w:val="none"/>
              </w:rPr>
            </w:pPr>
            <w:r>
              <w:rPr>
                <w:rFonts w:hint="eastAsia" w:ascii="仿宋" w:hAnsi="仿宋" w:eastAsia="仿宋" w:cs="仿宋"/>
                <w:bCs/>
                <w:color w:val="auto"/>
                <w:kern w:val="0"/>
                <w:szCs w:val="21"/>
                <w:highlight w:val="none"/>
              </w:rPr>
              <w:t xml:space="preserve">摇板尺寸（mm）： 496*350 </w:t>
            </w:r>
          </w:p>
          <w:p w14:paraId="1612B1CD">
            <w:pPr>
              <w:spacing w:line="360" w:lineRule="auto"/>
              <w:rPr>
                <w:rFonts w:hint="eastAsia" w:ascii="仿宋" w:hAnsi="仿宋" w:eastAsia="仿宋" w:cs="仿宋"/>
                <w:bCs/>
                <w:color w:val="auto"/>
                <w:kern w:val="0"/>
                <w:szCs w:val="21"/>
                <w:highlight w:val="none"/>
              </w:rPr>
            </w:pPr>
            <w:r>
              <w:rPr>
                <w:rFonts w:hint="eastAsia" w:ascii="仿宋" w:hAnsi="仿宋" w:eastAsia="仿宋" w:cs="仿宋"/>
                <w:bCs/>
                <w:color w:val="auto"/>
                <w:kern w:val="0"/>
                <w:szCs w:val="21"/>
                <w:highlight w:val="none"/>
              </w:rPr>
              <w:t xml:space="preserve">摇板数量（块）： 2 </w:t>
            </w:r>
          </w:p>
          <w:p w14:paraId="2D04C3D1">
            <w:pPr>
              <w:spacing w:line="360" w:lineRule="auto"/>
              <w:rPr>
                <w:rFonts w:hint="eastAsia" w:ascii="仿宋" w:hAnsi="仿宋" w:eastAsia="仿宋" w:cs="仿宋"/>
                <w:bCs/>
                <w:color w:val="auto"/>
                <w:kern w:val="0"/>
                <w:sz w:val="18"/>
                <w:szCs w:val="18"/>
                <w:highlight w:val="none"/>
              </w:rPr>
            </w:pPr>
            <w:r>
              <w:rPr>
                <w:rFonts w:hint="eastAsia" w:ascii="仿宋" w:hAnsi="仿宋" w:eastAsia="仿宋" w:cs="仿宋"/>
                <w:bCs/>
                <w:color w:val="auto"/>
                <w:kern w:val="0"/>
                <w:sz w:val="18"/>
                <w:szCs w:val="18"/>
                <w:highlight w:val="none"/>
              </w:rPr>
              <w:t xml:space="preserve">容积（L）： ≥173 </w:t>
            </w:r>
          </w:p>
          <w:p w14:paraId="1680B6BA">
            <w:pPr>
              <w:spacing w:line="360" w:lineRule="auto"/>
              <w:rPr>
                <w:rFonts w:hint="eastAsia" w:ascii="仿宋" w:hAnsi="仿宋" w:eastAsia="仿宋" w:cs="仿宋"/>
                <w:bCs/>
                <w:color w:val="auto"/>
                <w:kern w:val="0"/>
                <w:sz w:val="18"/>
                <w:szCs w:val="18"/>
                <w:highlight w:val="none"/>
              </w:rPr>
            </w:pPr>
            <w:r>
              <w:rPr>
                <w:rFonts w:hint="eastAsia" w:ascii="仿宋" w:hAnsi="仿宋" w:eastAsia="仿宋" w:cs="仿宋"/>
                <w:bCs/>
                <w:color w:val="auto"/>
                <w:kern w:val="0"/>
                <w:sz w:val="18"/>
                <w:szCs w:val="18"/>
                <w:highlight w:val="none"/>
              </w:rPr>
              <w:t xml:space="preserve">内胆尺寸（mm）： ≥612*450*640 </w:t>
            </w:r>
          </w:p>
          <w:p w14:paraId="26EE33E8">
            <w:pPr>
              <w:spacing w:line="360" w:lineRule="auto"/>
              <w:rPr>
                <w:rFonts w:hint="eastAsia" w:ascii="仿宋" w:hAnsi="仿宋" w:eastAsia="仿宋" w:cs="仿宋"/>
                <w:bCs/>
                <w:color w:val="auto"/>
                <w:kern w:val="0"/>
                <w:szCs w:val="21"/>
                <w:highlight w:val="none"/>
              </w:rPr>
            </w:pPr>
            <w:r>
              <w:rPr>
                <w:rFonts w:hint="eastAsia" w:ascii="仿宋" w:hAnsi="仿宋" w:eastAsia="仿宋" w:cs="仿宋"/>
                <w:bCs/>
                <w:color w:val="auto"/>
                <w:kern w:val="0"/>
                <w:szCs w:val="21"/>
                <w:highlight w:val="none"/>
              </w:rPr>
              <w:t>最大容量（ml*支）：100*56，或250*36，或500*24，或750*18</w:t>
            </w:r>
          </w:p>
          <w:p w14:paraId="0F469C95">
            <w:pPr>
              <w:spacing w:line="360" w:lineRule="auto"/>
              <w:rPr>
                <w:rFonts w:hint="eastAsia" w:ascii="仿宋" w:hAnsi="仿宋" w:eastAsia="仿宋" w:cs="仿宋"/>
                <w:bCs/>
                <w:color w:val="auto"/>
                <w:kern w:val="0"/>
                <w:szCs w:val="21"/>
                <w:highlight w:val="none"/>
              </w:rPr>
            </w:pPr>
            <w:r>
              <w:rPr>
                <w:rFonts w:hint="eastAsia" w:ascii="仿宋" w:hAnsi="仿宋" w:eastAsia="仿宋" w:cs="仿宋"/>
                <w:bCs/>
                <w:color w:val="auto"/>
                <w:kern w:val="0"/>
                <w:szCs w:val="21"/>
                <w:highlight w:val="none"/>
              </w:rPr>
              <w:t>标准配： 100格冻存盒一层6个，二层12个</w:t>
            </w:r>
          </w:p>
          <w:p w14:paraId="4025131E">
            <w:pPr>
              <w:spacing w:line="360" w:lineRule="auto"/>
              <w:rPr>
                <w:rFonts w:hint="eastAsia" w:ascii="仿宋" w:hAnsi="仿宋" w:eastAsia="仿宋" w:cs="仿宋"/>
                <w:bCs/>
                <w:color w:val="auto"/>
                <w:kern w:val="0"/>
                <w:szCs w:val="21"/>
                <w:highlight w:val="none"/>
              </w:rPr>
            </w:pPr>
            <w:r>
              <w:rPr>
                <w:rFonts w:hint="eastAsia" w:ascii="仿宋" w:hAnsi="仿宋" w:eastAsia="仿宋" w:cs="仿宋"/>
                <w:bCs/>
                <w:color w:val="auto"/>
                <w:kern w:val="0"/>
                <w:szCs w:val="21"/>
                <w:highlight w:val="none"/>
              </w:rPr>
              <w:t xml:space="preserve">功率（W）：1000 </w:t>
            </w:r>
          </w:p>
          <w:p w14:paraId="157FF948">
            <w:pPr>
              <w:widowControl/>
              <w:spacing w:line="360" w:lineRule="auto"/>
              <w:jc w:val="left"/>
              <w:rPr>
                <w:rFonts w:hint="eastAsia" w:ascii="仿宋" w:hAnsi="仿宋" w:eastAsia="仿宋" w:cs="仿宋"/>
                <w:color w:val="auto"/>
                <w:kern w:val="0"/>
                <w:szCs w:val="21"/>
                <w:highlight w:val="none"/>
                <w:lang w:bidi="ar"/>
              </w:rPr>
            </w:pPr>
            <w:r>
              <w:rPr>
                <w:rFonts w:hint="eastAsia" w:ascii="仿宋" w:hAnsi="仿宋" w:eastAsia="仿宋" w:cs="仿宋"/>
                <w:bCs/>
                <w:color w:val="auto"/>
                <w:kern w:val="0"/>
                <w:szCs w:val="21"/>
                <w:highlight w:val="none"/>
              </w:rPr>
              <w:t xml:space="preserve">电源： AC 220V  50/60Hz  </w:t>
            </w:r>
          </w:p>
        </w:tc>
        <w:tc>
          <w:tcPr>
            <w:tcW w:w="635" w:type="dxa"/>
            <w:tcBorders>
              <w:top w:val="single" w:color="000000" w:sz="4" w:space="0"/>
              <w:left w:val="single" w:color="000000" w:sz="4" w:space="0"/>
              <w:bottom w:val="single" w:color="000000" w:sz="4" w:space="0"/>
              <w:right w:val="single" w:color="000000" w:sz="4" w:space="0"/>
            </w:tcBorders>
            <w:vAlign w:val="center"/>
          </w:tcPr>
          <w:p w14:paraId="2B144069">
            <w:pPr>
              <w:widowControl/>
              <w:jc w:val="center"/>
              <w:textAlignment w:val="center"/>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台</w:t>
            </w:r>
          </w:p>
        </w:tc>
        <w:tc>
          <w:tcPr>
            <w:tcW w:w="798" w:type="dxa"/>
            <w:tcBorders>
              <w:top w:val="single" w:color="000000" w:sz="4" w:space="0"/>
              <w:left w:val="single" w:color="000000" w:sz="4" w:space="0"/>
              <w:bottom w:val="single" w:color="000000" w:sz="4" w:space="0"/>
              <w:right w:val="single" w:color="000000" w:sz="4" w:space="0"/>
            </w:tcBorders>
            <w:vAlign w:val="center"/>
          </w:tcPr>
          <w:p w14:paraId="6A62128B">
            <w:pPr>
              <w:widowControl/>
              <w:jc w:val="center"/>
              <w:textAlignment w:val="center"/>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1</w:t>
            </w:r>
          </w:p>
        </w:tc>
      </w:tr>
      <w:tr w14:paraId="1AC90229">
        <w:tblPrEx>
          <w:tblCellMar>
            <w:top w:w="0" w:type="dxa"/>
            <w:left w:w="108" w:type="dxa"/>
            <w:bottom w:w="0" w:type="dxa"/>
            <w:right w:w="108" w:type="dxa"/>
          </w:tblCellMar>
        </w:tblPrEx>
        <w:trPr>
          <w:trHeight w:val="469" w:hRule="atLeast"/>
        </w:trPr>
        <w:tc>
          <w:tcPr>
            <w:tcW w:w="314" w:type="pct"/>
            <w:tcBorders>
              <w:top w:val="single" w:color="000000" w:sz="4" w:space="0"/>
              <w:left w:val="single" w:color="000000" w:sz="4" w:space="0"/>
              <w:bottom w:val="single" w:color="000000" w:sz="4" w:space="0"/>
              <w:right w:val="single" w:color="000000" w:sz="4" w:space="0"/>
            </w:tcBorders>
            <w:vAlign w:val="center"/>
          </w:tcPr>
          <w:p w14:paraId="5505806F">
            <w:pPr>
              <w:widowControl/>
              <w:jc w:val="center"/>
              <w:textAlignment w:val="center"/>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7</w:t>
            </w:r>
          </w:p>
        </w:tc>
        <w:tc>
          <w:tcPr>
            <w:tcW w:w="664" w:type="pct"/>
            <w:tcBorders>
              <w:top w:val="single" w:color="auto" w:sz="4" w:space="0"/>
              <w:left w:val="single" w:color="auto" w:sz="4" w:space="0"/>
              <w:bottom w:val="single" w:color="auto" w:sz="4" w:space="0"/>
              <w:right w:val="single" w:color="auto" w:sz="4" w:space="0"/>
            </w:tcBorders>
            <w:vAlign w:val="center"/>
          </w:tcPr>
          <w:p w14:paraId="436CE6AE">
            <w:pPr>
              <w:widowControl/>
              <w:jc w:val="center"/>
              <w:textAlignment w:val="center"/>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厌氧工作站</w:t>
            </w:r>
          </w:p>
        </w:tc>
        <w:tc>
          <w:tcPr>
            <w:tcW w:w="3248" w:type="pct"/>
            <w:tcBorders>
              <w:top w:val="single" w:color="000000" w:sz="4" w:space="0"/>
              <w:left w:val="single" w:color="000000" w:sz="4" w:space="0"/>
              <w:bottom w:val="single" w:color="000000" w:sz="4" w:space="0"/>
              <w:right w:val="single" w:color="000000" w:sz="4" w:space="0"/>
            </w:tcBorders>
            <w:vAlign w:val="center"/>
          </w:tcPr>
          <w:p w14:paraId="5E5078F7">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一、功能：精准控制厌氧环境、温度、湿度，满足微生物或细胞领域多种研究需求；</w:t>
            </w:r>
          </w:p>
          <w:p w14:paraId="4255FAC1">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二、技术参数：</w:t>
            </w:r>
          </w:p>
          <w:p w14:paraId="6F7D767B">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容量及尺寸</w:t>
            </w:r>
          </w:p>
          <w:p w14:paraId="42E29478">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操作仓内部尺寸：≥宽938mm×深508m×高591mm</w:t>
            </w:r>
          </w:p>
          <w:p w14:paraId="24BCDE47">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可放置600-900个直径90mm平皿，可内置各种小型设备；</w:t>
            </w:r>
          </w:p>
          <w:p w14:paraId="233487C8">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结构部分</w:t>
            </w:r>
          </w:p>
          <w:p w14:paraId="37F94E35">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3.</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整体符合人体工程学，10°斜面、20mm厚透明亚克力前面板；</w:t>
            </w:r>
          </w:p>
          <w:p w14:paraId="06F4A216">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4.</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操作仓主体采用食品级安全无毒的板材，采用主动密封；</w:t>
            </w:r>
          </w:p>
          <w:p w14:paraId="657FED83">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5.</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★掀盖式前面板，双气压支撑杆；</w:t>
            </w:r>
          </w:p>
          <w:p w14:paraId="39AB86DA">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6.</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彩色电容触摸屏≥10英寸，实时监控和记录培养参数；</w:t>
            </w:r>
          </w:p>
          <w:p w14:paraId="0BF193D8">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7.</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转移仓内外门互锁联动机制，确保内外门无法同时打开；</w:t>
            </w:r>
          </w:p>
          <w:p w14:paraId="44AFD71E">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8.</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裸手操作系统，可通过脚踏开关或屏幕控制，进行抽气/充气等操作；</w:t>
            </w:r>
          </w:p>
          <w:p w14:paraId="2F6DA00B">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9.</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27L容量转移仓，内门尺寸：宽225*高321mm，外门尺寸：宽175*高280mm, 一次可转移80个直径90mm的培养皿，可在屏幕上设置转移仓氮气吹扫时间（0-999秒）、真空置换次数（0-99次）及真空度（0-65%）等参数；</w:t>
            </w:r>
          </w:p>
          <w:p w14:paraId="45C36687">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控制部分</w:t>
            </w:r>
          </w:p>
          <w:p w14:paraId="728BA9C4">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10.</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一键式参数控制，通过触摸屏上的按键，一键即可完成氧气浓度、温度、湿度、压力、风机、照明灯等项目的开启和关闭，主界面点击【一键停止】，可关闭所有控制；</w:t>
            </w:r>
          </w:p>
          <w:p w14:paraId="5ABFBE3B">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11.</w:t>
            </w:r>
            <w:r>
              <w:rPr>
                <w:rFonts w:hint="eastAsia" w:ascii="仿宋" w:hAnsi="仿宋" w:eastAsia="仿宋" w:cs="仿宋"/>
                <w:color w:val="auto"/>
                <w:szCs w:val="21"/>
                <w:highlight w:val="none"/>
              </w:rPr>
              <w:tab/>
            </w:r>
            <w:r>
              <w:rPr>
                <w:rFonts w:hint="eastAsia" w:ascii="仿宋" w:hAnsi="仿宋" w:eastAsia="仿宋" w:cs="仿宋"/>
                <w:b/>
                <w:bCs/>
                <w:color w:val="auto"/>
                <w:szCs w:val="21"/>
                <w:highlight w:val="none"/>
              </w:rPr>
              <w:t>★</w:t>
            </w:r>
            <w:r>
              <w:rPr>
                <w:rFonts w:hint="eastAsia" w:ascii="仿宋" w:hAnsi="仿宋" w:eastAsia="仿宋" w:cs="仿宋"/>
                <w:color w:val="auto"/>
                <w:szCs w:val="21"/>
                <w:highlight w:val="none"/>
              </w:rPr>
              <w:t>氧气控制范围：0%，氧气传感器零点和标气一键校准功能；氧气探头定时提醒校正功能，定时天数1-999天。</w:t>
            </w:r>
          </w:p>
          <w:p w14:paraId="438FA72A">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12.</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操作仓温度控制范围：环境温度+3℃~45℃，精度±0.1℃；</w:t>
            </w:r>
          </w:p>
          <w:p w14:paraId="546F2A1B">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13.</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半导体冷阱降湿装置，可控湿度不超过85%RH；</w:t>
            </w:r>
          </w:p>
          <w:p w14:paraId="68795B8E">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功能及配置部分</w:t>
            </w:r>
          </w:p>
          <w:p w14:paraId="050F03D7">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14.</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具有预约功能，可以预约氧气、温度、湿度、照明灯、紫外灯、净化等类目的开/关，可预约时长0-10080分钟，并实时显示预约剩余时间；</w:t>
            </w:r>
          </w:p>
          <w:p w14:paraId="6BA93C6E">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15.</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内置电源插座≥3个；</w:t>
            </w:r>
          </w:p>
          <w:p w14:paraId="1F858551">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16.</w:t>
            </w:r>
            <w:r>
              <w:rPr>
                <w:rFonts w:hint="eastAsia" w:ascii="仿宋" w:hAnsi="仿宋" w:eastAsia="仿宋" w:cs="仿宋"/>
                <w:color w:val="auto"/>
                <w:szCs w:val="21"/>
                <w:highlight w:val="none"/>
              </w:rPr>
              <w:tab/>
            </w:r>
            <w:r>
              <w:rPr>
                <w:rFonts w:hint="eastAsia" w:ascii="仿宋" w:hAnsi="仿宋" w:eastAsia="仿宋" w:cs="仿宋"/>
                <w:b/>
                <w:bCs/>
                <w:color w:val="auto"/>
                <w:szCs w:val="21"/>
                <w:highlight w:val="none"/>
              </w:rPr>
              <w:t>★</w:t>
            </w:r>
            <w:r>
              <w:rPr>
                <w:rFonts w:hint="eastAsia" w:ascii="仿宋" w:hAnsi="仿宋" w:eastAsia="仿宋" w:cs="仿宋"/>
                <w:color w:val="auto"/>
                <w:szCs w:val="21"/>
                <w:highlight w:val="none"/>
              </w:rPr>
              <w:t>HEPA 14级过滤系统，洁净度达到ISO Class 3级别；</w:t>
            </w:r>
          </w:p>
          <w:p w14:paraId="7776E9FC">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17.</w:t>
            </w:r>
            <w:r>
              <w:rPr>
                <w:rFonts w:hint="eastAsia" w:ascii="仿宋" w:hAnsi="仿宋" w:eastAsia="仿宋" w:cs="仿宋"/>
                <w:color w:val="auto"/>
                <w:szCs w:val="21"/>
                <w:highlight w:val="none"/>
              </w:rPr>
              <w:tab/>
            </w:r>
            <w:r>
              <w:rPr>
                <w:rFonts w:hint="eastAsia" w:ascii="仿宋" w:hAnsi="仿宋" w:eastAsia="仿宋" w:cs="仿宋"/>
                <w:b/>
                <w:bCs/>
                <w:color w:val="auto"/>
                <w:szCs w:val="21"/>
                <w:highlight w:val="none"/>
              </w:rPr>
              <w:t>★</w:t>
            </w:r>
            <w:r>
              <w:rPr>
                <w:rFonts w:hint="eastAsia" w:ascii="仿宋" w:hAnsi="仿宋" w:eastAsia="仿宋" w:cs="仿宋"/>
                <w:color w:val="auto"/>
                <w:szCs w:val="21"/>
                <w:highlight w:val="none"/>
              </w:rPr>
              <w:t>≥两支紫外灯，可对HEPA及操作仓内气体进行消毒处理，紫外灯消毒时间自主调节，最高可设定10080分钟；</w:t>
            </w:r>
          </w:p>
          <w:p w14:paraId="0CC2449C">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18.</w:t>
            </w:r>
            <w:r>
              <w:rPr>
                <w:rFonts w:hint="eastAsia"/>
                <w:color w:val="auto"/>
                <w:highlight w:val="none"/>
              </w:rPr>
              <w:t>配</w:t>
            </w:r>
            <w:r>
              <w:rPr>
                <w:rFonts w:hint="eastAsia" w:ascii="仿宋" w:hAnsi="仿宋" w:eastAsia="仿宋" w:cs="仿宋"/>
                <w:color w:val="auto"/>
                <w:szCs w:val="21"/>
                <w:highlight w:val="none"/>
              </w:rPr>
              <w:t xml:space="preserve"> LED灯照明，亮度可5级可调；</w:t>
            </w:r>
          </w:p>
          <w:p w14:paraId="23CC1AC4">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19.</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单皿传递系统，适合传递单个培养皿/瓶；</w:t>
            </w:r>
          </w:p>
          <w:p w14:paraId="2AB37086">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20.</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第三方电缆或探头接口，可用于温度校验或气体校验等；</w:t>
            </w:r>
          </w:p>
          <w:p w14:paraId="3B21E45A">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21.</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配钯催化剂，用于催化除氧；</w:t>
            </w:r>
          </w:p>
          <w:p w14:paraId="62922050">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22.</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脱毒剂，去除挥发性不饱和脂肪酸和硫化氢等气体；</w:t>
            </w:r>
          </w:p>
          <w:p w14:paraId="2429447A">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权限管理、数据记录及安全管理部分</w:t>
            </w:r>
          </w:p>
          <w:p w14:paraId="075246D0">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23.</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具有三级权限密码登录控制，设备管理安全高效；</w:t>
            </w:r>
          </w:p>
          <w:p w14:paraId="1C1B83DD">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24.</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曲线显示，可查看氧气浓度、温度、湿度和操作仓压力等参数的实时曲线和历史曲线；</w:t>
            </w:r>
          </w:p>
          <w:p w14:paraId="3C808F5F">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25.</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数据导出功能，历史数据可自主查询并导出；</w:t>
            </w:r>
          </w:p>
          <w:p w14:paraId="639044EE">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26.</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日志查询功能，查看用户操作日志，包括操作时间、用户及操作内容；</w:t>
            </w:r>
          </w:p>
          <w:p w14:paraId="549735D1">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27.</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历史报警信息查询功能，保存时间180天，可查询当前报警及历史报警信息，自主选择目标时间段，可查看该段时间内的报警详情，并可将报警信息导出；</w:t>
            </w:r>
          </w:p>
          <w:p w14:paraId="6D966CDC">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28.</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显示制造商或代理商信息，包括电话、传真、网址、地址等，遇到使用疑问或故障，可直接通过官方渠道咨询；</w:t>
            </w:r>
          </w:p>
          <w:p w14:paraId="4AE085A0">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29.</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中文操作系统；</w:t>
            </w:r>
          </w:p>
          <w:p w14:paraId="4ABADA48">
            <w:pPr>
              <w:spacing w:line="360" w:lineRule="auto"/>
              <w:rPr>
                <w:rFonts w:hint="eastAsia" w:ascii="仿宋" w:hAnsi="仿宋" w:eastAsia="仿宋" w:cs="仿宋"/>
                <w:color w:val="auto"/>
                <w:kern w:val="0"/>
                <w:szCs w:val="21"/>
                <w:highlight w:val="none"/>
                <w:lang w:bidi="ar"/>
              </w:rPr>
            </w:pPr>
            <w:r>
              <w:rPr>
                <w:rFonts w:hint="eastAsia" w:ascii="仿宋" w:hAnsi="仿宋" w:eastAsia="仿宋" w:cs="仿宋"/>
                <w:color w:val="auto"/>
                <w:szCs w:val="21"/>
                <w:highlight w:val="none"/>
              </w:rPr>
              <w:t>30.</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安全及警报功能：氧气浓度、温度、湿度、操作仓压力等超限均会保护并报警，在历史报警功能中可查询。</w:t>
            </w:r>
          </w:p>
        </w:tc>
        <w:tc>
          <w:tcPr>
            <w:tcW w:w="635" w:type="dxa"/>
            <w:tcBorders>
              <w:top w:val="single" w:color="000000" w:sz="4" w:space="0"/>
              <w:left w:val="single" w:color="000000" w:sz="4" w:space="0"/>
              <w:bottom w:val="single" w:color="000000" w:sz="4" w:space="0"/>
              <w:right w:val="single" w:color="000000" w:sz="4" w:space="0"/>
            </w:tcBorders>
            <w:vAlign w:val="center"/>
          </w:tcPr>
          <w:p w14:paraId="621D2C9B">
            <w:pPr>
              <w:widowControl/>
              <w:jc w:val="center"/>
              <w:textAlignment w:val="center"/>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台</w:t>
            </w:r>
          </w:p>
        </w:tc>
        <w:tc>
          <w:tcPr>
            <w:tcW w:w="798" w:type="dxa"/>
            <w:tcBorders>
              <w:top w:val="single" w:color="000000" w:sz="4" w:space="0"/>
              <w:left w:val="single" w:color="000000" w:sz="4" w:space="0"/>
              <w:bottom w:val="single" w:color="000000" w:sz="4" w:space="0"/>
              <w:right w:val="single" w:color="000000" w:sz="4" w:space="0"/>
            </w:tcBorders>
            <w:vAlign w:val="center"/>
          </w:tcPr>
          <w:p w14:paraId="0774B24D">
            <w:pPr>
              <w:widowControl/>
              <w:jc w:val="center"/>
              <w:textAlignment w:val="center"/>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1</w:t>
            </w:r>
          </w:p>
        </w:tc>
      </w:tr>
      <w:bookmarkEnd w:id="38"/>
      <w:bookmarkEnd w:id="39"/>
    </w:tbl>
    <w:p w14:paraId="2BE7C17B">
      <w:pPr>
        <w:rPr>
          <w:rFonts w:hint="eastAsia" w:ascii="仿宋" w:hAnsi="仿宋" w:eastAsia="仿宋" w:cs="仿宋"/>
          <w:b/>
          <w:color w:val="auto"/>
          <w:sz w:val="24"/>
          <w:szCs w:val="24"/>
          <w:highlight w:val="none"/>
          <w:shd w:val="clear" w:color="auto" w:fill="FFFFFF" w:themeFill="background1"/>
        </w:rPr>
      </w:pPr>
    </w:p>
    <w:p w14:paraId="03568CA9">
      <w:pPr>
        <w:rPr>
          <w:rFonts w:hint="eastAsia" w:ascii="仿宋" w:hAnsi="仿宋" w:eastAsia="仿宋" w:cs="仿宋"/>
          <w:b/>
          <w:color w:val="auto"/>
          <w:sz w:val="24"/>
          <w:szCs w:val="24"/>
          <w:highlight w:val="none"/>
          <w:shd w:val="clear" w:color="auto" w:fill="FFFFFF" w:themeFill="background1"/>
        </w:rPr>
      </w:pPr>
    </w:p>
    <w:p w14:paraId="2A5EE3EC">
      <w:pPr>
        <w:rPr>
          <w:rFonts w:hint="eastAsia" w:ascii="仿宋" w:hAnsi="仿宋" w:eastAsia="仿宋" w:cs="仿宋"/>
          <w:b/>
          <w:color w:val="auto"/>
          <w:sz w:val="24"/>
          <w:szCs w:val="24"/>
          <w:highlight w:val="none"/>
          <w:shd w:val="clear" w:color="auto" w:fill="FFFFFF" w:themeFill="background1"/>
        </w:rPr>
      </w:pPr>
    </w:p>
    <w:p w14:paraId="155A94E0">
      <w:pPr>
        <w:rPr>
          <w:rFonts w:hint="eastAsia" w:ascii="仿宋" w:hAnsi="仿宋" w:eastAsia="仿宋" w:cs="仿宋"/>
          <w:b/>
          <w:color w:val="auto"/>
          <w:sz w:val="24"/>
          <w:szCs w:val="24"/>
          <w:highlight w:val="none"/>
          <w:shd w:val="clear" w:color="auto" w:fill="FFFFFF" w:themeFill="background1"/>
        </w:rPr>
      </w:pPr>
    </w:p>
    <w:p w14:paraId="4F0E1B6F">
      <w:pPr>
        <w:rPr>
          <w:rFonts w:hint="eastAsia" w:ascii="仿宋" w:hAnsi="仿宋" w:eastAsia="仿宋" w:cs="仿宋"/>
          <w:b/>
          <w:color w:val="auto"/>
          <w:sz w:val="24"/>
          <w:szCs w:val="24"/>
          <w:highlight w:val="none"/>
          <w:shd w:val="clear" w:color="auto" w:fill="FFFFFF" w:themeFill="background1"/>
        </w:rPr>
      </w:pPr>
      <w:r>
        <w:rPr>
          <w:rFonts w:hint="eastAsia" w:ascii="仿宋" w:hAnsi="仿宋" w:eastAsia="仿宋" w:cs="仿宋"/>
          <w:b/>
          <w:color w:val="auto"/>
          <w:sz w:val="24"/>
          <w:szCs w:val="24"/>
          <w:highlight w:val="none"/>
          <w:shd w:val="clear" w:color="auto" w:fill="FFFFFF" w:themeFill="background1"/>
        </w:rPr>
        <w:br w:type="page"/>
      </w:r>
    </w:p>
    <w:p w14:paraId="6B3F44CB">
      <w:pPr>
        <w:spacing w:line="360" w:lineRule="auto"/>
        <w:jc w:val="center"/>
        <w:outlineLvl w:val="0"/>
        <w:rPr>
          <w:rFonts w:hint="eastAsia" w:ascii="仿宋" w:hAnsi="仿宋" w:eastAsia="仿宋" w:cs="仿宋"/>
          <w:b/>
          <w:color w:val="auto"/>
          <w:sz w:val="24"/>
          <w:szCs w:val="24"/>
          <w:highlight w:val="none"/>
          <w:shd w:val="clear" w:color="auto" w:fill="FFFFFF" w:themeFill="background1"/>
        </w:rPr>
      </w:pPr>
      <w:bookmarkStart w:id="40" w:name="_Toc21747"/>
      <w:r>
        <w:rPr>
          <w:rFonts w:hint="eastAsia" w:ascii="仿宋" w:hAnsi="仿宋" w:eastAsia="仿宋" w:cs="仿宋"/>
          <w:b/>
          <w:color w:val="auto"/>
          <w:sz w:val="24"/>
          <w:szCs w:val="24"/>
          <w:highlight w:val="none"/>
          <w:shd w:val="clear" w:color="auto" w:fill="FFFFFF" w:themeFill="background1"/>
        </w:rPr>
        <w:t>第五章 响应文件格式</w:t>
      </w:r>
      <w:bookmarkEnd w:id="40"/>
    </w:p>
    <w:p w14:paraId="753F06EB">
      <w:pPr>
        <w:spacing w:line="360" w:lineRule="auto"/>
        <w:rPr>
          <w:rFonts w:hint="eastAsia" w:ascii="仿宋" w:hAnsi="仿宋" w:eastAsia="仿宋" w:cs="仿宋"/>
          <w:b/>
          <w:color w:val="auto"/>
          <w:sz w:val="24"/>
          <w:szCs w:val="24"/>
          <w:highlight w:val="none"/>
          <w:shd w:val="clear" w:color="auto" w:fill="FFFFFF" w:themeFill="background1"/>
        </w:rPr>
      </w:pPr>
    </w:p>
    <w:p w14:paraId="0DF96A39">
      <w:pPr>
        <w:spacing w:line="360" w:lineRule="auto"/>
        <w:rPr>
          <w:rFonts w:hint="eastAsia" w:ascii="仿宋" w:hAnsi="仿宋" w:eastAsia="仿宋" w:cs="仿宋"/>
          <w:b/>
          <w:color w:val="auto"/>
          <w:sz w:val="24"/>
          <w:szCs w:val="24"/>
          <w:highlight w:val="none"/>
          <w:shd w:val="clear" w:color="auto" w:fill="FFFFFF" w:themeFill="background1"/>
        </w:rPr>
      </w:pPr>
    </w:p>
    <w:p w14:paraId="346CC222">
      <w:pPr>
        <w:spacing w:line="360" w:lineRule="auto"/>
        <w:rPr>
          <w:rFonts w:hint="eastAsia" w:ascii="仿宋" w:hAnsi="仿宋" w:eastAsia="仿宋" w:cs="仿宋"/>
          <w:color w:val="auto"/>
          <w:sz w:val="24"/>
          <w:szCs w:val="24"/>
          <w:highlight w:val="none"/>
          <w:u w:val="single"/>
          <w:shd w:val="clear" w:color="auto" w:fill="FFFFFF" w:themeFill="background1"/>
        </w:rPr>
      </w:pPr>
      <w:r>
        <w:rPr>
          <w:rFonts w:hint="eastAsia" w:ascii="仿宋" w:hAnsi="仿宋" w:eastAsia="仿宋" w:cs="仿宋"/>
          <w:color w:val="auto"/>
          <w:sz w:val="24"/>
          <w:szCs w:val="24"/>
          <w:highlight w:val="none"/>
          <w:u w:val="single"/>
          <w:shd w:val="clear" w:color="auto" w:fill="FFFFFF" w:themeFill="background1"/>
        </w:rPr>
        <w:t>响应文件封面示例</w:t>
      </w:r>
    </w:p>
    <w:p w14:paraId="4B605962">
      <w:pPr>
        <w:spacing w:line="360" w:lineRule="auto"/>
        <w:jc w:val="center"/>
        <w:rPr>
          <w:rFonts w:hint="eastAsia" w:ascii="仿宋" w:hAnsi="仿宋" w:eastAsia="仿宋" w:cs="仿宋"/>
          <w:b/>
          <w:color w:val="auto"/>
          <w:sz w:val="24"/>
          <w:szCs w:val="24"/>
          <w:highlight w:val="none"/>
          <w:bdr w:val="single" w:color="auto" w:sz="4" w:space="0"/>
          <w:shd w:val="clear" w:color="auto" w:fill="FFFFFF" w:themeFill="background1"/>
        </w:rPr>
      </w:pPr>
    </w:p>
    <w:p w14:paraId="4A51E5EF">
      <w:pPr>
        <w:spacing w:line="360" w:lineRule="auto"/>
        <w:jc w:val="center"/>
        <w:rPr>
          <w:rFonts w:hint="eastAsia" w:ascii="仿宋" w:hAnsi="仿宋" w:eastAsia="仿宋" w:cs="仿宋"/>
          <w:b/>
          <w:color w:val="auto"/>
          <w:sz w:val="24"/>
          <w:szCs w:val="24"/>
          <w:highlight w:val="none"/>
          <w:bdr w:val="single" w:color="auto" w:sz="4" w:space="0"/>
          <w:shd w:val="clear" w:color="auto" w:fill="FFFFFF" w:themeFill="background1"/>
        </w:rPr>
      </w:pPr>
    </w:p>
    <w:p w14:paraId="42EED9CA">
      <w:pPr>
        <w:spacing w:line="360" w:lineRule="auto"/>
        <w:jc w:val="center"/>
        <w:rPr>
          <w:rFonts w:hint="eastAsia" w:ascii="仿宋" w:hAnsi="仿宋" w:eastAsia="仿宋" w:cs="仿宋"/>
          <w:b/>
          <w:color w:val="auto"/>
          <w:sz w:val="24"/>
          <w:szCs w:val="24"/>
          <w:highlight w:val="none"/>
          <w:bdr w:val="single" w:color="auto" w:sz="4" w:space="0"/>
          <w:shd w:val="clear" w:color="auto" w:fill="FFFFFF" w:themeFill="background1"/>
        </w:rPr>
      </w:pPr>
    </w:p>
    <w:p w14:paraId="6025FDA9">
      <w:pPr>
        <w:spacing w:line="360" w:lineRule="auto"/>
        <w:jc w:val="center"/>
        <w:rPr>
          <w:rFonts w:hint="eastAsia" w:ascii="仿宋" w:hAnsi="仿宋" w:eastAsia="仿宋" w:cs="仿宋"/>
          <w:b/>
          <w:bCs/>
          <w:color w:val="auto"/>
          <w:sz w:val="24"/>
          <w:szCs w:val="24"/>
          <w:highlight w:val="none"/>
          <w:u w:val="single"/>
          <w:shd w:val="clear" w:color="auto" w:fill="FFFFFF" w:themeFill="background1"/>
        </w:rPr>
      </w:pPr>
      <w:r>
        <w:rPr>
          <w:rFonts w:hint="eastAsia" w:ascii="仿宋" w:hAnsi="仿宋" w:eastAsia="仿宋" w:cs="仿宋"/>
          <w:b/>
          <w:bCs/>
          <w:color w:val="auto"/>
          <w:sz w:val="24"/>
          <w:szCs w:val="24"/>
          <w:highlight w:val="none"/>
          <w:u w:val="single"/>
          <w:shd w:val="clear" w:color="auto" w:fill="FFFFFF" w:themeFill="background1"/>
        </w:rPr>
        <w:t>（项目名称）</w:t>
      </w:r>
    </w:p>
    <w:p w14:paraId="2C813016">
      <w:pPr>
        <w:spacing w:line="360" w:lineRule="auto"/>
        <w:jc w:val="center"/>
        <w:rPr>
          <w:rFonts w:hint="eastAsia" w:ascii="仿宋" w:hAnsi="仿宋" w:eastAsia="仿宋" w:cs="仿宋"/>
          <w:b/>
          <w:bCs/>
          <w:color w:val="auto"/>
          <w:sz w:val="24"/>
          <w:szCs w:val="24"/>
          <w:highlight w:val="none"/>
          <w:u w:val="single"/>
          <w:shd w:val="clear" w:color="auto" w:fill="FFFFFF" w:themeFill="background1"/>
        </w:rPr>
      </w:pPr>
      <w:r>
        <w:rPr>
          <w:rFonts w:hint="eastAsia" w:ascii="仿宋" w:hAnsi="仿宋" w:eastAsia="仿宋" w:cs="仿宋"/>
          <w:b/>
          <w:bCs/>
          <w:color w:val="auto"/>
          <w:sz w:val="24"/>
          <w:szCs w:val="24"/>
          <w:highlight w:val="none"/>
          <w:u w:val="single"/>
          <w:shd w:val="clear" w:color="auto" w:fill="FFFFFF" w:themeFill="background1"/>
        </w:rPr>
        <w:t>（项目编号）</w:t>
      </w:r>
    </w:p>
    <w:p w14:paraId="731E80D9">
      <w:pPr>
        <w:spacing w:line="360" w:lineRule="auto"/>
        <w:jc w:val="center"/>
        <w:rPr>
          <w:rFonts w:hint="eastAsia" w:ascii="仿宋" w:hAnsi="仿宋" w:eastAsia="仿宋" w:cs="仿宋"/>
          <w:b/>
          <w:bCs/>
          <w:color w:val="auto"/>
          <w:sz w:val="24"/>
          <w:szCs w:val="24"/>
          <w:highlight w:val="none"/>
          <w:shd w:val="clear" w:color="auto" w:fill="FFFFFF" w:themeFill="background1"/>
        </w:rPr>
      </w:pPr>
    </w:p>
    <w:p w14:paraId="74420242">
      <w:pPr>
        <w:spacing w:line="360" w:lineRule="auto"/>
        <w:jc w:val="center"/>
        <w:rPr>
          <w:rFonts w:hint="eastAsia" w:ascii="仿宋" w:hAnsi="仿宋" w:eastAsia="仿宋" w:cs="仿宋"/>
          <w:b/>
          <w:bCs/>
          <w:color w:val="auto"/>
          <w:sz w:val="24"/>
          <w:szCs w:val="24"/>
          <w:highlight w:val="none"/>
          <w:shd w:val="clear" w:color="auto" w:fill="FFFFFF" w:themeFill="background1"/>
        </w:rPr>
      </w:pPr>
    </w:p>
    <w:p w14:paraId="235DA0E1">
      <w:pPr>
        <w:spacing w:line="360" w:lineRule="auto"/>
        <w:jc w:val="center"/>
        <w:rPr>
          <w:rFonts w:hint="eastAsia" w:ascii="仿宋" w:hAnsi="仿宋" w:eastAsia="仿宋" w:cs="仿宋"/>
          <w:b/>
          <w:bCs/>
          <w:color w:val="auto"/>
          <w:sz w:val="24"/>
          <w:szCs w:val="24"/>
          <w:highlight w:val="none"/>
          <w:shd w:val="clear" w:color="auto" w:fill="FFFFFF" w:themeFill="background1"/>
        </w:rPr>
      </w:pPr>
      <w:r>
        <w:rPr>
          <w:rFonts w:hint="eastAsia" w:ascii="仿宋" w:hAnsi="仿宋" w:eastAsia="仿宋" w:cs="仿宋"/>
          <w:b/>
          <w:bCs/>
          <w:color w:val="auto"/>
          <w:sz w:val="24"/>
          <w:szCs w:val="24"/>
          <w:highlight w:val="none"/>
          <w:shd w:val="clear" w:color="auto" w:fill="FFFFFF" w:themeFill="background1"/>
        </w:rPr>
        <w:t>响应文件</w:t>
      </w:r>
    </w:p>
    <w:p w14:paraId="59F197CD">
      <w:pPr>
        <w:spacing w:line="360" w:lineRule="auto"/>
        <w:rPr>
          <w:rFonts w:hint="eastAsia" w:ascii="仿宋" w:hAnsi="仿宋" w:eastAsia="仿宋" w:cs="仿宋"/>
          <w:color w:val="auto"/>
          <w:sz w:val="24"/>
          <w:szCs w:val="24"/>
          <w:highlight w:val="none"/>
          <w:shd w:val="clear" w:color="auto" w:fill="FFFFFF" w:themeFill="background1"/>
        </w:rPr>
      </w:pPr>
    </w:p>
    <w:p w14:paraId="245978ED">
      <w:pPr>
        <w:spacing w:line="360" w:lineRule="auto"/>
        <w:rPr>
          <w:rFonts w:hint="eastAsia" w:ascii="仿宋" w:hAnsi="仿宋" w:eastAsia="仿宋" w:cs="仿宋"/>
          <w:color w:val="auto"/>
          <w:sz w:val="24"/>
          <w:szCs w:val="24"/>
          <w:highlight w:val="none"/>
          <w:shd w:val="clear" w:color="auto" w:fill="FFFFFF" w:themeFill="background1"/>
        </w:rPr>
      </w:pPr>
    </w:p>
    <w:p w14:paraId="1780F3B1">
      <w:pPr>
        <w:spacing w:line="360" w:lineRule="auto"/>
        <w:rPr>
          <w:rFonts w:hint="eastAsia" w:ascii="仿宋" w:hAnsi="仿宋" w:eastAsia="仿宋" w:cs="仿宋"/>
          <w:color w:val="auto"/>
          <w:sz w:val="24"/>
          <w:szCs w:val="24"/>
          <w:highlight w:val="none"/>
          <w:shd w:val="clear" w:color="auto" w:fill="FFFFFF" w:themeFill="background1"/>
        </w:rPr>
      </w:pPr>
    </w:p>
    <w:p w14:paraId="49118DBD">
      <w:pPr>
        <w:spacing w:line="360" w:lineRule="auto"/>
        <w:rPr>
          <w:rFonts w:hint="eastAsia"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供应商：（盖章）</w:t>
      </w:r>
    </w:p>
    <w:p w14:paraId="41776D97">
      <w:pPr>
        <w:spacing w:line="360" w:lineRule="auto"/>
        <w:rPr>
          <w:rFonts w:hint="eastAsia" w:ascii="仿宋" w:hAnsi="仿宋" w:eastAsia="仿宋" w:cs="仿宋"/>
          <w:color w:val="auto"/>
          <w:sz w:val="24"/>
          <w:szCs w:val="24"/>
          <w:highlight w:val="none"/>
          <w:shd w:val="clear" w:color="auto" w:fill="FFFFFF" w:themeFill="background1"/>
        </w:rPr>
      </w:pPr>
    </w:p>
    <w:p w14:paraId="1DB42335">
      <w:pPr>
        <w:spacing w:line="360" w:lineRule="auto"/>
        <w:rPr>
          <w:rFonts w:hint="eastAsia"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法定代表人：</w:t>
      </w:r>
      <w:r>
        <w:rPr>
          <w:rFonts w:hint="eastAsia" w:ascii="仿宋" w:hAnsi="仿宋" w:eastAsia="仿宋" w:cs="仿宋"/>
          <w:color w:val="auto"/>
          <w:kern w:val="0"/>
          <w:sz w:val="24"/>
          <w:szCs w:val="24"/>
          <w:highlight w:val="none"/>
          <w:shd w:val="clear" w:color="auto" w:fill="FFFFFF" w:themeFill="background1"/>
        </w:rPr>
        <w:t>（盖章或签字）</w:t>
      </w:r>
    </w:p>
    <w:p w14:paraId="22B76A91">
      <w:pPr>
        <w:spacing w:line="360" w:lineRule="auto"/>
        <w:rPr>
          <w:rFonts w:hint="eastAsia" w:ascii="仿宋" w:hAnsi="仿宋" w:eastAsia="仿宋" w:cs="仿宋"/>
          <w:color w:val="auto"/>
          <w:sz w:val="24"/>
          <w:szCs w:val="24"/>
          <w:highlight w:val="none"/>
          <w:shd w:val="clear" w:color="auto" w:fill="FFFFFF" w:themeFill="background1"/>
        </w:rPr>
      </w:pPr>
    </w:p>
    <w:p w14:paraId="71800CFF">
      <w:pPr>
        <w:spacing w:line="360" w:lineRule="auto"/>
        <w:rPr>
          <w:rFonts w:hint="eastAsia"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单位地址：</w:t>
      </w:r>
    </w:p>
    <w:p w14:paraId="587F880C">
      <w:pPr>
        <w:spacing w:line="360" w:lineRule="auto"/>
        <w:rPr>
          <w:rFonts w:hint="eastAsia" w:ascii="仿宋" w:hAnsi="仿宋" w:eastAsia="仿宋" w:cs="仿宋"/>
          <w:color w:val="auto"/>
          <w:sz w:val="24"/>
          <w:szCs w:val="24"/>
          <w:highlight w:val="none"/>
          <w:shd w:val="clear" w:color="auto" w:fill="FFFFFF" w:themeFill="background1"/>
        </w:rPr>
      </w:pPr>
    </w:p>
    <w:p w14:paraId="2F93267A">
      <w:pPr>
        <w:spacing w:line="360" w:lineRule="auto"/>
        <w:rPr>
          <w:rFonts w:hint="eastAsia"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邮政编码：</w:t>
      </w:r>
    </w:p>
    <w:p w14:paraId="3B37E24C">
      <w:pPr>
        <w:spacing w:line="360" w:lineRule="auto"/>
        <w:rPr>
          <w:rFonts w:hint="eastAsia" w:ascii="仿宋" w:hAnsi="仿宋" w:eastAsia="仿宋" w:cs="仿宋"/>
          <w:color w:val="auto"/>
          <w:sz w:val="24"/>
          <w:szCs w:val="24"/>
          <w:highlight w:val="none"/>
          <w:shd w:val="clear" w:color="auto" w:fill="FFFFFF" w:themeFill="background1"/>
        </w:rPr>
      </w:pPr>
    </w:p>
    <w:p w14:paraId="69F15E7D">
      <w:pPr>
        <w:spacing w:line="360" w:lineRule="auto"/>
        <w:rPr>
          <w:rFonts w:hint="eastAsia"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联系人：</w:t>
      </w:r>
    </w:p>
    <w:p w14:paraId="6BC2DC4A">
      <w:pPr>
        <w:spacing w:line="360" w:lineRule="auto"/>
        <w:rPr>
          <w:rFonts w:hint="eastAsia" w:ascii="仿宋" w:hAnsi="仿宋" w:eastAsia="仿宋" w:cs="仿宋"/>
          <w:color w:val="auto"/>
          <w:sz w:val="24"/>
          <w:szCs w:val="24"/>
          <w:highlight w:val="none"/>
          <w:shd w:val="clear" w:color="auto" w:fill="FFFFFF" w:themeFill="background1"/>
        </w:rPr>
      </w:pPr>
    </w:p>
    <w:p w14:paraId="2D89FEE4">
      <w:pPr>
        <w:spacing w:line="360" w:lineRule="auto"/>
        <w:rPr>
          <w:rFonts w:hint="eastAsia"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联系电话：</w:t>
      </w:r>
    </w:p>
    <w:p w14:paraId="22043BFC">
      <w:pPr>
        <w:spacing w:line="360" w:lineRule="auto"/>
        <w:rPr>
          <w:rFonts w:hint="eastAsia" w:ascii="仿宋" w:hAnsi="仿宋" w:eastAsia="仿宋" w:cs="仿宋"/>
          <w:color w:val="auto"/>
          <w:sz w:val="24"/>
          <w:szCs w:val="24"/>
          <w:highlight w:val="none"/>
          <w:shd w:val="clear" w:color="auto" w:fill="FFFFFF" w:themeFill="background1"/>
        </w:rPr>
      </w:pPr>
    </w:p>
    <w:p w14:paraId="177DED25">
      <w:pPr>
        <w:spacing w:line="360" w:lineRule="auto"/>
        <w:ind w:firstLine="2" w:firstLineChars="1"/>
        <w:jc w:val="center"/>
        <w:rPr>
          <w:rFonts w:hint="eastAsia"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年  月  日</w:t>
      </w:r>
    </w:p>
    <w:p w14:paraId="54FF5991">
      <w:pPr>
        <w:spacing w:line="360" w:lineRule="auto"/>
        <w:ind w:firstLine="2" w:firstLineChars="1"/>
        <w:jc w:val="center"/>
        <w:rPr>
          <w:rFonts w:hint="eastAsia" w:ascii="仿宋" w:hAnsi="仿宋" w:eastAsia="仿宋" w:cs="仿宋"/>
          <w:color w:val="auto"/>
          <w:sz w:val="24"/>
          <w:szCs w:val="24"/>
          <w:highlight w:val="none"/>
          <w:shd w:val="clear" w:color="auto" w:fill="FFFFFF" w:themeFill="background1"/>
        </w:rPr>
      </w:pPr>
    </w:p>
    <w:p w14:paraId="631BE132">
      <w:pPr>
        <w:spacing w:line="360" w:lineRule="auto"/>
        <w:jc w:val="center"/>
        <w:rPr>
          <w:rFonts w:hint="eastAsia"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br w:type="page"/>
      </w:r>
      <w:bookmarkStart w:id="41" w:name="_Toc38910521"/>
      <w:bookmarkStart w:id="42" w:name="_Toc38446469"/>
      <w:r>
        <w:rPr>
          <w:rFonts w:hint="eastAsia" w:ascii="仿宋" w:hAnsi="仿宋" w:eastAsia="仿宋" w:cs="仿宋"/>
          <w:color w:val="auto"/>
          <w:sz w:val="24"/>
          <w:szCs w:val="24"/>
          <w:highlight w:val="none"/>
          <w:shd w:val="clear" w:color="auto" w:fill="FFFFFF" w:themeFill="background1"/>
        </w:rPr>
        <w:t>目录</w:t>
      </w:r>
      <w:bookmarkEnd w:id="41"/>
      <w:bookmarkEnd w:id="42"/>
    </w:p>
    <w:p w14:paraId="3F9B2CFB">
      <w:pPr>
        <w:spacing w:line="360" w:lineRule="auto"/>
        <w:ind w:firstLine="240" w:firstLineChars="1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一、开启一览表</w:t>
      </w:r>
    </w:p>
    <w:p w14:paraId="3F196FA7">
      <w:pPr>
        <w:spacing w:line="360" w:lineRule="auto"/>
        <w:ind w:firstLine="240" w:firstLineChars="1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二、响应函</w:t>
      </w:r>
    </w:p>
    <w:p w14:paraId="4DDD24AC">
      <w:pPr>
        <w:spacing w:line="360" w:lineRule="auto"/>
        <w:ind w:firstLine="240" w:firstLineChars="1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三、响应价格明细表</w:t>
      </w:r>
    </w:p>
    <w:p w14:paraId="37D4AD81">
      <w:pPr>
        <w:spacing w:line="360" w:lineRule="auto"/>
        <w:ind w:firstLine="240" w:firstLineChars="1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四、商务条款偏离表</w:t>
      </w:r>
    </w:p>
    <w:p w14:paraId="75111197">
      <w:pPr>
        <w:spacing w:line="360" w:lineRule="auto"/>
        <w:ind w:firstLine="240" w:firstLineChars="1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五、技术条款偏离表</w:t>
      </w:r>
    </w:p>
    <w:p w14:paraId="2ADCC4FE">
      <w:pPr>
        <w:spacing w:line="360" w:lineRule="auto"/>
        <w:ind w:firstLine="240" w:firstLineChars="1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六、法定代表人身份证明书</w:t>
      </w:r>
    </w:p>
    <w:p w14:paraId="727E16EB">
      <w:pPr>
        <w:spacing w:line="360" w:lineRule="auto"/>
        <w:ind w:firstLine="240" w:firstLineChars="1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七、法定代表人授权委托书</w:t>
      </w:r>
    </w:p>
    <w:p w14:paraId="6A421C9F">
      <w:pPr>
        <w:spacing w:line="360" w:lineRule="auto"/>
        <w:ind w:firstLine="240" w:firstLineChars="1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八、供应商资格条件证明材料</w:t>
      </w:r>
    </w:p>
    <w:p w14:paraId="0550E54B">
      <w:pPr>
        <w:spacing w:line="360" w:lineRule="auto"/>
        <w:ind w:firstLine="240" w:firstLineChars="1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九、供应商近年类似项目情况表</w:t>
      </w:r>
    </w:p>
    <w:p w14:paraId="0B792672">
      <w:pPr>
        <w:spacing w:line="360" w:lineRule="auto"/>
        <w:ind w:firstLine="240" w:firstLineChars="1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十、售后服务承诺书</w:t>
      </w:r>
    </w:p>
    <w:p w14:paraId="41C49FBB">
      <w:pPr>
        <w:spacing w:line="360" w:lineRule="auto"/>
        <w:ind w:firstLine="240" w:firstLineChars="1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十一、技术方案</w:t>
      </w:r>
    </w:p>
    <w:p w14:paraId="2F30AB3E">
      <w:pPr>
        <w:spacing w:line="360" w:lineRule="auto"/>
        <w:ind w:firstLine="240" w:firstLineChars="1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十二、保证金缴纳证明材料</w:t>
      </w:r>
    </w:p>
    <w:p w14:paraId="792628FC">
      <w:pPr>
        <w:spacing w:line="360" w:lineRule="auto"/>
        <w:ind w:firstLine="240" w:firstLineChars="1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十三、其它需要提交的资料</w:t>
      </w:r>
    </w:p>
    <w:p w14:paraId="47FF45FB">
      <w:pPr>
        <w:pStyle w:val="9"/>
        <w:spacing w:line="360" w:lineRule="auto"/>
        <w:ind w:firstLine="480"/>
        <w:rPr>
          <w:rFonts w:hint="eastAsia" w:ascii="仿宋" w:hAnsi="仿宋" w:eastAsia="仿宋" w:cs="仿宋"/>
          <w:color w:val="auto"/>
          <w:highlight w:val="none"/>
        </w:rPr>
      </w:pPr>
    </w:p>
    <w:p w14:paraId="272C8088">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注：为了便于查找，请按上述顺序编制响应文件内容，并在目录中标明每项内容的起始页码。</w:t>
      </w:r>
    </w:p>
    <w:p w14:paraId="714BACC8">
      <w:pPr>
        <w:tabs>
          <w:tab w:val="center" w:pos="4832"/>
          <w:tab w:val="left" w:pos="7140"/>
        </w:tabs>
        <w:jc w:val="center"/>
        <w:outlineLvl w:val="1"/>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br w:type="page"/>
      </w:r>
      <w:bookmarkStart w:id="43" w:name="_Toc24099"/>
      <w:bookmarkStart w:id="44" w:name="_Toc20549"/>
      <w:bookmarkStart w:id="45" w:name="_Toc6644"/>
      <w:bookmarkStart w:id="46" w:name="_Toc8222"/>
      <w:r>
        <w:rPr>
          <w:rFonts w:hint="eastAsia" w:ascii="仿宋" w:hAnsi="仿宋" w:eastAsia="仿宋" w:cs="仿宋"/>
          <w:b/>
          <w:color w:val="auto"/>
          <w:sz w:val="24"/>
          <w:szCs w:val="24"/>
          <w:highlight w:val="none"/>
        </w:rPr>
        <w:t>一、</w:t>
      </w:r>
      <w:bookmarkEnd w:id="43"/>
      <w:bookmarkEnd w:id="44"/>
      <w:bookmarkEnd w:id="45"/>
      <w:r>
        <w:rPr>
          <w:rFonts w:hint="eastAsia" w:ascii="仿宋" w:hAnsi="仿宋" w:eastAsia="仿宋" w:cs="仿宋"/>
          <w:b/>
          <w:color w:val="auto"/>
          <w:sz w:val="24"/>
          <w:szCs w:val="24"/>
          <w:highlight w:val="none"/>
        </w:rPr>
        <w:t>开启一览表</w:t>
      </w:r>
      <w:bookmarkEnd w:id="46"/>
    </w:p>
    <w:p w14:paraId="7F306A84">
      <w:pPr>
        <w:rPr>
          <w:rFonts w:hint="eastAsia" w:ascii="仿宋" w:hAnsi="仿宋" w:eastAsia="仿宋" w:cs="仿宋"/>
          <w:color w:val="auto"/>
          <w:highlight w:val="none"/>
        </w:rPr>
      </w:pPr>
    </w:p>
    <w:p w14:paraId="7F733F83">
      <w:pPr>
        <w:rPr>
          <w:rFonts w:hint="eastAsia" w:ascii="仿宋" w:hAnsi="仿宋" w:eastAsia="仿宋" w:cs="仿宋"/>
          <w:color w:val="auto"/>
          <w:highlight w:val="none"/>
        </w:rPr>
      </w:pPr>
    </w:p>
    <w:tbl>
      <w:tblPr>
        <w:tblStyle w:val="43"/>
        <w:tblpPr w:leftFromText="180" w:rightFromText="180" w:vertAnchor="text" w:horzAnchor="page" w:tblpX="1590" w:tblpY="473"/>
        <w:tblOverlap w:val="never"/>
        <w:tblW w:w="480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79"/>
        <w:gridCol w:w="6249"/>
      </w:tblGrid>
      <w:tr w14:paraId="7E49B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trPr>
        <w:tc>
          <w:tcPr>
            <w:tcW w:w="1500" w:type="pct"/>
            <w:tcBorders>
              <w:top w:val="single" w:color="auto" w:sz="4" w:space="0"/>
              <w:left w:val="single" w:color="auto" w:sz="4" w:space="0"/>
              <w:bottom w:val="single" w:color="auto" w:sz="4" w:space="0"/>
              <w:right w:val="single" w:color="auto" w:sz="4" w:space="0"/>
            </w:tcBorders>
            <w:vAlign w:val="center"/>
          </w:tcPr>
          <w:p w14:paraId="035884A5">
            <w:pPr>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项目名称</w:t>
            </w:r>
          </w:p>
        </w:tc>
        <w:tc>
          <w:tcPr>
            <w:tcW w:w="3499" w:type="pct"/>
            <w:tcBorders>
              <w:left w:val="single" w:color="auto" w:sz="4" w:space="0"/>
            </w:tcBorders>
            <w:vAlign w:val="center"/>
          </w:tcPr>
          <w:p w14:paraId="75E571C0">
            <w:pPr>
              <w:spacing w:line="360" w:lineRule="auto"/>
              <w:ind w:right="-670"/>
              <w:rPr>
                <w:rFonts w:hint="eastAsia" w:ascii="仿宋" w:hAnsi="仿宋" w:eastAsia="仿宋" w:cs="仿宋"/>
                <w:bCs/>
                <w:color w:val="auto"/>
                <w:sz w:val="24"/>
                <w:szCs w:val="24"/>
                <w:highlight w:val="none"/>
              </w:rPr>
            </w:pPr>
          </w:p>
        </w:tc>
      </w:tr>
      <w:tr w14:paraId="3AA52A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trPr>
        <w:tc>
          <w:tcPr>
            <w:tcW w:w="1500" w:type="pct"/>
            <w:tcBorders>
              <w:top w:val="single" w:color="auto" w:sz="4" w:space="0"/>
              <w:left w:val="single" w:color="auto" w:sz="4" w:space="0"/>
              <w:bottom w:val="single" w:color="auto" w:sz="4" w:space="0"/>
              <w:right w:val="single" w:color="auto" w:sz="4" w:space="0"/>
            </w:tcBorders>
            <w:vAlign w:val="center"/>
          </w:tcPr>
          <w:p w14:paraId="6DA5350C">
            <w:pPr>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项目编号</w:t>
            </w:r>
          </w:p>
        </w:tc>
        <w:tc>
          <w:tcPr>
            <w:tcW w:w="3499" w:type="pct"/>
            <w:tcBorders>
              <w:left w:val="single" w:color="auto" w:sz="4" w:space="0"/>
            </w:tcBorders>
            <w:vAlign w:val="center"/>
          </w:tcPr>
          <w:p w14:paraId="75F106F7">
            <w:pPr>
              <w:spacing w:line="360" w:lineRule="auto"/>
              <w:ind w:right="-670"/>
              <w:rPr>
                <w:rFonts w:hint="eastAsia" w:ascii="仿宋" w:hAnsi="仿宋" w:eastAsia="仿宋" w:cs="仿宋"/>
                <w:bCs/>
                <w:color w:val="auto"/>
                <w:sz w:val="24"/>
                <w:szCs w:val="24"/>
                <w:highlight w:val="none"/>
              </w:rPr>
            </w:pPr>
          </w:p>
        </w:tc>
      </w:tr>
      <w:tr w14:paraId="02272A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5" w:hRule="exact"/>
        </w:trPr>
        <w:tc>
          <w:tcPr>
            <w:tcW w:w="1500" w:type="pct"/>
            <w:tcBorders>
              <w:top w:val="single" w:color="auto" w:sz="4" w:space="0"/>
              <w:left w:val="single" w:color="auto" w:sz="4" w:space="0"/>
              <w:bottom w:val="single" w:color="auto" w:sz="4" w:space="0"/>
              <w:right w:val="single" w:color="auto" w:sz="4" w:space="0"/>
            </w:tcBorders>
            <w:vAlign w:val="center"/>
          </w:tcPr>
          <w:p w14:paraId="6D59FC80">
            <w:pPr>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响应价格</w:t>
            </w:r>
          </w:p>
        </w:tc>
        <w:tc>
          <w:tcPr>
            <w:tcW w:w="3499" w:type="pct"/>
            <w:tcBorders>
              <w:left w:val="single" w:color="auto" w:sz="4" w:space="0"/>
            </w:tcBorders>
            <w:vAlign w:val="center"/>
          </w:tcPr>
          <w:p w14:paraId="3038B755">
            <w:pPr>
              <w:spacing w:line="360" w:lineRule="auto"/>
              <w:ind w:right="-670"/>
              <w:rPr>
                <w:rFonts w:hint="eastAsia" w:ascii="仿宋" w:hAnsi="仿宋" w:eastAsia="仿宋" w:cs="仿宋"/>
                <w:bCs/>
                <w:color w:val="auto"/>
                <w:sz w:val="24"/>
                <w:szCs w:val="24"/>
                <w:highlight w:val="none"/>
                <w:u w:val="single"/>
              </w:rPr>
            </w:pPr>
            <w:r>
              <w:rPr>
                <w:rFonts w:hint="eastAsia" w:ascii="仿宋" w:hAnsi="仿宋" w:eastAsia="仿宋" w:cs="仿宋"/>
                <w:bCs/>
                <w:color w:val="auto"/>
                <w:sz w:val="24"/>
                <w:szCs w:val="24"/>
                <w:highlight w:val="none"/>
              </w:rPr>
              <w:t>小写：</w:t>
            </w:r>
            <w:r>
              <w:rPr>
                <w:rFonts w:hint="eastAsia" w:ascii="仿宋" w:hAnsi="仿宋" w:eastAsia="仿宋" w:cs="仿宋"/>
                <w:bCs/>
                <w:color w:val="auto"/>
                <w:sz w:val="24"/>
                <w:szCs w:val="24"/>
                <w:highlight w:val="none"/>
                <w:u w:val="single"/>
              </w:rPr>
              <w:t xml:space="preserve">                 元</w:t>
            </w:r>
          </w:p>
          <w:p w14:paraId="0ADE0309">
            <w:pPr>
              <w:pStyle w:val="42"/>
              <w:ind w:left="0" w:leftChars="0" w:firstLine="0" w:firstLineChars="0"/>
              <w:rPr>
                <w:rFonts w:hint="eastAsia" w:ascii="仿宋" w:hAnsi="仿宋" w:eastAsia="仿宋" w:cs="仿宋"/>
                <w:color w:val="auto"/>
                <w:highlight w:val="none"/>
              </w:rPr>
            </w:pPr>
            <w:r>
              <w:rPr>
                <w:rFonts w:hint="eastAsia" w:ascii="仿宋" w:hAnsi="仿宋" w:eastAsia="仿宋" w:cs="仿宋"/>
                <w:bCs/>
                <w:color w:val="auto"/>
                <w:sz w:val="24"/>
                <w:szCs w:val="24"/>
                <w:highlight w:val="none"/>
              </w:rPr>
              <w:t>大写：</w:t>
            </w:r>
            <w:r>
              <w:rPr>
                <w:rFonts w:hint="eastAsia" w:ascii="仿宋" w:hAnsi="仿宋" w:eastAsia="仿宋" w:cs="仿宋"/>
                <w:bCs/>
                <w:color w:val="auto"/>
                <w:sz w:val="24"/>
                <w:szCs w:val="24"/>
                <w:highlight w:val="none"/>
                <w:u w:val="single"/>
              </w:rPr>
              <w:t xml:space="preserve">                 元</w:t>
            </w:r>
          </w:p>
        </w:tc>
      </w:tr>
      <w:tr w14:paraId="189D00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5" w:hRule="exact"/>
        </w:trPr>
        <w:tc>
          <w:tcPr>
            <w:tcW w:w="1500" w:type="pct"/>
            <w:tcBorders>
              <w:top w:val="single" w:color="auto" w:sz="4" w:space="0"/>
              <w:left w:val="single" w:color="auto" w:sz="4" w:space="0"/>
              <w:bottom w:val="single" w:color="auto" w:sz="4" w:space="0"/>
              <w:right w:val="single" w:color="auto" w:sz="4" w:space="0"/>
            </w:tcBorders>
            <w:vAlign w:val="center"/>
          </w:tcPr>
          <w:p w14:paraId="33A43BC6">
            <w:pPr>
              <w:snapToGrid w:val="0"/>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合同履约期限</w:t>
            </w:r>
          </w:p>
        </w:tc>
        <w:tc>
          <w:tcPr>
            <w:tcW w:w="3499" w:type="pct"/>
            <w:tcBorders>
              <w:left w:val="single" w:color="auto" w:sz="4" w:space="0"/>
            </w:tcBorders>
            <w:vAlign w:val="center"/>
          </w:tcPr>
          <w:p w14:paraId="3E95EC74">
            <w:pPr>
              <w:snapToGrid w:val="0"/>
              <w:spacing w:line="360" w:lineRule="auto"/>
              <w:rPr>
                <w:rFonts w:hint="eastAsia" w:ascii="仿宋" w:hAnsi="仿宋" w:eastAsia="仿宋" w:cs="仿宋"/>
                <w:bCs/>
                <w:color w:val="auto"/>
                <w:sz w:val="24"/>
                <w:szCs w:val="24"/>
                <w:highlight w:val="none"/>
              </w:rPr>
            </w:pPr>
          </w:p>
        </w:tc>
      </w:tr>
      <w:tr w14:paraId="162332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1" w:hRule="exact"/>
        </w:trPr>
        <w:tc>
          <w:tcPr>
            <w:tcW w:w="1500" w:type="pct"/>
            <w:tcBorders>
              <w:top w:val="single" w:color="auto" w:sz="4" w:space="0"/>
              <w:left w:val="single" w:color="auto" w:sz="4" w:space="0"/>
              <w:bottom w:val="single" w:color="auto" w:sz="4" w:space="0"/>
              <w:right w:val="single" w:color="auto" w:sz="4" w:space="0"/>
            </w:tcBorders>
            <w:vAlign w:val="center"/>
          </w:tcPr>
          <w:p w14:paraId="5A2CBAFB">
            <w:pPr>
              <w:snapToGrid w:val="0"/>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质保期</w:t>
            </w:r>
          </w:p>
        </w:tc>
        <w:tc>
          <w:tcPr>
            <w:tcW w:w="3499" w:type="pct"/>
            <w:tcBorders>
              <w:left w:val="single" w:color="auto" w:sz="4" w:space="0"/>
            </w:tcBorders>
            <w:vAlign w:val="center"/>
          </w:tcPr>
          <w:p w14:paraId="010E2161">
            <w:pPr>
              <w:snapToGrid w:val="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本项目货物质保期为：</w:t>
            </w:r>
            <w:r>
              <w:rPr>
                <w:rFonts w:hint="eastAsia" w:ascii="仿宋" w:hAnsi="仿宋" w:eastAsia="仿宋" w:cs="仿宋"/>
                <w:bCs/>
                <w:color w:val="auto"/>
                <w:sz w:val="24"/>
                <w:szCs w:val="24"/>
                <w:highlight w:val="none"/>
                <w:u w:val="single"/>
              </w:rPr>
              <w:t xml:space="preserve">  年，</w:t>
            </w:r>
            <w:r>
              <w:rPr>
                <w:rFonts w:hint="eastAsia" w:ascii="仿宋" w:hAnsi="仿宋" w:eastAsia="仿宋" w:cs="仿宋"/>
                <w:bCs/>
                <w:color w:val="auto"/>
                <w:sz w:val="24"/>
                <w:szCs w:val="24"/>
                <w:highlight w:val="none"/>
              </w:rPr>
              <w:t>自采购人及相关部门总体验收合格之日起计算。如果由于我方责任致使不能验收，此质保期相应顺延。</w:t>
            </w:r>
          </w:p>
        </w:tc>
      </w:tr>
      <w:tr w14:paraId="4215BD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trPr>
        <w:tc>
          <w:tcPr>
            <w:tcW w:w="1500" w:type="pct"/>
            <w:tcBorders>
              <w:top w:val="single" w:color="auto" w:sz="4" w:space="0"/>
              <w:left w:val="single" w:color="auto" w:sz="4" w:space="0"/>
              <w:bottom w:val="single" w:color="auto" w:sz="4" w:space="0"/>
              <w:right w:val="single" w:color="auto" w:sz="4" w:space="0"/>
            </w:tcBorders>
            <w:vAlign w:val="center"/>
          </w:tcPr>
          <w:p w14:paraId="5F617F0D">
            <w:pPr>
              <w:snapToGrid w:val="0"/>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响应有效期</w:t>
            </w:r>
          </w:p>
        </w:tc>
        <w:tc>
          <w:tcPr>
            <w:tcW w:w="3499" w:type="pct"/>
            <w:tcBorders>
              <w:left w:val="single" w:color="auto" w:sz="4" w:space="0"/>
            </w:tcBorders>
            <w:vAlign w:val="center"/>
          </w:tcPr>
          <w:p w14:paraId="3A53F61E">
            <w:pPr>
              <w:snapToGrid w:val="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自响应截止之日90日历日</w:t>
            </w:r>
          </w:p>
        </w:tc>
      </w:tr>
      <w:tr w14:paraId="43DD98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trPr>
        <w:tc>
          <w:tcPr>
            <w:tcW w:w="1500" w:type="pct"/>
            <w:tcBorders>
              <w:top w:val="single" w:color="auto" w:sz="4" w:space="0"/>
              <w:left w:val="single" w:color="auto" w:sz="4" w:space="0"/>
              <w:bottom w:val="single" w:color="auto" w:sz="4" w:space="0"/>
              <w:right w:val="single" w:color="auto" w:sz="4" w:space="0"/>
            </w:tcBorders>
            <w:vAlign w:val="center"/>
          </w:tcPr>
          <w:p w14:paraId="571B964E">
            <w:pPr>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备注</w:t>
            </w:r>
          </w:p>
        </w:tc>
        <w:tc>
          <w:tcPr>
            <w:tcW w:w="3499" w:type="pct"/>
            <w:tcBorders>
              <w:left w:val="single" w:color="auto" w:sz="4" w:space="0"/>
            </w:tcBorders>
            <w:vAlign w:val="center"/>
          </w:tcPr>
          <w:p w14:paraId="58620819">
            <w:pPr>
              <w:rPr>
                <w:rFonts w:hint="eastAsia" w:ascii="仿宋" w:hAnsi="仿宋" w:eastAsia="仿宋" w:cs="仿宋"/>
                <w:bCs/>
                <w:color w:val="auto"/>
                <w:sz w:val="24"/>
                <w:szCs w:val="24"/>
                <w:highlight w:val="none"/>
              </w:rPr>
            </w:pPr>
          </w:p>
        </w:tc>
      </w:tr>
    </w:tbl>
    <w:p w14:paraId="2722C751">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p>
    <w:p w14:paraId="7C453C46">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p>
    <w:p w14:paraId="07263F12">
      <w:pPr>
        <w:pStyle w:val="42"/>
        <w:ind w:left="420"/>
        <w:rPr>
          <w:rFonts w:hint="eastAsia" w:ascii="仿宋" w:hAnsi="仿宋" w:eastAsia="仿宋" w:cs="仿宋"/>
          <w:color w:val="auto"/>
          <w:highlight w:val="none"/>
        </w:rPr>
      </w:pPr>
    </w:p>
    <w:p w14:paraId="614E4FE8">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供应商：</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（盖章）</w:t>
      </w:r>
    </w:p>
    <w:p w14:paraId="145C643B">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p>
    <w:p w14:paraId="377DE2F5">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法定代表人：</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（盖章或签字）</w:t>
      </w:r>
    </w:p>
    <w:p w14:paraId="73789B54">
      <w:pPr>
        <w:widowControl/>
        <w:shd w:val="clear" w:color="auto" w:fill="FFFFFF"/>
        <w:wordWrap w:val="0"/>
        <w:snapToGrid w:val="0"/>
        <w:spacing w:line="384" w:lineRule="auto"/>
        <w:ind w:firstLine="420"/>
        <w:jc w:val="righ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日期：     年   月   日</w:t>
      </w:r>
    </w:p>
    <w:p w14:paraId="74EBECE8">
      <w:pP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br w:type="page"/>
      </w:r>
    </w:p>
    <w:p w14:paraId="19EC892E">
      <w:pPr>
        <w:tabs>
          <w:tab w:val="center" w:pos="4832"/>
          <w:tab w:val="left" w:pos="7140"/>
        </w:tabs>
        <w:jc w:val="center"/>
        <w:outlineLvl w:val="1"/>
        <w:rPr>
          <w:rFonts w:hint="eastAsia" w:ascii="仿宋" w:hAnsi="仿宋" w:eastAsia="仿宋" w:cs="仿宋"/>
          <w:b/>
          <w:color w:val="auto"/>
          <w:sz w:val="24"/>
          <w:szCs w:val="24"/>
          <w:highlight w:val="none"/>
        </w:rPr>
      </w:pPr>
      <w:bookmarkStart w:id="47" w:name="_Toc5710"/>
      <w:bookmarkStart w:id="48" w:name="_Toc17938"/>
      <w:bookmarkStart w:id="49" w:name="_Toc13707"/>
      <w:bookmarkStart w:id="50" w:name="_Toc15357"/>
      <w:r>
        <w:rPr>
          <w:rFonts w:hint="eastAsia" w:ascii="仿宋" w:hAnsi="仿宋" w:eastAsia="仿宋" w:cs="仿宋"/>
          <w:b/>
          <w:color w:val="auto"/>
          <w:sz w:val="24"/>
          <w:szCs w:val="24"/>
          <w:highlight w:val="none"/>
        </w:rPr>
        <w:t>二、</w:t>
      </w:r>
      <w:bookmarkEnd w:id="47"/>
      <w:bookmarkEnd w:id="48"/>
      <w:bookmarkEnd w:id="49"/>
      <w:r>
        <w:rPr>
          <w:rFonts w:hint="eastAsia" w:ascii="仿宋" w:hAnsi="仿宋" w:eastAsia="仿宋" w:cs="仿宋"/>
          <w:b/>
          <w:color w:val="auto"/>
          <w:sz w:val="24"/>
          <w:szCs w:val="24"/>
          <w:highlight w:val="none"/>
        </w:rPr>
        <w:t>响应函</w:t>
      </w:r>
      <w:bookmarkEnd w:id="50"/>
    </w:p>
    <w:p w14:paraId="225757CB">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p>
    <w:p w14:paraId="0BCFD56D">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致：</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（采购人名称）</w:t>
      </w:r>
    </w:p>
    <w:p w14:paraId="3F3B5F6F">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p>
    <w:p w14:paraId="63C8FEF0">
      <w:pPr>
        <w:widowControl/>
        <w:shd w:val="clear" w:color="auto" w:fill="FFFFFF"/>
        <w:snapToGrid w:val="0"/>
        <w:spacing w:line="384" w:lineRule="auto"/>
        <w:ind w:firstLine="42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根据已收到的</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（项目名称）的采购文件，遵照《中华人民共和国政府采购法》等有关法律法规的规定，经考察现场和充分研究贵方的采购文件的全部内容后，我方郑重承诺如下：</w:t>
      </w:r>
    </w:p>
    <w:p w14:paraId="30E92052">
      <w:pPr>
        <w:widowControl/>
        <w:shd w:val="clear" w:color="auto" w:fill="FFFFFF"/>
        <w:snapToGrid w:val="0"/>
        <w:spacing w:line="360" w:lineRule="auto"/>
        <w:ind w:firstLine="420"/>
        <w:jc w:val="left"/>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rPr>
        <w:t>1</w:t>
      </w:r>
      <w:r>
        <w:rPr>
          <w:rFonts w:hint="eastAsia" w:ascii="仿宋" w:hAnsi="仿宋" w:eastAsia="仿宋" w:cs="仿宋"/>
          <w:color w:val="auto"/>
          <w:kern w:val="0"/>
          <w:sz w:val="24"/>
          <w:szCs w:val="24"/>
          <w:highlight w:val="none"/>
          <w:lang w:val="zh-CN"/>
        </w:rPr>
        <w:t xml:space="preserve">、不向项目有关人员及部门赠送礼金礼物、有价证券、回扣以及中介费、介绍费、咨询费等好处费；不为项目有关人员及部门报销应由你方单位或个人支付的费用。 </w:t>
      </w:r>
    </w:p>
    <w:p w14:paraId="7A89A92D">
      <w:pPr>
        <w:widowControl/>
        <w:shd w:val="clear" w:color="auto" w:fill="FFFFFF"/>
        <w:snapToGrid w:val="0"/>
        <w:spacing w:line="360" w:lineRule="auto"/>
        <w:ind w:firstLine="420"/>
        <w:jc w:val="left"/>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rPr>
        <w:t>2</w:t>
      </w:r>
      <w:r>
        <w:rPr>
          <w:rFonts w:hint="eastAsia" w:ascii="仿宋" w:hAnsi="仿宋" w:eastAsia="仿宋" w:cs="仿宋"/>
          <w:color w:val="auto"/>
          <w:kern w:val="0"/>
          <w:sz w:val="24"/>
          <w:szCs w:val="24"/>
          <w:highlight w:val="none"/>
          <w:lang w:val="zh-CN"/>
        </w:rPr>
        <w:t>、不向项目有关人员及部门提供有可能影响公正的宴请和健身娱乐等活动；不为项目有关人员及部门出国（境）、旅游等提供方便；不为项目有关人员个人装修住房、婚丧嫁娶、配偶子女工作安排等提供好处。</w:t>
      </w:r>
    </w:p>
    <w:p w14:paraId="0E2C16D1">
      <w:pPr>
        <w:widowControl/>
        <w:shd w:val="clear" w:color="auto" w:fill="FFFFFF"/>
        <w:snapToGrid w:val="0"/>
        <w:spacing w:line="360" w:lineRule="auto"/>
        <w:ind w:firstLine="42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w:t>
      </w:r>
      <w:r>
        <w:rPr>
          <w:rFonts w:hint="eastAsia" w:ascii="仿宋" w:hAnsi="仿宋" w:eastAsia="仿宋" w:cs="仿宋"/>
          <w:color w:val="auto"/>
          <w:kern w:val="0"/>
          <w:sz w:val="24"/>
          <w:szCs w:val="24"/>
          <w:highlight w:val="none"/>
          <w:lang w:val="zh-CN"/>
        </w:rPr>
        <w:t xml:space="preserve">、严格遵守《中华人民共和国政府采购法》、《中华人民共和国民法典》等法律法规，诚实守信，合法经营，坚决抵制各种违法违纪行为。 </w:t>
      </w:r>
    </w:p>
    <w:p w14:paraId="4C73FFF4">
      <w:pPr>
        <w:widowControl/>
        <w:shd w:val="clear" w:color="auto" w:fill="FFFFFF"/>
        <w:snapToGrid w:val="0"/>
        <w:spacing w:line="360" w:lineRule="auto"/>
        <w:ind w:firstLine="420"/>
        <w:jc w:val="lef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rPr>
        <w:t>4、我方所递交的响应文件及有关资料内容完整、真实和准确，且不存在供应商须知前附表规定的供应商不得存在的任何一种情形。</w:t>
      </w:r>
    </w:p>
    <w:p w14:paraId="192F1E0B">
      <w:pPr>
        <w:widowControl/>
        <w:shd w:val="clear" w:color="auto" w:fill="FFFFFF"/>
        <w:snapToGrid w:val="0"/>
        <w:spacing w:line="360" w:lineRule="auto"/>
        <w:ind w:firstLine="420"/>
        <w:jc w:val="lef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5、本</w:t>
      </w:r>
      <w:r>
        <w:rPr>
          <w:rFonts w:hint="eastAsia" w:ascii="仿宋" w:hAnsi="仿宋" w:eastAsia="仿宋" w:cs="仿宋"/>
          <w:color w:val="auto"/>
          <w:sz w:val="24"/>
          <w:szCs w:val="24"/>
          <w:highlight w:val="none"/>
          <w:shd w:val="clear" w:color="auto" w:fill="FFFFFF" w:themeFill="background1"/>
        </w:rPr>
        <w:t>响应文件</w:t>
      </w:r>
      <w:r>
        <w:rPr>
          <w:rFonts w:hint="eastAsia" w:ascii="仿宋" w:hAnsi="仿宋" w:eastAsia="仿宋" w:cs="仿宋"/>
          <w:color w:val="auto"/>
          <w:kern w:val="0"/>
          <w:sz w:val="24"/>
          <w:szCs w:val="24"/>
          <w:highlight w:val="none"/>
          <w:shd w:val="clear" w:color="auto" w:fill="FFFFFF" w:themeFill="background1"/>
        </w:rPr>
        <w:t>在</w:t>
      </w:r>
      <w:r>
        <w:rPr>
          <w:rFonts w:hint="eastAsia" w:ascii="仿宋" w:hAnsi="仿宋" w:eastAsia="仿宋" w:cs="仿宋"/>
          <w:color w:val="auto"/>
          <w:sz w:val="24"/>
          <w:szCs w:val="24"/>
          <w:highlight w:val="none"/>
          <w:shd w:val="clear" w:color="auto" w:fill="FFFFFF" w:themeFill="background1"/>
        </w:rPr>
        <w:t>采购文件</w:t>
      </w:r>
      <w:r>
        <w:rPr>
          <w:rFonts w:hint="eastAsia" w:ascii="仿宋" w:hAnsi="仿宋" w:eastAsia="仿宋" w:cs="仿宋"/>
          <w:color w:val="auto"/>
          <w:kern w:val="0"/>
          <w:sz w:val="24"/>
          <w:szCs w:val="24"/>
          <w:highlight w:val="none"/>
          <w:shd w:val="clear" w:color="auto" w:fill="FFFFFF" w:themeFill="background1"/>
        </w:rPr>
        <w:t>规定的响应有效期内对我方具有约束力，如果我方在响应有效期内撤销投标，其响应保证金将被贵方没收。</w:t>
      </w:r>
    </w:p>
    <w:p w14:paraId="3FA03CC6">
      <w:pPr>
        <w:widowControl/>
        <w:shd w:val="clear" w:color="auto" w:fill="FFFFFF"/>
        <w:snapToGrid w:val="0"/>
        <w:spacing w:line="360" w:lineRule="auto"/>
        <w:ind w:firstLine="42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shd w:val="clear" w:color="auto" w:fill="FFFFFF" w:themeFill="background1"/>
        </w:rPr>
        <w:t>6、</w:t>
      </w:r>
      <w:r>
        <w:rPr>
          <w:rFonts w:hint="eastAsia" w:ascii="仿宋" w:hAnsi="仿宋" w:eastAsia="仿宋" w:cs="仿宋"/>
          <w:color w:val="auto"/>
          <w:kern w:val="0"/>
          <w:sz w:val="24"/>
          <w:szCs w:val="24"/>
          <w:highlight w:val="none"/>
        </w:rPr>
        <w:t>我方已完全理解采购文件的全部内容，并无异议。</w:t>
      </w:r>
    </w:p>
    <w:p w14:paraId="01485B4A">
      <w:pPr>
        <w:widowControl/>
        <w:shd w:val="clear" w:color="auto" w:fill="FFFFFF"/>
        <w:snapToGrid w:val="0"/>
        <w:spacing w:line="360" w:lineRule="auto"/>
        <w:ind w:firstLine="420"/>
        <w:jc w:val="lef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7、如我方中标，我方自愿向代理机构支付咨询费，并在合同签订后1个工作日内向采购代理机构提供采购合同原件一份用于采购资料备案工作。</w:t>
      </w:r>
    </w:p>
    <w:p w14:paraId="4FE2D3D0">
      <w:pPr>
        <w:widowControl/>
        <w:shd w:val="clear" w:color="auto" w:fill="FFFFFF"/>
        <w:snapToGrid w:val="0"/>
        <w:spacing w:line="360" w:lineRule="auto"/>
        <w:ind w:firstLine="420"/>
        <w:jc w:val="lef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8、我方愿意提供贵方可能要求的与采购有关的一切数据或资料，完全理解贵方不一定接受最低投标报价的投标或收到的任何投标。</w:t>
      </w:r>
    </w:p>
    <w:p w14:paraId="4BE4B9AA">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p>
    <w:p w14:paraId="20B391AA">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供应商：</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（盖章）</w:t>
      </w:r>
    </w:p>
    <w:p w14:paraId="23E7F79C">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p>
    <w:p w14:paraId="1512CEC7">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法定代表人：</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（盖章或签字）</w:t>
      </w:r>
    </w:p>
    <w:p w14:paraId="0D935720">
      <w:pPr>
        <w:widowControl/>
        <w:shd w:val="clear" w:color="auto" w:fill="FFFFFF"/>
        <w:wordWrap w:val="0"/>
        <w:snapToGrid w:val="0"/>
        <w:spacing w:line="384" w:lineRule="auto"/>
        <w:ind w:firstLine="420"/>
        <w:jc w:val="righ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日期：     年   月   日</w:t>
      </w:r>
    </w:p>
    <w:p w14:paraId="68822E41">
      <w:pP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br w:type="page"/>
      </w:r>
    </w:p>
    <w:p w14:paraId="65356654">
      <w:pPr>
        <w:tabs>
          <w:tab w:val="center" w:pos="4832"/>
          <w:tab w:val="left" w:pos="7140"/>
        </w:tabs>
        <w:jc w:val="center"/>
        <w:outlineLvl w:val="1"/>
        <w:rPr>
          <w:rFonts w:hint="eastAsia" w:ascii="仿宋" w:hAnsi="仿宋" w:eastAsia="仿宋" w:cs="仿宋"/>
          <w:b/>
          <w:color w:val="auto"/>
          <w:sz w:val="24"/>
          <w:szCs w:val="24"/>
          <w:highlight w:val="none"/>
        </w:rPr>
      </w:pPr>
      <w:bookmarkStart w:id="51" w:name="_Toc110707965"/>
      <w:bookmarkStart w:id="52" w:name="_Toc9927"/>
      <w:bookmarkStart w:id="53" w:name="_Toc109941765"/>
      <w:bookmarkStart w:id="54" w:name="_Toc130252615"/>
      <w:bookmarkStart w:id="55" w:name="_Toc4866"/>
      <w:bookmarkStart w:id="56" w:name="_Toc109921158"/>
      <w:bookmarkStart w:id="57" w:name="_Toc12714"/>
      <w:r>
        <w:rPr>
          <w:rFonts w:hint="eastAsia" w:ascii="仿宋" w:hAnsi="仿宋" w:eastAsia="仿宋" w:cs="仿宋"/>
          <w:b/>
          <w:color w:val="auto"/>
          <w:sz w:val="24"/>
          <w:szCs w:val="24"/>
          <w:highlight w:val="none"/>
        </w:rPr>
        <w:t>三、</w:t>
      </w:r>
      <w:bookmarkEnd w:id="51"/>
      <w:bookmarkEnd w:id="52"/>
      <w:bookmarkEnd w:id="53"/>
      <w:bookmarkEnd w:id="54"/>
      <w:bookmarkEnd w:id="55"/>
      <w:bookmarkEnd w:id="56"/>
      <w:r>
        <w:rPr>
          <w:rFonts w:hint="eastAsia" w:ascii="仿宋" w:hAnsi="仿宋" w:eastAsia="仿宋" w:cs="仿宋"/>
          <w:b/>
          <w:color w:val="auto"/>
          <w:sz w:val="24"/>
          <w:szCs w:val="24"/>
          <w:highlight w:val="none"/>
        </w:rPr>
        <w:t>响应价格明细表</w:t>
      </w:r>
      <w:bookmarkEnd w:id="57"/>
    </w:p>
    <w:p w14:paraId="4CA381E0">
      <w:pPr>
        <w:spacing w:line="360" w:lineRule="auto"/>
        <w:jc w:val="left"/>
        <w:rPr>
          <w:rFonts w:hint="eastAsia" w:ascii="仿宋" w:hAnsi="仿宋" w:eastAsia="仿宋" w:cs="仿宋"/>
          <w:color w:val="auto"/>
          <w:sz w:val="24"/>
          <w:szCs w:val="24"/>
          <w:highlight w:val="none"/>
        </w:rPr>
      </w:pPr>
    </w:p>
    <w:tbl>
      <w:tblPr>
        <w:tblStyle w:val="43"/>
        <w:tblW w:w="458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03"/>
        <w:gridCol w:w="1054"/>
        <w:gridCol w:w="846"/>
        <w:gridCol w:w="834"/>
        <w:gridCol w:w="732"/>
        <w:gridCol w:w="732"/>
        <w:gridCol w:w="736"/>
        <w:gridCol w:w="1175"/>
        <w:gridCol w:w="939"/>
        <w:gridCol w:w="762"/>
      </w:tblGrid>
      <w:tr w14:paraId="416D44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4" w:hRule="atLeast"/>
          <w:jc w:val="center"/>
        </w:trPr>
        <w:tc>
          <w:tcPr>
            <w:tcW w:w="413" w:type="pct"/>
            <w:vAlign w:val="center"/>
          </w:tcPr>
          <w:p w14:paraId="37BA54A7">
            <w:pPr>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序号</w:t>
            </w:r>
          </w:p>
        </w:tc>
        <w:tc>
          <w:tcPr>
            <w:tcW w:w="619" w:type="pct"/>
            <w:vAlign w:val="center"/>
          </w:tcPr>
          <w:p w14:paraId="024E6230">
            <w:pPr>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标的名称</w:t>
            </w:r>
          </w:p>
        </w:tc>
        <w:tc>
          <w:tcPr>
            <w:tcW w:w="497" w:type="pct"/>
            <w:vAlign w:val="center"/>
          </w:tcPr>
          <w:p w14:paraId="141984E9">
            <w:pPr>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规格型号</w:t>
            </w:r>
          </w:p>
        </w:tc>
        <w:tc>
          <w:tcPr>
            <w:tcW w:w="490" w:type="pct"/>
            <w:vAlign w:val="center"/>
          </w:tcPr>
          <w:p w14:paraId="320C9E56">
            <w:pPr>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品牌</w:t>
            </w:r>
          </w:p>
        </w:tc>
        <w:tc>
          <w:tcPr>
            <w:tcW w:w="430" w:type="pct"/>
            <w:vAlign w:val="center"/>
          </w:tcPr>
          <w:p w14:paraId="292322DC">
            <w:pPr>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制造商</w:t>
            </w:r>
          </w:p>
        </w:tc>
        <w:tc>
          <w:tcPr>
            <w:tcW w:w="430" w:type="pct"/>
            <w:vAlign w:val="center"/>
          </w:tcPr>
          <w:p w14:paraId="43FD0EB0">
            <w:pPr>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单位</w:t>
            </w:r>
          </w:p>
        </w:tc>
        <w:tc>
          <w:tcPr>
            <w:tcW w:w="432" w:type="pct"/>
            <w:vAlign w:val="center"/>
          </w:tcPr>
          <w:p w14:paraId="5E295BB0">
            <w:pPr>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数量</w:t>
            </w:r>
          </w:p>
        </w:tc>
        <w:tc>
          <w:tcPr>
            <w:tcW w:w="688" w:type="pct"/>
            <w:vAlign w:val="center"/>
          </w:tcPr>
          <w:p w14:paraId="73AF6266">
            <w:pPr>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单价（</w:t>
            </w:r>
            <w:r>
              <w:rPr>
                <w:rFonts w:hint="eastAsia" w:ascii="仿宋" w:hAnsi="仿宋" w:eastAsia="仿宋" w:cs="仿宋"/>
                <w:color w:val="auto"/>
                <w:szCs w:val="21"/>
                <w:highlight w:val="none"/>
              </w:rPr>
              <w:t>元</w:t>
            </w:r>
            <w:r>
              <w:rPr>
                <w:rFonts w:hint="eastAsia" w:ascii="仿宋" w:hAnsi="仿宋" w:eastAsia="仿宋" w:cs="仿宋"/>
                <w:bCs/>
                <w:color w:val="auto"/>
                <w:szCs w:val="21"/>
                <w:highlight w:val="none"/>
              </w:rPr>
              <w:t>）</w:t>
            </w:r>
          </w:p>
        </w:tc>
        <w:tc>
          <w:tcPr>
            <w:tcW w:w="551" w:type="pct"/>
            <w:vAlign w:val="center"/>
          </w:tcPr>
          <w:p w14:paraId="2A5EDFBD">
            <w:pPr>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小计（</w:t>
            </w:r>
            <w:r>
              <w:rPr>
                <w:rFonts w:hint="eastAsia" w:ascii="仿宋" w:hAnsi="仿宋" w:eastAsia="仿宋" w:cs="仿宋"/>
                <w:color w:val="auto"/>
                <w:szCs w:val="21"/>
                <w:highlight w:val="none"/>
              </w:rPr>
              <w:t>元</w:t>
            </w:r>
            <w:r>
              <w:rPr>
                <w:rFonts w:hint="eastAsia" w:ascii="仿宋" w:hAnsi="仿宋" w:eastAsia="仿宋" w:cs="仿宋"/>
                <w:bCs/>
                <w:color w:val="auto"/>
                <w:szCs w:val="21"/>
                <w:highlight w:val="none"/>
              </w:rPr>
              <w:t>）</w:t>
            </w:r>
          </w:p>
        </w:tc>
        <w:tc>
          <w:tcPr>
            <w:tcW w:w="447" w:type="pct"/>
            <w:vAlign w:val="center"/>
          </w:tcPr>
          <w:p w14:paraId="14BA12BB">
            <w:pPr>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备注</w:t>
            </w:r>
          </w:p>
        </w:tc>
      </w:tr>
      <w:tr w14:paraId="1DE9D8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4" w:hRule="atLeast"/>
          <w:jc w:val="center"/>
        </w:trPr>
        <w:tc>
          <w:tcPr>
            <w:tcW w:w="413" w:type="pct"/>
            <w:vAlign w:val="center"/>
          </w:tcPr>
          <w:p w14:paraId="17F6825D">
            <w:pPr>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1</w:t>
            </w:r>
          </w:p>
        </w:tc>
        <w:tc>
          <w:tcPr>
            <w:tcW w:w="619" w:type="pct"/>
            <w:vAlign w:val="center"/>
          </w:tcPr>
          <w:p w14:paraId="66F3DB3C">
            <w:pPr>
              <w:jc w:val="center"/>
              <w:rPr>
                <w:rFonts w:hint="eastAsia" w:ascii="仿宋" w:hAnsi="仿宋" w:eastAsia="仿宋" w:cs="仿宋"/>
                <w:bCs/>
                <w:color w:val="auto"/>
                <w:szCs w:val="21"/>
                <w:highlight w:val="none"/>
              </w:rPr>
            </w:pPr>
          </w:p>
        </w:tc>
        <w:tc>
          <w:tcPr>
            <w:tcW w:w="497" w:type="pct"/>
            <w:vAlign w:val="center"/>
          </w:tcPr>
          <w:p w14:paraId="342E8881">
            <w:pPr>
              <w:jc w:val="center"/>
              <w:rPr>
                <w:rFonts w:hint="eastAsia" w:ascii="仿宋" w:hAnsi="仿宋" w:eastAsia="仿宋" w:cs="仿宋"/>
                <w:bCs/>
                <w:color w:val="auto"/>
                <w:szCs w:val="21"/>
                <w:highlight w:val="none"/>
              </w:rPr>
            </w:pPr>
          </w:p>
        </w:tc>
        <w:tc>
          <w:tcPr>
            <w:tcW w:w="490" w:type="pct"/>
            <w:vAlign w:val="center"/>
          </w:tcPr>
          <w:p w14:paraId="7837926E">
            <w:pPr>
              <w:jc w:val="center"/>
              <w:rPr>
                <w:rFonts w:hint="eastAsia" w:ascii="仿宋" w:hAnsi="仿宋" w:eastAsia="仿宋" w:cs="仿宋"/>
                <w:bCs/>
                <w:color w:val="auto"/>
                <w:szCs w:val="21"/>
                <w:highlight w:val="none"/>
              </w:rPr>
            </w:pPr>
          </w:p>
        </w:tc>
        <w:tc>
          <w:tcPr>
            <w:tcW w:w="430" w:type="pct"/>
            <w:vAlign w:val="center"/>
          </w:tcPr>
          <w:p w14:paraId="06F97070">
            <w:pPr>
              <w:jc w:val="center"/>
              <w:rPr>
                <w:rFonts w:hint="eastAsia" w:ascii="仿宋" w:hAnsi="仿宋" w:eastAsia="仿宋" w:cs="仿宋"/>
                <w:bCs/>
                <w:color w:val="auto"/>
                <w:szCs w:val="21"/>
                <w:highlight w:val="none"/>
              </w:rPr>
            </w:pPr>
          </w:p>
        </w:tc>
        <w:tc>
          <w:tcPr>
            <w:tcW w:w="430" w:type="pct"/>
            <w:vAlign w:val="center"/>
          </w:tcPr>
          <w:p w14:paraId="2A5B3083">
            <w:pPr>
              <w:jc w:val="center"/>
              <w:rPr>
                <w:rFonts w:hint="eastAsia" w:ascii="仿宋" w:hAnsi="仿宋" w:eastAsia="仿宋" w:cs="仿宋"/>
                <w:bCs/>
                <w:color w:val="auto"/>
                <w:szCs w:val="21"/>
                <w:highlight w:val="none"/>
              </w:rPr>
            </w:pPr>
          </w:p>
        </w:tc>
        <w:tc>
          <w:tcPr>
            <w:tcW w:w="432" w:type="pct"/>
            <w:vAlign w:val="center"/>
          </w:tcPr>
          <w:p w14:paraId="0760D16F">
            <w:pPr>
              <w:jc w:val="center"/>
              <w:rPr>
                <w:rFonts w:hint="eastAsia" w:ascii="仿宋" w:hAnsi="仿宋" w:eastAsia="仿宋" w:cs="仿宋"/>
                <w:bCs/>
                <w:color w:val="auto"/>
                <w:szCs w:val="21"/>
                <w:highlight w:val="none"/>
              </w:rPr>
            </w:pPr>
          </w:p>
        </w:tc>
        <w:tc>
          <w:tcPr>
            <w:tcW w:w="688" w:type="pct"/>
            <w:vAlign w:val="center"/>
          </w:tcPr>
          <w:p w14:paraId="284F3983">
            <w:pPr>
              <w:jc w:val="center"/>
              <w:rPr>
                <w:rFonts w:hint="eastAsia" w:ascii="仿宋" w:hAnsi="仿宋" w:eastAsia="仿宋" w:cs="仿宋"/>
                <w:bCs/>
                <w:color w:val="auto"/>
                <w:szCs w:val="21"/>
                <w:highlight w:val="none"/>
              </w:rPr>
            </w:pPr>
          </w:p>
        </w:tc>
        <w:tc>
          <w:tcPr>
            <w:tcW w:w="551" w:type="pct"/>
            <w:vAlign w:val="center"/>
          </w:tcPr>
          <w:p w14:paraId="025E142F">
            <w:pPr>
              <w:jc w:val="center"/>
              <w:rPr>
                <w:rFonts w:hint="eastAsia" w:ascii="仿宋" w:hAnsi="仿宋" w:eastAsia="仿宋" w:cs="仿宋"/>
                <w:bCs/>
                <w:color w:val="auto"/>
                <w:szCs w:val="21"/>
                <w:highlight w:val="none"/>
              </w:rPr>
            </w:pPr>
          </w:p>
        </w:tc>
        <w:tc>
          <w:tcPr>
            <w:tcW w:w="447" w:type="pct"/>
            <w:vAlign w:val="center"/>
          </w:tcPr>
          <w:p w14:paraId="6E390E63">
            <w:pPr>
              <w:jc w:val="center"/>
              <w:rPr>
                <w:rFonts w:hint="eastAsia" w:ascii="仿宋" w:hAnsi="仿宋" w:eastAsia="仿宋" w:cs="仿宋"/>
                <w:bCs/>
                <w:color w:val="auto"/>
                <w:szCs w:val="21"/>
                <w:highlight w:val="none"/>
              </w:rPr>
            </w:pPr>
          </w:p>
        </w:tc>
      </w:tr>
      <w:tr w14:paraId="60C7EE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4" w:hRule="atLeast"/>
          <w:jc w:val="center"/>
        </w:trPr>
        <w:tc>
          <w:tcPr>
            <w:tcW w:w="413" w:type="pct"/>
            <w:vAlign w:val="center"/>
          </w:tcPr>
          <w:p w14:paraId="2F221863">
            <w:pPr>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2</w:t>
            </w:r>
          </w:p>
        </w:tc>
        <w:tc>
          <w:tcPr>
            <w:tcW w:w="619" w:type="pct"/>
            <w:vAlign w:val="center"/>
          </w:tcPr>
          <w:p w14:paraId="4A0E488F">
            <w:pPr>
              <w:jc w:val="center"/>
              <w:rPr>
                <w:rFonts w:hint="eastAsia" w:ascii="仿宋" w:hAnsi="仿宋" w:eastAsia="仿宋" w:cs="仿宋"/>
                <w:bCs/>
                <w:color w:val="auto"/>
                <w:szCs w:val="21"/>
                <w:highlight w:val="none"/>
              </w:rPr>
            </w:pPr>
          </w:p>
        </w:tc>
        <w:tc>
          <w:tcPr>
            <w:tcW w:w="497" w:type="pct"/>
            <w:vAlign w:val="center"/>
          </w:tcPr>
          <w:p w14:paraId="21027170">
            <w:pPr>
              <w:jc w:val="center"/>
              <w:rPr>
                <w:rFonts w:hint="eastAsia" w:ascii="仿宋" w:hAnsi="仿宋" w:eastAsia="仿宋" w:cs="仿宋"/>
                <w:bCs/>
                <w:color w:val="auto"/>
                <w:szCs w:val="21"/>
                <w:highlight w:val="none"/>
              </w:rPr>
            </w:pPr>
          </w:p>
        </w:tc>
        <w:tc>
          <w:tcPr>
            <w:tcW w:w="490" w:type="pct"/>
            <w:vAlign w:val="center"/>
          </w:tcPr>
          <w:p w14:paraId="75C6A735">
            <w:pPr>
              <w:jc w:val="center"/>
              <w:rPr>
                <w:rFonts w:hint="eastAsia" w:ascii="仿宋" w:hAnsi="仿宋" w:eastAsia="仿宋" w:cs="仿宋"/>
                <w:bCs/>
                <w:color w:val="auto"/>
                <w:szCs w:val="21"/>
                <w:highlight w:val="none"/>
              </w:rPr>
            </w:pPr>
          </w:p>
        </w:tc>
        <w:tc>
          <w:tcPr>
            <w:tcW w:w="430" w:type="pct"/>
            <w:vAlign w:val="center"/>
          </w:tcPr>
          <w:p w14:paraId="61098E11">
            <w:pPr>
              <w:jc w:val="center"/>
              <w:rPr>
                <w:rFonts w:hint="eastAsia" w:ascii="仿宋" w:hAnsi="仿宋" w:eastAsia="仿宋" w:cs="仿宋"/>
                <w:bCs/>
                <w:color w:val="auto"/>
                <w:szCs w:val="21"/>
                <w:highlight w:val="none"/>
              </w:rPr>
            </w:pPr>
          </w:p>
        </w:tc>
        <w:tc>
          <w:tcPr>
            <w:tcW w:w="430" w:type="pct"/>
            <w:vAlign w:val="center"/>
          </w:tcPr>
          <w:p w14:paraId="469C1F15">
            <w:pPr>
              <w:jc w:val="center"/>
              <w:rPr>
                <w:rFonts w:hint="eastAsia" w:ascii="仿宋" w:hAnsi="仿宋" w:eastAsia="仿宋" w:cs="仿宋"/>
                <w:bCs/>
                <w:color w:val="auto"/>
                <w:szCs w:val="21"/>
                <w:highlight w:val="none"/>
              </w:rPr>
            </w:pPr>
          </w:p>
        </w:tc>
        <w:tc>
          <w:tcPr>
            <w:tcW w:w="432" w:type="pct"/>
            <w:vAlign w:val="center"/>
          </w:tcPr>
          <w:p w14:paraId="6E613A99">
            <w:pPr>
              <w:jc w:val="center"/>
              <w:rPr>
                <w:rFonts w:hint="eastAsia" w:ascii="仿宋" w:hAnsi="仿宋" w:eastAsia="仿宋" w:cs="仿宋"/>
                <w:bCs/>
                <w:color w:val="auto"/>
                <w:szCs w:val="21"/>
                <w:highlight w:val="none"/>
              </w:rPr>
            </w:pPr>
          </w:p>
        </w:tc>
        <w:tc>
          <w:tcPr>
            <w:tcW w:w="688" w:type="pct"/>
            <w:vAlign w:val="center"/>
          </w:tcPr>
          <w:p w14:paraId="2311F4D9">
            <w:pPr>
              <w:jc w:val="center"/>
              <w:rPr>
                <w:rFonts w:hint="eastAsia" w:ascii="仿宋" w:hAnsi="仿宋" w:eastAsia="仿宋" w:cs="仿宋"/>
                <w:bCs/>
                <w:color w:val="auto"/>
                <w:szCs w:val="21"/>
                <w:highlight w:val="none"/>
              </w:rPr>
            </w:pPr>
          </w:p>
        </w:tc>
        <w:tc>
          <w:tcPr>
            <w:tcW w:w="551" w:type="pct"/>
            <w:vAlign w:val="center"/>
          </w:tcPr>
          <w:p w14:paraId="02EAE6A7">
            <w:pPr>
              <w:jc w:val="center"/>
              <w:rPr>
                <w:rFonts w:hint="eastAsia" w:ascii="仿宋" w:hAnsi="仿宋" w:eastAsia="仿宋" w:cs="仿宋"/>
                <w:bCs/>
                <w:color w:val="auto"/>
                <w:szCs w:val="21"/>
                <w:highlight w:val="none"/>
              </w:rPr>
            </w:pPr>
          </w:p>
        </w:tc>
        <w:tc>
          <w:tcPr>
            <w:tcW w:w="447" w:type="pct"/>
            <w:vAlign w:val="center"/>
          </w:tcPr>
          <w:p w14:paraId="089F4287">
            <w:pPr>
              <w:jc w:val="center"/>
              <w:rPr>
                <w:rFonts w:hint="eastAsia" w:ascii="仿宋" w:hAnsi="仿宋" w:eastAsia="仿宋" w:cs="仿宋"/>
                <w:bCs/>
                <w:color w:val="auto"/>
                <w:szCs w:val="21"/>
                <w:highlight w:val="none"/>
              </w:rPr>
            </w:pPr>
          </w:p>
        </w:tc>
      </w:tr>
      <w:tr w14:paraId="540E65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4" w:hRule="atLeast"/>
          <w:jc w:val="center"/>
        </w:trPr>
        <w:tc>
          <w:tcPr>
            <w:tcW w:w="413" w:type="pct"/>
            <w:vAlign w:val="center"/>
          </w:tcPr>
          <w:p w14:paraId="7121941E">
            <w:pPr>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3</w:t>
            </w:r>
          </w:p>
        </w:tc>
        <w:tc>
          <w:tcPr>
            <w:tcW w:w="619" w:type="pct"/>
            <w:vAlign w:val="center"/>
          </w:tcPr>
          <w:p w14:paraId="303C2967">
            <w:pPr>
              <w:jc w:val="center"/>
              <w:rPr>
                <w:rFonts w:hint="eastAsia" w:ascii="仿宋" w:hAnsi="仿宋" w:eastAsia="仿宋" w:cs="仿宋"/>
                <w:bCs/>
                <w:color w:val="auto"/>
                <w:szCs w:val="21"/>
                <w:highlight w:val="none"/>
              </w:rPr>
            </w:pPr>
          </w:p>
        </w:tc>
        <w:tc>
          <w:tcPr>
            <w:tcW w:w="497" w:type="pct"/>
            <w:vAlign w:val="center"/>
          </w:tcPr>
          <w:p w14:paraId="0F0D1A7B">
            <w:pPr>
              <w:jc w:val="center"/>
              <w:rPr>
                <w:rFonts w:hint="eastAsia" w:ascii="仿宋" w:hAnsi="仿宋" w:eastAsia="仿宋" w:cs="仿宋"/>
                <w:bCs/>
                <w:color w:val="auto"/>
                <w:szCs w:val="21"/>
                <w:highlight w:val="none"/>
              </w:rPr>
            </w:pPr>
          </w:p>
        </w:tc>
        <w:tc>
          <w:tcPr>
            <w:tcW w:w="490" w:type="pct"/>
            <w:vAlign w:val="center"/>
          </w:tcPr>
          <w:p w14:paraId="04BD8DCB">
            <w:pPr>
              <w:jc w:val="center"/>
              <w:rPr>
                <w:rFonts w:hint="eastAsia" w:ascii="仿宋" w:hAnsi="仿宋" w:eastAsia="仿宋" w:cs="仿宋"/>
                <w:bCs/>
                <w:color w:val="auto"/>
                <w:szCs w:val="21"/>
                <w:highlight w:val="none"/>
              </w:rPr>
            </w:pPr>
          </w:p>
        </w:tc>
        <w:tc>
          <w:tcPr>
            <w:tcW w:w="430" w:type="pct"/>
            <w:vAlign w:val="center"/>
          </w:tcPr>
          <w:p w14:paraId="76F5658E">
            <w:pPr>
              <w:jc w:val="center"/>
              <w:rPr>
                <w:rFonts w:hint="eastAsia" w:ascii="仿宋" w:hAnsi="仿宋" w:eastAsia="仿宋" w:cs="仿宋"/>
                <w:bCs/>
                <w:color w:val="auto"/>
                <w:szCs w:val="21"/>
                <w:highlight w:val="none"/>
              </w:rPr>
            </w:pPr>
          </w:p>
        </w:tc>
        <w:tc>
          <w:tcPr>
            <w:tcW w:w="430" w:type="pct"/>
            <w:vAlign w:val="center"/>
          </w:tcPr>
          <w:p w14:paraId="3F45FD5C">
            <w:pPr>
              <w:jc w:val="center"/>
              <w:rPr>
                <w:rFonts w:hint="eastAsia" w:ascii="仿宋" w:hAnsi="仿宋" w:eastAsia="仿宋" w:cs="仿宋"/>
                <w:bCs/>
                <w:color w:val="auto"/>
                <w:szCs w:val="21"/>
                <w:highlight w:val="none"/>
              </w:rPr>
            </w:pPr>
          </w:p>
        </w:tc>
        <w:tc>
          <w:tcPr>
            <w:tcW w:w="432" w:type="pct"/>
            <w:vAlign w:val="center"/>
          </w:tcPr>
          <w:p w14:paraId="7B15872A">
            <w:pPr>
              <w:jc w:val="center"/>
              <w:rPr>
                <w:rFonts w:hint="eastAsia" w:ascii="仿宋" w:hAnsi="仿宋" w:eastAsia="仿宋" w:cs="仿宋"/>
                <w:bCs/>
                <w:color w:val="auto"/>
                <w:szCs w:val="21"/>
                <w:highlight w:val="none"/>
              </w:rPr>
            </w:pPr>
          </w:p>
        </w:tc>
        <w:tc>
          <w:tcPr>
            <w:tcW w:w="688" w:type="pct"/>
            <w:vAlign w:val="center"/>
          </w:tcPr>
          <w:p w14:paraId="03EF40CF">
            <w:pPr>
              <w:jc w:val="center"/>
              <w:rPr>
                <w:rFonts w:hint="eastAsia" w:ascii="仿宋" w:hAnsi="仿宋" w:eastAsia="仿宋" w:cs="仿宋"/>
                <w:bCs/>
                <w:color w:val="auto"/>
                <w:szCs w:val="21"/>
                <w:highlight w:val="none"/>
              </w:rPr>
            </w:pPr>
          </w:p>
        </w:tc>
        <w:tc>
          <w:tcPr>
            <w:tcW w:w="551" w:type="pct"/>
            <w:vAlign w:val="center"/>
          </w:tcPr>
          <w:p w14:paraId="0C960411">
            <w:pPr>
              <w:jc w:val="center"/>
              <w:rPr>
                <w:rFonts w:hint="eastAsia" w:ascii="仿宋" w:hAnsi="仿宋" w:eastAsia="仿宋" w:cs="仿宋"/>
                <w:bCs/>
                <w:color w:val="auto"/>
                <w:szCs w:val="21"/>
                <w:highlight w:val="none"/>
              </w:rPr>
            </w:pPr>
          </w:p>
        </w:tc>
        <w:tc>
          <w:tcPr>
            <w:tcW w:w="447" w:type="pct"/>
            <w:vAlign w:val="center"/>
          </w:tcPr>
          <w:p w14:paraId="7226C2DC">
            <w:pPr>
              <w:jc w:val="center"/>
              <w:rPr>
                <w:rFonts w:hint="eastAsia" w:ascii="仿宋" w:hAnsi="仿宋" w:eastAsia="仿宋" w:cs="仿宋"/>
                <w:bCs/>
                <w:color w:val="auto"/>
                <w:szCs w:val="21"/>
                <w:highlight w:val="none"/>
              </w:rPr>
            </w:pPr>
          </w:p>
        </w:tc>
      </w:tr>
      <w:tr w14:paraId="73C245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4" w:hRule="atLeast"/>
          <w:jc w:val="center"/>
        </w:trPr>
        <w:tc>
          <w:tcPr>
            <w:tcW w:w="413" w:type="pct"/>
            <w:vAlign w:val="center"/>
          </w:tcPr>
          <w:p w14:paraId="4748DDE0">
            <w:pPr>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w:t>
            </w:r>
          </w:p>
        </w:tc>
        <w:tc>
          <w:tcPr>
            <w:tcW w:w="619" w:type="pct"/>
            <w:vAlign w:val="center"/>
          </w:tcPr>
          <w:p w14:paraId="5174AEE5">
            <w:pPr>
              <w:jc w:val="center"/>
              <w:rPr>
                <w:rFonts w:hint="eastAsia" w:ascii="仿宋" w:hAnsi="仿宋" w:eastAsia="仿宋" w:cs="仿宋"/>
                <w:bCs/>
                <w:color w:val="auto"/>
                <w:szCs w:val="21"/>
                <w:highlight w:val="none"/>
              </w:rPr>
            </w:pPr>
          </w:p>
        </w:tc>
        <w:tc>
          <w:tcPr>
            <w:tcW w:w="497" w:type="pct"/>
            <w:vAlign w:val="center"/>
          </w:tcPr>
          <w:p w14:paraId="04665CD7">
            <w:pPr>
              <w:jc w:val="center"/>
              <w:rPr>
                <w:rFonts w:hint="eastAsia" w:ascii="仿宋" w:hAnsi="仿宋" w:eastAsia="仿宋" w:cs="仿宋"/>
                <w:bCs/>
                <w:color w:val="auto"/>
                <w:szCs w:val="21"/>
                <w:highlight w:val="none"/>
              </w:rPr>
            </w:pPr>
          </w:p>
        </w:tc>
        <w:tc>
          <w:tcPr>
            <w:tcW w:w="490" w:type="pct"/>
            <w:vAlign w:val="center"/>
          </w:tcPr>
          <w:p w14:paraId="660448D1">
            <w:pPr>
              <w:jc w:val="center"/>
              <w:rPr>
                <w:rFonts w:hint="eastAsia" w:ascii="仿宋" w:hAnsi="仿宋" w:eastAsia="仿宋" w:cs="仿宋"/>
                <w:bCs/>
                <w:color w:val="auto"/>
                <w:szCs w:val="21"/>
                <w:highlight w:val="none"/>
              </w:rPr>
            </w:pPr>
          </w:p>
        </w:tc>
        <w:tc>
          <w:tcPr>
            <w:tcW w:w="430" w:type="pct"/>
            <w:vAlign w:val="center"/>
          </w:tcPr>
          <w:p w14:paraId="4D6A7A47">
            <w:pPr>
              <w:jc w:val="center"/>
              <w:rPr>
                <w:rFonts w:hint="eastAsia" w:ascii="仿宋" w:hAnsi="仿宋" w:eastAsia="仿宋" w:cs="仿宋"/>
                <w:bCs/>
                <w:color w:val="auto"/>
                <w:szCs w:val="21"/>
                <w:highlight w:val="none"/>
              </w:rPr>
            </w:pPr>
          </w:p>
        </w:tc>
        <w:tc>
          <w:tcPr>
            <w:tcW w:w="430" w:type="pct"/>
            <w:vAlign w:val="center"/>
          </w:tcPr>
          <w:p w14:paraId="08E1D568">
            <w:pPr>
              <w:jc w:val="center"/>
              <w:rPr>
                <w:rFonts w:hint="eastAsia" w:ascii="仿宋" w:hAnsi="仿宋" w:eastAsia="仿宋" w:cs="仿宋"/>
                <w:bCs/>
                <w:color w:val="auto"/>
                <w:szCs w:val="21"/>
                <w:highlight w:val="none"/>
              </w:rPr>
            </w:pPr>
          </w:p>
        </w:tc>
        <w:tc>
          <w:tcPr>
            <w:tcW w:w="432" w:type="pct"/>
            <w:vAlign w:val="center"/>
          </w:tcPr>
          <w:p w14:paraId="5AC4A190">
            <w:pPr>
              <w:jc w:val="center"/>
              <w:rPr>
                <w:rFonts w:hint="eastAsia" w:ascii="仿宋" w:hAnsi="仿宋" w:eastAsia="仿宋" w:cs="仿宋"/>
                <w:bCs/>
                <w:color w:val="auto"/>
                <w:szCs w:val="21"/>
                <w:highlight w:val="none"/>
              </w:rPr>
            </w:pPr>
          </w:p>
        </w:tc>
        <w:tc>
          <w:tcPr>
            <w:tcW w:w="688" w:type="pct"/>
            <w:vAlign w:val="center"/>
          </w:tcPr>
          <w:p w14:paraId="447706A6">
            <w:pPr>
              <w:jc w:val="center"/>
              <w:rPr>
                <w:rFonts w:hint="eastAsia" w:ascii="仿宋" w:hAnsi="仿宋" w:eastAsia="仿宋" w:cs="仿宋"/>
                <w:bCs/>
                <w:color w:val="auto"/>
                <w:szCs w:val="21"/>
                <w:highlight w:val="none"/>
              </w:rPr>
            </w:pPr>
          </w:p>
        </w:tc>
        <w:tc>
          <w:tcPr>
            <w:tcW w:w="551" w:type="pct"/>
            <w:vAlign w:val="center"/>
          </w:tcPr>
          <w:p w14:paraId="2546F961">
            <w:pPr>
              <w:jc w:val="center"/>
              <w:rPr>
                <w:rFonts w:hint="eastAsia" w:ascii="仿宋" w:hAnsi="仿宋" w:eastAsia="仿宋" w:cs="仿宋"/>
                <w:bCs/>
                <w:color w:val="auto"/>
                <w:szCs w:val="21"/>
                <w:highlight w:val="none"/>
              </w:rPr>
            </w:pPr>
          </w:p>
        </w:tc>
        <w:tc>
          <w:tcPr>
            <w:tcW w:w="447" w:type="pct"/>
            <w:vAlign w:val="center"/>
          </w:tcPr>
          <w:p w14:paraId="2ED9C75F">
            <w:pPr>
              <w:jc w:val="center"/>
              <w:rPr>
                <w:rFonts w:hint="eastAsia" w:ascii="仿宋" w:hAnsi="仿宋" w:eastAsia="仿宋" w:cs="仿宋"/>
                <w:bCs/>
                <w:color w:val="auto"/>
                <w:szCs w:val="21"/>
                <w:highlight w:val="none"/>
              </w:rPr>
            </w:pPr>
          </w:p>
        </w:tc>
      </w:tr>
      <w:tr w14:paraId="74CB1B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4" w:hRule="atLeast"/>
          <w:jc w:val="center"/>
        </w:trPr>
        <w:tc>
          <w:tcPr>
            <w:tcW w:w="4001" w:type="pct"/>
            <w:gridSpan w:val="8"/>
            <w:vAlign w:val="center"/>
          </w:tcPr>
          <w:p w14:paraId="7EFBBAF5">
            <w:pPr>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合计（元）</w:t>
            </w:r>
          </w:p>
        </w:tc>
        <w:tc>
          <w:tcPr>
            <w:tcW w:w="551" w:type="pct"/>
            <w:vAlign w:val="center"/>
          </w:tcPr>
          <w:p w14:paraId="1A4036ED">
            <w:pPr>
              <w:jc w:val="center"/>
              <w:rPr>
                <w:rFonts w:hint="eastAsia" w:ascii="仿宋" w:hAnsi="仿宋" w:eastAsia="仿宋" w:cs="仿宋"/>
                <w:bCs/>
                <w:color w:val="auto"/>
                <w:szCs w:val="21"/>
                <w:highlight w:val="none"/>
              </w:rPr>
            </w:pPr>
          </w:p>
        </w:tc>
        <w:tc>
          <w:tcPr>
            <w:tcW w:w="447" w:type="pct"/>
            <w:vAlign w:val="center"/>
          </w:tcPr>
          <w:p w14:paraId="2C87E78F">
            <w:pPr>
              <w:jc w:val="center"/>
              <w:rPr>
                <w:rFonts w:hint="eastAsia" w:ascii="仿宋" w:hAnsi="仿宋" w:eastAsia="仿宋" w:cs="仿宋"/>
                <w:bCs/>
                <w:color w:val="auto"/>
                <w:szCs w:val="21"/>
                <w:highlight w:val="none"/>
              </w:rPr>
            </w:pPr>
          </w:p>
        </w:tc>
      </w:tr>
    </w:tbl>
    <w:p w14:paraId="2ED90A0D">
      <w:pPr>
        <w:spacing w:line="360" w:lineRule="auto"/>
        <w:jc w:val="left"/>
        <w:rPr>
          <w:rFonts w:hint="eastAsia" w:ascii="仿宋" w:hAnsi="仿宋" w:eastAsia="仿宋" w:cs="仿宋"/>
          <w:color w:val="auto"/>
          <w:sz w:val="24"/>
          <w:szCs w:val="24"/>
          <w:highlight w:val="none"/>
        </w:rPr>
      </w:pPr>
    </w:p>
    <w:p w14:paraId="57637036">
      <w:pPr>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注：</w:t>
      </w:r>
    </w:p>
    <w:p w14:paraId="1CD49924">
      <w:pP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bCs/>
          <w:color w:val="auto"/>
          <w:sz w:val="24"/>
          <w:szCs w:val="24"/>
          <w:highlight w:val="none"/>
        </w:rPr>
        <w:t>标的名称</w:t>
      </w:r>
      <w:r>
        <w:rPr>
          <w:rFonts w:hint="eastAsia" w:ascii="仿宋" w:hAnsi="仿宋" w:eastAsia="仿宋" w:cs="仿宋"/>
          <w:color w:val="auto"/>
          <w:sz w:val="24"/>
          <w:szCs w:val="24"/>
          <w:highlight w:val="none"/>
        </w:rPr>
        <w:t>和数量应按照第四章“技术标准和要求”内容填写。</w:t>
      </w:r>
    </w:p>
    <w:p w14:paraId="2303C588">
      <w:pPr>
        <w:spacing w:line="360" w:lineRule="auto"/>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bCs/>
          <w:color w:val="auto"/>
          <w:sz w:val="24"/>
          <w:szCs w:val="24"/>
          <w:highlight w:val="none"/>
        </w:rPr>
        <w:t>响应价格应包括供应商履行本项目合同（如果中标）所必须的所有成本费用（人工、采购、仓储、保险、运输、安装、调试、培训、技术文档编制、质保、售后服务等）和中标人应承担的一切税费；未列和没有填写的项目费用，采购人将视为已包括在响应价格中</w:t>
      </w:r>
      <w:r>
        <w:rPr>
          <w:rFonts w:hint="eastAsia" w:ascii="仿宋" w:hAnsi="仿宋" w:eastAsia="仿宋" w:cs="仿宋"/>
          <w:color w:val="auto"/>
          <w:kern w:val="0"/>
          <w:sz w:val="24"/>
          <w:szCs w:val="24"/>
          <w:highlight w:val="none"/>
        </w:rPr>
        <w:t>。</w:t>
      </w:r>
    </w:p>
    <w:p w14:paraId="62BDC8DF">
      <w:pPr>
        <w:spacing w:line="360" w:lineRule="auto"/>
        <w:jc w:val="left"/>
        <w:rPr>
          <w:rFonts w:hint="eastAsia" w:ascii="仿宋" w:hAnsi="仿宋" w:eastAsia="仿宋" w:cs="仿宋"/>
          <w:color w:val="auto"/>
          <w:kern w:val="0"/>
          <w:sz w:val="24"/>
          <w:szCs w:val="24"/>
          <w:highlight w:val="none"/>
        </w:rPr>
      </w:pPr>
    </w:p>
    <w:p w14:paraId="25D00461">
      <w:pPr>
        <w:spacing w:line="360" w:lineRule="auto"/>
        <w:jc w:val="left"/>
        <w:rPr>
          <w:rFonts w:hint="eastAsia" w:ascii="仿宋" w:hAnsi="仿宋" w:eastAsia="仿宋" w:cs="仿宋"/>
          <w:color w:val="auto"/>
          <w:kern w:val="0"/>
          <w:sz w:val="24"/>
          <w:szCs w:val="24"/>
          <w:highlight w:val="none"/>
        </w:rPr>
      </w:pPr>
    </w:p>
    <w:p w14:paraId="3844D042">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供应商：</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（盖章）</w:t>
      </w:r>
    </w:p>
    <w:p w14:paraId="42F657B5">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p>
    <w:p w14:paraId="7F8F8B86">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法定代表人：</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（盖章或签字）</w:t>
      </w:r>
    </w:p>
    <w:p w14:paraId="40E88C8A">
      <w:pPr>
        <w:widowControl/>
        <w:shd w:val="clear" w:color="auto" w:fill="FFFFFF"/>
        <w:wordWrap w:val="0"/>
        <w:snapToGrid w:val="0"/>
        <w:spacing w:line="384" w:lineRule="auto"/>
        <w:ind w:firstLine="420"/>
        <w:jc w:val="righ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日期：     年   月   日</w:t>
      </w:r>
    </w:p>
    <w:p w14:paraId="34646386">
      <w:pPr>
        <w:pStyle w:val="42"/>
        <w:ind w:left="420"/>
        <w:rPr>
          <w:rFonts w:hint="eastAsia" w:ascii="仿宋" w:hAnsi="仿宋" w:eastAsia="仿宋" w:cs="仿宋"/>
          <w:color w:val="auto"/>
          <w:highlight w:val="none"/>
        </w:rPr>
      </w:pPr>
    </w:p>
    <w:p w14:paraId="0A4AD9E9">
      <w:pPr>
        <w:widowControl/>
        <w:shd w:val="clear" w:color="auto" w:fill="FFFFFF"/>
        <w:wordWrap w:val="0"/>
        <w:snapToGrid w:val="0"/>
        <w:spacing w:line="384" w:lineRule="auto"/>
        <w:ind w:firstLine="420"/>
        <w:jc w:val="right"/>
        <w:rPr>
          <w:rFonts w:hint="eastAsia" w:ascii="仿宋" w:hAnsi="仿宋" w:eastAsia="仿宋" w:cs="仿宋"/>
          <w:color w:val="auto"/>
          <w:kern w:val="0"/>
          <w:sz w:val="24"/>
          <w:szCs w:val="24"/>
          <w:highlight w:val="none"/>
        </w:rPr>
      </w:pPr>
    </w:p>
    <w:p w14:paraId="74966508">
      <w:pPr>
        <w:tabs>
          <w:tab w:val="center" w:pos="4832"/>
          <w:tab w:val="left" w:pos="7140"/>
        </w:tabs>
        <w:jc w:val="center"/>
        <w:outlineLvl w:val="1"/>
        <w:rPr>
          <w:rFonts w:hint="eastAsia" w:ascii="仿宋" w:hAnsi="仿宋" w:eastAsia="仿宋" w:cs="仿宋"/>
          <w:b/>
          <w:color w:val="auto"/>
          <w:sz w:val="24"/>
          <w:szCs w:val="24"/>
          <w:highlight w:val="none"/>
        </w:rPr>
      </w:pPr>
      <w:r>
        <w:rPr>
          <w:rFonts w:hint="eastAsia" w:ascii="仿宋" w:hAnsi="仿宋" w:eastAsia="仿宋" w:cs="仿宋"/>
          <w:color w:val="auto"/>
          <w:kern w:val="0"/>
          <w:sz w:val="24"/>
          <w:szCs w:val="24"/>
          <w:highlight w:val="none"/>
        </w:rPr>
        <w:br w:type="page"/>
      </w:r>
      <w:bookmarkStart w:id="58" w:name="_Toc27046"/>
      <w:bookmarkStart w:id="59" w:name="_Toc110707968"/>
      <w:bookmarkStart w:id="60" w:name="_Toc17089"/>
      <w:bookmarkStart w:id="61" w:name="_Toc30686"/>
      <w:bookmarkStart w:id="62" w:name="_Toc109921161"/>
      <w:bookmarkStart w:id="63" w:name="_Toc14285"/>
      <w:bookmarkStart w:id="64" w:name="_Toc109941768"/>
      <w:bookmarkStart w:id="65" w:name="_Toc130252618"/>
      <w:bookmarkStart w:id="66" w:name="_Toc28787"/>
      <w:r>
        <w:rPr>
          <w:rFonts w:hint="eastAsia" w:ascii="仿宋" w:hAnsi="仿宋" w:eastAsia="仿宋" w:cs="仿宋"/>
          <w:b/>
          <w:color w:val="auto"/>
          <w:sz w:val="24"/>
          <w:szCs w:val="24"/>
          <w:highlight w:val="none"/>
        </w:rPr>
        <w:t>四、商务条款偏离表</w:t>
      </w:r>
      <w:bookmarkEnd w:id="58"/>
      <w:bookmarkEnd w:id="59"/>
      <w:bookmarkEnd w:id="60"/>
      <w:bookmarkEnd w:id="61"/>
      <w:bookmarkEnd w:id="62"/>
      <w:bookmarkEnd w:id="63"/>
      <w:bookmarkEnd w:id="64"/>
      <w:bookmarkEnd w:id="65"/>
      <w:bookmarkEnd w:id="66"/>
    </w:p>
    <w:p w14:paraId="48AED63F">
      <w:pPr>
        <w:rPr>
          <w:rFonts w:hint="eastAsia" w:ascii="仿宋" w:hAnsi="仿宋" w:eastAsia="仿宋" w:cs="仿宋"/>
          <w:color w:val="auto"/>
          <w:highlight w:val="none"/>
        </w:rPr>
      </w:pPr>
    </w:p>
    <w:tbl>
      <w:tblPr>
        <w:tblStyle w:val="43"/>
        <w:tblW w:w="90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06"/>
        <w:gridCol w:w="2070"/>
        <w:gridCol w:w="2052"/>
        <w:gridCol w:w="2126"/>
        <w:gridCol w:w="1985"/>
      </w:tblGrid>
      <w:tr w14:paraId="563058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3" w:hRule="atLeast"/>
          <w:jc w:val="center"/>
        </w:trPr>
        <w:tc>
          <w:tcPr>
            <w:tcW w:w="806" w:type="dxa"/>
            <w:vAlign w:val="center"/>
          </w:tcPr>
          <w:p w14:paraId="765E0FEA">
            <w:pPr>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序号</w:t>
            </w:r>
          </w:p>
        </w:tc>
        <w:tc>
          <w:tcPr>
            <w:tcW w:w="2070" w:type="dxa"/>
            <w:vAlign w:val="center"/>
          </w:tcPr>
          <w:p w14:paraId="11958CD4">
            <w:pPr>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采购文件条目号</w:t>
            </w:r>
          </w:p>
        </w:tc>
        <w:tc>
          <w:tcPr>
            <w:tcW w:w="2052" w:type="dxa"/>
            <w:vAlign w:val="center"/>
          </w:tcPr>
          <w:p w14:paraId="31486E91">
            <w:pPr>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采购文件的商务条款</w:t>
            </w:r>
          </w:p>
        </w:tc>
        <w:tc>
          <w:tcPr>
            <w:tcW w:w="2126" w:type="dxa"/>
            <w:vAlign w:val="center"/>
          </w:tcPr>
          <w:p w14:paraId="42C68A71">
            <w:pPr>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响应文件的商务条款</w:t>
            </w:r>
          </w:p>
        </w:tc>
        <w:tc>
          <w:tcPr>
            <w:tcW w:w="1985" w:type="dxa"/>
            <w:vAlign w:val="center"/>
          </w:tcPr>
          <w:p w14:paraId="55B9DBC1">
            <w:pPr>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说明</w:t>
            </w:r>
          </w:p>
        </w:tc>
      </w:tr>
      <w:tr w14:paraId="6B94C5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0" w:hRule="atLeast"/>
          <w:jc w:val="center"/>
        </w:trPr>
        <w:tc>
          <w:tcPr>
            <w:tcW w:w="806" w:type="dxa"/>
          </w:tcPr>
          <w:p w14:paraId="17C4BFFA">
            <w:pPr>
              <w:jc w:val="center"/>
              <w:rPr>
                <w:rFonts w:hint="eastAsia" w:ascii="仿宋" w:hAnsi="仿宋" w:eastAsia="仿宋" w:cs="仿宋"/>
                <w:b/>
                <w:bCs/>
                <w:color w:val="auto"/>
                <w:sz w:val="24"/>
                <w:szCs w:val="24"/>
                <w:highlight w:val="none"/>
              </w:rPr>
            </w:pPr>
          </w:p>
        </w:tc>
        <w:tc>
          <w:tcPr>
            <w:tcW w:w="2070" w:type="dxa"/>
          </w:tcPr>
          <w:p w14:paraId="7205A917">
            <w:pPr>
              <w:jc w:val="center"/>
              <w:rPr>
                <w:rFonts w:hint="eastAsia" w:ascii="仿宋" w:hAnsi="仿宋" w:eastAsia="仿宋" w:cs="仿宋"/>
                <w:b/>
                <w:bCs/>
                <w:color w:val="auto"/>
                <w:sz w:val="24"/>
                <w:szCs w:val="24"/>
                <w:highlight w:val="none"/>
              </w:rPr>
            </w:pPr>
          </w:p>
        </w:tc>
        <w:tc>
          <w:tcPr>
            <w:tcW w:w="2052" w:type="dxa"/>
          </w:tcPr>
          <w:p w14:paraId="5E34DE4D">
            <w:pPr>
              <w:jc w:val="center"/>
              <w:rPr>
                <w:rFonts w:hint="eastAsia" w:ascii="仿宋" w:hAnsi="仿宋" w:eastAsia="仿宋" w:cs="仿宋"/>
                <w:b/>
                <w:bCs/>
                <w:color w:val="auto"/>
                <w:sz w:val="24"/>
                <w:szCs w:val="24"/>
                <w:highlight w:val="none"/>
              </w:rPr>
            </w:pPr>
          </w:p>
        </w:tc>
        <w:tc>
          <w:tcPr>
            <w:tcW w:w="2126" w:type="dxa"/>
          </w:tcPr>
          <w:p w14:paraId="2D410F0F">
            <w:pPr>
              <w:jc w:val="center"/>
              <w:rPr>
                <w:rFonts w:hint="eastAsia" w:ascii="仿宋" w:hAnsi="仿宋" w:eastAsia="仿宋" w:cs="仿宋"/>
                <w:b/>
                <w:bCs/>
                <w:color w:val="auto"/>
                <w:sz w:val="24"/>
                <w:szCs w:val="24"/>
                <w:highlight w:val="none"/>
              </w:rPr>
            </w:pPr>
          </w:p>
        </w:tc>
        <w:tc>
          <w:tcPr>
            <w:tcW w:w="1985" w:type="dxa"/>
          </w:tcPr>
          <w:p w14:paraId="33EB792F">
            <w:pPr>
              <w:jc w:val="center"/>
              <w:rPr>
                <w:rFonts w:hint="eastAsia" w:ascii="仿宋" w:hAnsi="仿宋" w:eastAsia="仿宋" w:cs="仿宋"/>
                <w:b/>
                <w:bCs/>
                <w:color w:val="auto"/>
                <w:sz w:val="24"/>
                <w:szCs w:val="24"/>
                <w:highlight w:val="none"/>
              </w:rPr>
            </w:pPr>
          </w:p>
        </w:tc>
      </w:tr>
      <w:tr w14:paraId="1431F4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0" w:hRule="atLeast"/>
          <w:jc w:val="center"/>
        </w:trPr>
        <w:tc>
          <w:tcPr>
            <w:tcW w:w="806" w:type="dxa"/>
          </w:tcPr>
          <w:p w14:paraId="456ADADB">
            <w:pPr>
              <w:jc w:val="center"/>
              <w:rPr>
                <w:rFonts w:hint="eastAsia" w:ascii="仿宋" w:hAnsi="仿宋" w:eastAsia="仿宋" w:cs="仿宋"/>
                <w:b/>
                <w:bCs/>
                <w:color w:val="auto"/>
                <w:sz w:val="24"/>
                <w:szCs w:val="24"/>
                <w:highlight w:val="none"/>
              </w:rPr>
            </w:pPr>
          </w:p>
        </w:tc>
        <w:tc>
          <w:tcPr>
            <w:tcW w:w="2070" w:type="dxa"/>
          </w:tcPr>
          <w:p w14:paraId="2F5AE57E">
            <w:pPr>
              <w:jc w:val="center"/>
              <w:rPr>
                <w:rFonts w:hint="eastAsia" w:ascii="仿宋" w:hAnsi="仿宋" w:eastAsia="仿宋" w:cs="仿宋"/>
                <w:b/>
                <w:bCs/>
                <w:color w:val="auto"/>
                <w:sz w:val="24"/>
                <w:szCs w:val="24"/>
                <w:highlight w:val="none"/>
              </w:rPr>
            </w:pPr>
          </w:p>
        </w:tc>
        <w:tc>
          <w:tcPr>
            <w:tcW w:w="2052" w:type="dxa"/>
          </w:tcPr>
          <w:p w14:paraId="4D22D5C2">
            <w:pPr>
              <w:jc w:val="center"/>
              <w:rPr>
                <w:rFonts w:hint="eastAsia" w:ascii="仿宋" w:hAnsi="仿宋" w:eastAsia="仿宋" w:cs="仿宋"/>
                <w:b/>
                <w:bCs/>
                <w:color w:val="auto"/>
                <w:sz w:val="24"/>
                <w:szCs w:val="24"/>
                <w:highlight w:val="none"/>
              </w:rPr>
            </w:pPr>
          </w:p>
        </w:tc>
        <w:tc>
          <w:tcPr>
            <w:tcW w:w="2126" w:type="dxa"/>
          </w:tcPr>
          <w:p w14:paraId="4C6F5C27">
            <w:pPr>
              <w:jc w:val="center"/>
              <w:rPr>
                <w:rFonts w:hint="eastAsia" w:ascii="仿宋" w:hAnsi="仿宋" w:eastAsia="仿宋" w:cs="仿宋"/>
                <w:b/>
                <w:bCs/>
                <w:color w:val="auto"/>
                <w:sz w:val="24"/>
                <w:szCs w:val="24"/>
                <w:highlight w:val="none"/>
              </w:rPr>
            </w:pPr>
          </w:p>
        </w:tc>
        <w:tc>
          <w:tcPr>
            <w:tcW w:w="1985" w:type="dxa"/>
          </w:tcPr>
          <w:p w14:paraId="672F147D">
            <w:pPr>
              <w:jc w:val="center"/>
              <w:rPr>
                <w:rFonts w:hint="eastAsia" w:ascii="仿宋" w:hAnsi="仿宋" w:eastAsia="仿宋" w:cs="仿宋"/>
                <w:b/>
                <w:bCs/>
                <w:color w:val="auto"/>
                <w:sz w:val="24"/>
                <w:szCs w:val="24"/>
                <w:highlight w:val="none"/>
              </w:rPr>
            </w:pPr>
          </w:p>
        </w:tc>
      </w:tr>
      <w:tr w14:paraId="714C58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0" w:hRule="atLeast"/>
          <w:jc w:val="center"/>
        </w:trPr>
        <w:tc>
          <w:tcPr>
            <w:tcW w:w="806" w:type="dxa"/>
          </w:tcPr>
          <w:p w14:paraId="5B8A0E54">
            <w:pPr>
              <w:jc w:val="center"/>
              <w:rPr>
                <w:rFonts w:hint="eastAsia" w:ascii="仿宋" w:hAnsi="仿宋" w:eastAsia="仿宋" w:cs="仿宋"/>
                <w:b/>
                <w:bCs/>
                <w:color w:val="auto"/>
                <w:sz w:val="24"/>
                <w:szCs w:val="24"/>
                <w:highlight w:val="none"/>
              </w:rPr>
            </w:pPr>
          </w:p>
        </w:tc>
        <w:tc>
          <w:tcPr>
            <w:tcW w:w="2070" w:type="dxa"/>
          </w:tcPr>
          <w:p w14:paraId="5A5497E3">
            <w:pPr>
              <w:jc w:val="center"/>
              <w:rPr>
                <w:rFonts w:hint="eastAsia" w:ascii="仿宋" w:hAnsi="仿宋" w:eastAsia="仿宋" w:cs="仿宋"/>
                <w:b/>
                <w:bCs/>
                <w:color w:val="auto"/>
                <w:sz w:val="24"/>
                <w:szCs w:val="24"/>
                <w:highlight w:val="none"/>
              </w:rPr>
            </w:pPr>
          </w:p>
        </w:tc>
        <w:tc>
          <w:tcPr>
            <w:tcW w:w="2052" w:type="dxa"/>
          </w:tcPr>
          <w:p w14:paraId="7A53C477">
            <w:pPr>
              <w:jc w:val="center"/>
              <w:rPr>
                <w:rFonts w:hint="eastAsia" w:ascii="仿宋" w:hAnsi="仿宋" w:eastAsia="仿宋" w:cs="仿宋"/>
                <w:b/>
                <w:bCs/>
                <w:color w:val="auto"/>
                <w:sz w:val="24"/>
                <w:szCs w:val="24"/>
                <w:highlight w:val="none"/>
              </w:rPr>
            </w:pPr>
          </w:p>
        </w:tc>
        <w:tc>
          <w:tcPr>
            <w:tcW w:w="2126" w:type="dxa"/>
          </w:tcPr>
          <w:p w14:paraId="7AA503BC">
            <w:pPr>
              <w:jc w:val="center"/>
              <w:rPr>
                <w:rFonts w:hint="eastAsia" w:ascii="仿宋" w:hAnsi="仿宋" w:eastAsia="仿宋" w:cs="仿宋"/>
                <w:b/>
                <w:bCs/>
                <w:color w:val="auto"/>
                <w:sz w:val="24"/>
                <w:szCs w:val="24"/>
                <w:highlight w:val="none"/>
              </w:rPr>
            </w:pPr>
          </w:p>
        </w:tc>
        <w:tc>
          <w:tcPr>
            <w:tcW w:w="1985" w:type="dxa"/>
          </w:tcPr>
          <w:p w14:paraId="278D42E7">
            <w:pPr>
              <w:jc w:val="center"/>
              <w:rPr>
                <w:rFonts w:hint="eastAsia" w:ascii="仿宋" w:hAnsi="仿宋" w:eastAsia="仿宋" w:cs="仿宋"/>
                <w:b/>
                <w:bCs/>
                <w:color w:val="auto"/>
                <w:sz w:val="24"/>
                <w:szCs w:val="24"/>
                <w:highlight w:val="none"/>
              </w:rPr>
            </w:pPr>
          </w:p>
        </w:tc>
      </w:tr>
      <w:tr w14:paraId="7CC112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0" w:hRule="atLeast"/>
          <w:jc w:val="center"/>
        </w:trPr>
        <w:tc>
          <w:tcPr>
            <w:tcW w:w="806" w:type="dxa"/>
          </w:tcPr>
          <w:p w14:paraId="18E39D1F">
            <w:pPr>
              <w:jc w:val="center"/>
              <w:rPr>
                <w:rFonts w:hint="eastAsia" w:ascii="仿宋" w:hAnsi="仿宋" w:eastAsia="仿宋" w:cs="仿宋"/>
                <w:b/>
                <w:bCs/>
                <w:color w:val="auto"/>
                <w:sz w:val="24"/>
                <w:szCs w:val="24"/>
                <w:highlight w:val="none"/>
              </w:rPr>
            </w:pPr>
          </w:p>
        </w:tc>
        <w:tc>
          <w:tcPr>
            <w:tcW w:w="2070" w:type="dxa"/>
          </w:tcPr>
          <w:p w14:paraId="6F0F7584">
            <w:pPr>
              <w:jc w:val="center"/>
              <w:rPr>
                <w:rFonts w:hint="eastAsia" w:ascii="仿宋" w:hAnsi="仿宋" w:eastAsia="仿宋" w:cs="仿宋"/>
                <w:b/>
                <w:bCs/>
                <w:color w:val="auto"/>
                <w:sz w:val="24"/>
                <w:szCs w:val="24"/>
                <w:highlight w:val="none"/>
              </w:rPr>
            </w:pPr>
          </w:p>
        </w:tc>
        <w:tc>
          <w:tcPr>
            <w:tcW w:w="2052" w:type="dxa"/>
          </w:tcPr>
          <w:p w14:paraId="3F1C3F31">
            <w:pPr>
              <w:jc w:val="center"/>
              <w:rPr>
                <w:rFonts w:hint="eastAsia" w:ascii="仿宋" w:hAnsi="仿宋" w:eastAsia="仿宋" w:cs="仿宋"/>
                <w:b/>
                <w:bCs/>
                <w:color w:val="auto"/>
                <w:sz w:val="24"/>
                <w:szCs w:val="24"/>
                <w:highlight w:val="none"/>
              </w:rPr>
            </w:pPr>
          </w:p>
        </w:tc>
        <w:tc>
          <w:tcPr>
            <w:tcW w:w="2126" w:type="dxa"/>
          </w:tcPr>
          <w:p w14:paraId="39B1068E">
            <w:pPr>
              <w:jc w:val="center"/>
              <w:rPr>
                <w:rFonts w:hint="eastAsia" w:ascii="仿宋" w:hAnsi="仿宋" w:eastAsia="仿宋" w:cs="仿宋"/>
                <w:b/>
                <w:bCs/>
                <w:color w:val="auto"/>
                <w:sz w:val="24"/>
                <w:szCs w:val="24"/>
                <w:highlight w:val="none"/>
              </w:rPr>
            </w:pPr>
          </w:p>
        </w:tc>
        <w:tc>
          <w:tcPr>
            <w:tcW w:w="1985" w:type="dxa"/>
          </w:tcPr>
          <w:p w14:paraId="57554190">
            <w:pPr>
              <w:jc w:val="center"/>
              <w:rPr>
                <w:rFonts w:hint="eastAsia" w:ascii="仿宋" w:hAnsi="仿宋" w:eastAsia="仿宋" w:cs="仿宋"/>
                <w:b/>
                <w:bCs/>
                <w:color w:val="auto"/>
                <w:sz w:val="24"/>
                <w:szCs w:val="24"/>
                <w:highlight w:val="none"/>
              </w:rPr>
            </w:pPr>
          </w:p>
        </w:tc>
      </w:tr>
      <w:tr w14:paraId="449E5D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0" w:hRule="atLeast"/>
          <w:jc w:val="center"/>
        </w:trPr>
        <w:tc>
          <w:tcPr>
            <w:tcW w:w="806" w:type="dxa"/>
          </w:tcPr>
          <w:p w14:paraId="15E3DCB0">
            <w:pPr>
              <w:jc w:val="center"/>
              <w:rPr>
                <w:rFonts w:hint="eastAsia" w:ascii="仿宋" w:hAnsi="仿宋" w:eastAsia="仿宋" w:cs="仿宋"/>
                <w:b/>
                <w:bCs/>
                <w:color w:val="auto"/>
                <w:sz w:val="24"/>
                <w:szCs w:val="24"/>
                <w:highlight w:val="none"/>
              </w:rPr>
            </w:pPr>
          </w:p>
        </w:tc>
        <w:tc>
          <w:tcPr>
            <w:tcW w:w="2070" w:type="dxa"/>
          </w:tcPr>
          <w:p w14:paraId="6195FB37">
            <w:pPr>
              <w:jc w:val="center"/>
              <w:rPr>
                <w:rFonts w:hint="eastAsia" w:ascii="仿宋" w:hAnsi="仿宋" w:eastAsia="仿宋" w:cs="仿宋"/>
                <w:b/>
                <w:bCs/>
                <w:color w:val="auto"/>
                <w:sz w:val="24"/>
                <w:szCs w:val="24"/>
                <w:highlight w:val="none"/>
              </w:rPr>
            </w:pPr>
          </w:p>
        </w:tc>
        <w:tc>
          <w:tcPr>
            <w:tcW w:w="2052" w:type="dxa"/>
          </w:tcPr>
          <w:p w14:paraId="51D35E6C">
            <w:pPr>
              <w:jc w:val="center"/>
              <w:rPr>
                <w:rFonts w:hint="eastAsia" w:ascii="仿宋" w:hAnsi="仿宋" w:eastAsia="仿宋" w:cs="仿宋"/>
                <w:b/>
                <w:bCs/>
                <w:color w:val="auto"/>
                <w:sz w:val="24"/>
                <w:szCs w:val="24"/>
                <w:highlight w:val="none"/>
              </w:rPr>
            </w:pPr>
          </w:p>
        </w:tc>
        <w:tc>
          <w:tcPr>
            <w:tcW w:w="2126" w:type="dxa"/>
          </w:tcPr>
          <w:p w14:paraId="34DA2F39">
            <w:pPr>
              <w:jc w:val="center"/>
              <w:rPr>
                <w:rFonts w:hint="eastAsia" w:ascii="仿宋" w:hAnsi="仿宋" w:eastAsia="仿宋" w:cs="仿宋"/>
                <w:b/>
                <w:bCs/>
                <w:color w:val="auto"/>
                <w:sz w:val="24"/>
                <w:szCs w:val="24"/>
                <w:highlight w:val="none"/>
              </w:rPr>
            </w:pPr>
          </w:p>
        </w:tc>
        <w:tc>
          <w:tcPr>
            <w:tcW w:w="1985" w:type="dxa"/>
          </w:tcPr>
          <w:p w14:paraId="31527D51">
            <w:pPr>
              <w:jc w:val="center"/>
              <w:rPr>
                <w:rFonts w:hint="eastAsia" w:ascii="仿宋" w:hAnsi="仿宋" w:eastAsia="仿宋" w:cs="仿宋"/>
                <w:b/>
                <w:bCs/>
                <w:color w:val="auto"/>
                <w:sz w:val="24"/>
                <w:szCs w:val="24"/>
                <w:highlight w:val="none"/>
              </w:rPr>
            </w:pPr>
          </w:p>
        </w:tc>
      </w:tr>
    </w:tbl>
    <w:p w14:paraId="0A789F61">
      <w:pP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注：供应商商务条款有差异的，则在此表中列明实际响应的内容提要并加以说明，以便查对。无差异说明表示完全响应。</w:t>
      </w:r>
    </w:p>
    <w:p w14:paraId="508710F2">
      <w:pPr>
        <w:spacing w:line="360" w:lineRule="auto"/>
        <w:jc w:val="left"/>
        <w:rPr>
          <w:rFonts w:hint="eastAsia" w:ascii="仿宋" w:hAnsi="仿宋" w:eastAsia="仿宋" w:cs="仿宋"/>
          <w:color w:val="auto"/>
          <w:sz w:val="24"/>
          <w:szCs w:val="24"/>
          <w:highlight w:val="none"/>
        </w:rPr>
      </w:pPr>
    </w:p>
    <w:p w14:paraId="68A20368">
      <w:pPr>
        <w:spacing w:line="360" w:lineRule="auto"/>
        <w:jc w:val="left"/>
        <w:rPr>
          <w:rFonts w:hint="eastAsia" w:ascii="仿宋" w:hAnsi="仿宋" w:eastAsia="仿宋" w:cs="仿宋"/>
          <w:color w:val="auto"/>
          <w:sz w:val="24"/>
          <w:szCs w:val="24"/>
          <w:highlight w:val="none"/>
        </w:rPr>
      </w:pPr>
    </w:p>
    <w:p w14:paraId="2A699169">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供应商：</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（盖章）</w:t>
      </w:r>
    </w:p>
    <w:p w14:paraId="2EFC40D0">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p>
    <w:p w14:paraId="1E4F32F9">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法定代表人：</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（盖章或签字）</w:t>
      </w:r>
    </w:p>
    <w:p w14:paraId="5F6331E7">
      <w:pPr>
        <w:widowControl/>
        <w:shd w:val="clear" w:color="auto" w:fill="FFFFFF"/>
        <w:wordWrap w:val="0"/>
        <w:snapToGrid w:val="0"/>
        <w:spacing w:line="384" w:lineRule="auto"/>
        <w:ind w:firstLine="420"/>
        <w:jc w:val="righ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日期：     年   月   日</w:t>
      </w:r>
    </w:p>
    <w:p w14:paraId="7B7E54A3">
      <w:pPr>
        <w:rPr>
          <w:rFonts w:hint="eastAsia" w:ascii="仿宋" w:hAnsi="仿宋" w:eastAsia="仿宋" w:cs="仿宋"/>
          <w:color w:val="auto"/>
          <w:sz w:val="24"/>
          <w:szCs w:val="24"/>
          <w:highlight w:val="none"/>
        </w:rPr>
      </w:pPr>
      <w:r>
        <w:rPr>
          <w:rFonts w:hint="eastAsia" w:ascii="仿宋" w:hAnsi="仿宋" w:eastAsia="仿宋" w:cs="仿宋"/>
          <w:b/>
          <w:bCs/>
          <w:color w:val="auto"/>
          <w:kern w:val="36"/>
          <w:sz w:val="24"/>
          <w:szCs w:val="24"/>
          <w:highlight w:val="none"/>
        </w:rPr>
        <w:br w:type="page"/>
      </w:r>
    </w:p>
    <w:p w14:paraId="3881FCBB">
      <w:pPr>
        <w:widowControl/>
        <w:jc w:val="left"/>
        <w:rPr>
          <w:rFonts w:hint="eastAsia" w:ascii="仿宋" w:hAnsi="仿宋" w:eastAsia="仿宋" w:cs="仿宋"/>
          <w:color w:val="auto"/>
          <w:sz w:val="24"/>
          <w:szCs w:val="24"/>
          <w:highlight w:val="none"/>
        </w:rPr>
      </w:pPr>
    </w:p>
    <w:p w14:paraId="6DC9742A">
      <w:pPr>
        <w:tabs>
          <w:tab w:val="center" w:pos="4832"/>
          <w:tab w:val="left" w:pos="7140"/>
        </w:tabs>
        <w:jc w:val="center"/>
        <w:outlineLvl w:val="1"/>
        <w:rPr>
          <w:rFonts w:hint="eastAsia" w:ascii="仿宋" w:hAnsi="仿宋" w:eastAsia="仿宋" w:cs="仿宋"/>
          <w:b/>
          <w:color w:val="auto"/>
          <w:sz w:val="24"/>
          <w:szCs w:val="24"/>
          <w:highlight w:val="none"/>
        </w:rPr>
      </w:pPr>
      <w:bookmarkStart w:id="67" w:name="_Toc109941767"/>
      <w:bookmarkStart w:id="68" w:name="_Toc27420"/>
      <w:bookmarkStart w:id="69" w:name="_Toc2642"/>
      <w:bookmarkStart w:id="70" w:name="_Toc8603"/>
      <w:bookmarkStart w:id="71" w:name="_Toc110707967"/>
      <w:bookmarkStart w:id="72" w:name="_Toc109921160"/>
      <w:bookmarkStart w:id="73" w:name="_Toc130252617"/>
      <w:bookmarkStart w:id="74" w:name="_Toc16087"/>
      <w:bookmarkStart w:id="75" w:name="_Toc6958"/>
      <w:r>
        <w:rPr>
          <w:rFonts w:hint="eastAsia" w:ascii="仿宋" w:hAnsi="仿宋" w:eastAsia="仿宋" w:cs="仿宋"/>
          <w:b/>
          <w:color w:val="auto"/>
          <w:sz w:val="24"/>
          <w:szCs w:val="24"/>
          <w:highlight w:val="none"/>
        </w:rPr>
        <w:t>五、技术条款偏离表</w:t>
      </w:r>
      <w:bookmarkEnd w:id="67"/>
      <w:bookmarkEnd w:id="68"/>
      <w:bookmarkEnd w:id="69"/>
      <w:bookmarkEnd w:id="70"/>
      <w:bookmarkEnd w:id="71"/>
      <w:bookmarkEnd w:id="72"/>
      <w:bookmarkEnd w:id="73"/>
      <w:bookmarkEnd w:id="74"/>
      <w:bookmarkEnd w:id="75"/>
    </w:p>
    <w:tbl>
      <w:tblPr>
        <w:tblStyle w:val="43"/>
        <w:tblW w:w="90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06"/>
        <w:gridCol w:w="2070"/>
        <w:gridCol w:w="2052"/>
        <w:gridCol w:w="2126"/>
        <w:gridCol w:w="1985"/>
      </w:tblGrid>
      <w:tr w14:paraId="38432E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3" w:hRule="atLeast"/>
          <w:jc w:val="center"/>
        </w:trPr>
        <w:tc>
          <w:tcPr>
            <w:tcW w:w="806" w:type="dxa"/>
            <w:vAlign w:val="center"/>
          </w:tcPr>
          <w:p w14:paraId="647A4E1D">
            <w:pPr>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序号</w:t>
            </w:r>
          </w:p>
        </w:tc>
        <w:tc>
          <w:tcPr>
            <w:tcW w:w="2070" w:type="dxa"/>
            <w:vAlign w:val="center"/>
          </w:tcPr>
          <w:p w14:paraId="4313AD3D">
            <w:pPr>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采购文件条目号</w:t>
            </w:r>
          </w:p>
        </w:tc>
        <w:tc>
          <w:tcPr>
            <w:tcW w:w="2052" w:type="dxa"/>
            <w:vAlign w:val="center"/>
          </w:tcPr>
          <w:p w14:paraId="64E9DCEB">
            <w:pPr>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采购文件的技术条款</w:t>
            </w:r>
          </w:p>
        </w:tc>
        <w:tc>
          <w:tcPr>
            <w:tcW w:w="2126" w:type="dxa"/>
            <w:vAlign w:val="center"/>
          </w:tcPr>
          <w:p w14:paraId="7ACD0274">
            <w:pPr>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响应文件的技术条款</w:t>
            </w:r>
          </w:p>
        </w:tc>
        <w:tc>
          <w:tcPr>
            <w:tcW w:w="1985" w:type="dxa"/>
            <w:vAlign w:val="center"/>
          </w:tcPr>
          <w:p w14:paraId="25E4093D">
            <w:pPr>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说明</w:t>
            </w:r>
          </w:p>
        </w:tc>
      </w:tr>
      <w:tr w14:paraId="59C869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0" w:hRule="atLeast"/>
          <w:jc w:val="center"/>
        </w:trPr>
        <w:tc>
          <w:tcPr>
            <w:tcW w:w="806" w:type="dxa"/>
          </w:tcPr>
          <w:p w14:paraId="04604BDA">
            <w:pPr>
              <w:jc w:val="center"/>
              <w:rPr>
                <w:rFonts w:hint="eastAsia" w:ascii="仿宋" w:hAnsi="仿宋" w:eastAsia="仿宋" w:cs="仿宋"/>
                <w:b/>
                <w:bCs/>
                <w:color w:val="auto"/>
                <w:sz w:val="24"/>
                <w:szCs w:val="24"/>
                <w:highlight w:val="none"/>
              </w:rPr>
            </w:pPr>
          </w:p>
        </w:tc>
        <w:tc>
          <w:tcPr>
            <w:tcW w:w="2070" w:type="dxa"/>
          </w:tcPr>
          <w:p w14:paraId="7D4AA59C">
            <w:pPr>
              <w:jc w:val="center"/>
              <w:rPr>
                <w:rFonts w:hint="eastAsia" w:ascii="仿宋" w:hAnsi="仿宋" w:eastAsia="仿宋" w:cs="仿宋"/>
                <w:b/>
                <w:bCs/>
                <w:color w:val="auto"/>
                <w:sz w:val="24"/>
                <w:szCs w:val="24"/>
                <w:highlight w:val="none"/>
              </w:rPr>
            </w:pPr>
          </w:p>
        </w:tc>
        <w:tc>
          <w:tcPr>
            <w:tcW w:w="2052" w:type="dxa"/>
          </w:tcPr>
          <w:p w14:paraId="33C05373">
            <w:pPr>
              <w:jc w:val="center"/>
              <w:rPr>
                <w:rFonts w:hint="eastAsia" w:ascii="仿宋" w:hAnsi="仿宋" w:eastAsia="仿宋" w:cs="仿宋"/>
                <w:b/>
                <w:bCs/>
                <w:color w:val="auto"/>
                <w:sz w:val="24"/>
                <w:szCs w:val="24"/>
                <w:highlight w:val="none"/>
              </w:rPr>
            </w:pPr>
          </w:p>
        </w:tc>
        <w:tc>
          <w:tcPr>
            <w:tcW w:w="2126" w:type="dxa"/>
          </w:tcPr>
          <w:p w14:paraId="744E2D54">
            <w:pPr>
              <w:jc w:val="center"/>
              <w:rPr>
                <w:rFonts w:hint="eastAsia" w:ascii="仿宋" w:hAnsi="仿宋" w:eastAsia="仿宋" w:cs="仿宋"/>
                <w:b/>
                <w:bCs/>
                <w:color w:val="auto"/>
                <w:sz w:val="24"/>
                <w:szCs w:val="24"/>
                <w:highlight w:val="none"/>
              </w:rPr>
            </w:pPr>
          </w:p>
        </w:tc>
        <w:tc>
          <w:tcPr>
            <w:tcW w:w="1985" w:type="dxa"/>
          </w:tcPr>
          <w:p w14:paraId="762DE573">
            <w:pPr>
              <w:jc w:val="center"/>
              <w:rPr>
                <w:rFonts w:hint="eastAsia" w:ascii="仿宋" w:hAnsi="仿宋" w:eastAsia="仿宋" w:cs="仿宋"/>
                <w:b/>
                <w:bCs/>
                <w:color w:val="auto"/>
                <w:sz w:val="24"/>
                <w:szCs w:val="24"/>
                <w:highlight w:val="none"/>
              </w:rPr>
            </w:pPr>
          </w:p>
        </w:tc>
      </w:tr>
      <w:tr w14:paraId="267378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0" w:hRule="atLeast"/>
          <w:jc w:val="center"/>
        </w:trPr>
        <w:tc>
          <w:tcPr>
            <w:tcW w:w="806" w:type="dxa"/>
          </w:tcPr>
          <w:p w14:paraId="787FB123">
            <w:pPr>
              <w:jc w:val="center"/>
              <w:rPr>
                <w:rFonts w:hint="eastAsia" w:ascii="仿宋" w:hAnsi="仿宋" w:eastAsia="仿宋" w:cs="仿宋"/>
                <w:b/>
                <w:bCs/>
                <w:color w:val="auto"/>
                <w:sz w:val="24"/>
                <w:szCs w:val="24"/>
                <w:highlight w:val="none"/>
              </w:rPr>
            </w:pPr>
          </w:p>
        </w:tc>
        <w:tc>
          <w:tcPr>
            <w:tcW w:w="2070" w:type="dxa"/>
          </w:tcPr>
          <w:p w14:paraId="55BB7211">
            <w:pPr>
              <w:jc w:val="center"/>
              <w:rPr>
                <w:rFonts w:hint="eastAsia" w:ascii="仿宋" w:hAnsi="仿宋" w:eastAsia="仿宋" w:cs="仿宋"/>
                <w:b/>
                <w:bCs/>
                <w:color w:val="auto"/>
                <w:sz w:val="24"/>
                <w:szCs w:val="24"/>
                <w:highlight w:val="none"/>
              </w:rPr>
            </w:pPr>
          </w:p>
        </w:tc>
        <w:tc>
          <w:tcPr>
            <w:tcW w:w="2052" w:type="dxa"/>
          </w:tcPr>
          <w:p w14:paraId="1313D4D0">
            <w:pPr>
              <w:jc w:val="center"/>
              <w:rPr>
                <w:rFonts w:hint="eastAsia" w:ascii="仿宋" w:hAnsi="仿宋" w:eastAsia="仿宋" w:cs="仿宋"/>
                <w:b/>
                <w:bCs/>
                <w:color w:val="auto"/>
                <w:sz w:val="24"/>
                <w:szCs w:val="24"/>
                <w:highlight w:val="none"/>
              </w:rPr>
            </w:pPr>
          </w:p>
        </w:tc>
        <w:tc>
          <w:tcPr>
            <w:tcW w:w="2126" w:type="dxa"/>
          </w:tcPr>
          <w:p w14:paraId="7AD7F2D8">
            <w:pPr>
              <w:jc w:val="center"/>
              <w:rPr>
                <w:rFonts w:hint="eastAsia" w:ascii="仿宋" w:hAnsi="仿宋" w:eastAsia="仿宋" w:cs="仿宋"/>
                <w:b/>
                <w:bCs/>
                <w:color w:val="auto"/>
                <w:sz w:val="24"/>
                <w:szCs w:val="24"/>
                <w:highlight w:val="none"/>
              </w:rPr>
            </w:pPr>
          </w:p>
        </w:tc>
        <w:tc>
          <w:tcPr>
            <w:tcW w:w="1985" w:type="dxa"/>
          </w:tcPr>
          <w:p w14:paraId="498C4D04">
            <w:pPr>
              <w:jc w:val="center"/>
              <w:rPr>
                <w:rFonts w:hint="eastAsia" w:ascii="仿宋" w:hAnsi="仿宋" w:eastAsia="仿宋" w:cs="仿宋"/>
                <w:b/>
                <w:bCs/>
                <w:color w:val="auto"/>
                <w:sz w:val="24"/>
                <w:szCs w:val="24"/>
                <w:highlight w:val="none"/>
              </w:rPr>
            </w:pPr>
          </w:p>
        </w:tc>
      </w:tr>
      <w:tr w14:paraId="0EF39D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0" w:hRule="atLeast"/>
          <w:jc w:val="center"/>
        </w:trPr>
        <w:tc>
          <w:tcPr>
            <w:tcW w:w="806" w:type="dxa"/>
          </w:tcPr>
          <w:p w14:paraId="36EB7573">
            <w:pPr>
              <w:jc w:val="center"/>
              <w:rPr>
                <w:rFonts w:hint="eastAsia" w:ascii="仿宋" w:hAnsi="仿宋" w:eastAsia="仿宋" w:cs="仿宋"/>
                <w:b/>
                <w:bCs/>
                <w:color w:val="auto"/>
                <w:sz w:val="24"/>
                <w:szCs w:val="24"/>
                <w:highlight w:val="none"/>
              </w:rPr>
            </w:pPr>
          </w:p>
        </w:tc>
        <w:tc>
          <w:tcPr>
            <w:tcW w:w="2070" w:type="dxa"/>
          </w:tcPr>
          <w:p w14:paraId="02059C9D">
            <w:pPr>
              <w:jc w:val="center"/>
              <w:rPr>
                <w:rFonts w:hint="eastAsia" w:ascii="仿宋" w:hAnsi="仿宋" w:eastAsia="仿宋" w:cs="仿宋"/>
                <w:b/>
                <w:bCs/>
                <w:color w:val="auto"/>
                <w:sz w:val="24"/>
                <w:szCs w:val="24"/>
                <w:highlight w:val="none"/>
              </w:rPr>
            </w:pPr>
          </w:p>
        </w:tc>
        <w:tc>
          <w:tcPr>
            <w:tcW w:w="2052" w:type="dxa"/>
          </w:tcPr>
          <w:p w14:paraId="2C55F2BA">
            <w:pPr>
              <w:jc w:val="center"/>
              <w:rPr>
                <w:rFonts w:hint="eastAsia" w:ascii="仿宋" w:hAnsi="仿宋" w:eastAsia="仿宋" w:cs="仿宋"/>
                <w:b/>
                <w:bCs/>
                <w:color w:val="auto"/>
                <w:sz w:val="24"/>
                <w:szCs w:val="24"/>
                <w:highlight w:val="none"/>
              </w:rPr>
            </w:pPr>
          </w:p>
        </w:tc>
        <w:tc>
          <w:tcPr>
            <w:tcW w:w="2126" w:type="dxa"/>
          </w:tcPr>
          <w:p w14:paraId="784D8C2E">
            <w:pPr>
              <w:jc w:val="center"/>
              <w:rPr>
                <w:rFonts w:hint="eastAsia" w:ascii="仿宋" w:hAnsi="仿宋" w:eastAsia="仿宋" w:cs="仿宋"/>
                <w:b/>
                <w:bCs/>
                <w:color w:val="auto"/>
                <w:sz w:val="24"/>
                <w:szCs w:val="24"/>
                <w:highlight w:val="none"/>
              </w:rPr>
            </w:pPr>
          </w:p>
        </w:tc>
        <w:tc>
          <w:tcPr>
            <w:tcW w:w="1985" w:type="dxa"/>
          </w:tcPr>
          <w:p w14:paraId="5207C3E9">
            <w:pPr>
              <w:jc w:val="center"/>
              <w:rPr>
                <w:rFonts w:hint="eastAsia" w:ascii="仿宋" w:hAnsi="仿宋" w:eastAsia="仿宋" w:cs="仿宋"/>
                <w:b/>
                <w:bCs/>
                <w:color w:val="auto"/>
                <w:sz w:val="24"/>
                <w:szCs w:val="24"/>
                <w:highlight w:val="none"/>
              </w:rPr>
            </w:pPr>
          </w:p>
        </w:tc>
      </w:tr>
      <w:tr w14:paraId="1DA2FB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0" w:hRule="atLeast"/>
          <w:jc w:val="center"/>
        </w:trPr>
        <w:tc>
          <w:tcPr>
            <w:tcW w:w="806" w:type="dxa"/>
          </w:tcPr>
          <w:p w14:paraId="32F13219">
            <w:pPr>
              <w:jc w:val="center"/>
              <w:rPr>
                <w:rFonts w:hint="eastAsia" w:ascii="仿宋" w:hAnsi="仿宋" w:eastAsia="仿宋" w:cs="仿宋"/>
                <w:b/>
                <w:bCs/>
                <w:color w:val="auto"/>
                <w:sz w:val="24"/>
                <w:szCs w:val="24"/>
                <w:highlight w:val="none"/>
              </w:rPr>
            </w:pPr>
          </w:p>
        </w:tc>
        <w:tc>
          <w:tcPr>
            <w:tcW w:w="2070" w:type="dxa"/>
          </w:tcPr>
          <w:p w14:paraId="6A1BC22B">
            <w:pPr>
              <w:jc w:val="center"/>
              <w:rPr>
                <w:rFonts w:hint="eastAsia" w:ascii="仿宋" w:hAnsi="仿宋" w:eastAsia="仿宋" w:cs="仿宋"/>
                <w:b/>
                <w:bCs/>
                <w:color w:val="auto"/>
                <w:sz w:val="24"/>
                <w:szCs w:val="24"/>
                <w:highlight w:val="none"/>
              </w:rPr>
            </w:pPr>
          </w:p>
        </w:tc>
        <w:tc>
          <w:tcPr>
            <w:tcW w:w="2052" w:type="dxa"/>
          </w:tcPr>
          <w:p w14:paraId="45F4EAB3">
            <w:pPr>
              <w:jc w:val="center"/>
              <w:rPr>
                <w:rFonts w:hint="eastAsia" w:ascii="仿宋" w:hAnsi="仿宋" w:eastAsia="仿宋" w:cs="仿宋"/>
                <w:b/>
                <w:bCs/>
                <w:color w:val="auto"/>
                <w:sz w:val="24"/>
                <w:szCs w:val="24"/>
                <w:highlight w:val="none"/>
              </w:rPr>
            </w:pPr>
          </w:p>
        </w:tc>
        <w:tc>
          <w:tcPr>
            <w:tcW w:w="2126" w:type="dxa"/>
          </w:tcPr>
          <w:p w14:paraId="5FDCB143">
            <w:pPr>
              <w:jc w:val="center"/>
              <w:rPr>
                <w:rFonts w:hint="eastAsia" w:ascii="仿宋" w:hAnsi="仿宋" w:eastAsia="仿宋" w:cs="仿宋"/>
                <w:b/>
                <w:bCs/>
                <w:color w:val="auto"/>
                <w:sz w:val="24"/>
                <w:szCs w:val="24"/>
                <w:highlight w:val="none"/>
              </w:rPr>
            </w:pPr>
          </w:p>
        </w:tc>
        <w:tc>
          <w:tcPr>
            <w:tcW w:w="1985" w:type="dxa"/>
          </w:tcPr>
          <w:p w14:paraId="3089482F">
            <w:pPr>
              <w:jc w:val="center"/>
              <w:rPr>
                <w:rFonts w:hint="eastAsia" w:ascii="仿宋" w:hAnsi="仿宋" w:eastAsia="仿宋" w:cs="仿宋"/>
                <w:b/>
                <w:bCs/>
                <w:color w:val="auto"/>
                <w:sz w:val="24"/>
                <w:szCs w:val="24"/>
                <w:highlight w:val="none"/>
              </w:rPr>
            </w:pPr>
          </w:p>
        </w:tc>
      </w:tr>
      <w:tr w14:paraId="242DA7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0" w:hRule="atLeast"/>
          <w:jc w:val="center"/>
        </w:trPr>
        <w:tc>
          <w:tcPr>
            <w:tcW w:w="806" w:type="dxa"/>
          </w:tcPr>
          <w:p w14:paraId="109E1C6E">
            <w:pPr>
              <w:jc w:val="center"/>
              <w:rPr>
                <w:rFonts w:hint="eastAsia" w:ascii="仿宋" w:hAnsi="仿宋" w:eastAsia="仿宋" w:cs="仿宋"/>
                <w:b/>
                <w:bCs/>
                <w:color w:val="auto"/>
                <w:sz w:val="24"/>
                <w:szCs w:val="24"/>
                <w:highlight w:val="none"/>
              </w:rPr>
            </w:pPr>
          </w:p>
        </w:tc>
        <w:tc>
          <w:tcPr>
            <w:tcW w:w="2070" w:type="dxa"/>
          </w:tcPr>
          <w:p w14:paraId="1CB54FC0">
            <w:pPr>
              <w:jc w:val="center"/>
              <w:rPr>
                <w:rFonts w:hint="eastAsia" w:ascii="仿宋" w:hAnsi="仿宋" w:eastAsia="仿宋" w:cs="仿宋"/>
                <w:b/>
                <w:bCs/>
                <w:color w:val="auto"/>
                <w:sz w:val="24"/>
                <w:szCs w:val="24"/>
                <w:highlight w:val="none"/>
              </w:rPr>
            </w:pPr>
          </w:p>
        </w:tc>
        <w:tc>
          <w:tcPr>
            <w:tcW w:w="2052" w:type="dxa"/>
          </w:tcPr>
          <w:p w14:paraId="72C13D88">
            <w:pPr>
              <w:jc w:val="center"/>
              <w:rPr>
                <w:rFonts w:hint="eastAsia" w:ascii="仿宋" w:hAnsi="仿宋" w:eastAsia="仿宋" w:cs="仿宋"/>
                <w:b/>
                <w:bCs/>
                <w:color w:val="auto"/>
                <w:sz w:val="24"/>
                <w:szCs w:val="24"/>
                <w:highlight w:val="none"/>
              </w:rPr>
            </w:pPr>
          </w:p>
        </w:tc>
        <w:tc>
          <w:tcPr>
            <w:tcW w:w="2126" w:type="dxa"/>
          </w:tcPr>
          <w:p w14:paraId="7A6280DD">
            <w:pPr>
              <w:jc w:val="center"/>
              <w:rPr>
                <w:rFonts w:hint="eastAsia" w:ascii="仿宋" w:hAnsi="仿宋" w:eastAsia="仿宋" w:cs="仿宋"/>
                <w:b/>
                <w:bCs/>
                <w:color w:val="auto"/>
                <w:sz w:val="24"/>
                <w:szCs w:val="24"/>
                <w:highlight w:val="none"/>
              </w:rPr>
            </w:pPr>
          </w:p>
        </w:tc>
        <w:tc>
          <w:tcPr>
            <w:tcW w:w="1985" w:type="dxa"/>
          </w:tcPr>
          <w:p w14:paraId="2FF6A53B">
            <w:pPr>
              <w:jc w:val="center"/>
              <w:rPr>
                <w:rFonts w:hint="eastAsia" w:ascii="仿宋" w:hAnsi="仿宋" w:eastAsia="仿宋" w:cs="仿宋"/>
                <w:b/>
                <w:bCs/>
                <w:color w:val="auto"/>
                <w:sz w:val="24"/>
                <w:szCs w:val="24"/>
                <w:highlight w:val="none"/>
              </w:rPr>
            </w:pPr>
          </w:p>
        </w:tc>
      </w:tr>
    </w:tbl>
    <w:p w14:paraId="0680600D">
      <w:pPr>
        <w:rPr>
          <w:rFonts w:hint="eastAsia" w:ascii="仿宋" w:hAnsi="仿宋" w:eastAsia="仿宋" w:cs="仿宋"/>
          <w:color w:val="auto"/>
          <w:highlight w:val="none"/>
        </w:rPr>
      </w:pPr>
    </w:p>
    <w:p w14:paraId="05F1982F">
      <w:pP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注：供应商技术条款有差异的，则在此表中列明实际响应的内容提要并加以说明，以便查对。无差异说明表示完全响应。</w:t>
      </w:r>
    </w:p>
    <w:p w14:paraId="2068052A">
      <w:pPr>
        <w:spacing w:line="360" w:lineRule="auto"/>
        <w:ind w:firstLine="475" w:firstLineChars="198"/>
        <w:jc w:val="left"/>
        <w:rPr>
          <w:rFonts w:hint="eastAsia" w:ascii="仿宋" w:hAnsi="仿宋" w:eastAsia="仿宋" w:cs="仿宋"/>
          <w:color w:val="auto"/>
          <w:sz w:val="24"/>
          <w:szCs w:val="24"/>
          <w:highlight w:val="none"/>
        </w:rPr>
      </w:pPr>
    </w:p>
    <w:p w14:paraId="519AD7AD">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p>
    <w:p w14:paraId="3C50E343">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p>
    <w:p w14:paraId="062B4BE6">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供应商：</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（盖章）</w:t>
      </w:r>
    </w:p>
    <w:p w14:paraId="460B5FC4">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p>
    <w:p w14:paraId="3D65B84C">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法定代表人：</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（盖章或签字）</w:t>
      </w:r>
    </w:p>
    <w:p w14:paraId="025C0A23">
      <w:pPr>
        <w:widowControl/>
        <w:shd w:val="clear" w:color="auto" w:fill="FFFFFF"/>
        <w:wordWrap w:val="0"/>
        <w:snapToGrid w:val="0"/>
        <w:spacing w:line="384" w:lineRule="auto"/>
        <w:ind w:firstLine="420"/>
        <w:jc w:val="righ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日期：     年   月   日</w:t>
      </w:r>
    </w:p>
    <w:p w14:paraId="1FFDA1FB">
      <w:pPr>
        <w:tabs>
          <w:tab w:val="center" w:pos="4832"/>
          <w:tab w:val="left" w:pos="7140"/>
        </w:tabs>
        <w:jc w:val="center"/>
        <w:outlineLvl w:val="1"/>
        <w:rPr>
          <w:rFonts w:hint="eastAsia" w:ascii="仿宋" w:hAnsi="仿宋" w:eastAsia="仿宋" w:cs="仿宋"/>
          <w:b/>
          <w:color w:val="auto"/>
          <w:sz w:val="24"/>
          <w:szCs w:val="24"/>
          <w:highlight w:val="none"/>
        </w:rPr>
      </w:pPr>
      <w:r>
        <w:rPr>
          <w:rFonts w:hint="eastAsia" w:ascii="仿宋" w:hAnsi="仿宋" w:eastAsia="仿宋" w:cs="仿宋"/>
          <w:b/>
          <w:bCs/>
          <w:color w:val="auto"/>
          <w:kern w:val="36"/>
          <w:sz w:val="24"/>
          <w:szCs w:val="24"/>
          <w:highlight w:val="none"/>
        </w:rPr>
        <w:br w:type="page"/>
      </w:r>
      <w:bookmarkStart w:id="76" w:name="_Toc110707969"/>
      <w:bookmarkStart w:id="77" w:name="_Toc7878"/>
      <w:bookmarkStart w:id="78" w:name="_Toc130252619"/>
      <w:bookmarkStart w:id="79" w:name="_Toc109941769"/>
      <w:bookmarkStart w:id="80" w:name="_Toc25525"/>
      <w:bookmarkStart w:id="81" w:name="_Toc5075"/>
      <w:bookmarkStart w:id="82" w:name="_Toc109921162"/>
      <w:bookmarkStart w:id="83" w:name="_Toc29249"/>
      <w:bookmarkStart w:id="84" w:name="_Toc14103"/>
      <w:r>
        <w:rPr>
          <w:rFonts w:hint="eastAsia" w:ascii="仿宋" w:hAnsi="仿宋" w:eastAsia="仿宋" w:cs="仿宋"/>
          <w:b/>
          <w:color w:val="auto"/>
          <w:sz w:val="24"/>
          <w:szCs w:val="24"/>
          <w:highlight w:val="none"/>
        </w:rPr>
        <w:t>六、法定代表人身份证明书</w:t>
      </w:r>
      <w:bookmarkEnd w:id="76"/>
      <w:bookmarkEnd w:id="77"/>
      <w:bookmarkEnd w:id="78"/>
      <w:bookmarkEnd w:id="79"/>
      <w:bookmarkEnd w:id="80"/>
      <w:bookmarkEnd w:id="81"/>
      <w:bookmarkEnd w:id="82"/>
      <w:bookmarkEnd w:id="83"/>
      <w:bookmarkEnd w:id="84"/>
    </w:p>
    <w:p w14:paraId="603BD5AD">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p>
    <w:p w14:paraId="7281473B">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投 标 人：</w:t>
      </w:r>
      <w:r>
        <w:rPr>
          <w:rFonts w:hint="eastAsia" w:ascii="仿宋" w:hAnsi="仿宋" w:eastAsia="仿宋" w:cs="仿宋"/>
          <w:color w:val="auto"/>
          <w:kern w:val="0"/>
          <w:sz w:val="24"/>
          <w:szCs w:val="24"/>
          <w:highlight w:val="none"/>
          <w:u w:val="single"/>
        </w:rPr>
        <w:t xml:space="preserve">                              </w:t>
      </w:r>
    </w:p>
    <w:p w14:paraId="64968629">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单位性质：</w:t>
      </w:r>
      <w:r>
        <w:rPr>
          <w:rFonts w:hint="eastAsia" w:ascii="仿宋" w:hAnsi="仿宋" w:eastAsia="仿宋" w:cs="仿宋"/>
          <w:color w:val="auto"/>
          <w:kern w:val="0"/>
          <w:sz w:val="24"/>
          <w:szCs w:val="24"/>
          <w:highlight w:val="none"/>
          <w:u w:val="single"/>
        </w:rPr>
        <w:t xml:space="preserve">                              </w:t>
      </w:r>
    </w:p>
    <w:p w14:paraId="7DA5CA1A">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地    址：</w:t>
      </w:r>
      <w:r>
        <w:rPr>
          <w:rFonts w:hint="eastAsia" w:ascii="仿宋" w:hAnsi="仿宋" w:eastAsia="仿宋" w:cs="仿宋"/>
          <w:color w:val="auto"/>
          <w:kern w:val="0"/>
          <w:sz w:val="24"/>
          <w:szCs w:val="24"/>
          <w:highlight w:val="none"/>
          <w:u w:val="single"/>
        </w:rPr>
        <w:t xml:space="preserve">                              </w:t>
      </w:r>
    </w:p>
    <w:p w14:paraId="5C474746">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成立时间：</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年</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月</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日</w:t>
      </w:r>
    </w:p>
    <w:p w14:paraId="35861DC6">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经营期限：</w:t>
      </w:r>
      <w:r>
        <w:rPr>
          <w:rFonts w:hint="eastAsia" w:ascii="仿宋" w:hAnsi="仿宋" w:eastAsia="仿宋" w:cs="仿宋"/>
          <w:color w:val="auto"/>
          <w:kern w:val="0"/>
          <w:sz w:val="24"/>
          <w:szCs w:val="24"/>
          <w:highlight w:val="none"/>
          <w:u w:val="single"/>
        </w:rPr>
        <w:t xml:space="preserve">                              </w:t>
      </w:r>
    </w:p>
    <w:p w14:paraId="75310A7F">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p>
    <w:p w14:paraId="756C949B">
      <w:pPr>
        <w:widowControl/>
        <w:shd w:val="clear" w:color="auto" w:fill="FFFFFF"/>
        <w:snapToGrid w:val="0"/>
        <w:spacing w:line="384" w:lineRule="auto"/>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姓名：</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性别：</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年龄：</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职务：</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系</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（供应商名称）的法定代表人。</w:t>
      </w:r>
    </w:p>
    <w:p w14:paraId="618E02DB">
      <w:pPr>
        <w:widowControl/>
        <w:shd w:val="clear" w:color="auto" w:fill="FFFFFF"/>
        <w:snapToGrid w:val="0"/>
        <w:spacing w:line="384" w:lineRule="auto"/>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特此证明。</w:t>
      </w:r>
    </w:p>
    <w:p w14:paraId="201071D7">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p>
    <w:p w14:paraId="31EBF642">
      <w:pPr>
        <w:widowControl/>
        <w:shd w:val="clear" w:color="auto" w:fill="FFFFFF"/>
        <w:snapToGrid w:val="0"/>
        <w:spacing w:line="384" w:lineRule="auto"/>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附：法定代表人身份证明</w:t>
      </w:r>
    </w:p>
    <w:p w14:paraId="445321CF">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p>
    <w:tbl>
      <w:tblPr>
        <w:tblStyle w:val="43"/>
        <w:tblW w:w="39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969"/>
      </w:tblGrid>
      <w:tr w14:paraId="228EC8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38" w:hRule="exact"/>
        </w:trPr>
        <w:tc>
          <w:tcPr>
            <w:tcW w:w="3969" w:type="dxa"/>
            <w:vAlign w:val="center"/>
          </w:tcPr>
          <w:p w14:paraId="4444E840">
            <w:pPr>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法定代表人身份证复印件（正面）</w:t>
            </w:r>
          </w:p>
        </w:tc>
      </w:tr>
    </w:tbl>
    <w:p w14:paraId="5AA41EE7">
      <w:pPr>
        <w:rPr>
          <w:rFonts w:hint="eastAsia" w:ascii="仿宋" w:hAnsi="仿宋" w:eastAsia="仿宋" w:cs="仿宋"/>
          <w:vanish/>
          <w:color w:val="auto"/>
          <w:highlight w:val="none"/>
        </w:rPr>
      </w:pPr>
    </w:p>
    <w:tbl>
      <w:tblPr>
        <w:tblStyle w:val="43"/>
        <w:tblpPr w:leftFromText="180" w:rightFromText="180" w:vertAnchor="text" w:horzAnchor="page" w:tblpX="5711" w:tblpY="-2431"/>
        <w:tblW w:w="39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969"/>
      </w:tblGrid>
      <w:tr w14:paraId="3FBD1A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38" w:hRule="exact"/>
        </w:trPr>
        <w:tc>
          <w:tcPr>
            <w:tcW w:w="3969" w:type="dxa"/>
            <w:vAlign w:val="center"/>
          </w:tcPr>
          <w:p w14:paraId="654268D8">
            <w:pPr>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法定代表人身份证复印件（反面）</w:t>
            </w:r>
          </w:p>
        </w:tc>
      </w:tr>
    </w:tbl>
    <w:p w14:paraId="549B9C03">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p>
    <w:p w14:paraId="70BCFE65">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p>
    <w:p w14:paraId="1D786AB2">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p>
    <w:p w14:paraId="2FA1E7D6">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供应商：</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（盖章）</w:t>
      </w:r>
    </w:p>
    <w:p w14:paraId="7147C6EB">
      <w:pPr>
        <w:widowControl/>
        <w:shd w:val="clear" w:color="auto" w:fill="FFFFFF"/>
        <w:wordWrap w:val="0"/>
        <w:snapToGrid w:val="0"/>
        <w:jc w:val="righ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日期：</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年</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月</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 xml:space="preserve">日 </w:t>
      </w:r>
    </w:p>
    <w:p w14:paraId="69A71ED4">
      <w:pP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br w:type="page"/>
      </w:r>
    </w:p>
    <w:p w14:paraId="4B5695CA">
      <w:pPr>
        <w:tabs>
          <w:tab w:val="center" w:pos="4832"/>
          <w:tab w:val="left" w:pos="7140"/>
        </w:tabs>
        <w:jc w:val="center"/>
        <w:outlineLvl w:val="1"/>
        <w:rPr>
          <w:rFonts w:hint="eastAsia" w:ascii="仿宋" w:hAnsi="仿宋" w:eastAsia="仿宋" w:cs="仿宋"/>
          <w:b/>
          <w:color w:val="auto"/>
          <w:sz w:val="24"/>
          <w:szCs w:val="24"/>
          <w:highlight w:val="none"/>
        </w:rPr>
      </w:pPr>
      <w:bookmarkStart w:id="85" w:name="_Toc110707970"/>
      <w:bookmarkStart w:id="86" w:name="_Toc19364"/>
      <w:bookmarkStart w:id="87" w:name="_Toc27079"/>
      <w:bookmarkStart w:id="88" w:name="_Toc130252620"/>
      <w:bookmarkStart w:id="89" w:name="_Toc29077"/>
      <w:bookmarkStart w:id="90" w:name="_Toc109941770"/>
      <w:bookmarkStart w:id="91" w:name="_Toc109921163"/>
      <w:bookmarkStart w:id="92" w:name="_Toc13102"/>
      <w:bookmarkStart w:id="93" w:name="_Toc10701"/>
      <w:r>
        <w:rPr>
          <w:rFonts w:hint="eastAsia" w:ascii="仿宋" w:hAnsi="仿宋" w:eastAsia="仿宋" w:cs="仿宋"/>
          <w:b/>
          <w:color w:val="auto"/>
          <w:sz w:val="24"/>
          <w:szCs w:val="24"/>
          <w:highlight w:val="none"/>
        </w:rPr>
        <w:t>七、法定代表人授权委托书</w:t>
      </w:r>
      <w:bookmarkEnd w:id="85"/>
      <w:bookmarkEnd w:id="86"/>
      <w:bookmarkEnd w:id="87"/>
      <w:bookmarkEnd w:id="88"/>
      <w:bookmarkEnd w:id="89"/>
      <w:bookmarkEnd w:id="90"/>
      <w:bookmarkEnd w:id="91"/>
      <w:bookmarkEnd w:id="92"/>
      <w:bookmarkEnd w:id="93"/>
    </w:p>
    <w:p w14:paraId="53BD3A00">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p>
    <w:p w14:paraId="1D67071E">
      <w:pPr>
        <w:widowControl/>
        <w:shd w:val="clear" w:color="auto" w:fill="FFFFFF"/>
        <w:snapToGrid w:val="0"/>
        <w:spacing w:line="384" w:lineRule="auto"/>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本人</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（姓名）系</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 xml:space="preserve"> （供应商名称）的法定代表人，现拟派我单位</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（姓名）为我方委托代理人。委托代理人根据授权，就</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（项目名称）的投标，以本公司名义处理一切与之有关的事务，其法律后果由我方承担。</w:t>
      </w:r>
    </w:p>
    <w:p w14:paraId="1488B9B5">
      <w:pPr>
        <w:widowControl/>
        <w:shd w:val="clear" w:color="auto" w:fill="FFFFFF"/>
        <w:snapToGrid w:val="0"/>
        <w:spacing w:line="384" w:lineRule="auto"/>
        <w:ind w:firstLine="480" w:firstLineChars="200"/>
        <w:jc w:val="left"/>
        <w:rPr>
          <w:rFonts w:hint="eastAsia" w:ascii="仿宋" w:hAnsi="仿宋" w:eastAsia="仿宋" w:cs="仿宋"/>
          <w:color w:val="auto"/>
          <w:kern w:val="0"/>
          <w:sz w:val="24"/>
          <w:szCs w:val="24"/>
          <w:highlight w:val="none"/>
          <w:u w:val="single"/>
        </w:rPr>
      </w:pPr>
      <w:r>
        <w:rPr>
          <w:rFonts w:hint="eastAsia" w:ascii="仿宋" w:hAnsi="仿宋" w:eastAsia="仿宋" w:cs="仿宋"/>
          <w:color w:val="auto"/>
          <w:kern w:val="0"/>
          <w:sz w:val="24"/>
          <w:szCs w:val="24"/>
          <w:highlight w:val="none"/>
        </w:rPr>
        <w:t>代理人：</w:t>
      </w:r>
      <w:r>
        <w:rPr>
          <w:rFonts w:hint="eastAsia" w:ascii="仿宋" w:hAnsi="仿宋" w:eastAsia="仿宋" w:cs="仿宋"/>
          <w:i/>
          <w:color w:val="auto"/>
          <w:kern w:val="0"/>
          <w:sz w:val="24"/>
          <w:szCs w:val="24"/>
          <w:highlight w:val="none"/>
          <w:u w:val="single"/>
        </w:rPr>
        <w:t xml:space="preserve">                 </w:t>
      </w:r>
      <w:r>
        <w:rPr>
          <w:rFonts w:hint="eastAsia" w:ascii="仿宋" w:hAnsi="仿宋" w:eastAsia="仿宋" w:cs="仿宋"/>
          <w:color w:val="auto"/>
          <w:kern w:val="0"/>
          <w:sz w:val="24"/>
          <w:szCs w:val="24"/>
          <w:highlight w:val="none"/>
        </w:rPr>
        <w:t>性别：</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 xml:space="preserve"> 年龄：</w:t>
      </w:r>
      <w:r>
        <w:rPr>
          <w:rFonts w:hint="eastAsia" w:ascii="仿宋" w:hAnsi="仿宋" w:eastAsia="仿宋" w:cs="仿宋"/>
          <w:color w:val="auto"/>
          <w:kern w:val="0"/>
          <w:sz w:val="24"/>
          <w:szCs w:val="24"/>
          <w:highlight w:val="none"/>
          <w:u w:val="single"/>
        </w:rPr>
        <w:t xml:space="preserve">                    </w:t>
      </w:r>
    </w:p>
    <w:p w14:paraId="5C4903E2">
      <w:pPr>
        <w:widowControl/>
        <w:shd w:val="clear" w:color="auto" w:fill="FFFFFF"/>
        <w:snapToGrid w:val="0"/>
        <w:spacing w:line="384" w:lineRule="auto"/>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单  位：</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部门：</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 xml:space="preserve"> 职务：</w:t>
      </w:r>
      <w:r>
        <w:rPr>
          <w:rFonts w:hint="eastAsia" w:ascii="仿宋" w:hAnsi="仿宋" w:eastAsia="仿宋" w:cs="仿宋"/>
          <w:color w:val="auto"/>
          <w:kern w:val="0"/>
          <w:sz w:val="24"/>
          <w:szCs w:val="24"/>
          <w:highlight w:val="none"/>
          <w:u w:val="single"/>
        </w:rPr>
        <w:t xml:space="preserve">                    </w:t>
      </w:r>
    </w:p>
    <w:p w14:paraId="7826D89A">
      <w:pPr>
        <w:widowControl/>
        <w:shd w:val="clear" w:color="auto" w:fill="FFFFFF"/>
        <w:snapToGrid w:val="0"/>
        <w:spacing w:line="384" w:lineRule="auto"/>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代理人无转委权，特此申明。</w:t>
      </w:r>
    </w:p>
    <w:p w14:paraId="0550948B">
      <w:pPr>
        <w:widowControl/>
        <w:shd w:val="clear" w:color="auto" w:fill="FFFFFF"/>
        <w:snapToGrid w:val="0"/>
        <w:spacing w:line="384" w:lineRule="auto"/>
        <w:ind w:firstLine="480" w:firstLineChars="200"/>
        <w:jc w:val="left"/>
        <w:rPr>
          <w:rFonts w:hint="eastAsia" w:ascii="仿宋" w:hAnsi="仿宋" w:eastAsia="仿宋" w:cs="仿宋"/>
          <w:color w:val="auto"/>
          <w:kern w:val="0"/>
          <w:sz w:val="24"/>
          <w:szCs w:val="24"/>
          <w:highlight w:val="none"/>
        </w:rPr>
      </w:pPr>
    </w:p>
    <w:p w14:paraId="7F5F5110">
      <w:pPr>
        <w:widowControl/>
        <w:shd w:val="clear" w:color="auto" w:fill="FFFFFF"/>
        <w:snapToGrid w:val="0"/>
        <w:spacing w:line="384" w:lineRule="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附：委托代理人身份证明。</w:t>
      </w:r>
    </w:p>
    <w:tbl>
      <w:tblPr>
        <w:tblStyle w:val="43"/>
        <w:tblW w:w="3969" w:type="dxa"/>
        <w:tblInd w:w="57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69"/>
      </w:tblGrid>
      <w:tr w14:paraId="093929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8" w:hRule="exact"/>
        </w:trPr>
        <w:tc>
          <w:tcPr>
            <w:tcW w:w="3969" w:type="dxa"/>
            <w:vAlign w:val="center"/>
          </w:tcPr>
          <w:p w14:paraId="06B5D857">
            <w:pPr>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委托代理人身份证复印件（正面）</w:t>
            </w:r>
          </w:p>
        </w:tc>
      </w:tr>
    </w:tbl>
    <w:p w14:paraId="70EA4CFD">
      <w:pPr>
        <w:rPr>
          <w:rFonts w:hint="eastAsia" w:ascii="仿宋" w:hAnsi="仿宋" w:eastAsia="仿宋" w:cs="仿宋"/>
          <w:vanish/>
          <w:color w:val="auto"/>
          <w:highlight w:val="none"/>
        </w:rPr>
      </w:pPr>
    </w:p>
    <w:tbl>
      <w:tblPr>
        <w:tblStyle w:val="43"/>
        <w:tblpPr w:leftFromText="180" w:rightFromText="180" w:vertAnchor="text" w:horzAnchor="margin" w:tblpXSpec="right" w:tblpY="-2446"/>
        <w:tblW w:w="39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969"/>
      </w:tblGrid>
      <w:tr w14:paraId="62608C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38" w:hRule="exact"/>
        </w:trPr>
        <w:tc>
          <w:tcPr>
            <w:tcW w:w="3969" w:type="dxa"/>
            <w:vAlign w:val="center"/>
          </w:tcPr>
          <w:p w14:paraId="67988CDB">
            <w:pPr>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委托代理人身份证复印件（反面）</w:t>
            </w:r>
          </w:p>
        </w:tc>
      </w:tr>
    </w:tbl>
    <w:p w14:paraId="2D005CAD">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p>
    <w:p w14:paraId="01F01E4F">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p>
    <w:p w14:paraId="73C77EC8">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p>
    <w:p w14:paraId="4757C6CE">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供应商：</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（盖章）</w:t>
      </w:r>
    </w:p>
    <w:p w14:paraId="0D7298E4">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p>
    <w:p w14:paraId="00602452">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法定代表人：</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（盖章或签字）</w:t>
      </w:r>
    </w:p>
    <w:p w14:paraId="035E07D4">
      <w:pPr>
        <w:widowControl/>
        <w:shd w:val="clear" w:color="auto" w:fill="FFFFFF"/>
        <w:wordWrap w:val="0"/>
        <w:snapToGrid w:val="0"/>
        <w:spacing w:line="384" w:lineRule="auto"/>
        <w:ind w:firstLine="420"/>
        <w:jc w:val="righ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日期：     年   月   日</w:t>
      </w:r>
    </w:p>
    <w:p w14:paraId="495EFFAC">
      <w:pPr>
        <w:rPr>
          <w:rFonts w:hint="eastAsia" w:ascii="仿宋" w:hAnsi="仿宋" w:eastAsia="仿宋" w:cs="仿宋"/>
          <w:b/>
          <w:color w:val="auto"/>
          <w:sz w:val="24"/>
          <w:szCs w:val="24"/>
          <w:highlight w:val="none"/>
        </w:rPr>
      </w:pPr>
      <w:bookmarkStart w:id="94" w:name="_Toc110707971"/>
      <w:bookmarkStart w:id="95" w:name="_Toc109921164"/>
      <w:bookmarkStart w:id="96" w:name="_Toc109941771"/>
      <w:bookmarkStart w:id="97" w:name="_Toc130252621"/>
      <w:bookmarkStart w:id="98" w:name="_Toc29422"/>
      <w:bookmarkStart w:id="99" w:name="_Toc25783"/>
      <w:bookmarkStart w:id="100" w:name="_Toc358451723"/>
      <w:r>
        <w:rPr>
          <w:rFonts w:hint="eastAsia" w:ascii="仿宋" w:hAnsi="仿宋" w:eastAsia="仿宋" w:cs="仿宋"/>
          <w:b/>
          <w:color w:val="auto"/>
          <w:sz w:val="24"/>
          <w:szCs w:val="24"/>
          <w:highlight w:val="none"/>
        </w:rPr>
        <w:br w:type="page"/>
      </w:r>
    </w:p>
    <w:p w14:paraId="5C833F69">
      <w:pPr>
        <w:tabs>
          <w:tab w:val="center" w:pos="4832"/>
          <w:tab w:val="left" w:pos="7140"/>
        </w:tabs>
        <w:jc w:val="center"/>
        <w:outlineLvl w:val="1"/>
        <w:rPr>
          <w:rFonts w:hint="eastAsia" w:ascii="仿宋" w:hAnsi="仿宋" w:eastAsia="仿宋" w:cs="仿宋"/>
          <w:b/>
          <w:color w:val="auto"/>
          <w:sz w:val="24"/>
          <w:szCs w:val="24"/>
          <w:highlight w:val="none"/>
        </w:rPr>
      </w:pPr>
      <w:bookmarkStart w:id="101" w:name="_Toc5003"/>
      <w:bookmarkStart w:id="102" w:name="_Toc10651"/>
      <w:bookmarkStart w:id="103" w:name="_Toc9166"/>
      <w:r>
        <w:rPr>
          <w:rFonts w:hint="eastAsia" w:ascii="仿宋" w:hAnsi="仿宋" w:eastAsia="仿宋" w:cs="仿宋"/>
          <w:b/>
          <w:color w:val="auto"/>
          <w:sz w:val="24"/>
          <w:szCs w:val="24"/>
          <w:highlight w:val="none"/>
        </w:rPr>
        <w:t>八、</w:t>
      </w:r>
      <w:bookmarkEnd w:id="94"/>
      <w:bookmarkEnd w:id="95"/>
      <w:bookmarkEnd w:id="96"/>
      <w:r>
        <w:rPr>
          <w:rFonts w:hint="eastAsia" w:ascii="仿宋" w:hAnsi="仿宋" w:eastAsia="仿宋" w:cs="仿宋"/>
          <w:b/>
          <w:bCs/>
          <w:color w:val="auto"/>
          <w:sz w:val="24"/>
          <w:szCs w:val="24"/>
          <w:highlight w:val="none"/>
        </w:rPr>
        <w:t>供应商资格条件证明材料</w:t>
      </w:r>
      <w:bookmarkEnd w:id="97"/>
      <w:bookmarkEnd w:id="98"/>
      <w:bookmarkEnd w:id="99"/>
      <w:bookmarkEnd w:id="101"/>
      <w:bookmarkEnd w:id="102"/>
      <w:bookmarkEnd w:id="103"/>
    </w:p>
    <w:p w14:paraId="3224959B">
      <w:pPr>
        <w:rPr>
          <w:rFonts w:hint="eastAsia" w:ascii="仿宋" w:hAnsi="仿宋" w:eastAsia="仿宋" w:cs="仿宋"/>
          <w:color w:val="auto"/>
          <w:highlight w:val="none"/>
        </w:rPr>
      </w:pPr>
    </w:p>
    <w:tbl>
      <w:tblPr>
        <w:tblStyle w:val="43"/>
        <w:tblW w:w="89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665"/>
        <w:gridCol w:w="3165"/>
        <w:gridCol w:w="1995"/>
        <w:gridCol w:w="2140"/>
      </w:tblGrid>
      <w:tr w14:paraId="42FC25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665" w:type="dxa"/>
            <w:vAlign w:val="center"/>
          </w:tcPr>
          <w:p w14:paraId="408C3BD1">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供应商名称</w:t>
            </w:r>
          </w:p>
        </w:tc>
        <w:tc>
          <w:tcPr>
            <w:tcW w:w="7300" w:type="dxa"/>
            <w:gridSpan w:val="3"/>
            <w:vAlign w:val="center"/>
          </w:tcPr>
          <w:p w14:paraId="5EDF98F7">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p>
        </w:tc>
      </w:tr>
      <w:tr w14:paraId="2B4A6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665" w:type="dxa"/>
            <w:vAlign w:val="center"/>
          </w:tcPr>
          <w:p w14:paraId="5E49D763">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注册地址</w:t>
            </w:r>
          </w:p>
        </w:tc>
        <w:tc>
          <w:tcPr>
            <w:tcW w:w="3165" w:type="dxa"/>
            <w:vAlign w:val="center"/>
          </w:tcPr>
          <w:p w14:paraId="51D8DC90">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p>
        </w:tc>
        <w:tc>
          <w:tcPr>
            <w:tcW w:w="1995" w:type="dxa"/>
            <w:vAlign w:val="center"/>
          </w:tcPr>
          <w:p w14:paraId="079253DC">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邮政编码</w:t>
            </w:r>
          </w:p>
        </w:tc>
        <w:tc>
          <w:tcPr>
            <w:tcW w:w="2140" w:type="dxa"/>
            <w:vAlign w:val="center"/>
          </w:tcPr>
          <w:p w14:paraId="13A7E6B5">
            <w:pPr>
              <w:autoSpaceDE w:val="0"/>
              <w:autoSpaceDN w:val="0"/>
              <w:adjustRightInd w:val="0"/>
              <w:snapToGrid w:val="0"/>
              <w:spacing w:line="360" w:lineRule="auto"/>
              <w:jc w:val="center"/>
              <w:rPr>
                <w:rFonts w:hint="eastAsia" w:ascii="仿宋" w:hAnsi="仿宋" w:eastAsia="仿宋" w:cs="仿宋"/>
                <w:color w:val="auto"/>
                <w:kern w:val="0"/>
                <w:sz w:val="24"/>
                <w:szCs w:val="24"/>
                <w:highlight w:val="none"/>
                <w:shd w:val="clear" w:color="auto" w:fill="FFFFFF" w:themeFill="background1"/>
              </w:rPr>
            </w:pPr>
          </w:p>
        </w:tc>
      </w:tr>
      <w:tr w14:paraId="541EDE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665" w:type="dxa"/>
            <w:vAlign w:val="center"/>
          </w:tcPr>
          <w:p w14:paraId="5F922554">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成立时间</w:t>
            </w:r>
          </w:p>
        </w:tc>
        <w:tc>
          <w:tcPr>
            <w:tcW w:w="3165" w:type="dxa"/>
            <w:vAlign w:val="center"/>
          </w:tcPr>
          <w:p w14:paraId="04AEEE8C">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p>
        </w:tc>
        <w:tc>
          <w:tcPr>
            <w:tcW w:w="1995" w:type="dxa"/>
            <w:vAlign w:val="center"/>
          </w:tcPr>
          <w:p w14:paraId="46021AF8">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企业性质</w:t>
            </w:r>
          </w:p>
        </w:tc>
        <w:tc>
          <w:tcPr>
            <w:tcW w:w="2140" w:type="dxa"/>
            <w:vAlign w:val="center"/>
          </w:tcPr>
          <w:p w14:paraId="59D17914">
            <w:pPr>
              <w:autoSpaceDE w:val="0"/>
              <w:autoSpaceDN w:val="0"/>
              <w:adjustRightInd w:val="0"/>
              <w:snapToGrid w:val="0"/>
              <w:spacing w:line="360" w:lineRule="auto"/>
              <w:jc w:val="center"/>
              <w:rPr>
                <w:rFonts w:hint="eastAsia" w:ascii="仿宋" w:hAnsi="仿宋" w:eastAsia="仿宋" w:cs="仿宋"/>
                <w:color w:val="auto"/>
                <w:kern w:val="0"/>
                <w:sz w:val="24"/>
                <w:szCs w:val="24"/>
                <w:highlight w:val="none"/>
                <w:shd w:val="clear" w:color="auto" w:fill="FFFFFF" w:themeFill="background1"/>
              </w:rPr>
            </w:pPr>
          </w:p>
        </w:tc>
      </w:tr>
      <w:tr w14:paraId="0BAC43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665" w:type="dxa"/>
            <w:vAlign w:val="center"/>
          </w:tcPr>
          <w:p w14:paraId="3F39F7EF">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营业执照号</w:t>
            </w:r>
          </w:p>
        </w:tc>
        <w:tc>
          <w:tcPr>
            <w:tcW w:w="3165" w:type="dxa"/>
            <w:vAlign w:val="center"/>
          </w:tcPr>
          <w:p w14:paraId="2DE969C9">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p>
        </w:tc>
        <w:tc>
          <w:tcPr>
            <w:tcW w:w="1995" w:type="dxa"/>
            <w:vAlign w:val="center"/>
          </w:tcPr>
          <w:p w14:paraId="6E8C1550">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注册资金</w:t>
            </w:r>
          </w:p>
        </w:tc>
        <w:tc>
          <w:tcPr>
            <w:tcW w:w="2140" w:type="dxa"/>
            <w:vAlign w:val="center"/>
          </w:tcPr>
          <w:p w14:paraId="0F1AA157">
            <w:pPr>
              <w:autoSpaceDE w:val="0"/>
              <w:autoSpaceDN w:val="0"/>
              <w:adjustRightInd w:val="0"/>
              <w:snapToGrid w:val="0"/>
              <w:spacing w:line="360" w:lineRule="auto"/>
              <w:jc w:val="center"/>
              <w:rPr>
                <w:rFonts w:hint="eastAsia" w:ascii="仿宋" w:hAnsi="仿宋" w:eastAsia="仿宋" w:cs="仿宋"/>
                <w:color w:val="auto"/>
                <w:kern w:val="0"/>
                <w:sz w:val="24"/>
                <w:szCs w:val="24"/>
                <w:highlight w:val="none"/>
                <w:shd w:val="clear" w:color="auto" w:fill="FFFFFF" w:themeFill="background1"/>
              </w:rPr>
            </w:pPr>
          </w:p>
        </w:tc>
      </w:tr>
      <w:tr w14:paraId="65AA83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665" w:type="dxa"/>
            <w:vAlign w:val="center"/>
          </w:tcPr>
          <w:p w14:paraId="6A95F9C8">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法定代表人</w:t>
            </w:r>
          </w:p>
        </w:tc>
        <w:tc>
          <w:tcPr>
            <w:tcW w:w="3165" w:type="dxa"/>
            <w:vAlign w:val="center"/>
          </w:tcPr>
          <w:p w14:paraId="169C4B3F">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p>
        </w:tc>
        <w:tc>
          <w:tcPr>
            <w:tcW w:w="1995" w:type="dxa"/>
            <w:vAlign w:val="center"/>
          </w:tcPr>
          <w:p w14:paraId="04FF5E59">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电话</w:t>
            </w:r>
          </w:p>
        </w:tc>
        <w:tc>
          <w:tcPr>
            <w:tcW w:w="2140" w:type="dxa"/>
            <w:vAlign w:val="center"/>
          </w:tcPr>
          <w:p w14:paraId="53D3211F">
            <w:pPr>
              <w:autoSpaceDE w:val="0"/>
              <w:autoSpaceDN w:val="0"/>
              <w:adjustRightInd w:val="0"/>
              <w:snapToGrid w:val="0"/>
              <w:spacing w:line="360" w:lineRule="auto"/>
              <w:jc w:val="center"/>
              <w:rPr>
                <w:rFonts w:hint="eastAsia" w:ascii="仿宋" w:hAnsi="仿宋" w:eastAsia="仿宋" w:cs="仿宋"/>
                <w:color w:val="auto"/>
                <w:kern w:val="0"/>
                <w:sz w:val="24"/>
                <w:szCs w:val="24"/>
                <w:highlight w:val="none"/>
                <w:shd w:val="clear" w:color="auto" w:fill="FFFFFF" w:themeFill="background1"/>
              </w:rPr>
            </w:pPr>
          </w:p>
        </w:tc>
      </w:tr>
      <w:tr w14:paraId="00F2C5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665" w:type="dxa"/>
            <w:vAlign w:val="center"/>
          </w:tcPr>
          <w:p w14:paraId="5978D6D4">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联系人</w:t>
            </w:r>
          </w:p>
        </w:tc>
        <w:tc>
          <w:tcPr>
            <w:tcW w:w="3165" w:type="dxa"/>
            <w:vAlign w:val="center"/>
          </w:tcPr>
          <w:p w14:paraId="0BD67AE8">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p>
        </w:tc>
        <w:tc>
          <w:tcPr>
            <w:tcW w:w="1995" w:type="dxa"/>
            <w:vAlign w:val="center"/>
          </w:tcPr>
          <w:p w14:paraId="3E35BB5F">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电话</w:t>
            </w:r>
          </w:p>
        </w:tc>
        <w:tc>
          <w:tcPr>
            <w:tcW w:w="2140" w:type="dxa"/>
            <w:vAlign w:val="center"/>
          </w:tcPr>
          <w:p w14:paraId="2E6201FB">
            <w:pPr>
              <w:autoSpaceDE w:val="0"/>
              <w:autoSpaceDN w:val="0"/>
              <w:adjustRightInd w:val="0"/>
              <w:snapToGrid w:val="0"/>
              <w:spacing w:line="360" w:lineRule="auto"/>
              <w:jc w:val="center"/>
              <w:rPr>
                <w:rFonts w:hint="eastAsia" w:ascii="仿宋" w:hAnsi="仿宋" w:eastAsia="仿宋" w:cs="仿宋"/>
                <w:color w:val="auto"/>
                <w:kern w:val="0"/>
                <w:sz w:val="24"/>
                <w:szCs w:val="24"/>
                <w:highlight w:val="none"/>
                <w:shd w:val="clear" w:color="auto" w:fill="FFFFFF" w:themeFill="background1"/>
              </w:rPr>
            </w:pPr>
          </w:p>
        </w:tc>
      </w:tr>
      <w:tr w14:paraId="797D04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665" w:type="dxa"/>
            <w:vAlign w:val="center"/>
          </w:tcPr>
          <w:p w14:paraId="7C839574">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传真</w:t>
            </w:r>
          </w:p>
        </w:tc>
        <w:tc>
          <w:tcPr>
            <w:tcW w:w="3165" w:type="dxa"/>
            <w:vAlign w:val="center"/>
          </w:tcPr>
          <w:p w14:paraId="5F098D3C">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p>
        </w:tc>
        <w:tc>
          <w:tcPr>
            <w:tcW w:w="1995" w:type="dxa"/>
            <w:vAlign w:val="center"/>
          </w:tcPr>
          <w:p w14:paraId="0C7C1330">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网址</w:t>
            </w:r>
          </w:p>
        </w:tc>
        <w:tc>
          <w:tcPr>
            <w:tcW w:w="2140" w:type="dxa"/>
            <w:vAlign w:val="center"/>
          </w:tcPr>
          <w:p w14:paraId="0EF8CA7E">
            <w:pPr>
              <w:autoSpaceDE w:val="0"/>
              <w:autoSpaceDN w:val="0"/>
              <w:adjustRightInd w:val="0"/>
              <w:snapToGrid w:val="0"/>
              <w:spacing w:line="360" w:lineRule="auto"/>
              <w:jc w:val="center"/>
              <w:rPr>
                <w:rFonts w:hint="eastAsia" w:ascii="仿宋" w:hAnsi="仿宋" w:eastAsia="仿宋" w:cs="仿宋"/>
                <w:color w:val="auto"/>
                <w:kern w:val="0"/>
                <w:sz w:val="24"/>
                <w:szCs w:val="24"/>
                <w:highlight w:val="none"/>
                <w:shd w:val="clear" w:color="auto" w:fill="FFFFFF" w:themeFill="background1"/>
              </w:rPr>
            </w:pPr>
          </w:p>
        </w:tc>
      </w:tr>
      <w:tr w14:paraId="146D6F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665" w:type="dxa"/>
            <w:vAlign w:val="center"/>
          </w:tcPr>
          <w:p w14:paraId="4C148DAD">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开户银行</w:t>
            </w:r>
          </w:p>
        </w:tc>
        <w:tc>
          <w:tcPr>
            <w:tcW w:w="3165" w:type="dxa"/>
            <w:vAlign w:val="center"/>
          </w:tcPr>
          <w:p w14:paraId="4B8C1378">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p>
        </w:tc>
        <w:tc>
          <w:tcPr>
            <w:tcW w:w="1995" w:type="dxa"/>
            <w:vAlign w:val="center"/>
          </w:tcPr>
          <w:p w14:paraId="57D3B277">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银行帐号</w:t>
            </w:r>
          </w:p>
        </w:tc>
        <w:tc>
          <w:tcPr>
            <w:tcW w:w="2140" w:type="dxa"/>
            <w:vAlign w:val="center"/>
          </w:tcPr>
          <w:p w14:paraId="6F727132">
            <w:pPr>
              <w:autoSpaceDE w:val="0"/>
              <w:autoSpaceDN w:val="0"/>
              <w:adjustRightInd w:val="0"/>
              <w:snapToGrid w:val="0"/>
              <w:spacing w:line="360" w:lineRule="auto"/>
              <w:jc w:val="center"/>
              <w:rPr>
                <w:rFonts w:hint="eastAsia" w:ascii="仿宋" w:hAnsi="仿宋" w:eastAsia="仿宋" w:cs="仿宋"/>
                <w:color w:val="auto"/>
                <w:kern w:val="0"/>
                <w:sz w:val="24"/>
                <w:szCs w:val="24"/>
                <w:highlight w:val="none"/>
                <w:shd w:val="clear" w:color="auto" w:fill="FFFFFF" w:themeFill="background1"/>
              </w:rPr>
            </w:pPr>
          </w:p>
        </w:tc>
      </w:tr>
      <w:tr w14:paraId="501429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701" w:hRule="atLeast"/>
          <w:jc w:val="center"/>
        </w:trPr>
        <w:tc>
          <w:tcPr>
            <w:tcW w:w="1665" w:type="dxa"/>
            <w:vAlign w:val="center"/>
          </w:tcPr>
          <w:p w14:paraId="455DF6CD">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职工概况</w:t>
            </w:r>
          </w:p>
        </w:tc>
        <w:tc>
          <w:tcPr>
            <w:tcW w:w="7300" w:type="dxa"/>
            <w:gridSpan w:val="3"/>
            <w:vAlign w:val="center"/>
          </w:tcPr>
          <w:p w14:paraId="40D1EA3E">
            <w:pPr>
              <w:autoSpaceDE w:val="0"/>
              <w:autoSpaceDN w:val="0"/>
              <w:adjustRightInd w:val="0"/>
              <w:snapToGrid w:val="0"/>
              <w:spacing w:line="360" w:lineRule="auto"/>
              <w:jc w:val="center"/>
              <w:rPr>
                <w:rFonts w:hint="eastAsia" w:ascii="仿宋" w:hAnsi="仿宋" w:eastAsia="仿宋" w:cs="仿宋"/>
                <w:color w:val="auto"/>
                <w:kern w:val="0"/>
                <w:sz w:val="24"/>
                <w:szCs w:val="24"/>
                <w:highlight w:val="none"/>
                <w:shd w:val="clear" w:color="auto" w:fill="FFFFFF" w:themeFill="background1"/>
              </w:rPr>
            </w:pPr>
          </w:p>
        </w:tc>
      </w:tr>
      <w:tr w14:paraId="1C858B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701" w:hRule="atLeast"/>
          <w:jc w:val="center"/>
        </w:trPr>
        <w:tc>
          <w:tcPr>
            <w:tcW w:w="1665" w:type="dxa"/>
            <w:vAlign w:val="center"/>
          </w:tcPr>
          <w:p w14:paraId="307DCA8B">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经营范围</w:t>
            </w:r>
          </w:p>
        </w:tc>
        <w:tc>
          <w:tcPr>
            <w:tcW w:w="7300" w:type="dxa"/>
            <w:gridSpan w:val="3"/>
            <w:vAlign w:val="center"/>
          </w:tcPr>
          <w:p w14:paraId="64D00CBD">
            <w:pPr>
              <w:autoSpaceDE w:val="0"/>
              <w:autoSpaceDN w:val="0"/>
              <w:adjustRightInd w:val="0"/>
              <w:snapToGrid w:val="0"/>
              <w:spacing w:line="360" w:lineRule="auto"/>
              <w:jc w:val="center"/>
              <w:rPr>
                <w:rFonts w:hint="eastAsia" w:ascii="仿宋" w:hAnsi="仿宋" w:eastAsia="仿宋" w:cs="仿宋"/>
                <w:color w:val="auto"/>
                <w:kern w:val="0"/>
                <w:sz w:val="24"/>
                <w:szCs w:val="24"/>
                <w:highlight w:val="none"/>
                <w:shd w:val="clear" w:color="auto" w:fill="FFFFFF" w:themeFill="background1"/>
              </w:rPr>
            </w:pPr>
          </w:p>
        </w:tc>
      </w:tr>
      <w:tr w14:paraId="023479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701" w:hRule="atLeast"/>
          <w:jc w:val="center"/>
        </w:trPr>
        <w:tc>
          <w:tcPr>
            <w:tcW w:w="1665" w:type="dxa"/>
            <w:vAlign w:val="center"/>
          </w:tcPr>
          <w:p w14:paraId="4A3703A5">
            <w:pPr>
              <w:autoSpaceDE w:val="0"/>
              <w:autoSpaceDN w:val="0"/>
              <w:adjustRightInd w:val="0"/>
              <w:snapToGrid w:val="0"/>
              <w:spacing w:line="520" w:lineRule="exact"/>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关联单位</w:t>
            </w:r>
          </w:p>
          <w:p w14:paraId="3B93B38C">
            <w:pPr>
              <w:autoSpaceDE w:val="0"/>
              <w:autoSpaceDN w:val="0"/>
              <w:adjustRightInd w:val="0"/>
              <w:snapToGrid w:val="0"/>
              <w:spacing w:line="520" w:lineRule="exact"/>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 w:val="24"/>
                <w:szCs w:val="24"/>
                <w:highlight w:val="none"/>
              </w:rPr>
              <w:t>（如有）</w:t>
            </w:r>
          </w:p>
        </w:tc>
        <w:tc>
          <w:tcPr>
            <w:tcW w:w="7300" w:type="dxa"/>
            <w:gridSpan w:val="3"/>
            <w:vAlign w:val="center"/>
          </w:tcPr>
          <w:p w14:paraId="2C5BDD33">
            <w:pPr>
              <w:autoSpaceDE w:val="0"/>
              <w:autoSpaceDN w:val="0"/>
              <w:adjustRightInd w:val="0"/>
              <w:snapToGrid w:val="0"/>
              <w:spacing w:line="520" w:lineRule="exact"/>
              <w:rPr>
                <w:rFonts w:hint="eastAsia" w:ascii="仿宋" w:hAnsi="仿宋" w:eastAsia="仿宋" w:cs="仿宋"/>
                <w:color w:val="auto"/>
                <w:kern w:val="0"/>
                <w:sz w:val="24"/>
                <w:szCs w:val="24"/>
                <w:highlight w:val="none"/>
              </w:rPr>
            </w:pPr>
          </w:p>
          <w:p w14:paraId="5B41B11C">
            <w:pPr>
              <w:autoSpaceDE w:val="0"/>
              <w:autoSpaceDN w:val="0"/>
              <w:adjustRightInd w:val="0"/>
              <w:snapToGrid w:val="0"/>
              <w:spacing w:line="520" w:lineRule="exact"/>
              <w:jc w:val="lef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rPr>
              <w:t xml:space="preserve">  </w:t>
            </w:r>
            <w:r>
              <w:rPr>
                <w:rFonts w:hint="eastAsia" w:ascii="仿宋" w:hAnsi="仿宋" w:eastAsia="仿宋" w:cs="仿宋"/>
                <w:color w:val="auto"/>
                <w:kern w:val="0"/>
                <w:szCs w:val="21"/>
                <w:highlight w:val="none"/>
              </w:rPr>
              <w:t>注：此处关联单位指单位负责人为同一人或者存在直接控股、管理关系的不同单位。</w:t>
            </w:r>
          </w:p>
        </w:tc>
      </w:tr>
    </w:tbl>
    <w:p w14:paraId="321BA227">
      <w:pPr>
        <w:spacing w:line="360" w:lineRule="auto"/>
        <w:jc w:val="left"/>
        <w:rPr>
          <w:rFonts w:hint="eastAsia" w:ascii="仿宋" w:hAnsi="仿宋" w:eastAsia="仿宋" w:cs="仿宋"/>
          <w:color w:val="auto"/>
          <w:sz w:val="24"/>
          <w:szCs w:val="24"/>
          <w:highlight w:val="none"/>
        </w:rPr>
      </w:pPr>
    </w:p>
    <w:p w14:paraId="69288437">
      <w:pPr>
        <w:spacing w:line="360" w:lineRule="auto"/>
        <w:jc w:val="center"/>
        <w:outlineLvl w:val="1"/>
        <w:rPr>
          <w:rFonts w:hint="eastAsia" w:ascii="仿宋" w:hAnsi="仿宋" w:eastAsia="仿宋" w:cs="仿宋"/>
          <w:b/>
          <w:color w:val="auto"/>
          <w:sz w:val="24"/>
          <w:szCs w:val="24"/>
          <w:highlight w:val="none"/>
        </w:rPr>
      </w:pPr>
      <w:bookmarkStart w:id="104" w:name="_Toc13628"/>
      <w:bookmarkStart w:id="105" w:name="_Toc18158"/>
      <w:bookmarkStart w:id="106" w:name="_Toc141050516"/>
      <w:bookmarkStart w:id="107" w:name="_Toc5144"/>
      <w:bookmarkStart w:id="108" w:name="_Toc113901850"/>
      <w:bookmarkStart w:id="109" w:name="_Toc130252623"/>
      <w:bookmarkStart w:id="110" w:name="_Toc30664"/>
      <w:bookmarkStart w:id="111" w:name="_Toc19961"/>
      <w:bookmarkStart w:id="112" w:name="_Toc13140"/>
      <w:bookmarkStart w:id="113" w:name="_Toc28034"/>
      <w:bookmarkStart w:id="114" w:name="_Toc23897"/>
      <w:bookmarkStart w:id="115" w:name="_Toc7702"/>
      <w:bookmarkStart w:id="116" w:name="_Toc31943"/>
      <w:bookmarkStart w:id="117" w:name="_Toc24317"/>
      <w:bookmarkStart w:id="118" w:name="_Toc128476879"/>
      <w:bookmarkStart w:id="119" w:name="_Toc643"/>
      <w:bookmarkStart w:id="120" w:name="_Toc14695"/>
      <w:bookmarkStart w:id="121" w:name="_Toc11980"/>
      <w:bookmarkStart w:id="122" w:name="_Toc4679"/>
      <w:bookmarkStart w:id="123" w:name="_Toc29380"/>
      <w:r>
        <w:rPr>
          <w:rFonts w:hint="eastAsia" w:ascii="仿宋" w:hAnsi="仿宋" w:eastAsia="仿宋" w:cs="仿宋"/>
          <w:color w:val="auto"/>
          <w:sz w:val="24"/>
          <w:szCs w:val="24"/>
          <w:highlight w:val="none"/>
        </w:rPr>
        <w:br w:type="page"/>
      </w:r>
      <w:bookmarkStart w:id="124" w:name="_Toc31403"/>
      <w:bookmarkStart w:id="125" w:name="_Toc26222"/>
      <w:bookmarkStart w:id="126" w:name="_Toc141050515"/>
      <w:bookmarkStart w:id="127" w:name="_Toc29907"/>
      <w:bookmarkStart w:id="128" w:name="_Toc113901849"/>
      <w:bookmarkStart w:id="129" w:name="_Toc7329"/>
      <w:bookmarkStart w:id="130" w:name="_Toc5906"/>
      <w:bookmarkStart w:id="131" w:name="_Toc31890"/>
      <w:bookmarkStart w:id="132" w:name="_Toc14445"/>
      <w:bookmarkStart w:id="133" w:name="_Toc22107"/>
      <w:bookmarkStart w:id="134" w:name="_Toc29597"/>
      <w:bookmarkStart w:id="135" w:name="_Toc7909"/>
      <w:bookmarkStart w:id="136" w:name="_Toc27784"/>
      <w:bookmarkStart w:id="137" w:name="_Toc128476878"/>
      <w:bookmarkStart w:id="138" w:name="_Toc19012"/>
      <w:bookmarkStart w:id="139" w:name="_Toc130252622"/>
      <w:bookmarkStart w:id="140" w:name="_Toc8286"/>
      <w:bookmarkStart w:id="141" w:name="_Toc5302"/>
      <w:bookmarkStart w:id="142" w:name="_Toc15485"/>
      <w:bookmarkStart w:id="143" w:name="_Toc29449"/>
      <w:bookmarkStart w:id="144" w:name="_Toc15903"/>
      <w:bookmarkStart w:id="145" w:name="_Toc56"/>
      <w:bookmarkStart w:id="146" w:name="_Toc5059"/>
      <w:bookmarkStart w:id="147" w:name="_Toc7797"/>
      <w:bookmarkStart w:id="148" w:name="_Toc2553"/>
      <w:r>
        <w:rPr>
          <w:rFonts w:hint="eastAsia" w:ascii="仿宋" w:hAnsi="仿宋" w:eastAsia="仿宋" w:cs="仿宋"/>
          <w:b/>
          <w:color w:val="auto"/>
          <w:sz w:val="24"/>
          <w:szCs w:val="24"/>
          <w:highlight w:val="none"/>
        </w:rPr>
        <w:t>8.1 法人或者其他组织的营业执照等证明文件，自然人的身份证明</w:t>
      </w:r>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p w14:paraId="52651EDA">
      <w:pPr>
        <w:spacing w:line="360" w:lineRule="auto"/>
        <w:rPr>
          <w:rFonts w:hint="eastAsia" w:ascii="仿宋" w:hAnsi="仿宋" w:eastAsia="仿宋" w:cs="仿宋"/>
          <w:color w:val="auto"/>
          <w:sz w:val="24"/>
          <w:szCs w:val="24"/>
          <w:highlight w:val="none"/>
        </w:rPr>
      </w:pPr>
    </w:p>
    <w:p w14:paraId="0C5D681E">
      <w:pPr>
        <w:spacing w:line="360" w:lineRule="auto"/>
        <w:ind w:firstLine="480" w:firstLineChars="200"/>
        <w:rPr>
          <w:rFonts w:hint="eastAsia"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一、如供应商是企业（包括合伙企业)，应提供在工商部门注册的有效“企业法人营业执照”或“营业执照”;</w:t>
      </w:r>
    </w:p>
    <w:p w14:paraId="766FEEFB">
      <w:pPr>
        <w:spacing w:line="360" w:lineRule="auto"/>
        <w:ind w:firstLine="480" w:firstLineChars="200"/>
        <w:rPr>
          <w:rFonts w:hint="eastAsia"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二、如供应商是事业单位，应提供有效的“事业单位法人证书”;</w:t>
      </w:r>
    </w:p>
    <w:p w14:paraId="3F301A34">
      <w:pPr>
        <w:spacing w:line="360" w:lineRule="auto"/>
        <w:ind w:firstLine="480" w:firstLineChars="200"/>
        <w:rPr>
          <w:rFonts w:hint="eastAsia"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三、如供应商是非企业专业服务机构的，应提供执业许可证等证明文件;</w:t>
      </w:r>
    </w:p>
    <w:p w14:paraId="336A2305">
      <w:pPr>
        <w:spacing w:line="360" w:lineRule="auto"/>
        <w:ind w:firstLine="480" w:firstLineChars="200"/>
        <w:rPr>
          <w:rFonts w:hint="eastAsia"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四、如供应商是个体工商户，应提供有效的“个体工商户营业执照”;</w:t>
      </w:r>
    </w:p>
    <w:p w14:paraId="09CE4066">
      <w:pPr>
        <w:spacing w:line="360" w:lineRule="auto"/>
        <w:ind w:firstLine="480" w:firstLineChars="200"/>
        <w:rPr>
          <w:rFonts w:hint="eastAsia"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五、如供应商是自然人，应提供有效的自然人身份证明。</w:t>
      </w:r>
    </w:p>
    <w:p w14:paraId="48894AC4">
      <w:pPr>
        <w:spacing w:line="360" w:lineRule="auto"/>
        <w:rPr>
          <w:rFonts w:hint="eastAsia" w:ascii="仿宋" w:hAnsi="仿宋" w:eastAsia="仿宋" w:cs="仿宋"/>
          <w:color w:val="auto"/>
          <w:sz w:val="24"/>
          <w:szCs w:val="24"/>
          <w:highlight w:val="none"/>
        </w:rPr>
      </w:pPr>
    </w:p>
    <w:p w14:paraId="56062681">
      <w:pPr>
        <w:spacing w:line="360" w:lineRule="auto"/>
        <w:ind w:firstLine="480" w:firstLineChars="200"/>
        <w:rPr>
          <w:rFonts w:hint="eastAsia" w:ascii="仿宋" w:hAnsi="仿宋" w:eastAsia="仿宋" w:cs="仿宋"/>
          <w:color w:val="auto"/>
          <w:sz w:val="24"/>
          <w:szCs w:val="24"/>
          <w:highlight w:val="none"/>
        </w:rPr>
      </w:pPr>
    </w:p>
    <w:p w14:paraId="450012E2">
      <w:pPr>
        <w:spacing w:line="360" w:lineRule="auto"/>
        <w:rPr>
          <w:rFonts w:hint="eastAsia" w:ascii="仿宋" w:hAnsi="仿宋" w:eastAsia="仿宋" w:cs="仿宋"/>
          <w:color w:val="auto"/>
          <w:sz w:val="24"/>
          <w:szCs w:val="24"/>
          <w:highlight w:val="none"/>
        </w:rPr>
      </w:pPr>
    </w:p>
    <w:p w14:paraId="2EE130C9">
      <w:pPr>
        <w:widowControl/>
        <w:spacing w:line="360" w:lineRule="auto"/>
        <w:jc w:val="left"/>
        <w:rPr>
          <w:rFonts w:hint="eastAsia" w:ascii="仿宋" w:hAnsi="仿宋" w:eastAsia="仿宋" w:cs="仿宋"/>
          <w:color w:val="auto"/>
          <w:highlight w:val="none"/>
        </w:rPr>
      </w:pPr>
      <w:r>
        <w:rPr>
          <w:rFonts w:hint="eastAsia" w:ascii="仿宋" w:hAnsi="仿宋" w:eastAsia="仿宋" w:cs="仿宋"/>
          <w:b/>
          <w:color w:val="auto"/>
          <w:sz w:val="24"/>
          <w:szCs w:val="24"/>
          <w:highlight w:val="none"/>
        </w:rPr>
        <w:br w:type="page"/>
      </w:r>
    </w:p>
    <w:p w14:paraId="101949D7">
      <w:pPr>
        <w:spacing w:line="360" w:lineRule="auto"/>
        <w:jc w:val="center"/>
        <w:outlineLvl w:val="1"/>
        <w:rPr>
          <w:rFonts w:hint="eastAsia" w:ascii="仿宋" w:hAnsi="仿宋" w:eastAsia="仿宋" w:cs="仿宋"/>
          <w:b/>
          <w:color w:val="auto"/>
          <w:sz w:val="24"/>
          <w:szCs w:val="24"/>
          <w:highlight w:val="none"/>
        </w:rPr>
      </w:pPr>
      <w:bookmarkStart w:id="149" w:name="_Toc5775"/>
      <w:bookmarkStart w:id="150" w:name="_Toc1284"/>
      <w:bookmarkStart w:id="151" w:name="_Toc4668"/>
      <w:bookmarkStart w:id="152" w:name="_Toc19744"/>
      <w:bookmarkStart w:id="153" w:name="_Toc24504"/>
      <w:r>
        <w:rPr>
          <w:rFonts w:hint="eastAsia" w:ascii="仿宋" w:hAnsi="仿宋" w:eastAsia="仿宋" w:cs="仿宋"/>
          <w:b/>
          <w:color w:val="auto"/>
          <w:sz w:val="24"/>
          <w:szCs w:val="24"/>
          <w:highlight w:val="none"/>
        </w:rPr>
        <w:t>8.2 财务状况报告，依法缴纳税收和社会保障资金的相关材料</w:t>
      </w:r>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49"/>
      <w:bookmarkEnd w:id="150"/>
      <w:bookmarkEnd w:id="151"/>
      <w:bookmarkEnd w:id="152"/>
      <w:bookmarkEnd w:id="153"/>
    </w:p>
    <w:p w14:paraId="35328723">
      <w:pPr>
        <w:spacing w:after="120" w:line="360" w:lineRule="auto"/>
        <w:rPr>
          <w:rFonts w:hint="eastAsia" w:ascii="仿宋" w:hAnsi="仿宋" w:eastAsia="仿宋" w:cs="仿宋"/>
          <w:color w:val="auto"/>
          <w:spacing w:val="10"/>
          <w:kern w:val="0"/>
          <w:sz w:val="24"/>
          <w:szCs w:val="24"/>
          <w:highlight w:val="none"/>
        </w:rPr>
      </w:pPr>
    </w:p>
    <w:p w14:paraId="6E770EDF">
      <w:pPr>
        <w:pStyle w:val="14"/>
        <w:spacing w:line="360" w:lineRule="auto"/>
        <w:ind w:right="516" w:firstLine="520" w:firstLineChars="200"/>
        <w:rPr>
          <w:rFonts w:hint="eastAsia" w:ascii="仿宋" w:hAnsi="仿宋" w:eastAsia="仿宋" w:cs="仿宋"/>
          <w:color w:val="auto"/>
          <w:spacing w:val="10"/>
          <w:szCs w:val="24"/>
          <w:highlight w:val="none"/>
          <w:shd w:val="clear" w:color="auto" w:fill="FFFFFF" w:themeFill="background1"/>
        </w:rPr>
      </w:pPr>
      <w:r>
        <w:rPr>
          <w:rFonts w:hint="eastAsia" w:ascii="仿宋" w:hAnsi="仿宋" w:eastAsia="仿宋" w:cs="仿宋"/>
          <w:color w:val="auto"/>
          <w:spacing w:val="10"/>
          <w:szCs w:val="24"/>
          <w:highlight w:val="none"/>
          <w:shd w:val="clear" w:color="auto" w:fill="FFFFFF" w:themeFill="background1"/>
        </w:rPr>
        <w:t>一、财务状况报告（满足下述一条要求即可）：</w:t>
      </w:r>
    </w:p>
    <w:p w14:paraId="688273F3">
      <w:pPr>
        <w:pStyle w:val="14"/>
        <w:spacing w:line="360" w:lineRule="auto"/>
        <w:ind w:right="516" w:firstLine="520" w:firstLineChars="200"/>
        <w:rPr>
          <w:rFonts w:hint="eastAsia" w:ascii="仿宋" w:hAnsi="仿宋" w:eastAsia="仿宋" w:cs="仿宋"/>
          <w:color w:val="auto"/>
          <w:spacing w:val="10"/>
          <w:szCs w:val="24"/>
          <w:highlight w:val="none"/>
          <w:shd w:val="clear" w:color="auto" w:fill="FFFFFF" w:themeFill="background1"/>
        </w:rPr>
      </w:pPr>
      <w:r>
        <w:rPr>
          <w:rFonts w:hint="eastAsia" w:ascii="仿宋" w:hAnsi="仿宋" w:eastAsia="仿宋" w:cs="仿宋"/>
          <w:color w:val="auto"/>
          <w:spacing w:val="10"/>
          <w:szCs w:val="24"/>
          <w:highlight w:val="none"/>
          <w:shd w:val="clear" w:color="auto" w:fill="FFFFFF" w:themeFill="background1"/>
        </w:rPr>
        <w:t>要求1、经审计的财务报告（2024年度或2025年度，包括“四表-注”，即资产负债表、利润表、现金流量表、所有者权益变动表及其附注）或银行出具的资信证明（响应文件递交截止之日前六个月内任意一个月）。</w:t>
      </w:r>
    </w:p>
    <w:p w14:paraId="6FA723B1">
      <w:pPr>
        <w:pStyle w:val="14"/>
        <w:spacing w:line="360" w:lineRule="auto"/>
        <w:ind w:right="516" w:firstLine="520" w:firstLineChars="200"/>
        <w:rPr>
          <w:rFonts w:hint="eastAsia" w:ascii="仿宋" w:hAnsi="仿宋" w:eastAsia="仿宋" w:cs="仿宋"/>
          <w:color w:val="auto"/>
          <w:spacing w:val="10"/>
          <w:szCs w:val="24"/>
          <w:highlight w:val="none"/>
          <w:shd w:val="clear" w:color="auto" w:fill="FFFFFF" w:themeFill="background1"/>
        </w:rPr>
      </w:pPr>
      <w:r>
        <w:rPr>
          <w:rFonts w:hint="eastAsia" w:ascii="仿宋" w:hAnsi="仿宋" w:eastAsia="仿宋" w:cs="仿宋"/>
          <w:color w:val="auto"/>
          <w:spacing w:val="10"/>
          <w:szCs w:val="24"/>
          <w:highlight w:val="none"/>
          <w:shd w:val="clear" w:color="auto" w:fill="FFFFFF" w:themeFill="background1"/>
        </w:rPr>
        <w:t>要求2、成立不足六个月（以响应文件递交截止之日为期限）的供应商无需提供。</w:t>
      </w:r>
    </w:p>
    <w:p w14:paraId="7A112526">
      <w:pPr>
        <w:pStyle w:val="14"/>
        <w:spacing w:line="360" w:lineRule="auto"/>
        <w:ind w:right="516" w:firstLine="520" w:firstLineChars="200"/>
        <w:rPr>
          <w:rFonts w:hint="eastAsia" w:ascii="仿宋" w:hAnsi="仿宋" w:eastAsia="仿宋" w:cs="仿宋"/>
          <w:color w:val="auto"/>
          <w:spacing w:val="10"/>
          <w:szCs w:val="24"/>
          <w:highlight w:val="none"/>
          <w:shd w:val="clear" w:color="auto" w:fill="FFFFFF" w:themeFill="background1"/>
        </w:rPr>
      </w:pPr>
    </w:p>
    <w:p w14:paraId="7ECB19B6">
      <w:pPr>
        <w:pStyle w:val="14"/>
        <w:spacing w:line="360" w:lineRule="auto"/>
        <w:ind w:right="516" w:firstLine="520" w:firstLineChars="200"/>
        <w:rPr>
          <w:rFonts w:hint="eastAsia" w:ascii="仿宋" w:hAnsi="仿宋" w:eastAsia="仿宋" w:cs="仿宋"/>
          <w:color w:val="auto"/>
          <w:spacing w:val="10"/>
          <w:szCs w:val="24"/>
          <w:highlight w:val="none"/>
          <w:shd w:val="clear" w:color="auto" w:fill="FFFFFF" w:themeFill="background1"/>
        </w:rPr>
      </w:pPr>
      <w:r>
        <w:rPr>
          <w:rFonts w:hint="eastAsia" w:ascii="仿宋" w:hAnsi="仿宋" w:eastAsia="仿宋" w:cs="仿宋"/>
          <w:color w:val="auto"/>
          <w:spacing w:val="10"/>
          <w:szCs w:val="24"/>
          <w:highlight w:val="none"/>
          <w:shd w:val="clear" w:color="auto" w:fill="FFFFFF" w:themeFill="background1"/>
        </w:rPr>
        <w:t>二、依法缴纳税收和社会保障资金的相关材料</w:t>
      </w:r>
    </w:p>
    <w:p w14:paraId="50A66582">
      <w:pPr>
        <w:pStyle w:val="14"/>
        <w:spacing w:line="360" w:lineRule="auto"/>
        <w:ind w:right="516" w:firstLine="520" w:firstLineChars="200"/>
        <w:rPr>
          <w:rFonts w:hint="eastAsia" w:ascii="仿宋" w:hAnsi="仿宋" w:eastAsia="仿宋" w:cs="仿宋"/>
          <w:color w:val="auto"/>
          <w:spacing w:val="10"/>
          <w:szCs w:val="24"/>
          <w:highlight w:val="none"/>
          <w:shd w:val="clear" w:color="auto" w:fill="FFFFFF" w:themeFill="background1"/>
        </w:rPr>
      </w:pPr>
      <w:r>
        <w:rPr>
          <w:rFonts w:hint="eastAsia" w:ascii="仿宋" w:hAnsi="仿宋" w:eastAsia="仿宋" w:cs="仿宋"/>
          <w:color w:val="auto"/>
          <w:spacing w:val="10"/>
          <w:szCs w:val="24"/>
          <w:highlight w:val="none"/>
          <w:shd w:val="clear" w:color="auto" w:fill="FFFFFF" w:themeFill="background1"/>
        </w:rPr>
        <w:t>2.1、依法缴纳税收的证明材料：</w:t>
      </w:r>
    </w:p>
    <w:p w14:paraId="1A9118F3">
      <w:pPr>
        <w:pStyle w:val="14"/>
        <w:spacing w:line="360" w:lineRule="auto"/>
        <w:ind w:right="516" w:firstLine="520" w:firstLineChars="200"/>
        <w:rPr>
          <w:rFonts w:hint="eastAsia" w:ascii="仿宋" w:hAnsi="仿宋" w:eastAsia="仿宋" w:cs="仿宋"/>
          <w:color w:val="auto"/>
          <w:spacing w:val="10"/>
          <w:szCs w:val="24"/>
          <w:highlight w:val="none"/>
          <w:shd w:val="clear" w:color="auto" w:fill="FFFFFF" w:themeFill="background1"/>
        </w:rPr>
      </w:pPr>
      <w:r>
        <w:rPr>
          <w:rFonts w:hint="eastAsia" w:ascii="仿宋" w:hAnsi="仿宋" w:eastAsia="仿宋" w:cs="仿宋"/>
          <w:color w:val="auto"/>
          <w:spacing w:val="10"/>
          <w:szCs w:val="24"/>
          <w:highlight w:val="none"/>
          <w:shd w:val="clear" w:color="auto" w:fill="FFFFFF" w:themeFill="background1"/>
        </w:rPr>
        <w:t>供应商参加政府采购活动前一段时间（响应文件递交截止之日前六个月内任一个月）内缴纳税收的完税凭证（指各种完税证、缴款书、印花税票、扣（收）税凭证以及其他完税证明，提供上述任意一种即可）。</w:t>
      </w:r>
    </w:p>
    <w:p w14:paraId="4B76EB42">
      <w:pPr>
        <w:pStyle w:val="14"/>
        <w:spacing w:line="360" w:lineRule="auto"/>
        <w:ind w:right="516" w:firstLine="520" w:firstLineChars="200"/>
        <w:rPr>
          <w:rFonts w:hint="eastAsia" w:ascii="仿宋" w:hAnsi="仿宋" w:eastAsia="仿宋" w:cs="仿宋"/>
          <w:color w:val="auto"/>
          <w:spacing w:val="10"/>
          <w:szCs w:val="24"/>
          <w:highlight w:val="none"/>
          <w:shd w:val="clear" w:color="auto" w:fill="FFFFFF" w:themeFill="background1"/>
        </w:rPr>
      </w:pPr>
      <w:r>
        <w:rPr>
          <w:rFonts w:hint="eastAsia" w:ascii="仿宋" w:hAnsi="仿宋" w:eastAsia="仿宋" w:cs="仿宋"/>
          <w:color w:val="auto"/>
          <w:spacing w:val="10"/>
          <w:szCs w:val="24"/>
          <w:highlight w:val="none"/>
          <w:shd w:val="clear" w:color="auto" w:fill="FFFFFF" w:themeFill="background1"/>
        </w:rPr>
        <w:t>2.2、依法缴纳社会保障资金的证明材料：</w:t>
      </w:r>
    </w:p>
    <w:p w14:paraId="2C2C19AC">
      <w:pPr>
        <w:pStyle w:val="14"/>
        <w:spacing w:line="360" w:lineRule="auto"/>
        <w:ind w:right="516" w:firstLine="520" w:firstLineChars="200"/>
        <w:rPr>
          <w:rFonts w:hint="eastAsia" w:ascii="仿宋" w:hAnsi="仿宋" w:eastAsia="仿宋" w:cs="仿宋"/>
          <w:color w:val="auto"/>
          <w:spacing w:val="10"/>
          <w:szCs w:val="24"/>
          <w:highlight w:val="none"/>
          <w:shd w:val="clear" w:color="auto" w:fill="FFFFFF" w:themeFill="background1"/>
        </w:rPr>
      </w:pPr>
      <w:r>
        <w:rPr>
          <w:rFonts w:hint="eastAsia" w:ascii="仿宋" w:hAnsi="仿宋" w:eastAsia="仿宋" w:cs="仿宋"/>
          <w:color w:val="auto"/>
          <w:spacing w:val="10"/>
          <w:szCs w:val="24"/>
          <w:highlight w:val="none"/>
          <w:shd w:val="clear" w:color="auto" w:fill="FFFFFF" w:themeFill="background1"/>
        </w:rPr>
        <w:t>供应商参加政府采购活动前一段时间（响应文件递交截止之日前六个月内任一个月）内缴纳社会保险的凭据。</w:t>
      </w:r>
    </w:p>
    <w:p w14:paraId="32E19508">
      <w:pPr>
        <w:pStyle w:val="14"/>
        <w:spacing w:line="360" w:lineRule="auto"/>
        <w:ind w:right="516" w:firstLine="520" w:firstLineChars="200"/>
        <w:rPr>
          <w:rFonts w:hint="eastAsia" w:ascii="仿宋" w:hAnsi="仿宋" w:eastAsia="仿宋" w:cs="仿宋"/>
          <w:color w:val="auto"/>
          <w:spacing w:val="10"/>
          <w:szCs w:val="24"/>
          <w:highlight w:val="none"/>
          <w:shd w:val="clear" w:color="auto" w:fill="FFFFFF" w:themeFill="background1"/>
        </w:rPr>
      </w:pPr>
      <w:r>
        <w:rPr>
          <w:rFonts w:hint="eastAsia" w:ascii="仿宋" w:hAnsi="仿宋" w:eastAsia="仿宋" w:cs="仿宋"/>
          <w:color w:val="auto"/>
          <w:spacing w:val="10"/>
          <w:szCs w:val="24"/>
          <w:highlight w:val="none"/>
          <w:shd w:val="clear" w:color="auto" w:fill="FFFFFF" w:themeFill="background1"/>
        </w:rPr>
        <w:t>2.3、其他组织和自然人也需要提供缴纳税收的凭据和缴纳社会保险的凭据。依法免税或不需要缴纳社会保障资金的供应商，应提供相应文件证明其依法免税或不需要缴纳社会保障资金。</w:t>
      </w:r>
    </w:p>
    <w:p w14:paraId="131F1A91">
      <w:pPr>
        <w:pStyle w:val="14"/>
        <w:spacing w:line="360" w:lineRule="auto"/>
        <w:ind w:right="516" w:firstLine="520" w:firstLineChars="200"/>
        <w:rPr>
          <w:rFonts w:hint="eastAsia" w:ascii="仿宋" w:hAnsi="仿宋" w:eastAsia="仿宋" w:cs="仿宋"/>
          <w:color w:val="auto"/>
          <w:spacing w:val="10"/>
          <w:szCs w:val="24"/>
          <w:highlight w:val="none"/>
          <w:shd w:val="clear" w:color="auto" w:fill="FFFFFF" w:themeFill="background1"/>
        </w:rPr>
      </w:pPr>
    </w:p>
    <w:p w14:paraId="2B4AEB2B">
      <w:pPr>
        <w:pStyle w:val="14"/>
        <w:spacing w:line="360" w:lineRule="auto"/>
        <w:ind w:right="516" w:firstLine="520" w:firstLineChars="200"/>
        <w:rPr>
          <w:rFonts w:hint="eastAsia" w:ascii="仿宋" w:hAnsi="仿宋" w:eastAsia="仿宋" w:cs="仿宋"/>
          <w:color w:val="auto"/>
          <w:spacing w:val="10"/>
          <w:szCs w:val="24"/>
          <w:highlight w:val="none"/>
          <w:shd w:val="clear" w:color="auto" w:fill="FFFFFF" w:themeFill="background1"/>
        </w:rPr>
      </w:pPr>
      <w:r>
        <w:rPr>
          <w:rFonts w:hint="eastAsia" w:ascii="仿宋" w:hAnsi="仿宋" w:eastAsia="仿宋" w:cs="仿宋"/>
          <w:color w:val="auto"/>
          <w:spacing w:val="10"/>
          <w:szCs w:val="24"/>
          <w:highlight w:val="none"/>
          <w:shd w:val="clear" w:color="auto" w:fill="FFFFFF" w:themeFill="background1"/>
        </w:rPr>
        <w:t>三、注：</w:t>
      </w:r>
    </w:p>
    <w:p w14:paraId="742C96D3">
      <w:pPr>
        <w:pStyle w:val="14"/>
        <w:spacing w:line="360" w:lineRule="auto"/>
        <w:ind w:right="516" w:firstLine="520" w:firstLineChars="200"/>
        <w:rPr>
          <w:rFonts w:hint="eastAsia" w:ascii="仿宋" w:hAnsi="仿宋" w:eastAsia="仿宋" w:cs="仿宋"/>
          <w:color w:val="auto"/>
          <w:spacing w:val="10"/>
          <w:szCs w:val="24"/>
          <w:highlight w:val="none"/>
          <w:shd w:val="clear" w:color="auto" w:fill="FFFFFF" w:themeFill="background1"/>
        </w:rPr>
      </w:pPr>
      <w:r>
        <w:rPr>
          <w:rFonts w:hint="eastAsia" w:ascii="仿宋" w:hAnsi="仿宋" w:eastAsia="仿宋" w:cs="仿宋"/>
          <w:color w:val="auto"/>
          <w:spacing w:val="10"/>
          <w:szCs w:val="24"/>
          <w:highlight w:val="none"/>
          <w:shd w:val="clear" w:color="auto" w:fill="FFFFFF" w:themeFill="background1"/>
        </w:rPr>
        <w:t>3.1、如因有关主管部门政策调整，部分证明材料有所增减，以最新政策要求为准；</w:t>
      </w:r>
    </w:p>
    <w:p w14:paraId="6DA3246C">
      <w:pPr>
        <w:pStyle w:val="14"/>
        <w:spacing w:line="360" w:lineRule="auto"/>
        <w:ind w:right="516" w:firstLine="520" w:firstLineChars="200"/>
        <w:rPr>
          <w:rFonts w:hint="eastAsia" w:ascii="仿宋" w:hAnsi="仿宋" w:eastAsia="仿宋" w:cs="仿宋"/>
          <w:color w:val="auto"/>
          <w:spacing w:val="10"/>
          <w:szCs w:val="24"/>
          <w:highlight w:val="none"/>
          <w:shd w:val="clear" w:color="auto" w:fill="FFFFFF" w:themeFill="background1"/>
        </w:rPr>
      </w:pPr>
      <w:r>
        <w:rPr>
          <w:rFonts w:hint="eastAsia" w:ascii="仿宋" w:hAnsi="仿宋" w:eastAsia="仿宋" w:cs="仿宋"/>
          <w:color w:val="auto"/>
          <w:spacing w:val="10"/>
          <w:szCs w:val="24"/>
          <w:highlight w:val="none"/>
          <w:shd w:val="clear" w:color="auto" w:fill="FFFFFF" w:themeFill="background1"/>
        </w:rPr>
        <w:t>3.2、如供应商所在地有关主管部门反馈的证明材料与本文中要求不一致时，以当地要求为准，但须供应商提供文字说明。</w:t>
      </w:r>
    </w:p>
    <w:p w14:paraId="26B9222C">
      <w:pPr>
        <w:spacing w:after="120" w:line="360" w:lineRule="auto"/>
        <w:ind w:firstLine="460" w:firstLineChars="200"/>
        <w:rPr>
          <w:rFonts w:hint="eastAsia" w:ascii="仿宋" w:hAnsi="仿宋" w:eastAsia="仿宋" w:cs="仿宋"/>
          <w:color w:val="auto"/>
          <w:spacing w:val="10"/>
          <w:szCs w:val="24"/>
          <w:highlight w:val="none"/>
          <w:shd w:val="clear" w:color="auto" w:fill="FFFFFF" w:themeFill="background1"/>
        </w:rPr>
      </w:pPr>
    </w:p>
    <w:p w14:paraId="2760AADB">
      <w:pPr>
        <w:rPr>
          <w:rFonts w:hint="eastAsia" w:ascii="仿宋" w:hAnsi="仿宋" w:eastAsia="仿宋" w:cs="仿宋"/>
          <w:b/>
          <w:color w:val="auto"/>
          <w:sz w:val="24"/>
          <w:szCs w:val="24"/>
          <w:highlight w:val="none"/>
        </w:rPr>
      </w:pPr>
      <w:bookmarkStart w:id="154" w:name="_Toc6490"/>
      <w:bookmarkStart w:id="155" w:name="_Toc28756"/>
      <w:bookmarkStart w:id="156" w:name="_Toc113901851"/>
      <w:bookmarkStart w:id="157" w:name="_Toc130252624"/>
      <w:bookmarkStart w:id="158" w:name="_Toc20521"/>
      <w:bookmarkStart w:id="159" w:name="_Toc8262"/>
      <w:bookmarkStart w:id="160" w:name="_Toc128476880"/>
      <w:bookmarkStart w:id="161" w:name="_Toc141050517"/>
      <w:bookmarkStart w:id="162" w:name="_Toc22195"/>
      <w:bookmarkStart w:id="163" w:name="_Toc28397"/>
      <w:bookmarkStart w:id="164" w:name="_Toc24817"/>
      <w:bookmarkStart w:id="165" w:name="_Toc6527"/>
      <w:bookmarkStart w:id="166" w:name="_Toc24943"/>
      <w:bookmarkStart w:id="167" w:name="_Toc3038"/>
      <w:bookmarkStart w:id="168" w:name="_Toc29582"/>
      <w:bookmarkStart w:id="169" w:name="_Toc15267"/>
      <w:bookmarkStart w:id="170" w:name="_Toc28937"/>
      <w:bookmarkStart w:id="171" w:name="_Toc111556488"/>
      <w:r>
        <w:rPr>
          <w:rFonts w:hint="eastAsia" w:ascii="仿宋" w:hAnsi="仿宋" w:eastAsia="仿宋" w:cs="仿宋"/>
          <w:b/>
          <w:color w:val="auto"/>
          <w:sz w:val="24"/>
          <w:szCs w:val="24"/>
          <w:highlight w:val="none"/>
        </w:rPr>
        <w:br w:type="page"/>
      </w:r>
    </w:p>
    <w:p w14:paraId="4287683A">
      <w:pPr>
        <w:tabs>
          <w:tab w:val="center" w:pos="4832"/>
          <w:tab w:val="left" w:pos="7140"/>
        </w:tabs>
        <w:spacing w:line="360" w:lineRule="auto"/>
        <w:jc w:val="center"/>
        <w:outlineLvl w:val="1"/>
        <w:rPr>
          <w:rFonts w:hint="eastAsia" w:ascii="仿宋" w:hAnsi="仿宋" w:eastAsia="仿宋" w:cs="仿宋"/>
          <w:b/>
          <w:color w:val="auto"/>
          <w:sz w:val="24"/>
          <w:szCs w:val="24"/>
          <w:highlight w:val="none"/>
        </w:rPr>
      </w:pPr>
      <w:bookmarkStart w:id="172" w:name="_Toc7515"/>
      <w:bookmarkStart w:id="173" w:name="_Toc23545"/>
      <w:bookmarkStart w:id="174" w:name="_Toc13163"/>
      <w:bookmarkStart w:id="175" w:name="_Toc6917"/>
      <w:bookmarkStart w:id="176" w:name="_Toc5774"/>
      <w:bookmarkStart w:id="177" w:name="_Toc13146"/>
      <w:bookmarkStart w:id="178" w:name="_Toc7363"/>
      <w:bookmarkStart w:id="179" w:name="_Toc31926"/>
      <w:r>
        <w:rPr>
          <w:rFonts w:hint="eastAsia" w:ascii="仿宋" w:hAnsi="仿宋" w:eastAsia="仿宋" w:cs="仿宋"/>
          <w:b/>
          <w:color w:val="auto"/>
          <w:sz w:val="24"/>
          <w:szCs w:val="24"/>
          <w:highlight w:val="none"/>
        </w:rPr>
        <w:t>8.3 具备履行合同所必需的设备和专业技术能力的证明材料</w:t>
      </w:r>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2"/>
      <w:bookmarkEnd w:id="173"/>
      <w:bookmarkEnd w:id="174"/>
      <w:bookmarkEnd w:id="175"/>
      <w:bookmarkEnd w:id="176"/>
      <w:bookmarkEnd w:id="177"/>
      <w:bookmarkEnd w:id="178"/>
      <w:bookmarkEnd w:id="179"/>
    </w:p>
    <w:p w14:paraId="5FB65CA6">
      <w:pPr>
        <w:spacing w:line="360" w:lineRule="auto"/>
        <w:jc w:val="center"/>
        <w:rPr>
          <w:rFonts w:hint="eastAsia" w:ascii="仿宋" w:hAnsi="仿宋" w:eastAsia="仿宋" w:cs="仿宋"/>
          <w:b/>
          <w:color w:val="auto"/>
          <w:sz w:val="24"/>
          <w:szCs w:val="24"/>
          <w:highlight w:val="none"/>
        </w:rPr>
      </w:pPr>
    </w:p>
    <w:p w14:paraId="720D3580">
      <w:pPr>
        <w:spacing w:line="360" w:lineRule="auto"/>
        <w:jc w:val="center"/>
        <w:rPr>
          <w:rFonts w:hint="eastAsia" w:ascii="仿宋" w:hAnsi="仿宋" w:eastAsia="仿宋" w:cs="仿宋"/>
          <w:b/>
          <w:color w:val="auto"/>
          <w:sz w:val="24"/>
          <w:szCs w:val="24"/>
          <w:highlight w:val="none"/>
        </w:rPr>
      </w:pPr>
    </w:p>
    <w:p w14:paraId="7FCA7099">
      <w:pPr>
        <w:spacing w:line="360" w:lineRule="auto"/>
        <w:jc w:val="center"/>
        <w:rPr>
          <w:rFonts w:hint="eastAsia" w:ascii="仿宋" w:hAnsi="仿宋" w:eastAsia="仿宋" w:cs="仿宋"/>
          <w:b/>
          <w:color w:val="auto"/>
          <w:sz w:val="24"/>
          <w:szCs w:val="24"/>
          <w:highlight w:val="none"/>
        </w:rPr>
      </w:pPr>
    </w:p>
    <w:p w14:paraId="144E9C97">
      <w:pPr>
        <w:spacing w:line="360" w:lineRule="auto"/>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具有履行合同所必需的设备和专业技术能力的承诺</w:t>
      </w:r>
      <w:bookmarkEnd w:id="171"/>
      <w:r>
        <w:rPr>
          <w:rFonts w:hint="eastAsia" w:ascii="仿宋" w:hAnsi="仿宋" w:eastAsia="仿宋" w:cs="仿宋"/>
          <w:b/>
          <w:color w:val="auto"/>
          <w:sz w:val="24"/>
          <w:szCs w:val="24"/>
          <w:highlight w:val="none"/>
        </w:rPr>
        <w:t>函</w:t>
      </w:r>
    </w:p>
    <w:p w14:paraId="26D9FBD6">
      <w:pPr>
        <w:adjustRightInd w:val="0"/>
        <w:snapToGrid w:val="0"/>
        <w:spacing w:line="360" w:lineRule="auto"/>
        <w:ind w:firstLine="480" w:firstLineChars="200"/>
        <w:jc w:val="center"/>
        <w:rPr>
          <w:rFonts w:hint="eastAsia" w:ascii="仿宋" w:hAnsi="仿宋" w:eastAsia="仿宋" w:cs="仿宋"/>
          <w:color w:val="auto"/>
          <w:sz w:val="24"/>
          <w:szCs w:val="24"/>
          <w:highlight w:val="none"/>
        </w:rPr>
      </w:pPr>
    </w:p>
    <w:p w14:paraId="139F1650">
      <w:pPr>
        <w:autoSpaceDE w:val="0"/>
        <w:autoSpaceDN w:val="0"/>
        <w:adjustRightInd w:val="0"/>
        <w:spacing w:line="360" w:lineRule="auto"/>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致：</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（采购人名称）</w:t>
      </w:r>
    </w:p>
    <w:p w14:paraId="5927BF2C">
      <w:pPr>
        <w:autoSpaceDE w:val="0"/>
        <w:autoSpaceDN w:val="0"/>
        <w:adjustRightInd w:val="0"/>
        <w:spacing w:line="360" w:lineRule="auto"/>
        <w:ind w:firstLine="480" w:firstLineChars="200"/>
        <w:jc w:val="left"/>
        <w:rPr>
          <w:rFonts w:hint="eastAsia" w:ascii="仿宋" w:hAnsi="仿宋" w:eastAsia="仿宋" w:cs="仿宋"/>
          <w:color w:val="auto"/>
          <w:kern w:val="0"/>
          <w:sz w:val="24"/>
          <w:szCs w:val="24"/>
          <w:highlight w:val="none"/>
        </w:rPr>
      </w:pPr>
    </w:p>
    <w:p w14:paraId="64DDD918">
      <w:pPr>
        <w:autoSpaceDE w:val="0"/>
        <w:autoSpaceDN w:val="0"/>
        <w:adjustRightInd w:val="0"/>
        <w:spacing w:line="360" w:lineRule="auto"/>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xml:space="preserve">我单位郑重承诺： </w:t>
      </w:r>
    </w:p>
    <w:p w14:paraId="2DDE4CF4">
      <w:pPr>
        <w:autoSpaceDE w:val="0"/>
        <w:autoSpaceDN w:val="0"/>
        <w:adjustRightInd w:val="0"/>
        <w:spacing w:line="360" w:lineRule="auto"/>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我单位具备履行</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（项目名称）合同所必需的设备和专业技术能力；</w:t>
      </w:r>
    </w:p>
    <w:p w14:paraId="443B014F">
      <w:pPr>
        <w:autoSpaceDE w:val="0"/>
        <w:autoSpaceDN w:val="0"/>
        <w:adjustRightInd w:val="0"/>
        <w:spacing w:line="360" w:lineRule="auto"/>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xml:space="preserve">特此承诺。 </w:t>
      </w:r>
    </w:p>
    <w:p w14:paraId="26AE1748">
      <w:pPr>
        <w:autoSpaceDE w:val="0"/>
        <w:autoSpaceDN w:val="0"/>
        <w:adjustRightInd w:val="0"/>
        <w:spacing w:line="360" w:lineRule="auto"/>
        <w:jc w:val="left"/>
        <w:rPr>
          <w:rFonts w:hint="eastAsia" w:ascii="仿宋" w:hAnsi="仿宋" w:eastAsia="仿宋" w:cs="仿宋"/>
          <w:color w:val="auto"/>
          <w:kern w:val="0"/>
          <w:sz w:val="24"/>
          <w:szCs w:val="24"/>
          <w:highlight w:val="none"/>
        </w:rPr>
      </w:pPr>
    </w:p>
    <w:p w14:paraId="7FBFE7FD">
      <w:pPr>
        <w:autoSpaceDE w:val="0"/>
        <w:autoSpaceDN w:val="0"/>
        <w:adjustRightInd w:val="0"/>
        <w:spacing w:line="360" w:lineRule="auto"/>
        <w:jc w:val="left"/>
        <w:rPr>
          <w:rFonts w:hint="eastAsia" w:ascii="仿宋" w:hAnsi="仿宋" w:eastAsia="仿宋" w:cs="仿宋"/>
          <w:color w:val="auto"/>
          <w:kern w:val="0"/>
          <w:sz w:val="24"/>
          <w:szCs w:val="24"/>
          <w:highlight w:val="none"/>
        </w:rPr>
      </w:pPr>
    </w:p>
    <w:p w14:paraId="0033D604">
      <w:pPr>
        <w:autoSpaceDE w:val="0"/>
        <w:autoSpaceDN w:val="0"/>
        <w:adjustRightInd w:val="0"/>
        <w:spacing w:line="360" w:lineRule="auto"/>
        <w:jc w:val="left"/>
        <w:rPr>
          <w:rFonts w:hint="eastAsia" w:ascii="仿宋" w:hAnsi="仿宋" w:eastAsia="仿宋" w:cs="仿宋"/>
          <w:color w:val="auto"/>
          <w:kern w:val="0"/>
          <w:sz w:val="24"/>
          <w:szCs w:val="24"/>
          <w:highlight w:val="none"/>
        </w:rPr>
      </w:pPr>
    </w:p>
    <w:p w14:paraId="5FA609BA">
      <w:pPr>
        <w:autoSpaceDE w:val="0"/>
        <w:autoSpaceDN w:val="0"/>
        <w:adjustRightInd w:val="0"/>
        <w:spacing w:line="360" w:lineRule="auto"/>
        <w:jc w:val="left"/>
        <w:rPr>
          <w:rFonts w:hint="eastAsia" w:ascii="仿宋" w:hAnsi="仿宋" w:eastAsia="仿宋" w:cs="仿宋"/>
          <w:color w:val="auto"/>
          <w:kern w:val="0"/>
          <w:sz w:val="24"/>
          <w:szCs w:val="24"/>
          <w:highlight w:val="none"/>
        </w:rPr>
      </w:pPr>
    </w:p>
    <w:p w14:paraId="7FD02033">
      <w:pPr>
        <w:widowControl/>
        <w:shd w:val="clear" w:color="auto" w:fill="FFFFFF"/>
        <w:snapToGrid w:val="0"/>
        <w:spacing w:line="360"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供应商：</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（盖章）</w:t>
      </w:r>
    </w:p>
    <w:p w14:paraId="6E7047E0">
      <w:pPr>
        <w:widowControl/>
        <w:shd w:val="clear" w:color="auto" w:fill="FFFFFF"/>
        <w:snapToGrid w:val="0"/>
        <w:spacing w:line="360" w:lineRule="auto"/>
        <w:jc w:val="left"/>
        <w:rPr>
          <w:rFonts w:hint="eastAsia" w:ascii="仿宋" w:hAnsi="仿宋" w:eastAsia="仿宋" w:cs="仿宋"/>
          <w:color w:val="auto"/>
          <w:kern w:val="0"/>
          <w:sz w:val="24"/>
          <w:szCs w:val="24"/>
          <w:highlight w:val="none"/>
        </w:rPr>
      </w:pPr>
    </w:p>
    <w:p w14:paraId="6482463F">
      <w:pPr>
        <w:widowControl/>
        <w:shd w:val="clear" w:color="auto" w:fill="FFFFFF"/>
        <w:snapToGrid w:val="0"/>
        <w:spacing w:line="360" w:lineRule="auto"/>
        <w:jc w:val="left"/>
        <w:rPr>
          <w:rFonts w:hint="eastAsia" w:ascii="仿宋" w:hAnsi="仿宋" w:eastAsia="仿宋" w:cs="仿宋"/>
          <w:color w:val="auto"/>
          <w:kern w:val="0"/>
          <w:sz w:val="24"/>
          <w:szCs w:val="24"/>
          <w:highlight w:val="none"/>
        </w:rPr>
      </w:pPr>
    </w:p>
    <w:p w14:paraId="74CDD20C">
      <w:pPr>
        <w:widowControl/>
        <w:shd w:val="clear" w:color="auto" w:fill="FFFFFF"/>
        <w:snapToGrid w:val="0"/>
        <w:spacing w:line="360" w:lineRule="auto"/>
        <w:ind w:firstLine="420"/>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xml:space="preserve">                                               日期： 年  月  日</w:t>
      </w:r>
    </w:p>
    <w:p w14:paraId="17001D88">
      <w:pPr>
        <w:adjustRightInd w:val="0"/>
        <w:snapToGrid w:val="0"/>
        <w:spacing w:line="360" w:lineRule="auto"/>
        <w:rPr>
          <w:rFonts w:hint="eastAsia" w:ascii="仿宋" w:hAnsi="仿宋" w:eastAsia="仿宋" w:cs="仿宋"/>
          <w:bCs/>
          <w:color w:val="auto"/>
          <w:sz w:val="24"/>
          <w:szCs w:val="24"/>
          <w:highlight w:val="none"/>
        </w:rPr>
      </w:pPr>
    </w:p>
    <w:p w14:paraId="7A79B7F4">
      <w:pPr>
        <w:spacing w:line="360" w:lineRule="auto"/>
        <w:rPr>
          <w:rFonts w:hint="eastAsia" w:ascii="仿宋" w:hAnsi="仿宋" w:eastAsia="仿宋" w:cs="仿宋"/>
          <w:color w:val="auto"/>
          <w:sz w:val="24"/>
          <w:szCs w:val="24"/>
          <w:highlight w:val="none"/>
        </w:rPr>
      </w:pPr>
    </w:p>
    <w:p w14:paraId="2A930BC5">
      <w:pPr>
        <w:spacing w:line="360" w:lineRule="auto"/>
        <w:rPr>
          <w:rFonts w:hint="eastAsia" w:ascii="仿宋" w:hAnsi="仿宋" w:eastAsia="仿宋" w:cs="仿宋"/>
          <w:color w:val="auto"/>
          <w:sz w:val="24"/>
          <w:szCs w:val="24"/>
          <w:highlight w:val="none"/>
        </w:rPr>
      </w:pPr>
    </w:p>
    <w:p w14:paraId="66374F6B">
      <w:pPr>
        <w:spacing w:line="360" w:lineRule="auto"/>
        <w:rPr>
          <w:rFonts w:hint="eastAsia" w:ascii="仿宋" w:hAnsi="仿宋" w:eastAsia="仿宋" w:cs="仿宋"/>
          <w:color w:val="auto"/>
          <w:sz w:val="24"/>
          <w:szCs w:val="24"/>
          <w:highlight w:val="none"/>
        </w:rPr>
      </w:pPr>
    </w:p>
    <w:p w14:paraId="72EEA751">
      <w:pPr>
        <w:spacing w:line="360" w:lineRule="auto"/>
        <w:rPr>
          <w:rFonts w:hint="eastAsia" w:ascii="仿宋" w:hAnsi="仿宋" w:eastAsia="仿宋" w:cs="仿宋"/>
          <w:color w:val="auto"/>
          <w:sz w:val="24"/>
          <w:szCs w:val="24"/>
          <w:highlight w:val="none"/>
        </w:rPr>
      </w:pPr>
    </w:p>
    <w:p w14:paraId="4895BA66">
      <w:pPr>
        <w:spacing w:line="360" w:lineRule="auto"/>
        <w:rPr>
          <w:rFonts w:hint="eastAsia" w:ascii="仿宋" w:hAnsi="仿宋" w:eastAsia="仿宋" w:cs="仿宋"/>
          <w:color w:val="auto"/>
          <w:sz w:val="24"/>
          <w:szCs w:val="24"/>
          <w:highlight w:val="none"/>
        </w:rPr>
      </w:pPr>
    </w:p>
    <w:p w14:paraId="331CAB27">
      <w:pPr>
        <w:spacing w:line="360" w:lineRule="auto"/>
        <w:rPr>
          <w:rFonts w:hint="eastAsia" w:ascii="仿宋" w:hAnsi="仿宋" w:eastAsia="仿宋" w:cs="仿宋"/>
          <w:color w:val="auto"/>
          <w:sz w:val="24"/>
          <w:szCs w:val="24"/>
          <w:highlight w:val="none"/>
        </w:rPr>
      </w:pPr>
    </w:p>
    <w:p w14:paraId="6DDED7AC">
      <w:pPr>
        <w:tabs>
          <w:tab w:val="center" w:pos="4832"/>
          <w:tab w:val="left" w:pos="7140"/>
        </w:tabs>
        <w:spacing w:line="360" w:lineRule="auto"/>
        <w:jc w:val="center"/>
        <w:outlineLvl w:val="1"/>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br w:type="page"/>
      </w:r>
      <w:bookmarkStart w:id="180" w:name="_Toc130252625"/>
      <w:bookmarkStart w:id="181" w:name="_Toc21840"/>
      <w:bookmarkStart w:id="182" w:name="_Toc113901852"/>
      <w:bookmarkStart w:id="183" w:name="_Toc141050518"/>
      <w:bookmarkStart w:id="184" w:name="_Toc3227"/>
      <w:bookmarkStart w:id="185" w:name="_Toc1561"/>
      <w:bookmarkStart w:id="186" w:name="_Toc12742"/>
      <w:bookmarkStart w:id="187" w:name="_Toc12824"/>
      <w:bookmarkStart w:id="188" w:name="_Toc14597"/>
      <w:bookmarkStart w:id="189" w:name="_Toc17656"/>
      <w:bookmarkStart w:id="190" w:name="_Toc29127"/>
      <w:bookmarkStart w:id="191" w:name="_Toc18553"/>
      <w:bookmarkStart w:id="192" w:name="_Toc154"/>
      <w:bookmarkStart w:id="193" w:name="_Toc7322"/>
      <w:bookmarkStart w:id="194" w:name="_Toc128476881"/>
      <w:bookmarkStart w:id="195" w:name="_Toc16035"/>
      <w:bookmarkStart w:id="196" w:name="_Toc9960"/>
      <w:bookmarkStart w:id="197" w:name="_Toc9901"/>
      <w:bookmarkStart w:id="198" w:name="_Toc31613"/>
      <w:bookmarkStart w:id="199" w:name="_Toc20744"/>
      <w:bookmarkStart w:id="200" w:name="_Toc12060"/>
      <w:bookmarkStart w:id="201" w:name="_Toc5597"/>
      <w:bookmarkStart w:id="202" w:name="_Toc5472"/>
      <w:bookmarkStart w:id="203" w:name="_Toc27933"/>
      <w:bookmarkStart w:id="204" w:name="_Toc19260"/>
      <w:bookmarkStart w:id="205" w:name="_Toc111556490"/>
      <w:r>
        <w:rPr>
          <w:rFonts w:hint="eastAsia" w:ascii="仿宋" w:hAnsi="仿宋" w:eastAsia="仿宋" w:cs="仿宋"/>
          <w:b/>
          <w:color w:val="auto"/>
          <w:sz w:val="24"/>
          <w:szCs w:val="24"/>
          <w:highlight w:val="none"/>
        </w:rPr>
        <w:t>8.4 参加政府采购活动前3年内在经营活动中没有重大违法记录的书面声明</w:t>
      </w:r>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p>
    <w:bookmarkEnd w:id="205"/>
    <w:p w14:paraId="1904DFE4">
      <w:pPr>
        <w:widowControl/>
        <w:adjustRightInd w:val="0"/>
        <w:snapToGrid w:val="0"/>
        <w:spacing w:line="360" w:lineRule="auto"/>
        <w:rPr>
          <w:rFonts w:hint="eastAsia" w:ascii="仿宋" w:hAnsi="仿宋" w:eastAsia="仿宋" w:cs="仿宋"/>
          <w:color w:val="auto"/>
          <w:sz w:val="24"/>
          <w:szCs w:val="24"/>
          <w:highlight w:val="none"/>
        </w:rPr>
      </w:pPr>
    </w:p>
    <w:p w14:paraId="6B0DF1C9">
      <w:pPr>
        <w:widowControl/>
        <w:adjustRightInd w:val="0"/>
        <w:snapToGrid w:val="0"/>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参加政府采购活动前3年内在经营活动中没有重大违法记录的书面声明</w:t>
      </w:r>
    </w:p>
    <w:p w14:paraId="1101A28F">
      <w:pPr>
        <w:autoSpaceDE w:val="0"/>
        <w:autoSpaceDN w:val="0"/>
        <w:adjustRightInd w:val="0"/>
        <w:spacing w:line="360" w:lineRule="auto"/>
        <w:ind w:firstLine="480" w:firstLineChars="200"/>
        <w:jc w:val="left"/>
        <w:rPr>
          <w:rFonts w:hint="eastAsia" w:ascii="仿宋" w:hAnsi="仿宋" w:eastAsia="仿宋" w:cs="仿宋"/>
          <w:color w:val="auto"/>
          <w:kern w:val="0"/>
          <w:sz w:val="24"/>
          <w:szCs w:val="24"/>
          <w:highlight w:val="none"/>
        </w:rPr>
      </w:pPr>
    </w:p>
    <w:p w14:paraId="06C60937">
      <w:pPr>
        <w:autoSpaceDE w:val="0"/>
        <w:autoSpaceDN w:val="0"/>
        <w:adjustRightInd w:val="0"/>
        <w:spacing w:line="360" w:lineRule="auto"/>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致：</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（采购人名称）</w:t>
      </w:r>
    </w:p>
    <w:p w14:paraId="765C3E78">
      <w:pPr>
        <w:adjustRightInd w:val="0"/>
        <w:snapToGrid w:val="0"/>
        <w:spacing w:line="360" w:lineRule="auto"/>
        <w:ind w:firstLine="480" w:firstLineChars="200"/>
        <w:rPr>
          <w:rFonts w:hint="eastAsia" w:ascii="仿宋" w:hAnsi="仿宋" w:eastAsia="仿宋" w:cs="仿宋"/>
          <w:color w:val="auto"/>
          <w:sz w:val="24"/>
          <w:szCs w:val="24"/>
          <w:highlight w:val="none"/>
        </w:rPr>
      </w:pPr>
    </w:p>
    <w:p w14:paraId="4BD58A56">
      <w:pPr>
        <w:adjustRightInd w:val="0"/>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我单位在参与</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sz w:val="24"/>
          <w:szCs w:val="24"/>
          <w:highlight w:val="none"/>
        </w:rPr>
        <w:t>（</w:t>
      </w:r>
      <w:r>
        <w:rPr>
          <w:rFonts w:hint="eastAsia" w:ascii="仿宋" w:hAnsi="仿宋" w:eastAsia="仿宋" w:cs="仿宋"/>
          <w:color w:val="auto"/>
          <w:kern w:val="0"/>
          <w:sz w:val="24"/>
          <w:szCs w:val="24"/>
          <w:highlight w:val="none"/>
        </w:rPr>
        <w:t>项目名称</w:t>
      </w:r>
      <w:r>
        <w:rPr>
          <w:rFonts w:hint="eastAsia" w:ascii="仿宋" w:hAnsi="仿宋" w:eastAsia="仿宋" w:cs="仿宋"/>
          <w:color w:val="auto"/>
          <w:sz w:val="24"/>
          <w:szCs w:val="24"/>
          <w:highlight w:val="none"/>
        </w:rPr>
        <w:t>）</w:t>
      </w:r>
      <w:r>
        <w:rPr>
          <w:rFonts w:hint="eastAsia" w:ascii="仿宋" w:hAnsi="仿宋" w:eastAsia="仿宋" w:cs="仿宋"/>
          <w:color w:val="auto"/>
          <w:kern w:val="0"/>
          <w:sz w:val="24"/>
          <w:szCs w:val="24"/>
          <w:highlight w:val="none"/>
        </w:rPr>
        <w:t>前三年内（以</w:t>
      </w:r>
      <w:r>
        <w:rPr>
          <w:rFonts w:hint="eastAsia" w:ascii="仿宋" w:hAnsi="仿宋" w:eastAsia="仿宋" w:cs="仿宋"/>
          <w:color w:val="auto"/>
          <w:sz w:val="24"/>
          <w:szCs w:val="24"/>
          <w:highlight w:val="none"/>
        </w:rPr>
        <w:t>响应文件递交截止之日为期限</w:t>
      </w:r>
      <w:r>
        <w:rPr>
          <w:rFonts w:hint="eastAsia" w:ascii="仿宋" w:hAnsi="仿宋" w:eastAsia="仿宋" w:cs="仿宋"/>
          <w:color w:val="auto"/>
          <w:kern w:val="0"/>
          <w:sz w:val="24"/>
          <w:szCs w:val="24"/>
          <w:highlight w:val="none"/>
        </w:rPr>
        <w:t>）在经营活动中没有重大违法记录。</w:t>
      </w:r>
    </w:p>
    <w:p w14:paraId="5A28F21D">
      <w:pPr>
        <w:adjustRightInd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若贵方在本项目采购过程中发现我方参加政府采购活动前三年内有重大违法记录；</w:t>
      </w:r>
      <w:r>
        <w:rPr>
          <w:rFonts w:hint="eastAsia" w:ascii="仿宋" w:hAnsi="仿宋" w:eastAsia="仿宋" w:cs="仿宋"/>
          <w:color w:val="auto"/>
          <w:kern w:val="0"/>
          <w:sz w:val="24"/>
          <w:szCs w:val="24"/>
          <w:highlight w:val="none"/>
        </w:rPr>
        <w:t>我单位</w:t>
      </w:r>
      <w:r>
        <w:rPr>
          <w:rFonts w:hint="eastAsia" w:ascii="仿宋" w:hAnsi="仿宋" w:eastAsia="仿宋" w:cs="仿宋"/>
          <w:color w:val="auto"/>
          <w:sz w:val="24"/>
          <w:szCs w:val="24"/>
          <w:highlight w:val="none"/>
        </w:rPr>
        <w:t>将无条件退出本项目的投标，并承担因此引起的一切后果。我方对此声明负全部法律责任。</w:t>
      </w:r>
    </w:p>
    <w:p w14:paraId="6FDD1973">
      <w:pPr>
        <w:adjustRightInd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特此声明！</w:t>
      </w:r>
    </w:p>
    <w:p w14:paraId="10264598">
      <w:pPr>
        <w:adjustRightInd w:val="0"/>
        <w:snapToGrid w:val="0"/>
        <w:spacing w:line="360" w:lineRule="auto"/>
        <w:ind w:firstLine="480" w:firstLineChars="200"/>
        <w:rPr>
          <w:rFonts w:hint="eastAsia" w:ascii="仿宋" w:hAnsi="仿宋" w:eastAsia="仿宋" w:cs="仿宋"/>
          <w:color w:val="auto"/>
          <w:sz w:val="24"/>
          <w:szCs w:val="24"/>
          <w:highlight w:val="none"/>
        </w:rPr>
      </w:pPr>
    </w:p>
    <w:p w14:paraId="27489297">
      <w:pPr>
        <w:adjustRightInd w:val="0"/>
        <w:snapToGrid w:val="0"/>
        <w:spacing w:line="360" w:lineRule="auto"/>
        <w:ind w:firstLine="480" w:firstLineChars="200"/>
        <w:rPr>
          <w:rFonts w:hint="eastAsia" w:ascii="仿宋" w:hAnsi="仿宋" w:eastAsia="仿宋" w:cs="仿宋"/>
          <w:color w:val="auto"/>
          <w:sz w:val="24"/>
          <w:szCs w:val="24"/>
          <w:highlight w:val="none"/>
        </w:rPr>
      </w:pPr>
    </w:p>
    <w:p w14:paraId="262C7171">
      <w:pPr>
        <w:adjustRightInd w:val="0"/>
        <w:snapToGrid w:val="0"/>
        <w:spacing w:line="360" w:lineRule="auto"/>
        <w:ind w:firstLine="420" w:firstLineChars="200"/>
        <w:rPr>
          <w:rFonts w:hint="eastAsia" w:ascii="仿宋" w:hAnsi="仿宋" w:eastAsia="仿宋" w:cs="仿宋"/>
          <w:color w:val="auto"/>
          <w:szCs w:val="24"/>
          <w:highlight w:val="none"/>
        </w:rPr>
      </w:pPr>
      <w:r>
        <w:rPr>
          <w:rFonts w:hint="eastAsia" w:ascii="仿宋" w:hAnsi="仿宋" w:eastAsia="仿宋" w:cs="仿宋"/>
          <w:color w:val="auto"/>
          <w:szCs w:val="24"/>
          <w:highlight w:val="none"/>
        </w:rPr>
        <w:t>备注：</w:t>
      </w:r>
    </w:p>
    <w:p w14:paraId="1208B393">
      <w:pPr>
        <w:adjustRightInd w:val="0"/>
        <w:snapToGrid w:val="0"/>
        <w:spacing w:line="360" w:lineRule="auto"/>
        <w:ind w:firstLine="420" w:firstLineChars="200"/>
        <w:rPr>
          <w:rFonts w:hint="eastAsia" w:ascii="仿宋" w:hAnsi="仿宋" w:eastAsia="仿宋" w:cs="仿宋"/>
          <w:color w:val="auto"/>
          <w:sz w:val="24"/>
          <w:szCs w:val="24"/>
          <w:highlight w:val="none"/>
        </w:rPr>
      </w:pPr>
      <w:r>
        <w:rPr>
          <w:rFonts w:hint="eastAsia" w:ascii="仿宋" w:hAnsi="仿宋" w:eastAsia="仿宋" w:cs="仿宋"/>
          <w:color w:val="auto"/>
          <w:szCs w:val="24"/>
          <w:highlight w:val="none"/>
        </w:rPr>
        <w:t>若供应商在响应文件递交截止之日成立时间不足三年，以自成立以来的时间计取。</w:t>
      </w:r>
    </w:p>
    <w:p w14:paraId="72DDD8BA">
      <w:pPr>
        <w:adjustRightInd w:val="0"/>
        <w:snapToGrid w:val="0"/>
        <w:spacing w:line="360" w:lineRule="auto"/>
        <w:ind w:firstLine="480" w:firstLineChars="200"/>
        <w:rPr>
          <w:rFonts w:hint="eastAsia" w:ascii="仿宋" w:hAnsi="仿宋" w:eastAsia="仿宋" w:cs="仿宋"/>
          <w:color w:val="auto"/>
          <w:kern w:val="0"/>
          <w:sz w:val="24"/>
          <w:szCs w:val="24"/>
          <w:highlight w:val="none"/>
        </w:rPr>
      </w:pPr>
    </w:p>
    <w:p w14:paraId="43D05EF7">
      <w:pPr>
        <w:adjustRightInd w:val="0"/>
        <w:snapToGrid w:val="0"/>
        <w:spacing w:line="360" w:lineRule="auto"/>
        <w:ind w:firstLine="3112" w:firstLineChars="1297"/>
        <w:rPr>
          <w:rFonts w:hint="eastAsia" w:ascii="仿宋" w:hAnsi="仿宋" w:eastAsia="仿宋" w:cs="仿宋"/>
          <w:color w:val="auto"/>
          <w:sz w:val="24"/>
          <w:szCs w:val="24"/>
          <w:highlight w:val="none"/>
        </w:rPr>
      </w:pPr>
    </w:p>
    <w:p w14:paraId="2BD80C43">
      <w:pPr>
        <w:widowControl/>
        <w:shd w:val="clear" w:color="auto" w:fill="FFFFFF"/>
        <w:snapToGrid w:val="0"/>
        <w:spacing w:line="360"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供应商：</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（盖章）</w:t>
      </w:r>
    </w:p>
    <w:p w14:paraId="1A5B3AB6">
      <w:pPr>
        <w:widowControl/>
        <w:shd w:val="clear" w:color="auto" w:fill="FFFFFF"/>
        <w:snapToGrid w:val="0"/>
        <w:spacing w:line="360" w:lineRule="auto"/>
        <w:ind w:firstLine="420"/>
        <w:jc w:val="center"/>
        <w:rPr>
          <w:rFonts w:hint="eastAsia" w:ascii="仿宋" w:hAnsi="仿宋" w:eastAsia="仿宋" w:cs="仿宋"/>
          <w:color w:val="auto"/>
          <w:kern w:val="0"/>
          <w:sz w:val="24"/>
          <w:szCs w:val="24"/>
          <w:highlight w:val="none"/>
        </w:rPr>
      </w:pPr>
    </w:p>
    <w:p w14:paraId="38E81FD3">
      <w:pPr>
        <w:widowControl/>
        <w:shd w:val="clear" w:color="auto" w:fill="FFFFFF"/>
        <w:snapToGrid w:val="0"/>
        <w:spacing w:line="360" w:lineRule="auto"/>
        <w:ind w:firstLine="420"/>
        <w:jc w:val="center"/>
        <w:rPr>
          <w:rFonts w:hint="eastAsia" w:ascii="仿宋" w:hAnsi="仿宋" w:eastAsia="仿宋" w:cs="仿宋"/>
          <w:color w:val="auto"/>
          <w:kern w:val="0"/>
          <w:sz w:val="24"/>
          <w:szCs w:val="24"/>
          <w:highlight w:val="none"/>
        </w:rPr>
      </w:pPr>
    </w:p>
    <w:p w14:paraId="3C19B4F9">
      <w:pPr>
        <w:widowControl/>
        <w:shd w:val="clear" w:color="auto" w:fill="FFFFFF"/>
        <w:snapToGrid w:val="0"/>
        <w:spacing w:line="360" w:lineRule="auto"/>
        <w:ind w:firstLine="420"/>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xml:space="preserve">                                               日期： 年  月  日</w:t>
      </w:r>
    </w:p>
    <w:p w14:paraId="41408DB2">
      <w:pPr>
        <w:widowControl/>
        <w:shd w:val="clear" w:color="auto" w:fill="FFFFFF"/>
        <w:snapToGrid w:val="0"/>
        <w:spacing w:line="360" w:lineRule="auto"/>
        <w:ind w:firstLine="420"/>
        <w:rPr>
          <w:rFonts w:hint="eastAsia" w:ascii="仿宋" w:hAnsi="仿宋" w:eastAsia="仿宋" w:cs="仿宋"/>
          <w:color w:val="auto"/>
          <w:kern w:val="0"/>
          <w:sz w:val="24"/>
          <w:szCs w:val="24"/>
          <w:highlight w:val="none"/>
        </w:rPr>
      </w:pPr>
    </w:p>
    <w:p w14:paraId="6488CC50">
      <w:pPr>
        <w:tabs>
          <w:tab w:val="center" w:pos="4832"/>
          <w:tab w:val="left" w:pos="7140"/>
        </w:tabs>
        <w:spacing w:line="360" w:lineRule="auto"/>
        <w:jc w:val="center"/>
        <w:outlineLvl w:val="1"/>
        <w:rPr>
          <w:rFonts w:hint="eastAsia" w:ascii="仿宋" w:hAnsi="仿宋" w:eastAsia="仿宋" w:cs="仿宋"/>
          <w:b/>
          <w:color w:val="auto"/>
          <w:sz w:val="24"/>
          <w:szCs w:val="24"/>
          <w:highlight w:val="none"/>
        </w:rPr>
      </w:pPr>
      <w:r>
        <w:rPr>
          <w:rFonts w:hint="eastAsia" w:ascii="仿宋" w:hAnsi="仿宋" w:eastAsia="仿宋" w:cs="仿宋"/>
          <w:color w:val="auto"/>
          <w:kern w:val="0"/>
          <w:sz w:val="24"/>
          <w:szCs w:val="24"/>
          <w:highlight w:val="none"/>
        </w:rPr>
        <w:br w:type="page"/>
      </w:r>
      <w:bookmarkStart w:id="206" w:name="_Toc26082"/>
      <w:bookmarkStart w:id="207" w:name="_Toc13030"/>
      <w:bookmarkStart w:id="208" w:name="_Toc130252626"/>
      <w:bookmarkStart w:id="209" w:name="_Toc31144"/>
      <w:bookmarkStart w:id="210" w:name="_Toc9134"/>
      <w:bookmarkStart w:id="211" w:name="_Toc141050519"/>
      <w:bookmarkStart w:id="212" w:name="_Toc14380"/>
      <w:bookmarkStart w:id="213" w:name="_Toc113901853"/>
      <w:bookmarkStart w:id="214" w:name="_Toc9385"/>
      <w:bookmarkStart w:id="215" w:name="_Toc30930"/>
      <w:bookmarkStart w:id="216" w:name="_Toc8192"/>
      <w:bookmarkStart w:id="217" w:name="_Toc17488"/>
      <w:bookmarkStart w:id="218" w:name="_Toc25108"/>
      <w:bookmarkStart w:id="219" w:name="_Toc24660"/>
      <w:bookmarkStart w:id="220" w:name="_Toc8732"/>
      <w:bookmarkStart w:id="221" w:name="_Toc4675"/>
      <w:bookmarkStart w:id="222" w:name="_Toc31604"/>
      <w:bookmarkStart w:id="223" w:name="_Toc8186"/>
      <w:bookmarkStart w:id="224" w:name="_Toc22823"/>
      <w:bookmarkStart w:id="225" w:name="_Toc9945"/>
      <w:bookmarkStart w:id="226" w:name="_Toc11552"/>
      <w:bookmarkStart w:id="227" w:name="_Toc313"/>
      <w:bookmarkStart w:id="228" w:name="_Toc30447"/>
      <w:bookmarkStart w:id="229" w:name="_Toc6424"/>
      <w:bookmarkStart w:id="230" w:name="_Toc128476882"/>
      <w:r>
        <w:rPr>
          <w:rFonts w:hint="eastAsia" w:ascii="仿宋" w:hAnsi="仿宋" w:eastAsia="仿宋" w:cs="仿宋"/>
          <w:b/>
          <w:color w:val="auto"/>
          <w:sz w:val="24"/>
          <w:szCs w:val="24"/>
          <w:highlight w:val="none"/>
        </w:rPr>
        <w:t>8.5 具备法律、行政法规规定的其他条件的证明材料</w:t>
      </w:r>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p>
    <w:p w14:paraId="6F13136B">
      <w:pPr>
        <w:widowControl/>
        <w:adjustRightInd w:val="0"/>
        <w:snapToGrid w:val="0"/>
        <w:spacing w:line="360" w:lineRule="auto"/>
        <w:rPr>
          <w:rFonts w:hint="eastAsia" w:ascii="仿宋" w:hAnsi="仿宋" w:eastAsia="仿宋" w:cs="仿宋"/>
          <w:color w:val="auto"/>
          <w:sz w:val="24"/>
          <w:szCs w:val="24"/>
          <w:highlight w:val="none"/>
        </w:rPr>
      </w:pPr>
    </w:p>
    <w:p w14:paraId="49DCE176">
      <w:pPr>
        <w:widowControl/>
        <w:adjustRightInd w:val="0"/>
        <w:snapToGrid w:val="0"/>
        <w:spacing w:line="360" w:lineRule="auto"/>
        <w:ind w:firstLine="480" w:firstLineChars="200"/>
        <w:rPr>
          <w:rFonts w:hint="eastAsia"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一、国家有关主管部门的行政许可（如有时）。</w:t>
      </w:r>
    </w:p>
    <w:p w14:paraId="39C253CB">
      <w:pPr>
        <w:widowControl/>
        <w:adjustRightInd w:val="0"/>
        <w:snapToGrid w:val="0"/>
        <w:spacing w:line="360" w:lineRule="auto"/>
        <w:ind w:firstLine="480" w:firstLineChars="200"/>
        <w:rPr>
          <w:rFonts w:hint="eastAsia"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二、中小企业声明函/残疾人福利性单位声明函/监狱企业证明文件（如有时）。</w:t>
      </w:r>
    </w:p>
    <w:p w14:paraId="6F156A1C">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r>
    </w:p>
    <w:p w14:paraId="2394AC6F">
      <w:pPr>
        <w:widowControl/>
        <w:spacing w:line="360" w:lineRule="auto"/>
        <w:jc w:val="left"/>
        <w:rPr>
          <w:rFonts w:hint="eastAsia"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rPr>
        <w:t xml:space="preserve">附件一、                  </w:t>
      </w:r>
    </w:p>
    <w:p w14:paraId="19A7E655">
      <w:pPr>
        <w:spacing w:line="588" w:lineRule="exact"/>
        <w:jc w:val="center"/>
        <w:rPr>
          <w:rFonts w:hint="eastAsia" w:ascii="仿宋" w:hAnsi="仿宋" w:eastAsia="仿宋" w:cs="仿宋"/>
          <w:b/>
          <w:color w:val="auto"/>
          <w:spacing w:val="6"/>
          <w:sz w:val="24"/>
          <w:szCs w:val="24"/>
          <w:highlight w:val="none"/>
        </w:rPr>
      </w:pPr>
    </w:p>
    <w:p w14:paraId="593C13B5">
      <w:pPr>
        <w:spacing w:line="588" w:lineRule="exact"/>
        <w:jc w:val="center"/>
        <w:rPr>
          <w:rFonts w:hint="eastAsia" w:ascii="仿宋" w:hAnsi="仿宋" w:eastAsia="仿宋" w:cs="仿宋"/>
          <w:b/>
          <w:color w:val="auto"/>
          <w:spacing w:val="6"/>
          <w:sz w:val="24"/>
          <w:szCs w:val="24"/>
          <w:highlight w:val="none"/>
        </w:rPr>
      </w:pPr>
      <w:r>
        <w:rPr>
          <w:rFonts w:hint="eastAsia" w:ascii="仿宋" w:hAnsi="仿宋" w:eastAsia="仿宋" w:cs="仿宋"/>
          <w:b/>
          <w:color w:val="auto"/>
          <w:spacing w:val="6"/>
          <w:sz w:val="24"/>
          <w:szCs w:val="24"/>
          <w:highlight w:val="none"/>
        </w:rPr>
        <w:t>中小企业声明函（货物）</w:t>
      </w:r>
    </w:p>
    <w:p w14:paraId="70CCF5DF">
      <w:pPr>
        <w:spacing w:line="588" w:lineRule="exact"/>
        <w:jc w:val="center"/>
        <w:rPr>
          <w:rFonts w:hint="eastAsia" w:ascii="仿宋" w:hAnsi="仿宋" w:eastAsia="仿宋" w:cs="仿宋"/>
          <w:b/>
          <w:color w:val="auto"/>
          <w:spacing w:val="6"/>
          <w:sz w:val="24"/>
          <w:szCs w:val="24"/>
          <w:highlight w:val="none"/>
        </w:rPr>
      </w:pPr>
    </w:p>
    <w:p w14:paraId="0201542B">
      <w:pPr>
        <w:spacing w:line="588" w:lineRule="exact"/>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本公司（联合体）郑重声明，根据《政府采购促进中小企业发展管理办法》（财库﹝2020﹞46 号）的规定，本公司</w:t>
      </w:r>
      <w:r>
        <w:rPr>
          <w:rFonts w:hint="eastAsia" w:ascii="仿宋" w:hAnsi="仿宋" w:eastAsia="仿宋" w:cs="仿宋"/>
          <w:color w:val="auto"/>
          <w:kern w:val="0"/>
          <w:sz w:val="24"/>
          <w:szCs w:val="24"/>
          <w:highlight w:val="none"/>
          <w:u w:val="single"/>
        </w:rPr>
        <w:t xml:space="preserve">  （联合体）</w:t>
      </w:r>
      <w:r>
        <w:rPr>
          <w:rFonts w:hint="eastAsia" w:ascii="仿宋" w:hAnsi="仿宋" w:eastAsia="仿宋" w:cs="仿宋"/>
          <w:color w:val="auto"/>
          <w:kern w:val="0"/>
          <w:sz w:val="24"/>
          <w:szCs w:val="24"/>
          <w:highlight w:val="none"/>
        </w:rPr>
        <w:t>参加</w:t>
      </w:r>
      <w:r>
        <w:rPr>
          <w:rFonts w:hint="eastAsia" w:ascii="仿宋" w:hAnsi="仿宋" w:eastAsia="仿宋" w:cs="仿宋"/>
          <w:color w:val="auto"/>
          <w:kern w:val="0"/>
          <w:sz w:val="24"/>
          <w:szCs w:val="24"/>
          <w:highlight w:val="none"/>
          <w:u w:val="single"/>
        </w:rPr>
        <w:t xml:space="preserve">  （单位名称）</w:t>
      </w:r>
      <w:r>
        <w:rPr>
          <w:rFonts w:hint="eastAsia" w:ascii="仿宋" w:hAnsi="仿宋" w:eastAsia="仿宋" w:cs="仿宋"/>
          <w:color w:val="auto"/>
          <w:kern w:val="0"/>
          <w:sz w:val="24"/>
          <w:szCs w:val="24"/>
          <w:highlight w:val="none"/>
        </w:rPr>
        <w:t>的</w:t>
      </w:r>
      <w:r>
        <w:rPr>
          <w:rFonts w:hint="eastAsia" w:ascii="仿宋" w:hAnsi="仿宋" w:eastAsia="仿宋" w:cs="仿宋"/>
          <w:color w:val="auto"/>
          <w:kern w:val="0"/>
          <w:sz w:val="24"/>
          <w:szCs w:val="24"/>
          <w:highlight w:val="none"/>
          <w:u w:val="single"/>
        </w:rPr>
        <w:t xml:space="preserve">  （项目名称）</w:t>
      </w:r>
      <w:r>
        <w:rPr>
          <w:rFonts w:hint="eastAsia" w:ascii="仿宋" w:hAnsi="仿宋" w:eastAsia="仿宋" w:cs="仿宋"/>
          <w:color w:val="auto"/>
          <w:kern w:val="0"/>
          <w:sz w:val="24"/>
          <w:szCs w:val="24"/>
          <w:highlight w:val="none"/>
        </w:rPr>
        <w:t>采购活动，提供的货物全部由符合政策要求的中小企业制造。相关企业（含联合体中的中小企业、签订分包意向协议的中小企业）的具体情况如下：</w:t>
      </w:r>
    </w:p>
    <w:p w14:paraId="08069552">
      <w:pPr>
        <w:spacing w:line="588" w:lineRule="exact"/>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r>
        <w:rPr>
          <w:rFonts w:hint="eastAsia" w:ascii="仿宋" w:hAnsi="仿宋" w:eastAsia="仿宋" w:cs="仿宋"/>
          <w:color w:val="auto"/>
          <w:kern w:val="0"/>
          <w:sz w:val="24"/>
          <w:szCs w:val="24"/>
          <w:highlight w:val="none"/>
          <w:u w:val="single"/>
        </w:rPr>
        <w:t xml:space="preserve">         （标的名称） </w:t>
      </w:r>
      <w:r>
        <w:rPr>
          <w:rFonts w:hint="eastAsia" w:ascii="仿宋" w:hAnsi="仿宋" w:eastAsia="仿宋" w:cs="仿宋"/>
          <w:color w:val="auto"/>
          <w:kern w:val="0"/>
          <w:sz w:val="24"/>
          <w:szCs w:val="24"/>
          <w:highlight w:val="none"/>
        </w:rPr>
        <w:t>，属于</w:t>
      </w:r>
      <w:r>
        <w:rPr>
          <w:rFonts w:hint="eastAsia" w:ascii="仿宋" w:hAnsi="仿宋" w:eastAsia="仿宋" w:cs="仿宋"/>
          <w:color w:val="auto"/>
          <w:kern w:val="0"/>
          <w:sz w:val="24"/>
          <w:szCs w:val="24"/>
          <w:highlight w:val="none"/>
          <w:u w:val="single"/>
        </w:rPr>
        <w:t xml:space="preserve">       （采购文件中明确的所属行业）</w:t>
      </w:r>
      <w:r>
        <w:rPr>
          <w:rFonts w:hint="eastAsia" w:ascii="仿宋" w:hAnsi="仿宋" w:eastAsia="仿宋" w:cs="仿宋"/>
          <w:color w:val="auto"/>
          <w:kern w:val="0"/>
          <w:sz w:val="24"/>
          <w:szCs w:val="24"/>
          <w:highlight w:val="none"/>
        </w:rPr>
        <w:t>行业；制造商为</w:t>
      </w:r>
      <w:r>
        <w:rPr>
          <w:rFonts w:hint="eastAsia" w:ascii="仿宋" w:hAnsi="仿宋" w:eastAsia="仿宋" w:cs="仿宋"/>
          <w:color w:val="auto"/>
          <w:kern w:val="0"/>
          <w:sz w:val="24"/>
          <w:szCs w:val="24"/>
          <w:highlight w:val="none"/>
          <w:u w:val="single"/>
        </w:rPr>
        <w:t xml:space="preserve">     （企业名称）</w:t>
      </w:r>
      <w:r>
        <w:rPr>
          <w:rFonts w:hint="eastAsia" w:ascii="仿宋" w:hAnsi="仿宋" w:eastAsia="仿宋" w:cs="仿宋"/>
          <w:color w:val="auto"/>
          <w:kern w:val="0"/>
          <w:sz w:val="24"/>
          <w:szCs w:val="24"/>
          <w:highlight w:val="none"/>
        </w:rPr>
        <w:t>，从业人员</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 xml:space="preserve"> 人，营业收入为</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万元，资产总额为</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万元，属于</w:t>
      </w:r>
      <w:r>
        <w:rPr>
          <w:rFonts w:hint="eastAsia" w:ascii="仿宋" w:hAnsi="仿宋" w:eastAsia="仿宋" w:cs="仿宋"/>
          <w:color w:val="auto"/>
          <w:kern w:val="0"/>
          <w:sz w:val="24"/>
          <w:szCs w:val="24"/>
          <w:highlight w:val="none"/>
          <w:u w:val="single"/>
        </w:rPr>
        <w:t xml:space="preserve">    （中型企业、小型企业、微型企业）</w:t>
      </w:r>
      <w:r>
        <w:rPr>
          <w:rFonts w:hint="eastAsia" w:ascii="仿宋" w:hAnsi="仿宋" w:eastAsia="仿宋" w:cs="仿宋"/>
          <w:color w:val="auto"/>
          <w:kern w:val="0"/>
          <w:sz w:val="24"/>
          <w:szCs w:val="24"/>
          <w:highlight w:val="none"/>
        </w:rPr>
        <w:t>；</w:t>
      </w:r>
    </w:p>
    <w:p w14:paraId="7F9B17E5">
      <w:pPr>
        <w:spacing w:line="588" w:lineRule="exact"/>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w:t>
      </w:r>
      <w:r>
        <w:rPr>
          <w:rFonts w:hint="eastAsia" w:ascii="仿宋" w:hAnsi="仿宋" w:eastAsia="仿宋" w:cs="仿宋"/>
          <w:color w:val="auto"/>
          <w:kern w:val="0"/>
          <w:sz w:val="24"/>
          <w:szCs w:val="24"/>
          <w:highlight w:val="none"/>
          <w:u w:val="single"/>
        </w:rPr>
        <w:t xml:space="preserve">         （标的名称） </w:t>
      </w:r>
      <w:r>
        <w:rPr>
          <w:rFonts w:hint="eastAsia" w:ascii="仿宋" w:hAnsi="仿宋" w:eastAsia="仿宋" w:cs="仿宋"/>
          <w:color w:val="auto"/>
          <w:kern w:val="0"/>
          <w:sz w:val="24"/>
          <w:szCs w:val="24"/>
          <w:highlight w:val="none"/>
        </w:rPr>
        <w:t>，属于</w:t>
      </w:r>
      <w:r>
        <w:rPr>
          <w:rFonts w:hint="eastAsia" w:ascii="仿宋" w:hAnsi="仿宋" w:eastAsia="仿宋" w:cs="仿宋"/>
          <w:color w:val="auto"/>
          <w:kern w:val="0"/>
          <w:sz w:val="24"/>
          <w:szCs w:val="24"/>
          <w:highlight w:val="none"/>
          <w:u w:val="single"/>
        </w:rPr>
        <w:t xml:space="preserve">       （采购文件中明确的所属行业）</w:t>
      </w:r>
      <w:r>
        <w:rPr>
          <w:rFonts w:hint="eastAsia" w:ascii="仿宋" w:hAnsi="仿宋" w:eastAsia="仿宋" w:cs="仿宋"/>
          <w:color w:val="auto"/>
          <w:kern w:val="0"/>
          <w:sz w:val="24"/>
          <w:szCs w:val="24"/>
          <w:highlight w:val="none"/>
        </w:rPr>
        <w:t>行业；制造商为</w:t>
      </w:r>
      <w:r>
        <w:rPr>
          <w:rFonts w:hint="eastAsia" w:ascii="仿宋" w:hAnsi="仿宋" w:eastAsia="仿宋" w:cs="仿宋"/>
          <w:color w:val="auto"/>
          <w:kern w:val="0"/>
          <w:sz w:val="24"/>
          <w:szCs w:val="24"/>
          <w:highlight w:val="none"/>
          <w:u w:val="single"/>
        </w:rPr>
        <w:t xml:space="preserve">     （企业名称）</w:t>
      </w:r>
      <w:r>
        <w:rPr>
          <w:rFonts w:hint="eastAsia" w:ascii="仿宋" w:hAnsi="仿宋" w:eastAsia="仿宋" w:cs="仿宋"/>
          <w:color w:val="auto"/>
          <w:kern w:val="0"/>
          <w:sz w:val="24"/>
          <w:szCs w:val="24"/>
          <w:highlight w:val="none"/>
        </w:rPr>
        <w:t>，从业人员</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 xml:space="preserve"> 人，营业收入为</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万元，资产总额为</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万元，属于</w:t>
      </w:r>
      <w:r>
        <w:rPr>
          <w:rFonts w:hint="eastAsia" w:ascii="仿宋" w:hAnsi="仿宋" w:eastAsia="仿宋" w:cs="仿宋"/>
          <w:color w:val="auto"/>
          <w:kern w:val="0"/>
          <w:sz w:val="24"/>
          <w:szCs w:val="24"/>
          <w:highlight w:val="none"/>
          <w:u w:val="single"/>
        </w:rPr>
        <w:t xml:space="preserve">    （中型企业、小型企业、微型企业）</w:t>
      </w:r>
      <w:r>
        <w:rPr>
          <w:rFonts w:hint="eastAsia" w:ascii="仿宋" w:hAnsi="仿宋" w:eastAsia="仿宋" w:cs="仿宋"/>
          <w:color w:val="auto"/>
          <w:kern w:val="0"/>
          <w:sz w:val="24"/>
          <w:szCs w:val="24"/>
          <w:highlight w:val="none"/>
        </w:rPr>
        <w:t>；</w:t>
      </w:r>
    </w:p>
    <w:p w14:paraId="7BF0AA5C">
      <w:pPr>
        <w:spacing w:line="588" w:lineRule="exact"/>
        <w:rPr>
          <w:rFonts w:hint="eastAsia" w:ascii="仿宋" w:hAnsi="仿宋" w:eastAsia="仿宋" w:cs="仿宋"/>
          <w:color w:val="auto"/>
          <w:kern w:val="0"/>
          <w:sz w:val="24"/>
          <w:szCs w:val="24"/>
          <w:highlight w:val="none"/>
        </w:rPr>
      </w:pPr>
    </w:p>
    <w:p w14:paraId="5AC477FE">
      <w:pPr>
        <w:spacing w:line="588" w:lineRule="exac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w:t>
      </w:r>
    </w:p>
    <w:p w14:paraId="3E3C2CC1">
      <w:pPr>
        <w:spacing w:line="588" w:lineRule="exact"/>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以上企业，不属于大企业的分支机构，不存在控股股东为大企业的情形，也不存在与大企业的负责人为同一人的情形。</w:t>
      </w:r>
    </w:p>
    <w:p w14:paraId="258DCE05">
      <w:pPr>
        <w:spacing w:line="588" w:lineRule="exact"/>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本企业对上述声明内容的真实性负责。如有虚假，将依法承担相应责任。</w:t>
      </w:r>
    </w:p>
    <w:p w14:paraId="4C254A7E">
      <w:pPr>
        <w:spacing w:line="588" w:lineRule="exact"/>
        <w:ind w:firstLine="480" w:firstLineChars="200"/>
        <w:rPr>
          <w:rFonts w:hint="eastAsia" w:ascii="仿宋" w:hAnsi="仿宋" w:eastAsia="仿宋" w:cs="仿宋"/>
          <w:color w:val="auto"/>
          <w:kern w:val="0"/>
          <w:sz w:val="24"/>
          <w:szCs w:val="24"/>
          <w:highlight w:val="none"/>
        </w:rPr>
      </w:pPr>
    </w:p>
    <w:p w14:paraId="4DA791D9">
      <w:pPr>
        <w:spacing w:line="588" w:lineRule="exact"/>
        <w:ind w:right="480"/>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xml:space="preserve">                                         企业名称（盖章）：</w:t>
      </w:r>
    </w:p>
    <w:p w14:paraId="30931603">
      <w:pPr>
        <w:spacing w:line="588" w:lineRule="exact"/>
        <w:ind w:right="480" w:firstLine="6240" w:firstLineChars="26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日期：</w:t>
      </w:r>
    </w:p>
    <w:p w14:paraId="15C04550">
      <w:pPr>
        <w:spacing w:line="588" w:lineRule="exact"/>
        <w:ind w:right="480" w:firstLine="6240" w:firstLineChars="2600"/>
        <w:rPr>
          <w:rFonts w:hint="eastAsia" w:ascii="仿宋" w:hAnsi="仿宋" w:eastAsia="仿宋" w:cs="仿宋"/>
          <w:color w:val="auto"/>
          <w:kern w:val="0"/>
          <w:sz w:val="24"/>
          <w:szCs w:val="24"/>
          <w:highlight w:val="none"/>
        </w:rPr>
      </w:pPr>
    </w:p>
    <w:p w14:paraId="0C2FC7D6">
      <w:pPr>
        <w:spacing w:line="588" w:lineRule="exac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注：人员、营业收入、资产总额填报上一年度数据，无上一年度数据的新成立企业可不填报。</w:t>
      </w:r>
    </w:p>
    <w:p w14:paraId="201211F2">
      <w:pPr>
        <w:spacing w:line="588" w:lineRule="exact"/>
        <w:rPr>
          <w:rFonts w:hint="eastAsia" w:ascii="仿宋" w:hAnsi="仿宋" w:eastAsia="仿宋" w:cs="仿宋"/>
          <w:color w:val="auto"/>
          <w:spacing w:val="6"/>
          <w:sz w:val="24"/>
          <w:szCs w:val="24"/>
          <w:highlight w:val="none"/>
        </w:rPr>
      </w:pPr>
      <w:r>
        <w:rPr>
          <w:rFonts w:hint="eastAsia" w:ascii="仿宋" w:hAnsi="仿宋" w:eastAsia="仿宋" w:cs="仿宋"/>
          <w:color w:val="auto"/>
          <w:kern w:val="0"/>
          <w:sz w:val="24"/>
          <w:szCs w:val="24"/>
          <w:highlight w:val="none"/>
        </w:rPr>
        <w:t xml:space="preserve"> </w:t>
      </w:r>
      <w:r>
        <w:rPr>
          <w:rFonts w:hint="eastAsia" w:ascii="仿宋" w:hAnsi="仿宋" w:eastAsia="仿宋" w:cs="仿宋"/>
          <w:b/>
          <w:color w:val="auto"/>
          <w:kern w:val="0"/>
          <w:sz w:val="24"/>
          <w:szCs w:val="24"/>
          <w:highlight w:val="none"/>
        </w:rPr>
        <w:t>附件二、</w:t>
      </w:r>
    </w:p>
    <w:p w14:paraId="7047230A">
      <w:pPr>
        <w:spacing w:line="360" w:lineRule="auto"/>
        <w:jc w:val="center"/>
        <w:rPr>
          <w:rFonts w:hint="eastAsia" w:ascii="仿宋" w:hAnsi="仿宋" w:eastAsia="仿宋" w:cs="仿宋"/>
          <w:b/>
          <w:color w:val="auto"/>
          <w:spacing w:val="6"/>
          <w:sz w:val="24"/>
          <w:szCs w:val="24"/>
          <w:highlight w:val="none"/>
        </w:rPr>
      </w:pPr>
      <w:r>
        <w:rPr>
          <w:rFonts w:hint="eastAsia" w:ascii="仿宋" w:hAnsi="仿宋" w:eastAsia="仿宋" w:cs="仿宋"/>
          <w:b/>
          <w:color w:val="auto"/>
          <w:spacing w:val="6"/>
          <w:sz w:val="24"/>
          <w:szCs w:val="24"/>
          <w:highlight w:val="none"/>
        </w:rPr>
        <w:t>残疾人福利性单位声明函</w:t>
      </w:r>
    </w:p>
    <w:p w14:paraId="74182453">
      <w:pPr>
        <w:spacing w:line="360" w:lineRule="auto"/>
        <w:rPr>
          <w:rFonts w:hint="eastAsia" w:ascii="仿宋" w:hAnsi="仿宋" w:eastAsia="仿宋" w:cs="仿宋"/>
          <w:b/>
          <w:color w:val="auto"/>
          <w:spacing w:val="6"/>
          <w:sz w:val="24"/>
          <w:szCs w:val="24"/>
          <w:highlight w:val="none"/>
        </w:rPr>
      </w:pPr>
    </w:p>
    <w:p w14:paraId="5D36815B">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本单位郑重声明，根据《财政部 民政部 中国残疾人联合会关于促进残疾人就业政府采购政策的通知》（财库</w:t>
      </w:r>
      <w:r>
        <w:rPr>
          <w:rFonts w:hint="eastAsia" w:ascii="仿宋" w:hAnsi="仿宋" w:eastAsia="仿宋" w:cs="仿宋"/>
          <w:color w:val="auto"/>
          <w:sz w:val="24"/>
          <w:szCs w:val="24"/>
          <w:highlight w:val="none"/>
        </w:rPr>
        <w:t>〔2017〕 141</w:t>
      </w:r>
      <w:r>
        <w:rPr>
          <w:rFonts w:hint="eastAsia" w:ascii="仿宋" w:hAnsi="仿宋" w:eastAsia="仿宋" w:cs="仿宋"/>
          <w:color w:val="auto"/>
          <w:spacing w:val="6"/>
          <w:sz w:val="24"/>
          <w:szCs w:val="24"/>
          <w:highlight w:val="none"/>
        </w:rPr>
        <w:t>号）的规定，本单位为符合条件的残疾人福利性单位，且本单位参加</w:t>
      </w:r>
      <w:r>
        <w:rPr>
          <w:rFonts w:hint="eastAsia" w:ascii="仿宋" w:hAnsi="仿宋" w:eastAsia="仿宋" w:cs="仿宋"/>
          <w:color w:val="auto"/>
          <w:spacing w:val="6"/>
          <w:sz w:val="24"/>
          <w:szCs w:val="24"/>
          <w:highlight w:val="none"/>
          <w:u w:val="single"/>
          <w:shd w:val="clear" w:color="auto" w:fill="FFFFFF" w:themeFill="background1"/>
        </w:rPr>
        <w:t xml:space="preserve">   </w:t>
      </w:r>
      <w:r>
        <w:rPr>
          <w:rFonts w:hint="eastAsia" w:ascii="仿宋" w:hAnsi="仿宋" w:eastAsia="仿宋" w:cs="仿宋"/>
          <w:color w:val="auto"/>
          <w:spacing w:val="6"/>
          <w:sz w:val="24"/>
          <w:szCs w:val="24"/>
          <w:highlight w:val="none"/>
        </w:rPr>
        <w:t>单位的</w:t>
      </w:r>
      <w:r>
        <w:rPr>
          <w:rFonts w:hint="eastAsia" w:ascii="仿宋" w:hAnsi="仿宋" w:eastAsia="仿宋" w:cs="仿宋"/>
          <w:color w:val="auto"/>
          <w:spacing w:val="6"/>
          <w:sz w:val="24"/>
          <w:szCs w:val="24"/>
          <w:highlight w:val="none"/>
          <w:u w:val="single"/>
          <w:shd w:val="clear" w:color="auto" w:fill="FFFFFF" w:themeFill="background1"/>
        </w:rPr>
        <w:t xml:space="preserve">   </w:t>
      </w:r>
      <w:r>
        <w:rPr>
          <w:rFonts w:hint="eastAsia" w:ascii="仿宋" w:hAnsi="仿宋" w:eastAsia="仿宋" w:cs="仿宋"/>
          <w:color w:val="auto"/>
          <w:spacing w:val="6"/>
          <w:sz w:val="24"/>
          <w:szCs w:val="24"/>
          <w:highlight w:val="none"/>
        </w:rPr>
        <w:t>项目采购活动提供本单位制造的货物（由本单位承担工程/提供服务），或者提供其他残疾人福利性单位制造的货物（不包括使用非残疾人福利性单位注册商标的货物）。</w:t>
      </w:r>
    </w:p>
    <w:p w14:paraId="0F0D6DFB">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本单位对上述声明的真实性负责。如有虚假，将依法承担相应责任。</w:t>
      </w:r>
    </w:p>
    <w:p w14:paraId="1140FB92">
      <w:pPr>
        <w:spacing w:line="360" w:lineRule="auto"/>
        <w:ind w:firstLine="504" w:firstLineChars="200"/>
        <w:rPr>
          <w:rFonts w:hint="eastAsia" w:ascii="仿宋" w:hAnsi="仿宋" w:eastAsia="仿宋" w:cs="仿宋"/>
          <w:color w:val="auto"/>
          <w:spacing w:val="6"/>
          <w:sz w:val="24"/>
          <w:szCs w:val="24"/>
          <w:highlight w:val="none"/>
        </w:rPr>
      </w:pPr>
    </w:p>
    <w:p w14:paraId="04FFCB29">
      <w:pPr>
        <w:spacing w:line="360" w:lineRule="auto"/>
        <w:ind w:firstLine="504" w:firstLineChars="200"/>
        <w:rPr>
          <w:rFonts w:hint="eastAsia" w:ascii="仿宋" w:hAnsi="仿宋" w:eastAsia="仿宋" w:cs="仿宋"/>
          <w:color w:val="auto"/>
          <w:spacing w:val="6"/>
          <w:sz w:val="24"/>
          <w:szCs w:val="24"/>
          <w:highlight w:val="none"/>
        </w:rPr>
      </w:pPr>
    </w:p>
    <w:p w14:paraId="6421A36F">
      <w:pPr>
        <w:tabs>
          <w:tab w:val="left" w:pos="4860"/>
        </w:tabs>
        <w:spacing w:line="360" w:lineRule="auto"/>
        <w:ind w:right="1560"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单位名称（盖章）：</w:t>
      </w:r>
    </w:p>
    <w:p w14:paraId="7987B45C">
      <w:pPr>
        <w:tabs>
          <w:tab w:val="left" w:pos="4860"/>
        </w:tabs>
        <w:spacing w:line="360" w:lineRule="auto"/>
        <w:ind w:right="1560" w:firstLine="504" w:firstLineChars="200"/>
        <w:jc w:val="center"/>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 xml:space="preserve">                                           日  期：</w:t>
      </w:r>
    </w:p>
    <w:p w14:paraId="661F21DC">
      <w:pPr>
        <w:spacing w:line="360" w:lineRule="auto"/>
        <w:rPr>
          <w:rFonts w:hint="eastAsia" w:ascii="仿宋" w:hAnsi="仿宋" w:eastAsia="仿宋" w:cs="仿宋"/>
          <w:color w:val="auto"/>
          <w:sz w:val="24"/>
          <w:szCs w:val="24"/>
          <w:highlight w:val="none"/>
        </w:rPr>
      </w:pPr>
    </w:p>
    <w:p w14:paraId="5362D940">
      <w:pPr>
        <w:spacing w:line="360" w:lineRule="auto"/>
        <w:rPr>
          <w:rFonts w:hint="eastAsia" w:ascii="仿宋" w:hAnsi="仿宋" w:eastAsia="仿宋" w:cs="仿宋"/>
          <w:color w:val="auto"/>
          <w:sz w:val="24"/>
          <w:szCs w:val="24"/>
          <w:highlight w:val="none"/>
        </w:rPr>
      </w:pPr>
    </w:p>
    <w:p w14:paraId="12354E69">
      <w:pPr>
        <w:spacing w:line="360" w:lineRule="auto"/>
        <w:rPr>
          <w:rFonts w:hint="eastAsia" w:ascii="仿宋" w:hAnsi="仿宋" w:eastAsia="仿宋" w:cs="仿宋"/>
          <w:color w:val="auto"/>
          <w:sz w:val="24"/>
          <w:szCs w:val="24"/>
          <w:highlight w:val="none"/>
        </w:rPr>
      </w:pPr>
    </w:p>
    <w:p w14:paraId="220DC3AD">
      <w:pPr>
        <w:widowControl/>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 xml:space="preserve"> </w:t>
      </w:r>
      <w:r>
        <w:rPr>
          <w:rFonts w:hint="eastAsia" w:ascii="仿宋" w:hAnsi="仿宋" w:eastAsia="仿宋" w:cs="仿宋"/>
          <w:b/>
          <w:color w:val="auto"/>
          <w:kern w:val="0"/>
          <w:sz w:val="24"/>
          <w:szCs w:val="24"/>
          <w:highlight w:val="none"/>
        </w:rPr>
        <w:t>附件三、</w:t>
      </w:r>
    </w:p>
    <w:p w14:paraId="051879CD">
      <w:pPr>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b/>
          <w:color w:val="auto"/>
          <w:kern w:val="0"/>
          <w:sz w:val="24"/>
          <w:szCs w:val="24"/>
          <w:highlight w:val="none"/>
        </w:rPr>
        <w:t>监狱企业证明文件</w:t>
      </w:r>
    </w:p>
    <w:p w14:paraId="1705588F">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监狱企业参加政府采购活动时，应当提供由省级以上监狱管理局、戒毒管理局（含新疆生产建设兵团）出具的属于监狱企业的证明文件。</w:t>
      </w:r>
    </w:p>
    <w:p w14:paraId="43232A6F">
      <w:pPr>
        <w:widowControl/>
        <w:adjustRightInd w:val="0"/>
        <w:snapToGrid w:val="0"/>
        <w:spacing w:line="360" w:lineRule="auto"/>
        <w:rPr>
          <w:rFonts w:hint="eastAsia" w:ascii="仿宋" w:hAnsi="仿宋" w:eastAsia="仿宋" w:cs="仿宋"/>
          <w:color w:val="auto"/>
          <w:sz w:val="24"/>
          <w:szCs w:val="24"/>
          <w:highlight w:val="none"/>
        </w:rPr>
      </w:pPr>
    </w:p>
    <w:p w14:paraId="371FBEEA">
      <w:pPr>
        <w:tabs>
          <w:tab w:val="center" w:pos="4832"/>
          <w:tab w:val="left" w:pos="7140"/>
        </w:tabs>
        <w:jc w:val="center"/>
        <w:outlineLvl w:val="1"/>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br w:type="page"/>
      </w:r>
      <w:bookmarkStart w:id="231" w:name="_Toc18236"/>
      <w:bookmarkStart w:id="232" w:name="_Toc10677"/>
      <w:bookmarkStart w:id="233" w:name="_Toc27167"/>
      <w:bookmarkStart w:id="234" w:name="_Toc130252627"/>
      <w:bookmarkStart w:id="235" w:name="_Toc109941772"/>
      <w:bookmarkStart w:id="236" w:name="_Toc22587"/>
      <w:bookmarkStart w:id="237" w:name="_Toc110707972"/>
      <w:bookmarkStart w:id="238" w:name="_Toc20402"/>
      <w:bookmarkStart w:id="239" w:name="_Toc109921165"/>
      <w:bookmarkStart w:id="240" w:name="_Toc7912"/>
      <w:r>
        <w:rPr>
          <w:rFonts w:hint="eastAsia" w:ascii="仿宋" w:hAnsi="仿宋" w:eastAsia="仿宋" w:cs="仿宋"/>
          <w:b/>
          <w:color w:val="auto"/>
          <w:sz w:val="24"/>
          <w:szCs w:val="24"/>
          <w:highlight w:val="none"/>
        </w:rPr>
        <w:t>九、供应商近年类似项目情况表</w:t>
      </w:r>
      <w:bookmarkEnd w:id="231"/>
      <w:bookmarkEnd w:id="232"/>
      <w:bookmarkEnd w:id="233"/>
      <w:bookmarkEnd w:id="234"/>
      <w:bookmarkEnd w:id="235"/>
      <w:bookmarkEnd w:id="236"/>
      <w:bookmarkEnd w:id="237"/>
      <w:bookmarkEnd w:id="238"/>
      <w:bookmarkEnd w:id="239"/>
      <w:bookmarkEnd w:id="240"/>
    </w:p>
    <w:p w14:paraId="57EBE1A3">
      <w:pPr>
        <w:spacing w:line="360" w:lineRule="auto"/>
        <w:jc w:val="left"/>
        <w:rPr>
          <w:rFonts w:hint="eastAsia" w:ascii="仿宋" w:hAnsi="仿宋" w:eastAsia="仿宋" w:cs="仿宋"/>
          <w:color w:val="auto"/>
          <w:sz w:val="24"/>
          <w:szCs w:val="24"/>
          <w:highlight w:val="none"/>
        </w:rPr>
      </w:pPr>
    </w:p>
    <w:tbl>
      <w:tblPr>
        <w:tblStyle w:val="43"/>
        <w:tblW w:w="928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97"/>
        <w:gridCol w:w="1233"/>
        <w:gridCol w:w="963"/>
        <w:gridCol w:w="1922"/>
        <w:gridCol w:w="1212"/>
        <w:gridCol w:w="1232"/>
        <w:gridCol w:w="1232"/>
        <w:gridCol w:w="795"/>
      </w:tblGrid>
      <w:tr w14:paraId="02AE5C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6" w:hRule="atLeast"/>
          <w:jc w:val="center"/>
        </w:trPr>
        <w:tc>
          <w:tcPr>
            <w:tcW w:w="697" w:type="dxa"/>
          </w:tcPr>
          <w:p w14:paraId="0F3C00C3">
            <w:pP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序号</w:t>
            </w:r>
          </w:p>
        </w:tc>
        <w:tc>
          <w:tcPr>
            <w:tcW w:w="1233" w:type="dxa"/>
          </w:tcPr>
          <w:p w14:paraId="0BF5E474">
            <w:pP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项目名称</w:t>
            </w:r>
          </w:p>
        </w:tc>
        <w:tc>
          <w:tcPr>
            <w:tcW w:w="963" w:type="dxa"/>
          </w:tcPr>
          <w:p w14:paraId="7349DEAD">
            <w:pP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采购人</w:t>
            </w:r>
          </w:p>
        </w:tc>
        <w:tc>
          <w:tcPr>
            <w:tcW w:w="1922" w:type="dxa"/>
          </w:tcPr>
          <w:p w14:paraId="73F076F3">
            <w:pP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采购人联系方式</w:t>
            </w:r>
          </w:p>
        </w:tc>
        <w:tc>
          <w:tcPr>
            <w:tcW w:w="1212" w:type="dxa"/>
          </w:tcPr>
          <w:p w14:paraId="6B103BE4">
            <w:pP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合同内容</w:t>
            </w:r>
          </w:p>
        </w:tc>
        <w:tc>
          <w:tcPr>
            <w:tcW w:w="1232" w:type="dxa"/>
          </w:tcPr>
          <w:p w14:paraId="68D67E28">
            <w:pP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合同价格</w:t>
            </w:r>
          </w:p>
        </w:tc>
        <w:tc>
          <w:tcPr>
            <w:tcW w:w="1232" w:type="dxa"/>
          </w:tcPr>
          <w:p w14:paraId="07B2A6C4">
            <w:pP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签约日期</w:t>
            </w:r>
          </w:p>
        </w:tc>
        <w:tc>
          <w:tcPr>
            <w:tcW w:w="795" w:type="dxa"/>
          </w:tcPr>
          <w:p w14:paraId="6BB465B2">
            <w:pP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备注</w:t>
            </w:r>
          </w:p>
        </w:tc>
      </w:tr>
      <w:tr w14:paraId="7A7B5C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6" w:hRule="atLeast"/>
          <w:jc w:val="center"/>
        </w:trPr>
        <w:tc>
          <w:tcPr>
            <w:tcW w:w="697" w:type="dxa"/>
          </w:tcPr>
          <w:p w14:paraId="7614A23D">
            <w:pPr>
              <w:rPr>
                <w:rFonts w:hint="eastAsia" w:ascii="仿宋" w:hAnsi="仿宋" w:eastAsia="仿宋" w:cs="仿宋"/>
                <w:color w:val="auto"/>
                <w:kern w:val="0"/>
                <w:sz w:val="24"/>
                <w:szCs w:val="24"/>
                <w:highlight w:val="none"/>
              </w:rPr>
            </w:pPr>
          </w:p>
        </w:tc>
        <w:tc>
          <w:tcPr>
            <w:tcW w:w="1233" w:type="dxa"/>
          </w:tcPr>
          <w:p w14:paraId="10A0EC76">
            <w:pPr>
              <w:rPr>
                <w:rFonts w:hint="eastAsia" w:ascii="仿宋" w:hAnsi="仿宋" w:eastAsia="仿宋" w:cs="仿宋"/>
                <w:color w:val="auto"/>
                <w:kern w:val="0"/>
                <w:sz w:val="24"/>
                <w:szCs w:val="24"/>
                <w:highlight w:val="none"/>
              </w:rPr>
            </w:pPr>
          </w:p>
        </w:tc>
        <w:tc>
          <w:tcPr>
            <w:tcW w:w="963" w:type="dxa"/>
          </w:tcPr>
          <w:p w14:paraId="089C1D73">
            <w:pPr>
              <w:rPr>
                <w:rFonts w:hint="eastAsia" w:ascii="仿宋" w:hAnsi="仿宋" w:eastAsia="仿宋" w:cs="仿宋"/>
                <w:color w:val="auto"/>
                <w:kern w:val="0"/>
                <w:sz w:val="24"/>
                <w:szCs w:val="24"/>
                <w:highlight w:val="none"/>
              </w:rPr>
            </w:pPr>
          </w:p>
        </w:tc>
        <w:tc>
          <w:tcPr>
            <w:tcW w:w="1922" w:type="dxa"/>
          </w:tcPr>
          <w:p w14:paraId="68226931">
            <w:pPr>
              <w:rPr>
                <w:rFonts w:hint="eastAsia" w:ascii="仿宋" w:hAnsi="仿宋" w:eastAsia="仿宋" w:cs="仿宋"/>
                <w:color w:val="auto"/>
                <w:kern w:val="0"/>
                <w:sz w:val="24"/>
                <w:szCs w:val="24"/>
                <w:highlight w:val="none"/>
              </w:rPr>
            </w:pPr>
          </w:p>
        </w:tc>
        <w:tc>
          <w:tcPr>
            <w:tcW w:w="1212" w:type="dxa"/>
          </w:tcPr>
          <w:p w14:paraId="0B2A6148">
            <w:pPr>
              <w:rPr>
                <w:rFonts w:hint="eastAsia" w:ascii="仿宋" w:hAnsi="仿宋" w:eastAsia="仿宋" w:cs="仿宋"/>
                <w:color w:val="auto"/>
                <w:kern w:val="0"/>
                <w:sz w:val="24"/>
                <w:szCs w:val="24"/>
                <w:highlight w:val="none"/>
              </w:rPr>
            </w:pPr>
          </w:p>
        </w:tc>
        <w:tc>
          <w:tcPr>
            <w:tcW w:w="1232" w:type="dxa"/>
          </w:tcPr>
          <w:p w14:paraId="73E2D0E2">
            <w:pPr>
              <w:rPr>
                <w:rFonts w:hint="eastAsia" w:ascii="仿宋" w:hAnsi="仿宋" w:eastAsia="仿宋" w:cs="仿宋"/>
                <w:color w:val="auto"/>
                <w:kern w:val="0"/>
                <w:sz w:val="24"/>
                <w:szCs w:val="24"/>
                <w:highlight w:val="none"/>
              </w:rPr>
            </w:pPr>
          </w:p>
        </w:tc>
        <w:tc>
          <w:tcPr>
            <w:tcW w:w="1232" w:type="dxa"/>
          </w:tcPr>
          <w:p w14:paraId="5F74641D">
            <w:pPr>
              <w:rPr>
                <w:rFonts w:hint="eastAsia" w:ascii="仿宋" w:hAnsi="仿宋" w:eastAsia="仿宋" w:cs="仿宋"/>
                <w:color w:val="auto"/>
                <w:kern w:val="0"/>
                <w:sz w:val="24"/>
                <w:szCs w:val="24"/>
                <w:highlight w:val="none"/>
              </w:rPr>
            </w:pPr>
          </w:p>
        </w:tc>
        <w:tc>
          <w:tcPr>
            <w:tcW w:w="795" w:type="dxa"/>
          </w:tcPr>
          <w:p w14:paraId="0F3189AD">
            <w:pPr>
              <w:rPr>
                <w:rFonts w:hint="eastAsia" w:ascii="仿宋" w:hAnsi="仿宋" w:eastAsia="仿宋" w:cs="仿宋"/>
                <w:color w:val="auto"/>
                <w:kern w:val="0"/>
                <w:sz w:val="24"/>
                <w:szCs w:val="24"/>
                <w:highlight w:val="none"/>
              </w:rPr>
            </w:pPr>
          </w:p>
        </w:tc>
      </w:tr>
      <w:tr w14:paraId="0B6381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6" w:hRule="atLeast"/>
          <w:jc w:val="center"/>
        </w:trPr>
        <w:tc>
          <w:tcPr>
            <w:tcW w:w="697" w:type="dxa"/>
          </w:tcPr>
          <w:p w14:paraId="69A62170">
            <w:pPr>
              <w:rPr>
                <w:rFonts w:hint="eastAsia" w:ascii="仿宋" w:hAnsi="仿宋" w:eastAsia="仿宋" w:cs="仿宋"/>
                <w:color w:val="auto"/>
                <w:kern w:val="0"/>
                <w:sz w:val="24"/>
                <w:szCs w:val="24"/>
                <w:highlight w:val="none"/>
              </w:rPr>
            </w:pPr>
          </w:p>
        </w:tc>
        <w:tc>
          <w:tcPr>
            <w:tcW w:w="1233" w:type="dxa"/>
          </w:tcPr>
          <w:p w14:paraId="255DA479">
            <w:pPr>
              <w:rPr>
                <w:rFonts w:hint="eastAsia" w:ascii="仿宋" w:hAnsi="仿宋" w:eastAsia="仿宋" w:cs="仿宋"/>
                <w:color w:val="auto"/>
                <w:kern w:val="0"/>
                <w:sz w:val="24"/>
                <w:szCs w:val="24"/>
                <w:highlight w:val="none"/>
              </w:rPr>
            </w:pPr>
          </w:p>
        </w:tc>
        <w:tc>
          <w:tcPr>
            <w:tcW w:w="963" w:type="dxa"/>
          </w:tcPr>
          <w:p w14:paraId="147B872F">
            <w:pPr>
              <w:rPr>
                <w:rFonts w:hint="eastAsia" w:ascii="仿宋" w:hAnsi="仿宋" w:eastAsia="仿宋" w:cs="仿宋"/>
                <w:color w:val="auto"/>
                <w:kern w:val="0"/>
                <w:sz w:val="24"/>
                <w:szCs w:val="24"/>
                <w:highlight w:val="none"/>
              </w:rPr>
            </w:pPr>
          </w:p>
        </w:tc>
        <w:tc>
          <w:tcPr>
            <w:tcW w:w="1922" w:type="dxa"/>
          </w:tcPr>
          <w:p w14:paraId="61FDC5A7">
            <w:pPr>
              <w:rPr>
                <w:rFonts w:hint="eastAsia" w:ascii="仿宋" w:hAnsi="仿宋" w:eastAsia="仿宋" w:cs="仿宋"/>
                <w:color w:val="auto"/>
                <w:kern w:val="0"/>
                <w:sz w:val="24"/>
                <w:szCs w:val="24"/>
                <w:highlight w:val="none"/>
              </w:rPr>
            </w:pPr>
          </w:p>
        </w:tc>
        <w:tc>
          <w:tcPr>
            <w:tcW w:w="1212" w:type="dxa"/>
          </w:tcPr>
          <w:p w14:paraId="5F947E9E">
            <w:pPr>
              <w:rPr>
                <w:rFonts w:hint="eastAsia" w:ascii="仿宋" w:hAnsi="仿宋" w:eastAsia="仿宋" w:cs="仿宋"/>
                <w:color w:val="auto"/>
                <w:kern w:val="0"/>
                <w:sz w:val="24"/>
                <w:szCs w:val="24"/>
                <w:highlight w:val="none"/>
              </w:rPr>
            </w:pPr>
          </w:p>
        </w:tc>
        <w:tc>
          <w:tcPr>
            <w:tcW w:w="1232" w:type="dxa"/>
          </w:tcPr>
          <w:p w14:paraId="5ECA6344">
            <w:pPr>
              <w:rPr>
                <w:rFonts w:hint="eastAsia" w:ascii="仿宋" w:hAnsi="仿宋" w:eastAsia="仿宋" w:cs="仿宋"/>
                <w:color w:val="auto"/>
                <w:kern w:val="0"/>
                <w:sz w:val="24"/>
                <w:szCs w:val="24"/>
                <w:highlight w:val="none"/>
              </w:rPr>
            </w:pPr>
          </w:p>
        </w:tc>
        <w:tc>
          <w:tcPr>
            <w:tcW w:w="1232" w:type="dxa"/>
          </w:tcPr>
          <w:p w14:paraId="154F08D0">
            <w:pPr>
              <w:rPr>
                <w:rFonts w:hint="eastAsia" w:ascii="仿宋" w:hAnsi="仿宋" w:eastAsia="仿宋" w:cs="仿宋"/>
                <w:color w:val="auto"/>
                <w:kern w:val="0"/>
                <w:sz w:val="24"/>
                <w:szCs w:val="24"/>
                <w:highlight w:val="none"/>
              </w:rPr>
            </w:pPr>
          </w:p>
        </w:tc>
        <w:tc>
          <w:tcPr>
            <w:tcW w:w="795" w:type="dxa"/>
          </w:tcPr>
          <w:p w14:paraId="1411D6A0">
            <w:pPr>
              <w:rPr>
                <w:rFonts w:hint="eastAsia" w:ascii="仿宋" w:hAnsi="仿宋" w:eastAsia="仿宋" w:cs="仿宋"/>
                <w:color w:val="auto"/>
                <w:kern w:val="0"/>
                <w:sz w:val="24"/>
                <w:szCs w:val="24"/>
                <w:highlight w:val="none"/>
              </w:rPr>
            </w:pPr>
          </w:p>
        </w:tc>
      </w:tr>
      <w:tr w14:paraId="2584BD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6" w:hRule="atLeast"/>
          <w:jc w:val="center"/>
        </w:trPr>
        <w:tc>
          <w:tcPr>
            <w:tcW w:w="697" w:type="dxa"/>
          </w:tcPr>
          <w:p w14:paraId="03683EFD">
            <w:pPr>
              <w:rPr>
                <w:rFonts w:hint="eastAsia" w:ascii="仿宋" w:hAnsi="仿宋" w:eastAsia="仿宋" w:cs="仿宋"/>
                <w:color w:val="auto"/>
                <w:kern w:val="0"/>
                <w:sz w:val="24"/>
                <w:szCs w:val="24"/>
                <w:highlight w:val="none"/>
              </w:rPr>
            </w:pPr>
          </w:p>
        </w:tc>
        <w:tc>
          <w:tcPr>
            <w:tcW w:w="1233" w:type="dxa"/>
          </w:tcPr>
          <w:p w14:paraId="514518F8">
            <w:pPr>
              <w:rPr>
                <w:rFonts w:hint="eastAsia" w:ascii="仿宋" w:hAnsi="仿宋" w:eastAsia="仿宋" w:cs="仿宋"/>
                <w:color w:val="auto"/>
                <w:kern w:val="0"/>
                <w:sz w:val="24"/>
                <w:szCs w:val="24"/>
                <w:highlight w:val="none"/>
              </w:rPr>
            </w:pPr>
          </w:p>
        </w:tc>
        <w:tc>
          <w:tcPr>
            <w:tcW w:w="963" w:type="dxa"/>
          </w:tcPr>
          <w:p w14:paraId="62DBD09C">
            <w:pPr>
              <w:rPr>
                <w:rFonts w:hint="eastAsia" w:ascii="仿宋" w:hAnsi="仿宋" w:eastAsia="仿宋" w:cs="仿宋"/>
                <w:color w:val="auto"/>
                <w:kern w:val="0"/>
                <w:sz w:val="24"/>
                <w:szCs w:val="24"/>
                <w:highlight w:val="none"/>
              </w:rPr>
            </w:pPr>
          </w:p>
        </w:tc>
        <w:tc>
          <w:tcPr>
            <w:tcW w:w="1922" w:type="dxa"/>
          </w:tcPr>
          <w:p w14:paraId="25DEEDCE">
            <w:pPr>
              <w:rPr>
                <w:rFonts w:hint="eastAsia" w:ascii="仿宋" w:hAnsi="仿宋" w:eastAsia="仿宋" w:cs="仿宋"/>
                <w:color w:val="auto"/>
                <w:kern w:val="0"/>
                <w:sz w:val="24"/>
                <w:szCs w:val="24"/>
                <w:highlight w:val="none"/>
              </w:rPr>
            </w:pPr>
          </w:p>
        </w:tc>
        <w:tc>
          <w:tcPr>
            <w:tcW w:w="1212" w:type="dxa"/>
          </w:tcPr>
          <w:p w14:paraId="7455B859">
            <w:pPr>
              <w:rPr>
                <w:rFonts w:hint="eastAsia" w:ascii="仿宋" w:hAnsi="仿宋" w:eastAsia="仿宋" w:cs="仿宋"/>
                <w:color w:val="auto"/>
                <w:kern w:val="0"/>
                <w:sz w:val="24"/>
                <w:szCs w:val="24"/>
                <w:highlight w:val="none"/>
              </w:rPr>
            </w:pPr>
          </w:p>
        </w:tc>
        <w:tc>
          <w:tcPr>
            <w:tcW w:w="1232" w:type="dxa"/>
          </w:tcPr>
          <w:p w14:paraId="178E173C">
            <w:pPr>
              <w:rPr>
                <w:rFonts w:hint="eastAsia" w:ascii="仿宋" w:hAnsi="仿宋" w:eastAsia="仿宋" w:cs="仿宋"/>
                <w:color w:val="auto"/>
                <w:kern w:val="0"/>
                <w:sz w:val="24"/>
                <w:szCs w:val="24"/>
                <w:highlight w:val="none"/>
              </w:rPr>
            </w:pPr>
          </w:p>
        </w:tc>
        <w:tc>
          <w:tcPr>
            <w:tcW w:w="1232" w:type="dxa"/>
          </w:tcPr>
          <w:p w14:paraId="411E17A9">
            <w:pPr>
              <w:rPr>
                <w:rFonts w:hint="eastAsia" w:ascii="仿宋" w:hAnsi="仿宋" w:eastAsia="仿宋" w:cs="仿宋"/>
                <w:color w:val="auto"/>
                <w:kern w:val="0"/>
                <w:sz w:val="24"/>
                <w:szCs w:val="24"/>
                <w:highlight w:val="none"/>
              </w:rPr>
            </w:pPr>
          </w:p>
        </w:tc>
        <w:tc>
          <w:tcPr>
            <w:tcW w:w="795" w:type="dxa"/>
          </w:tcPr>
          <w:p w14:paraId="3A7E9772">
            <w:pPr>
              <w:rPr>
                <w:rFonts w:hint="eastAsia" w:ascii="仿宋" w:hAnsi="仿宋" w:eastAsia="仿宋" w:cs="仿宋"/>
                <w:color w:val="auto"/>
                <w:kern w:val="0"/>
                <w:sz w:val="24"/>
                <w:szCs w:val="24"/>
                <w:highlight w:val="none"/>
              </w:rPr>
            </w:pPr>
          </w:p>
        </w:tc>
      </w:tr>
      <w:tr w14:paraId="4E4953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6" w:hRule="atLeast"/>
          <w:jc w:val="center"/>
        </w:trPr>
        <w:tc>
          <w:tcPr>
            <w:tcW w:w="697" w:type="dxa"/>
          </w:tcPr>
          <w:p w14:paraId="705BC7C9">
            <w:pPr>
              <w:rPr>
                <w:rFonts w:hint="eastAsia" w:ascii="仿宋" w:hAnsi="仿宋" w:eastAsia="仿宋" w:cs="仿宋"/>
                <w:color w:val="auto"/>
                <w:kern w:val="0"/>
                <w:sz w:val="24"/>
                <w:szCs w:val="24"/>
                <w:highlight w:val="none"/>
              </w:rPr>
            </w:pPr>
          </w:p>
        </w:tc>
        <w:tc>
          <w:tcPr>
            <w:tcW w:w="1233" w:type="dxa"/>
          </w:tcPr>
          <w:p w14:paraId="0C0C5DF0">
            <w:pPr>
              <w:rPr>
                <w:rFonts w:hint="eastAsia" w:ascii="仿宋" w:hAnsi="仿宋" w:eastAsia="仿宋" w:cs="仿宋"/>
                <w:color w:val="auto"/>
                <w:kern w:val="0"/>
                <w:sz w:val="24"/>
                <w:szCs w:val="24"/>
                <w:highlight w:val="none"/>
              </w:rPr>
            </w:pPr>
          </w:p>
        </w:tc>
        <w:tc>
          <w:tcPr>
            <w:tcW w:w="963" w:type="dxa"/>
          </w:tcPr>
          <w:p w14:paraId="517C73AA">
            <w:pPr>
              <w:rPr>
                <w:rFonts w:hint="eastAsia" w:ascii="仿宋" w:hAnsi="仿宋" w:eastAsia="仿宋" w:cs="仿宋"/>
                <w:color w:val="auto"/>
                <w:kern w:val="0"/>
                <w:sz w:val="24"/>
                <w:szCs w:val="24"/>
                <w:highlight w:val="none"/>
              </w:rPr>
            </w:pPr>
          </w:p>
        </w:tc>
        <w:tc>
          <w:tcPr>
            <w:tcW w:w="1922" w:type="dxa"/>
          </w:tcPr>
          <w:p w14:paraId="2E6E126E">
            <w:pPr>
              <w:rPr>
                <w:rFonts w:hint="eastAsia" w:ascii="仿宋" w:hAnsi="仿宋" w:eastAsia="仿宋" w:cs="仿宋"/>
                <w:color w:val="auto"/>
                <w:kern w:val="0"/>
                <w:sz w:val="24"/>
                <w:szCs w:val="24"/>
                <w:highlight w:val="none"/>
              </w:rPr>
            </w:pPr>
          </w:p>
        </w:tc>
        <w:tc>
          <w:tcPr>
            <w:tcW w:w="1212" w:type="dxa"/>
          </w:tcPr>
          <w:p w14:paraId="4FC5DF5A">
            <w:pPr>
              <w:rPr>
                <w:rFonts w:hint="eastAsia" w:ascii="仿宋" w:hAnsi="仿宋" w:eastAsia="仿宋" w:cs="仿宋"/>
                <w:color w:val="auto"/>
                <w:kern w:val="0"/>
                <w:sz w:val="24"/>
                <w:szCs w:val="24"/>
                <w:highlight w:val="none"/>
              </w:rPr>
            </w:pPr>
          </w:p>
        </w:tc>
        <w:tc>
          <w:tcPr>
            <w:tcW w:w="1232" w:type="dxa"/>
          </w:tcPr>
          <w:p w14:paraId="75164DEB">
            <w:pPr>
              <w:rPr>
                <w:rFonts w:hint="eastAsia" w:ascii="仿宋" w:hAnsi="仿宋" w:eastAsia="仿宋" w:cs="仿宋"/>
                <w:color w:val="auto"/>
                <w:kern w:val="0"/>
                <w:sz w:val="24"/>
                <w:szCs w:val="24"/>
                <w:highlight w:val="none"/>
              </w:rPr>
            </w:pPr>
          </w:p>
        </w:tc>
        <w:tc>
          <w:tcPr>
            <w:tcW w:w="1232" w:type="dxa"/>
          </w:tcPr>
          <w:p w14:paraId="73B8227C">
            <w:pPr>
              <w:rPr>
                <w:rFonts w:hint="eastAsia" w:ascii="仿宋" w:hAnsi="仿宋" w:eastAsia="仿宋" w:cs="仿宋"/>
                <w:color w:val="auto"/>
                <w:kern w:val="0"/>
                <w:sz w:val="24"/>
                <w:szCs w:val="24"/>
                <w:highlight w:val="none"/>
              </w:rPr>
            </w:pPr>
          </w:p>
        </w:tc>
        <w:tc>
          <w:tcPr>
            <w:tcW w:w="795" w:type="dxa"/>
          </w:tcPr>
          <w:p w14:paraId="7A0FE176">
            <w:pPr>
              <w:rPr>
                <w:rFonts w:hint="eastAsia" w:ascii="仿宋" w:hAnsi="仿宋" w:eastAsia="仿宋" w:cs="仿宋"/>
                <w:color w:val="auto"/>
                <w:kern w:val="0"/>
                <w:sz w:val="24"/>
                <w:szCs w:val="24"/>
                <w:highlight w:val="none"/>
              </w:rPr>
            </w:pPr>
          </w:p>
        </w:tc>
      </w:tr>
      <w:tr w14:paraId="2FC508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6" w:hRule="atLeast"/>
          <w:jc w:val="center"/>
        </w:trPr>
        <w:tc>
          <w:tcPr>
            <w:tcW w:w="697" w:type="dxa"/>
          </w:tcPr>
          <w:p w14:paraId="6E206A2F">
            <w:pPr>
              <w:rPr>
                <w:rFonts w:hint="eastAsia" w:ascii="仿宋" w:hAnsi="仿宋" w:eastAsia="仿宋" w:cs="仿宋"/>
                <w:color w:val="auto"/>
                <w:kern w:val="0"/>
                <w:sz w:val="24"/>
                <w:szCs w:val="24"/>
                <w:highlight w:val="none"/>
              </w:rPr>
            </w:pPr>
          </w:p>
        </w:tc>
        <w:tc>
          <w:tcPr>
            <w:tcW w:w="1233" w:type="dxa"/>
          </w:tcPr>
          <w:p w14:paraId="6C968C4D">
            <w:pPr>
              <w:rPr>
                <w:rFonts w:hint="eastAsia" w:ascii="仿宋" w:hAnsi="仿宋" w:eastAsia="仿宋" w:cs="仿宋"/>
                <w:color w:val="auto"/>
                <w:kern w:val="0"/>
                <w:sz w:val="24"/>
                <w:szCs w:val="24"/>
                <w:highlight w:val="none"/>
              </w:rPr>
            </w:pPr>
          </w:p>
        </w:tc>
        <w:tc>
          <w:tcPr>
            <w:tcW w:w="963" w:type="dxa"/>
          </w:tcPr>
          <w:p w14:paraId="6691504B">
            <w:pPr>
              <w:rPr>
                <w:rFonts w:hint="eastAsia" w:ascii="仿宋" w:hAnsi="仿宋" w:eastAsia="仿宋" w:cs="仿宋"/>
                <w:color w:val="auto"/>
                <w:kern w:val="0"/>
                <w:sz w:val="24"/>
                <w:szCs w:val="24"/>
                <w:highlight w:val="none"/>
              </w:rPr>
            </w:pPr>
          </w:p>
        </w:tc>
        <w:tc>
          <w:tcPr>
            <w:tcW w:w="1922" w:type="dxa"/>
          </w:tcPr>
          <w:p w14:paraId="6FC243DB">
            <w:pPr>
              <w:rPr>
                <w:rFonts w:hint="eastAsia" w:ascii="仿宋" w:hAnsi="仿宋" w:eastAsia="仿宋" w:cs="仿宋"/>
                <w:color w:val="auto"/>
                <w:kern w:val="0"/>
                <w:sz w:val="24"/>
                <w:szCs w:val="24"/>
                <w:highlight w:val="none"/>
              </w:rPr>
            </w:pPr>
          </w:p>
        </w:tc>
        <w:tc>
          <w:tcPr>
            <w:tcW w:w="1212" w:type="dxa"/>
          </w:tcPr>
          <w:p w14:paraId="0AB21702">
            <w:pPr>
              <w:rPr>
                <w:rFonts w:hint="eastAsia" w:ascii="仿宋" w:hAnsi="仿宋" w:eastAsia="仿宋" w:cs="仿宋"/>
                <w:color w:val="auto"/>
                <w:kern w:val="0"/>
                <w:sz w:val="24"/>
                <w:szCs w:val="24"/>
                <w:highlight w:val="none"/>
              </w:rPr>
            </w:pPr>
          </w:p>
        </w:tc>
        <w:tc>
          <w:tcPr>
            <w:tcW w:w="1232" w:type="dxa"/>
          </w:tcPr>
          <w:p w14:paraId="6D29514F">
            <w:pPr>
              <w:rPr>
                <w:rFonts w:hint="eastAsia" w:ascii="仿宋" w:hAnsi="仿宋" w:eastAsia="仿宋" w:cs="仿宋"/>
                <w:color w:val="auto"/>
                <w:kern w:val="0"/>
                <w:sz w:val="24"/>
                <w:szCs w:val="24"/>
                <w:highlight w:val="none"/>
              </w:rPr>
            </w:pPr>
          </w:p>
        </w:tc>
        <w:tc>
          <w:tcPr>
            <w:tcW w:w="1232" w:type="dxa"/>
          </w:tcPr>
          <w:p w14:paraId="65213CA2">
            <w:pPr>
              <w:rPr>
                <w:rFonts w:hint="eastAsia" w:ascii="仿宋" w:hAnsi="仿宋" w:eastAsia="仿宋" w:cs="仿宋"/>
                <w:color w:val="auto"/>
                <w:kern w:val="0"/>
                <w:sz w:val="24"/>
                <w:szCs w:val="24"/>
                <w:highlight w:val="none"/>
              </w:rPr>
            </w:pPr>
          </w:p>
        </w:tc>
        <w:tc>
          <w:tcPr>
            <w:tcW w:w="795" w:type="dxa"/>
          </w:tcPr>
          <w:p w14:paraId="471FF349">
            <w:pPr>
              <w:rPr>
                <w:rFonts w:hint="eastAsia" w:ascii="仿宋" w:hAnsi="仿宋" w:eastAsia="仿宋" w:cs="仿宋"/>
                <w:color w:val="auto"/>
                <w:kern w:val="0"/>
                <w:sz w:val="24"/>
                <w:szCs w:val="24"/>
                <w:highlight w:val="none"/>
              </w:rPr>
            </w:pPr>
          </w:p>
        </w:tc>
      </w:tr>
    </w:tbl>
    <w:p w14:paraId="34E7773A">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r>
    </w:p>
    <w:p w14:paraId="2ED5B4E7">
      <w:pPr>
        <w:tabs>
          <w:tab w:val="center" w:pos="4832"/>
          <w:tab w:val="left" w:pos="7140"/>
        </w:tabs>
        <w:spacing w:line="360" w:lineRule="auto"/>
        <w:jc w:val="center"/>
        <w:outlineLvl w:val="1"/>
        <w:rPr>
          <w:rFonts w:hint="eastAsia" w:ascii="仿宋" w:hAnsi="仿宋" w:eastAsia="仿宋" w:cs="仿宋"/>
          <w:b/>
          <w:bCs/>
          <w:color w:val="auto"/>
          <w:sz w:val="24"/>
          <w:szCs w:val="24"/>
          <w:highlight w:val="none"/>
          <w:shd w:val="clear" w:color="auto" w:fill="FFFFFF" w:themeFill="background1"/>
        </w:rPr>
      </w:pPr>
      <w:bookmarkStart w:id="241" w:name="_Toc5084"/>
      <w:bookmarkStart w:id="242" w:name="_Toc18139"/>
      <w:bookmarkStart w:id="243" w:name="_Toc27045"/>
      <w:bookmarkStart w:id="244" w:name="_Toc38446480"/>
      <w:bookmarkStart w:id="245" w:name="_Toc507586175"/>
      <w:bookmarkStart w:id="246" w:name="_Toc533503191"/>
      <w:bookmarkStart w:id="247" w:name="_Toc19296"/>
      <w:bookmarkStart w:id="248" w:name="_Toc27484"/>
      <w:bookmarkStart w:id="249" w:name="_Toc9640"/>
      <w:r>
        <w:rPr>
          <w:rFonts w:hint="eastAsia" w:ascii="仿宋" w:hAnsi="仿宋" w:eastAsia="仿宋" w:cs="仿宋"/>
          <w:b/>
          <w:color w:val="auto"/>
          <w:sz w:val="24"/>
          <w:szCs w:val="24"/>
          <w:highlight w:val="none"/>
          <w:shd w:val="clear" w:color="auto" w:fill="FFFFFF" w:themeFill="background1"/>
        </w:rPr>
        <w:t>十、</w:t>
      </w:r>
      <w:bookmarkEnd w:id="241"/>
      <w:bookmarkEnd w:id="242"/>
      <w:bookmarkEnd w:id="243"/>
      <w:bookmarkEnd w:id="244"/>
      <w:bookmarkEnd w:id="245"/>
      <w:bookmarkEnd w:id="246"/>
      <w:r>
        <w:rPr>
          <w:rFonts w:hint="eastAsia" w:ascii="仿宋" w:hAnsi="仿宋" w:eastAsia="仿宋" w:cs="仿宋"/>
          <w:b/>
          <w:color w:val="auto"/>
          <w:sz w:val="24"/>
          <w:szCs w:val="24"/>
          <w:highlight w:val="none"/>
          <w:shd w:val="clear" w:color="auto" w:fill="FFFFFF" w:themeFill="background1"/>
        </w:rPr>
        <w:t>售后服务承诺书</w:t>
      </w:r>
      <w:bookmarkEnd w:id="247"/>
      <w:bookmarkEnd w:id="248"/>
      <w:bookmarkEnd w:id="249"/>
    </w:p>
    <w:p w14:paraId="5789CAAC">
      <w:pPr>
        <w:spacing w:line="360" w:lineRule="auto"/>
        <w:jc w:val="left"/>
        <w:rPr>
          <w:rFonts w:hint="eastAsia" w:ascii="仿宋" w:hAnsi="仿宋" w:eastAsia="仿宋" w:cs="仿宋"/>
          <w:color w:val="auto"/>
          <w:sz w:val="24"/>
          <w:szCs w:val="24"/>
          <w:highlight w:val="none"/>
          <w:shd w:val="clear" w:color="auto" w:fill="FFFFFF" w:themeFill="background1"/>
        </w:rPr>
      </w:pPr>
    </w:p>
    <w:p w14:paraId="5C3110A2">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格式和内容</w:t>
      </w:r>
      <w:r>
        <w:rPr>
          <w:rFonts w:hint="eastAsia" w:ascii="仿宋" w:hAnsi="仿宋" w:eastAsia="仿宋" w:cs="仿宋"/>
          <w:color w:val="auto"/>
          <w:sz w:val="24"/>
          <w:szCs w:val="24"/>
          <w:highlight w:val="none"/>
        </w:rPr>
        <w:t>自行拟定</w:t>
      </w:r>
    </w:p>
    <w:p w14:paraId="6158031F">
      <w:pPr>
        <w:spacing w:line="360" w:lineRule="auto"/>
        <w:ind w:firstLine="480" w:firstLineChars="200"/>
        <w:rPr>
          <w:rFonts w:hint="eastAsia" w:ascii="仿宋" w:hAnsi="仿宋" w:eastAsia="仿宋" w:cs="仿宋"/>
          <w:color w:val="auto"/>
          <w:sz w:val="24"/>
          <w:szCs w:val="24"/>
          <w:highlight w:val="none"/>
        </w:rPr>
      </w:pPr>
    </w:p>
    <w:p w14:paraId="087CA82A">
      <w:pPr>
        <w:spacing w:line="360" w:lineRule="auto"/>
        <w:ind w:firstLine="480" w:firstLineChars="200"/>
        <w:rPr>
          <w:rFonts w:hint="eastAsia" w:ascii="仿宋" w:hAnsi="仿宋" w:eastAsia="仿宋" w:cs="仿宋"/>
          <w:color w:val="auto"/>
          <w:sz w:val="24"/>
          <w:szCs w:val="24"/>
          <w:highlight w:val="none"/>
        </w:rPr>
      </w:pPr>
    </w:p>
    <w:p w14:paraId="314BF5F3">
      <w:pPr>
        <w:spacing w:line="360" w:lineRule="auto"/>
        <w:ind w:firstLine="480" w:firstLineChars="200"/>
        <w:rPr>
          <w:rFonts w:hint="eastAsia" w:ascii="仿宋" w:hAnsi="仿宋" w:eastAsia="仿宋" w:cs="仿宋"/>
          <w:color w:val="auto"/>
          <w:sz w:val="24"/>
          <w:szCs w:val="24"/>
          <w:highlight w:val="none"/>
        </w:rPr>
      </w:pPr>
    </w:p>
    <w:p w14:paraId="4A2748F0">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供应商：</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（盖章）</w:t>
      </w:r>
    </w:p>
    <w:p w14:paraId="6025FAF9">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p>
    <w:p w14:paraId="2C1A0FDB">
      <w:pPr>
        <w:widowControl/>
        <w:shd w:val="clear" w:color="auto" w:fill="FFFFFF"/>
        <w:wordWrap w:val="0"/>
        <w:snapToGrid w:val="0"/>
        <w:spacing w:line="384" w:lineRule="auto"/>
        <w:ind w:firstLine="420"/>
        <w:jc w:val="righ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日期：     年   月   日</w:t>
      </w:r>
    </w:p>
    <w:p w14:paraId="7EDEFF86">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r>
    </w:p>
    <w:p w14:paraId="4BFDB602">
      <w:pPr>
        <w:tabs>
          <w:tab w:val="center" w:pos="4832"/>
          <w:tab w:val="left" w:pos="7140"/>
        </w:tabs>
        <w:spacing w:line="360" w:lineRule="auto"/>
        <w:jc w:val="center"/>
        <w:outlineLvl w:val="1"/>
        <w:rPr>
          <w:rFonts w:hint="eastAsia" w:ascii="仿宋" w:hAnsi="仿宋" w:eastAsia="仿宋" w:cs="仿宋"/>
          <w:b/>
          <w:bCs/>
          <w:color w:val="auto"/>
          <w:sz w:val="24"/>
          <w:szCs w:val="24"/>
          <w:highlight w:val="none"/>
          <w:shd w:val="clear" w:color="auto" w:fill="FFFFFF" w:themeFill="background1"/>
        </w:rPr>
      </w:pPr>
      <w:bookmarkStart w:id="250" w:name="_Toc9493"/>
      <w:bookmarkStart w:id="251" w:name="_Toc22814"/>
      <w:bookmarkStart w:id="252" w:name="_Toc31355"/>
      <w:bookmarkStart w:id="253" w:name="_Toc17575"/>
      <w:bookmarkStart w:id="254" w:name="_Toc24088"/>
      <w:r>
        <w:rPr>
          <w:rFonts w:hint="eastAsia" w:ascii="仿宋" w:hAnsi="仿宋" w:eastAsia="仿宋" w:cs="仿宋"/>
          <w:b/>
          <w:color w:val="auto"/>
          <w:sz w:val="24"/>
          <w:szCs w:val="24"/>
          <w:highlight w:val="none"/>
          <w:shd w:val="clear" w:color="auto" w:fill="FFFFFF" w:themeFill="background1"/>
        </w:rPr>
        <w:t>十一、</w:t>
      </w:r>
      <w:bookmarkEnd w:id="250"/>
      <w:bookmarkEnd w:id="251"/>
      <w:r>
        <w:rPr>
          <w:rFonts w:hint="eastAsia" w:ascii="仿宋" w:hAnsi="仿宋" w:eastAsia="仿宋" w:cs="仿宋"/>
          <w:b/>
          <w:color w:val="auto"/>
          <w:sz w:val="24"/>
          <w:szCs w:val="24"/>
          <w:highlight w:val="none"/>
          <w:shd w:val="clear" w:color="auto" w:fill="FFFFFF" w:themeFill="background1"/>
        </w:rPr>
        <w:t>技术方案</w:t>
      </w:r>
      <w:bookmarkEnd w:id="252"/>
      <w:bookmarkEnd w:id="253"/>
      <w:bookmarkEnd w:id="254"/>
    </w:p>
    <w:p w14:paraId="5F3C4E28">
      <w:pPr>
        <w:widowControl/>
        <w:jc w:val="left"/>
        <w:rPr>
          <w:rFonts w:hint="eastAsia" w:ascii="仿宋" w:hAnsi="仿宋" w:eastAsia="仿宋" w:cs="仿宋"/>
          <w:color w:val="auto"/>
          <w:highlight w:val="none"/>
        </w:rPr>
      </w:pPr>
    </w:p>
    <w:p w14:paraId="278F2FCC">
      <w:pPr>
        <w:spacing w:line="360" w:lineRule="auto"/>
        <w:jc w:val="center"/>
        <w:rPr>
          <w:rFonts w:hint="eastAsia"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格式和内容自行拟定</w:t>
      </w:r>
    </w:p>
    <w:p w14:paraId="3B2961BA">
      <w:pPr>
        <w:jc w:val="left"/>
        <w:rPr>
          <w:rFonts w:hint="eastAsia"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br w:type="page"/>
      </w:r>
    </w:p>
    <w:p w14:paraId="3D96F463">
      <w:pPr>
        <w:tabs>
          <w:tab w:val="center" w:pos="4832"/>
          <w:tab w:val="left" w:pos="7140"/>
        </w:tabs>
        <w:jc w:val="center"/>
        <w:outlineLvl w:val="1"/>
        <w:rPr>
          <w:rFonts w:hint="eastAsia" w:ascii="仿宋" w:hAnsi="仿宋" w:eastAsia="仿宋" w:cs="仿宋"/>
          <w:b/>
          <w:color w:val="auto"/>
          <w:sz w:val="24"/>
          <w:szCs w:val="24"/>
          <w:highlight w:val="none"/>
        </w:rPr>
      </w:pPr>
      <w:bookmarkStart w:id="255" w:name="_Toc10048"/>
      <w:bookmarkStart w:id="256" w:name="_Toc12468"/>
      <w:bookmarkStart w:id="257" w:name="_Toc4243"/>
      <w:r>
        <w:rPr>
          <w:rFonts w:hint="eastAsia" w:ascii="仿宋" w:hAnsi="仿宋" w:eastAsia="仿宋" w:cs="仿宋"/>
          <w:b/>
          <w:color w:val="auto"/>
          <w:sz w:val="24"/>
          <w:szCs w:val="24"/>
          <w:highlight w:val="none"/>
        </w:rPr>
        <w:t>十二、保证金缴纳证明材料</w:t>
      </w:r>
      <w:bookmarkEnd w:id="255"/>
      <w:bookmarkEnd w:id="256"/>
      <w:bookmarkEnd w:id="257"/>
    </w:p>
    <w:p w14:paraId="632A4F4E">
      <w:pPr>
        <w:spacing w:line="360" w:lineRule="auto"/>
        <w:ind w:firstLine="480" w:firstLineChars="200"/>
        <w:rPr>
          <w:rFonts w:hint="eastAsia" w:ascii="仿宋" w:hAnsi="仿宋" w:eastAsia="仿宋" w:cs="仿宋"/>
          <w:color w:val="auto"/>
          <w:sz w:val="24"/>
          <w:szCs w:val="24"/>
          <w:highlight w:val="none"/>
        </w:rPr>
      </w:pPr>
    </w:p>
    <w:p w14:paraId="69315F44">
      <w:pPr>
        <w:spacing w:line="360" w:lineRule="auto"/>
        <w:ind w:firstLine="480" w:firstLineChars="20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汇款凭证或支票或汇票或保函或保证金收据等的扫描件。</w:t>
      </w:r>
    </w:p>
    <w:p w14:paraId="26209E2E">
      <w:pPr>
        <w:spacing w:line="360" w:lineRule="auto"/>
        <w:jc w:val="center"/>
        <w:rPr>
          <w:rFonts w:hint="eastAsia" w:ascii="仿宋" w:hAnsi="仿宋" w:eastAsia="仿宋" w:cs="仿宋"/>
          <w:color w:val="auto"/>
          <w:sz w:val="24"/>
          <w:szCs w:val="24"/>
          <w:highlight w:val="none"/>
          <w:shd w:val="clear" w:color="auto" w:fill="FFFFFF" w:themeFill="background1"/>
        </w:rPr>
      </w:pPr>
    </w:p>
    <w:p w14:paraId="4C610275">
      <w:pPr>
        <w:pStyle w:val="42"/>
        <w:ind w:left="420" w:firstLine="480"/>
        <w:rPr>
          <w:rFonts w:hint="eastAsia" w:ascii="仿宋" w:hAnsi="仿宋" w:eastAsia="仿宋" w:cs="仿宋"/>
          <w:color w:val="auto"/>
          <w:sz w:val="24"/>
          <w:szCs w:val="24"/>
          <w:highlight w:val="none"/>
          <w:shd w:val="clear" w:color="auto" w:fill="FFFFFF" w:themeFill="background1"/>
        </w:rPr>
      </w:pPr>
    </w:p>
    <w:p w14:paraId="40A821BD">
      <w:pPr>
        <w:rPr>
          <w:rFonts w:hint="eastAsia" w:ascii="仿宋" w:hAnsi="仿宋" w:eastAsia="仿宋" w:cs="仿宋"/>
          <w:color w:val="auto"/>
          <w:sz w:val="24"/>
          <w:szCs w:val="24"/>
          <w:highlight w:val="none"/>
          <w:shd w:val="clear" w:color="auto" w:fill="FFFFFF" w:themeFill="background1"/>
        </w:rPr>
      </w:pPr>
    </w:p>
    <w:p w14:paraId="0D232455">
      <w:pPr>
        <w:pStyle w:val="42"/>
        <w:ind w:left="420"/>
        <w:rPr>
          <w:rFonts w:hint="eastAsia" w:ascii="仿宋" w:hAnsi="仿宋" w:eastAsia="仿宋" w:cs="仿宋"/>
          <w:color w:val="auto"/>
          <w:highlight w:val="none"/>
        </w:rPr>
      </w:pPr>
    </w:p>
    <w:bookmarkEnd w:id="100"/>
    <w:p w14:paraId="18358E19">
      <w:pPr>
        <w:rPr>
          <w:rFonts w:hint="eastAsia" w:ascii="仿宋" w:hAnsi="仿宋" w:eastAsia="仿宋" w:cs="仿宋"/>
          <w:b/>
          <w:color w:val="auto"/>
          <w:sz w:val="24"/>
          <w:szCs w:val="24"/>
          <w:highlight w:val="none"/>
        </w:rPr>
      </w:pPr>
      <w:bookmarkStart w:id="258" w:name="_Toc24108"/>
      <w:bookmarkStart w:id="259" w:name="_Toc109921168"/>
      <w:bookmarkStart w:id="260" w:name="_Toc109941775"/>
      <w:bookmarkStart w:id="261" w:name="_Toc110707975"/>
      <w:bookmarkStart w:id="262" w:name="_Toc16202"/>
      <w:bookmarkStart w:id="263" w:name="_Toc130252630"/>
      <w:bookmarkStart w:id="264" w:name="_Toc32457"/>
      <w:r>
        <w:rPr>
          <w:rFonts w:hint="eastAsia" w:ascii="仿宋" w:hAnsi="仿宋" w:eastAsia="仿宋" w:cs="仿宋"/>
          <w:b/>
          <w:color w:val="auto"/>
          <w:sz w:val="24"/>
          <w:szCs w:val="24"/>
          <w:highlight w:val="none"/>
        </w:rPr>
        <w:br w:type="page"/>
      </w:r>
    </w:p>
    <w:p w14:paraId="599917EB">
      <w:pPr>
        <w:tabs>
          <w:tab w:val="center" w:pos="4832"/>
          <w:tab w:val="left" w:pos="7140"/>
        </w:tabs>
        <w:jc w:val="center"/>
        <w:outlineLvl w:val="1"/>
        <w:rPr>
          <w:rFonts w:hint="eastAsia" w:ascii="仿宋" w:hAnsi="仿宋" w:eastAsia="仿宋" w:cs="仿宋"/>
          <w:b/>
          <w:color w:val="auto"/>
          <w:sz w:val="24"/>
          <w:szCs w:val="24"/>
          <w:highlight w:val="none"/>
        </w:rPr>
      </w:pPr>
      <w:bookmarkStart w:id="265" w:name="_Toc27629"/>
      <w:bookmarkStart w:id="266" w:name="_Toc29884"/>
      <w:r>
        <w:rPr>
          <w:rFonts w:hint="eastAsia" w:ascii="仿宋" w:hAnsi="仿宋" w:eastAsia="仿宋" w:cs="仿宋"/>
          <w:b/>
          <w:color w:val="auto"/>
          <w:sz w:val="24"/>
          <w:szCs w:val="24"/>
          <w:highlight w:val="none"/>
        </w:rPr>
        <w:t>十三、其它需要提交的资料</w:t>
      </w:r>
      <w:bookmarkEnd w:id="258"/>
      <w:bookmarkEnd w:id="259"/>
      <w:bookmarkEnd w:id="260"/>
      <w:bookmarkEnd w:id="261"/>
      <w:bookmarkEnd w:id="262"/>
      <w:bookmarkEnd w:id="263"/>
      <w:bookmarkEnd w:id="264"/>
      <w:bookmarkEnd w:id="265"/>
      <w:bookmarkEnd w:id="266"/>
    </w:p>
    <w:p w14:paraId="61376D1C">
      <w:pPr>
        <w:spacing w:line="360" w:lineRule="auto"/>
        <w:ind w:firstLine="480" w:firstLineChars="200"/>
        <w:rPr>
          <w:rFonts w:hint="eastAsia" w:ascii="仿宋" w:hAnsi="仿宋" w:eastAsia="仿宋" w:cs="仿宋"/>
          <w:color w:val="auto"/>
          <w:sz w:val="24"/>
          <w:szCs w:val="24"/>
          <w:highlight w:val="none"/>
        </w:rPr>
      </w:pPr>
    </w:p>
    <w:p w14:paraId="2661A3BD">
      <w:pPr>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根据采购文件的要求和供应商认为需要提供的资料。</w:t>
      </w:r>
    </w:p>
    <w:p w14:paraId="0AD357F7">
      <w:pPr>
        <w:rPr>
          <w:rFonts w:hint="eastAsia" w:ascii="仿宋" w:hAnsi="仿宋" w:eastAsia="仿宋" w:cs="仿宋"/>
          <w:b/>
          <w:color w:val="auto"/>
          <w:sz w:val="24"/>
          <w:szCs w:val="24"/>
          <w:highlight w:val="none"/>
        </w:rPr>
      </w:pPr>
      <w:bookmarkStart w:id="267" w:name="_Toc22688"/>
      <w:bookmarkStart w:id="268" w:name="_Toc30206"/>
      <w:bookmarkStart w:id="269" w:name="_Toc130252631"/>
      <w:bookmarkStart w:id="270" w:name="_Toc60925660"/>
      <w:r>
        <w:rPr>
          <w:rFonts w:hint="eastAsia" w:ascii="仿宋" w:hAnsi="仿宋" w:eastAsia="仿宋" w:cs="仿宋"/>
          <w:b/>
          <w:color w:val="auto"/>
          <w:sz w:val="24"/>
          <w:szCs w:val="24"/>
          <w:highlight w:val="none"/>
        </w:rPr>
        <w:br w:type="page"/>
      </w:r>
    </w:p>
    <w:p w14:paraId="68E24B16">
      <w:pPr>
        <w:spacing w:line="440" w:lineRule="exact"/>
        <w:jc w:val="center"/>
        <w:outlineLvl w:val="0"/>
        <w:rPr>
          <w:rFonts w:hint="eastAsia" w:ascii="仿宋" w:hAnsi="仿宋" w:eastAsia="仿宋" w:cs="仿宋"/>
          <w:b/>
          <w:color w:val="auto"/>
          <w:sz w:val="24"/>
          <w:szCs w:val="24"/>
          <w:highlight w:val="none"/>
        </w:rPr>
      </w:pPr>
      <w:bookmarkStart w:id="271" w:name="_Toc12011"/>
      <w:bookmarkStart w:id="272" w:name="_Toc10851"/>
      <w:bookmarkStart w:id="273" w:name="_Toc4913"/>
      <w:r>
        <w:rPr>
          <w:rFonts w:hint="eastAsia" w:ascii="仿宋" w:hAnsi="仿宋" w:eastAsia="仿宋" w:cs="仿宋"/>
          <w:b/>
          <w:color w:val="auto"/>
          <w:sz w:val="24"/>
          <w:szCs w:val="24"/>
          <w:highlight w:val="none"/>
        </w:rPr>
        <w:t>第六章 补充条款</w:t>
      </w:r>
      <w:bookmarkEnd w:id="267"/>
      <w:bookmarkEnd w:id="268"/>
      <w:bookmarkEnd w:id="269"/>
      <w:bookmarkEnd w:id="270"/>
      <w:bookmarkEnd w:id="271"/>
      <w:bookmarkEnd w:id="272"/>
      <w:bookmarkEnd w:id="273"/>
    </w:p>
    <w:p w14:paraId="4C677936">
      <w:pPr>
        <w:rPr>
          <w:rFonts w:hint="eastAsia" w:ascii="仿宋" w:hAnsi="仿宋" w:eastAsia="仿宋" w:cs="仿宋"/>
          <w:color w:val="auto"/>
          <w:highlight w:val="none"/>
        </w:rPr>
      </w:pPr>
    </w:p>
    <w:p w14:paraId="38A1EDE0">
      <w:pPr>
        <w:rPr>
          <w:rFonts w:hint="eastAsia" w:ascii="仿宋" w:hAnsi="仿宋" w:eastAsia="仿宋" w:cs="仿宋"/>
          <w:color w:val="auto"/>
          <w:highlight w:val="none"/>
        </w:rPr>
      </w:pPr>
    </w:p>
    <w:p w14:paraId="372F7B60">
      <w:pPr>
        <w:spacing w:line="360" w:lineRule="auto"/>
        <w:outlineLvl w:val="1"/>
        <w:rPr>
          <w:rFonts w:hint="eastAsia" w:ascii="仿宋" w:hAnsi="仿宋" w:eastAsia="仿宋" w:cs="仿宋"/>
          <w:color w:val="auto"/>
          <w:spacing w:val="6"/>
          <w:sz w:val="24"/>
          <w:szCs w:val="24"/>
          <w:highlight w:val="none"/>
        </w:rPr>
      </w:pPr>
      <w:bookmarkStart w:id="274" w:name="_Toc7811"/>
      <w:bookmarkStart w:id="275" w:name="_Toc30027"/>
      <w:r>
        <w:rPr>
          <w:rFonts w:hint="eastAsia" w:ascii="仿宋" w:hAnsi="仿宋" w:eastAsia="仿宋" w:cs="仿宋"/>
          <w:color w:val="auto"/>
          <w:spacing w:val="6"/>
          <w:sz w:val="24"/>
          <w:szCs w:val="24"/>
          <w:highlight w:val="none"/>
        </w:rPr>
        <w:t>附件1、中小企业扶持政策</w:t>
      </w:r>
      <w:bookmarkEnd w:id="274"/>
      <w:bookmarkEnd w:id="275"/>
    </w:p>
    <w:p w14:paraId="339CD2EA">
      <w:pPr>
        <w:spacing w:line="360" w:lineRule="auto"/>
        <w:jc w:val="center"/>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关于印发中小企业划型标准规定的通知</w:t>
      </w:r>
    </w:p>
    <w:p w14:paraId="225427F6">
      <w:pPr>
        <w:spacing w:line="360" w:lineRule="auto"/>
        <w:jc w:val="center"/>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工信部联企业〔2011〕300号</w:t>
      </w:r>
    </w:p>
    <w:p w14:paraId="118DD0C0">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各省、自治区、直辖市人民政府，国务院各部委、各直属机构及有关单位：</w:t>
      </w:r>
    </w:p>
    <w:p w14:paraId="088E1B10">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p>
    <w:p w14:paraId="4EB0E8F6">
      <w:pPr>
        <w:spacing w:line="360" w:lineRule="auto"/>
        <w:ind w:firstLine="504" w:firstLineChars="200"/>
        <w:jc w:val="right"/>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工业和信息化部</w:t>
      </w:r>
    </w:p>
    <w:p w14:paraId="73E60F63">
      <w:pPr>
        <w:spacing w:line="360" w:lineRule="auto"/>
        <w:ind w:firstLine="504" w:firstLineChars="200"/>
        <w:jc w:val="right"/>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国家统计局</w:t>
      </w:r>
    </w:p>
    <w:p w14:paraId="5BE949FD">
      <w:pPr>
        <w:spacing w:line="360" w:lineRule="auto"/>
        <w:ind w:firstLine="504" w:firstLineChars="200"/>
        <w:jc w:val="right"/>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国家发展和改革委员会</w:t>
      </w:r>
    </w:p>
    <w:p w14:paraId="1FC86706">
      <w:pPr>
        <w:spacing w:line="360" w:lineRule="auto"/>
        <w:ind w:firstLine="504" w:firstLineChars="200"/>
        <w:jc w:val="right"/>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财政部</w:t>
      </w:r>
    </w:p>
    <w:p w14:paraId="66250B2C">
      <w:pPr>
        <w:spacing w:line="360" w:lineRule="auto"/>
        <w:ind w:firstLine="504" w:firstLineChars="200"/>
        <w:jc w:val="right"/>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二○一一年六月十八日</w:t>
      </w:r>
    </w:p>
    <w:p w14:paraId="362A8774">
      <w:pPr>
        <w:spacing w:line="360" w:lineRule="auto"/>
        <w:ind w:firstLine="504" w:firstLineChars="200"/>
        <w:rPr>
          <w:rFonts w:hint="eastAsia" w:ascii="仿宋" w:hAnsi="仿宋" w:eastAsia="仿宋" w:cs="仿宋"/>
          <w:color w:val="auto"/>
          <w:spacing w:val="6"/>
          <w:sz w:val="24"/>
          <w:szCs w:val="24"/>
          <w:highlight w:val="none"/>
        </w:rPr>
      </w:pPr>
    </w:p>
    <w:p w14:paraId="189B3945">
      <w:pPr>
        <w:spacing w:line="360" w:lineRule="auto"/>
        <w:jc w:val="center"/>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中小企业划型标准规定</w:t>
      </w:r>
    </w:p>
    <w:p w14:paraId="15F0D486">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一、根据《中华人民共和国中小企业促进法》和《国务院关于进一步促进中小企业发展的若干意见》(国发〔2009〕36号)，制定本规定。</w:t>
      </w:r>
    </w:p>
    <w:p w14:paraId="5315E4F5">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二、中小企业划分为中型、小型、微型三种类型，具体标准根据企业从业人员、营业收入、资产总额等指标，结合行业特点制定。</w:t>
      </w:r>
    </w:p>
    <w:p w14:paraId="09FD6166">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588E4A17">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四、各行业划型标准为：</w:t>
      </w:r>
    </w:p>
    <w:p w14:paraId="65BD2B7F">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（一）农、林、牧、渔业。营业收入20000万元以下的为中小微型企业。其中，营业收入500万元及以上的为中型企业，营业收入50万元及以上的为小型企业，营业收入50万元以下的为微型企业。</w:t>
      </w:r>
    </w:p>
    <w:p w14:paraId="253A8A7E">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51DFD811">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1370EB48">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6DFEDA3B">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650708A9">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59E425B7">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2087D405">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15DD84EF">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6E417261">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5FCDDDDC">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77C52D0A">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625DDCF4">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45F27473">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016A4AA1">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65BDB6B6">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（十六）其他未列明行业。从业人员300人以下的为中小微型企业。其中，从业人员100人及以上的为中型企业；从业人员10人及以上的为小型企业；从业人员10人以下的为微型企业。</w:t>
      </w:r>
    </w:p>
    <w:p w14:paraId="3A17551C">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五、企业类型的划分以统计部门的统计数据为依据。</w:t>
      </w:r>
    </w:p>
    <w:p w14:paraId="2C28F52E">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六、本规定适用于在中华人民共和国境内依法设立的各类所有制和各种组织形式的企业。个体工商户和本规定以外的行业，参照本规定进行划型。</w:t>
      </w:r>
    </w:p>
    <w:p w14:paraId="3A52AFAA">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七、本规定的中型企业标准上限即为大型企业标准的下限，国家统计部门据此制定大中小微型企业的统计分类。国务院有关部门据此进行相关数据分析，不得制定与本规定不一致的企业划型标准。</w:t>
      </w:r>
    </w:p>
    <w:p w14:paraId="1129F151">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八、本规定由工业和信息化部、国家统计局会同有关部门根据《国民经济行业分类》修订情况和企业发展变化情况适时修订。</w:t>
      </w:r>
    </w:p>
    <w:p w14:paraId="111B5AC3">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九、本规定由工业和信息化部、国家统计局会同有关部门负责解释。</w:t>
      </w:r>
    </w:p>
    <w:p w14:paraId="6175B65E">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十、本规定自发布之日起执行，原国家经贸委、原国家计委、财政部和国家统计局2003年颁布的《中小企业标准暂行规定》同时废止。</w:t>
      </w:r>
    </w:p>
    <w:p w14:paraId="7BE21195">
      <w:pPr>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br w:type="page"/>
      </w:r>
    </w:p>
    <w:p w14:paraId="2AC96E60">
      <w:pPr>
        <w:spacing w:line="360" w:lineRule="auto"/>
        <w:outlineLvl w:val="1"/>
        <w:rPr>
          <w:rFonts w:hint="eastAsia" w:ascii="仿宋" w:hAnsi="仿宋" w:eastAsia="仿宋" w:cs="仿宋"/>
          <w:color w:val="auto"/>
          <w:spacing w:val="6"/>
          <w:sz w:val="24"/>
          <w:szCs w:val="24"/>
          <w:highlight w:val="none"/>
        </w:rPr>
      </w:pPr>
      <w:bookmarkStart w:id="276" w:name="_Toc16117"/>
      <w:bookmarkStart w:id="277" w:name="_Toc15980"/>
      <w:r>
        <w:rPr>
          <w:rFonts w:hint="eastAsia" w:ascii="仿宋" w:hAnsi="仿宋" w:eastAsia="仿宋" w:cs="仿宋"/>
          <w:color w:val="auto"/>
          <w:spacing w:val="6"/>
          <w:sz w:val="24"/>
          <w:szCs w:val="24"/>
          <w:highlight w:val="none"/>
        </w:rPr>
        <w:t>附件2、残疾人企业扶持政策</w:t>
      </w:r>
      <w:bookmarkEnd w:id="276"/>
      <w:bookmarkEnd w:id="277"/>
    </w:p>
    <w:p w14:paraId="0C9C2C6C">
      <w:pPr>
        <w:spacing w:line="360" w:lineRule="auto"/>
        <w:jc w:val="center"/>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关于促进残疾人就业政府采购政策的通知</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rPr>
        <w:t>财库〔2017〕141号</w:t>
      </w:r>
    </w:p>
    <w:p w14:paraId="5E60F304">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党中央有关部门，国务院各部委、各直属机构，全国人大常委会办公厅，全国政协办公厅，高法院，高检院，各民主党派中央，有关人民团体，各省、自治区、直辖市、计划单列市财政厅（局）、民政厅（局）、残疾人联合会，新疆生产建设兵团财务局、民政局、残疾人联合会：</w:t>
      </w:r>
    </w:p>
    <w:p w14:paraId="4857BABE">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为了发挥政府采购促进残疾人就业的作用，进一步保障残疾人权益，依照《政府采购法》、《残疾人保障法》等法律法规及相关规定，现就促进残疾人就业政府采购政策通知如下：</w:t>
      </w:r>
    </w:p>
    <w:p w14:paraId="68A3E024">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一、享受政府采购支持政策的残疾人福利性单位应当同时满足以下条件：</w:t>
      </w:r>
    </w:p>
    <w:p w14:paraId="71DAAC1A">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（一）安置的残疾人占本单位在职职工人数的比例不低于25%（含25%），并且安置的残疾人人数不少于10人（含10人）；</w:t>
      </w:r>
    </w:p>
    <w:p w14:paraId="6D095847">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（二）依法与安置的每位残疾人签订了一年以上（含一年）的劳动合同或服务协议；</w:t>
      </w:r>
    </w:p>
    <w:p w14:paraId="1A8C9F4B">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（三）为安置的每位残疾人按月足额缴纳了基本养老保险、基本医疗保险、失业保险、工伤保险和生育保险等社会保险费；</w:t>
      </w:r>
    </w:p>
    <w:p w14:paraId="1FC7D1B2">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（四）通过银行等金融机构向安置的每位残疾人，按月支付了不低于单位所在区县适用的经省级人民政府批准的月最低工资标准的工资；</w:t>
      </w:r>
    </w:p>
    <w:p w14:paraId="4FC45E26">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（五）提供本单位制造的货物、承担的工程或者服务（以下简称产品），或者提供其他残疾人福利性单位制造的货物（不包括使用非残疾人福利性单位注册商标的货物）。</w:t>
      </w:r>
    </w:p>
    <w:p w14:paraId="3B5CB265">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6E349751">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二、符合条件的残疾人福利性单位在参加政府采购活动时，应当提供本通知规定的《残疾人福利性单位声明函》（见附件），并对声明的真实性负责。任何单位或者个人在政府采购活动中均不得要求残疾人福利性单位提供其他证明声明函内容的材料。</w:t>
      </w:r>
    </w:p>
    <w:p w14:paraId="729DFB54">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中标、成交供应商为残疾人福利性单位的，采购人或者其委托的采购代理机构应当随中标、成交结果同时公告其《残疾人福利性单位声明函》，接受社会监督。</w:t>
      </w:r>
    </w:p>
    <w:p w14:paraId="31BFBDED">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供应商提供的《残疾人福利性单位声明函》与事实不符的，依照《政府采购法》第七十七条第一款的规定追究法律责任。</w:t>
      </w:r>
    </w:p>
    <w:p w14:paraId="23E6030B">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三、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p>
    <w:p w14:paraId="4A0F7D96">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四、采购人采购公开招标数额标准以上的货物或者服务，因落实促进残疾人就业政策的需要，依法履行有关报批程序后，可采用公开招标以外的采购方式。</w:t>
      </w:r>
    </w:p>
    <w:p w14:paraId="4F51ACFF">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五、对于满足要求的残疾人福利性单位产品，集中采购机构可直接纳入协议供货或者定点采购范围。各地区建设的政府采购电子卖场、电子商城、网上超市等应当设立残疾人福利性单位产品专栏。鼓励采购人优先选择残疾人福利性单位的产品。</w:t>
      </w:r>
    </w:p>
    <w:p w14:paraId="0B6693BF">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六、省级财政部门可以结合本地区残疾人生产、经营的实际情况，细化政府采购支持措施。对符合国家有关部门规定条件的残疾人辅助性就业机构，可通过上述措施予以支持。各地制定的有关文件应当报财政部备案。</w:t>
      </w:r>
    </w:p>
    <w:p w14:paraId="793EC972">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七、本通知自2017年10月1日起执行。</w:t>
      </w:r>
    </w:p>
    <w:p w14:paraId="78C30A0E">
      <w:pPr>
        <w:pStyle w:val="9"/>
        <w:ind w:firstLine="480"/>
        <w:rPr>
          <w:rFonts w:hint="eastAsia" w:ascii="仿宋" w:hAnsi="仿宋" w:eastAsia="仿宋" w:cs="仿宋"/>
          <w:color w:val="auto"/>
          <w:highlight w:val="none"/>
        </w:rPr>
      </w:pPr>
    </w:p>
    <w:p w14:paraId="6D65ADCC">
      <w:pPr>
        <w:spacing w:line="360" w:lineRule="auto"/>
        <w:jc w:val="right"/>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财政部</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rPr>
        <w:t>民政部</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rPr>
        <w:t>中国残疾人联合会</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rPr>
        <w:t>2017年8月22日</w:t>
      </w:r>
    </w:p>
    <w:p w14:paraId="70C96EE8">
      <w:pPr>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br w:type="page"/>
      </w:r>
    </w:p>
    <w:p w14:paraId="7AB0A799">
      <w:pPr>
        <w:spacing w:line="360" w:lineRule="auto"/>
        <w:outlineLvl w:val="1"/>
        <w:rPr>
          <w:rFonts w:hint="eastAsia" w:ascii="仿宋" w:hAnsi="仿宋" w:eastAsia="仿宋" w:cs="仿宋"/>
          <w:color w:val="auto"/>
          <w:spacing w:val="6"/>
          <w:sz w:val="24"/>
          <w:szCs w:val="24"/>
          <w:highlight w:val="none"/>
        </w:rPr>
      </w:pPr>
      <w:bookmarkStart w:id="278" w:name="_Toc23851"/>
      <w:bookmarkStart w:id="279" w:name="_Toc1309"/>
      <w:r>
        <w:rPr>
          <w:rFonts w:hint="eastAsia" w:ascii="仿宋" w:hAnsi="仿宋" w:eastAsia="仿宋" w:cs="仿宋"/>
          <w:color w:val="auto"/>
          <w:spacing w:val="6"/>
          <w:sz w:val="24"/>
          <w:szCs w:val="24"/>
          <w:highlight w:val="none"/>
        </w:rPr>
        <w:t>附件3、监狱扶持政策</w:t>
      </w:r>
      <w:bookmarkEnd w:id="278"/>
      <w:bookmarkEnd w:id="279"/>
    </w:p>
    <w:p w14:paraId="661A9962">
      <w:pPr>
        <w:spacing w:line="360" w:lineRule="auto"/>
        <w:jc w:val="center"/>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财政部 司法部关于政府采购支持</w:t>
      </w:r>
    </w:p>
    <w:p w14:paraId="257B27BC">
      <w:pPr>
        <w:spacing w:line="360" w:lineRule="auto"/>
        <w:jc w:val="center"/>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监狱企业发展有关问题的通知</w:t>
      </w:r>
    </w:p>
    <w:p w14:paraId="00B016B1">
      <w:pPr>
        <w:spacing w:line="360" w:lineRule="auto"/>
        <w:jc w:val="center"/>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财库〔2014〕68号</w:t>
      </w:r>
    </w:p>
    <w:p w14:paraId="7E632B09">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党中央有关部门，国务院各部委、各直属机构，全国人大常委会办公厅，全国政协办公厅，高法院，高检院，有关人民团体，中央国家机关政府采购中心，中共中央直属机关采购中心，全国人大机关采购中心，各省、自治区、直辖市、计划单列市财政厅（局）、司法厅（局），新疆生产建设兵团财务局、司法局、监狱管理局：</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rPr>
        <w:t>　　政府采购支持监狱和戒毒企业（以下简称监狱企业）发展对稳定监狱企业生产，提高财政资金使用效益，为罪犯和戒毒人员提供长期可靠的劳动岗位，提高罪犯和戒毒人员的教育改造质量，减少重新违法犯罪，确保监狱、戒毒场所安全稳定，促进社会和谐稳定具有十分重要的意义。为进一步贯彻落实国务院《关于解决监狱企业困难的实施方案的通知》（国发[2003]7号）文件精神，发挥政府采购支持监狱企业发展的作用，现就有关事项通知如下：</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rPr>
        <w:t>　　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rPr>
        <w:t>　　二、在政府采购活动中，监狱企业视同小型、微型企业，享受预留份额、评审中价格扣除等政府采购促进中小企业发展的政府采购政策。向监狱企业采购的金额，计入面向中小企业采购的统计数据。</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rPr>
        <w:t>　　三、各地区、各部门要积极通过预留采购份额支持监狱企业。有制服采购项目的部门，应加强对政府采购预算和计划编制工作的统筹，预留本部门制服采购项目预算总额的30%以上，专门面向监狱企业采购。省级以上政府部门组织的公务员考试、招生考试、等级考试、资格考试的试卷印刷项目原则上应当在符合有关资质的监狱企业范围内采购。各地在免费教科书政府采购工作中，应当根据符合教科书印制资质的监狱企业情况，提出由监狱企业印刷的比例要求。</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rPr>
        <w:t>　　四、各地区可以结合本地区实际，对监狱企业生产的办公用品、家具用具、车辆维修和提供的保养服务、消防设备等，提出预留份额等政府采购支持措施，加大对监狱企业产品的采购力度。</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rPr>
        <w:t>　　五、各地区、各部门要高度重视，加强组织管理和监督，做好政府采购支持监狱企业发展的相关工作。有关部门要加强监管，确保面向监狱企业采购的工作依法依规进行。各监狱企业要不断提高监狱企业产品的质量和服务水平，为做好监狱企业产品政府采购工作提供有力保障。</w:t>
      </w:r>
    </w:p>
    <w:p w14:paraId="3D76F4F4">
      <w:pPr>
        <w:pStyle w:val="9"/>
        <w:ind w:firstLine="480"/>
        <w:rPr>
          <w:rFonts w:hint="eastAsia" w:ascii="仿宋" w:hAnsi="仿宋" w:eastAsia="仿宋" w:cs="仿宋"/>
          <w:color w:val="auto"/>
          <w:highlight w:val="none"/>
        </w:rPr>
      </w:pPr>
    </w:p>
    <w:p w14:paraId="179FFD40">
      <w:pPr>
        <w:spacing w:line="360" w:lineRule="auto"/>
        <w:jc w:val="right"/>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中华人民共和国财政部</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rPr>
        <w:t>中华人民共和国司法部</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rPr>
        <w:t>2014年6月10日</w:t>
      </w:r>
    </w:p>
    <w:p w14:paraId="6FC33419">
      <w:pPr>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br w:type="page"/>
      </w:r>
    </w:p>
    <w:p w14:paraId="2EB29799">
      <w:pPr>
        <w:spacing w:line="360" w:lineRule="auto"/>
        <w:outlineLvl w:val="1"/>
        <w:rPr>
          <w:rFonts w:hint="eastAsia" w:ascii="仿宋" w:hAnsi="仿宋" w:eastAsia="仿宋" w:cs="仿宋"/>
          <w:color w:val="auto"/>
          <w:spacing w:val="6"/>
          <w:sz w:val="24"/>
          <w:szCs w:val="24"/>
          <w:highlight w:val="none"/>
        </w:rPr>
      </w:pPr>
      <w:bookmarkStart w:id="280" w:name="_Toc12486"/>
      <w:bookmarkStart w:id="281" w:name="_Toc7324"/>
      <w:r>
        <w:rPr>
          <w:rFonts w:hint="eastAsia" w:ascii="仿宋" w:hAnsi="仿宋" w:eastAsia="仿宋" w:cs="仿宋"/>
          <w:color w:val="auto"/>
          <w:spacing w:val="6"/>
          <w:sz w:val="24"/>
          <w:szCs w:val="24"/>
          <w:highlight w:val="none"/>
        </w:rPr>
        <w:t>附件4、实施本国产品标准及相关政策</w:t>
      </w:r>
      <w:bookmarkEnd w:id="280"/>
      <w:bookmarkEnd w:id="281"/>
    </w:p>
    <w:p w14:paraId="146E8D72">
      <w:pPr>
        <w:pStyle w:val="37"/>
        <w:shd w:val="clear" w:color="auto" w:fill="FFFFFF"/>
        <w:wordWrap w:val="0"/>
        <w:spacing w:before="20" w:beforeAutospacing="0" w:after="20" w:afterAutospacing="0" w:line="360" w:lineRule="auto"/>
        <w:textAlignment w:val="baseline"/>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 </w:t>
      </w:r>
    </w:p>
    <w:p w14:paraId="7034FF1D">
      <w:pPr>
        <w:pStyle w:val="37"/>
        <w:shd w:val="clear" w:color="auto" w:fill="FFFFFF"/>
        <w:spacing w:before="20" w:beforeAutospacing="0" w:after="20" w:afterAutospacing="0" w:line="360" w:lineRule="auto"/>
        <w:jc w:val="center"/>
        <w:rPr>
          <w:rFonts w:hint="eastAsia" w:ascii="仿宋" w:hAnsi="仿宋" w:eastAsia="仿宋" w:cs="仿宋"/>
          <w:color w:val="auto"/>
          <w:highlight w:val="none"/>
        </w:rPr>
      </w:pPr>
      <w:r>
        <w:rPr>
          <w:rStyle w:val="46"/>
          <w:rFonts w:hint="eastAsia" w:ascii="仿宋" w:hAnsi="仿宋" w:eastAsia="仿宋" w:cs="仿宋"/>
          <w:color w:val="auto"/>
          <w:highlight w:val="none"/>
          <w:shd w:val="clear" w:color="auto" w:fill="FFFFFF"/>
        </w:rPr>
        <w:t>国务院办公厅关于在政府采购中</w:t>
      </w:r>
    </w:p>
    <w:p w14:paraId="3C2BFE49">
      <w:pPr>
        <w:pStyle w:val="37"/>
        <w:shd w:val="clear" w:color="auto" w:fill="FFFFFF"/>
        <w:spacing w:before="20" w:beforeAutospacing="0" w:after="20" w:afterAutospacing="0" w:line="360" w:lineRule="auto"/>
        <w:jc w:val="center"/>
        <w:rPr>
          <w:rFonts w:hint="eastAsia" w:ascii="仿宋" w:hAnsi="仿宋" w:eastAsia="仿宋" w:cs="仿宋"/>
          <w:color w:val="auto"/>
          <w:highlight w:val="none"/>
        </w:rPr>
      </w:pPr>
      <w:r>
        <w:rPr>
          <w:rStyle w:val="46"/>
          <w:rFonts w:hint="eastAsia" w:ascii="仿宋" w:hAnsi="仿宋" w:eastAsia="仿宋" w:cs="仿宋"/>
          <w:color w:val="auto"/>
          <w:highlight w:val="none"/>
          <w:shd w:val="clear" w:color="auto" w:fill="FFFFFF"/>
        </w:rPr>
        <w:t>实施本国产品标准及相关政策的通知</w:t>
      </w:r>
    </w:p>
    <w:p w14:paraId="7EC70F02">
      <w:pPr>
        <w:pStyle w:val="37"/>
        <w:shd w:val="clear" w:color="auto" w:fill="FFFFFF"/>
        <w:spacing w:before="20" w:beforeAutospacing="0" w:after="20" w:afterAutospacing="0" w:line="360" w:lineRule="auto"/>
        <w:ind w:firstLine="420"/>
        <w:rPr>
          <w:rFonts w:hint="eastAsia" w:ascii="仿宋" w:hAnsi="仿宋" w:eastAsia="仿宋" w:cs="仿宋"/>
          <w:color w:val="auto"/>
          <w:highlight w:val="none"/>
        </w:rPr>
      </w:pPr>
    </w:p>
    <w:p w14:paraId="3597AD6C">
      <w:pPr>
        <w:pStyle w:val="37"/>
        <w:shd w:val="clear" w:color="auto" w:fill="FFFFFF"/>
        <w:spacing w:before="20" w:beforeAutospacing="0" w:after="20" w:afterAutospacing="0" w:line="360" w:lineRule="auto"/>
        <w:jc w:val="right"/>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国办发〔2025〕34号  </w:t>
      </w:r>
    </w:p>
    <w:p w14:paraId="16E4DF14">
      <w:pPr>
        <w:pStyle w:val="37"/>
        <w:shd w:val="clear" w:color="auto" w:fill="FFFFFF"/>
        <w:spacing w:before="20" w:beforeAutospacing="0" w:after="20" w:afterAutospacing="0" w:line="360" w:lineRule="auto"/>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各省、自治区、直辖市人民政府，国务院各部委、各直属机构：</w:t>
      </w:r>
    </w:p>
    <w:p w14:paraId="654EC9BF">
      <w:pPr>
        <w:pStyle w:val="37"/>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为构建统一开放、竞争有序的政府采购市场体系，完善政府采购制度，保障各类经营主体平等参与政府采购活动，根据《中华人民共和国政府采购法》、《中华人民共和国外商投资法》等有关法律法规规定，经国务院同意，现就在政府采购中实施本国产品标准及相关政策通知如下：</w:t>
      </w:r>
    </w:p>
    <w:p w14:paraId="1A9E892B">
      <w:pPr>
        <w:pStyle w:val="37"/>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Style w:val="46"/>
          <w:rFonts w:hint="eastAsia" w:ascii="仿宋" w:hAnsi="仿宋" w:eastAsia="仿宋" w:cs="仿宋"/>
          <w:color w:val="auto"/>
          <w:highlight w:val="none"/>
          <w:shd w:val="clear" w:color="auto" w:fill="FFFFFF"/>
        </w:rPr>
        <w:t>一、本国产品标准</w:t>
      </w:r>
    </w:p>
    <w:p w14:paraId="4F00F5DC">
      <w:pPr>
        <w:pStyle w:val="37"/>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本国产品应当符合以下条件：</w:t>
      </w:r>
    </w:p>
    <w:p w14:paraId="72E4DE72">
      <w:pPr>
        <w:pStyle w:val="37"/>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（一）在中国境内生产</w:t>
      </w:r>
    </w:p>
    <w:p w14:paraId="5136C056">
      <w:pPr>
        <w:pStyle w:val="37"/>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产品应当在中国境内生产，即在中华人民共和国关境内实现从原材料、组件到产品的属性改变。</w:t>
      </w:r>
    </w:p>
    <w:p w14:paraId="3C7D8613">
      <w:pPr>
        <w:pStyle w:val="37"/>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属性改变是指经过制造、加工或者组装等工序，产生完全不同于原材料、组件的新产品，并具有新的名称和特征（用途）。属性改变不包括以下细微操作：</w:t>
      </w:r>
    </w:p>
    <w:p w14:paraId="368D50C8">
      <w:pPr>
        <w:pStyle w:val="37"/>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1.为确保产品在运输或者储存期间保持某种状态而进行的操作；</w:t>
      </w:r>
    </w:p>
    <w:p w14:paraId="6660E63D">
      <w:pPr>
        <w:pStyle w:val="37"/>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2.为产品运输或者销售进行的包装或者展示；</w:t>
      </w:r>
    </w:p>
    <w:p w14:paraId="2E6DAD58">
      <w:pPr>
        <w:pStyle w:val="37"/>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3.在产品或者其包装上粘贴或者印刷品牌、标志、标识以及其他用于区别的标记；</w:t>
      </w:r>
    </w:p>
    <w:p w14:paraId="409FD41F">
      <w:pPr>
        <w:pStyle w:val="37"/>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4.简单的上漆、磨光和分装；</w:t>
      </w:r>
    </w:p>
    <w:p w14:paraId="4E998A38">
      <w:pPr>
        <w:pStyle w:val="37"/>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5.其他不属于属性改变的情形。</w:t>
      </w:r>
    </w:p>
    <w:p w14:paraId="735861D4">
      <w:pPr>
        <w:pStyle w:val="37"/>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（二）在中国境内生产的组件成本占比达到规定比例</w:t>
      </w:r>
    </w:p>
    <w:p w14:paraId="20ADF9E7">
      <w:pPr>
        <w:pStyle w:val="37"/>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产品在中国境内生产的组件成本占比应当达到规定比例，计算公式为：</w:t>
      </w:r>
    </w:p>
    <w:p w14:paraId="4D58DE5F">
      <w:pPr>
        <w:pStyle w:val="37"/>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drawing>
          <wp:inline distT="0" distB="0" distL="114300" distR="114300">
            <wp:extent cx="2733675" cy="390525"/>
            <wp:effectExtent l="0" t="0" r="9525" b="9525"/>
            <wp:docPr id="6"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IMG_256"/>
                    <pic:cNvPicPr>
                      <a:picLocks noChangeAspect="1"/>
                    </pic:cNvPicPr>
                  </pic:nvPicPr>
                  <pic:blipFill>
                    <a:blip r:embed="rId12"/>
                    <a:stretch>
                      <a:fillRect/>
                    </a:stretch>
                  </pic:blipFill>
                  <pic:spPr>
                    <a:xfrm>
                      <a:off x="0" y="0"/>
                      <a:ext cx="2733675" cy="390525"/>
                    </a:xfrm>
                    <a:prstGeom prst="rect">
                      <a:avLst/>
                    </a:prstGeom>
                    <a:noFill/>
                    <a:ln w="9525">
                      <a:noFill/>
                    </a:ln>
                  </pic:spPr>
                </pic:pic>
              </a:graphicData>
            </a:graphic>
          </wp:inline>
        </w:drawing>
      </w:r>
    </w:p>
    <w:p w14:paraId="6557B8FA">
      <w:pPr>
        <w:pStyle w:val="37"/>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p>
    <w:p w14:paraId="7160402F">
      <w:pPr>
        <w:pStyle w:val="37"/>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（三）特定产品的关键组件、关键工序符合相关要求</w:t>
      </w:r>
    </w:p>
    <w:p w14:paraId="148B4476">
      <w:pPr>
        <w:pStyle w:val="37"/>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对特定产品，在符合本通知第一条第（一）项和第（二）项条件的基础上，应当符合财政部会同有关行业主管部门确定的其关键组件、关键工序在中国境内生产、完成等要求。</w:t>
      </w:r>
    </w:p>
    <w:p w14:paraId="3DCE203C">
      <w:pPr>
        <w:pStyle w:val="37"/>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p>
    <w:p w14:paraId="27B76E92">
      <w:pPr>
        <w:pStyle w:val="37"/>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Style w:val="46"/>
          <w:rFonts w:hint="eastAsia" w:ascii="仿宋" w:hAnsi="仿宋" w:eastAsia="仿宋" w:cs="仿宋"/>
          <w:color w:val="auto"/>
          <w:highlight w:val="none"/>
          <w:shd w:val="clear" w:color="auto" w:fill="FFFFFF"/>
        </w:rPr>
        <w:t>二、本国产品标准的适用范围</w:t>
      </w:r>
    </w:p>
    <w:p w14:paraId="4319A989">
      <w:pPr>
        <w:pStyle w:val="37"/>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4A89C615">
      <w:pPr>
        <w:pStyle w:val="37"/>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Style w:val="46"/>
          <w:rFonts w:hint="eastAsia" w:ascii="仿宋" w:hAnsi="仿宋" w:eastAsia="仿宋" w:cs="仿宋"/>
          <w:color w:val="auto"/>
          <w:highlight w:val="none"/>
          <w:shd w:val="clear" w:color="auto" w:fill="FFFFFF"/>
        </w:rPr>
        <w:t>三、对本国产品的支持政策</w:t>
      </w:r>
    </w:p>
    <w:p w14:paraId="22810140">
      <w:pPr>
        <w:pStyle w:val="37"/>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政府采购活动中既有本国产品又有非本国产品参与竞争的，依法对本国产品给予价格评审优惠，对本国产品的报价给予20%的价格扣除，用扣除后的价格参与评审。</w:t>
      </w:r>
    </w:p>
    <w:p w14:paraId="4A19C420">
      <w:pPr>
        <w:pStyle w:val="37"/>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5985CB3A">
      <w:pPr>
        <w:pStyle w:val="37"/>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Style w:val="46"/>
          <w:rFonts w:hint="eastAsia" w:ascii="仿宋" w:hAnsi="仿宋" w:eastAsia="仿宋" w:cs="仿宋"/>
          <w:color w:val="auto"/>
          <w:highlight w:val="none"/>
          <w:shd w:val="clear" w:color="auto" w:fill="FFFFFF"/>
        </w:rPr>
        <w:t>四、政策执行要求</w:t>
      </w:r>
    </w:p>
    <w:p w14:paraId="7CD25479">
      <w:pPr>
        <w:pStyle w:val="37"/>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（一）产品在中国境内生产的组件成本核算规则。产品在中国境内生产的组件成本，按照《中国境内生产的组件成本核算基本规则》（见附件1）计算。</w:t>
      </w:r>
    </w:p>
    <w:p w14:paraId="2BFF8F15">
      <w:pPr>
        <w:pStyle w:val="37"/>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二）有关证明文件。采购人、采购代理机构应当在采购文件中明确要求供应商对其提供的产品出具《关于符合本国产品标准的声明函》（样式见附件2，以下简称《声明函》）或财政部会同有关部门规定的有关证明文件。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w:t>
      </w:r>
    </w:p>
    <w:p w14:paraId="0620EC7A">
      <w:pPr>
        <w:pStyle w:val="37"/>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采购人、采购代理机构应当随中标、成交结果同时公告中标、成交供应商提供的《声明函》或有关证明文件。</w:t>
      </w:r>
    </w:p>
    <w:p w14:paraId="381CC19D">
      <w:pPr>
        <w:pStyle w:val="37"/>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三）平等对待各类经营主体。国有企业、民营企业、外资企业等各类经营主体平等享受对本国产品的政府采购支持政策。采购人、采购代理机构在政府采购信息发布、供应商资格条件确定和资格审查、评审标准等方面，要对各类经营主体一视同仁、平等对待，切实保障各类经营主体公平竞争。各地区、各部门要加强统筹协调，不得出台违反本通知规定的政策措施，在政府采购活动中不得指定品牌或者限制品牌注册地、所有者，不得以所有制形式、组织形式、股权结构、投资者国别以及其他不合理条件对供应商实行差别待遇或者歧视待遇。</w:t>
      </w:r>
    </w:p>
    <w:p w14:paraId="423C6DD7">
      <w:pPr>
        <w:pStyle w:val="37"/>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（四）中华人民共和国缔结或者共同参加的国际条约、协定对政府采购中本国产品政策另有规定的，按照有关条约、协定执行。</w:t>
      </w:r>
    </w:p>
    <w:p w14:paraId="234EA7BA">
      <w:pPr>
        <w:pStyle w:val="37"/>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Style w:val="46"/>
          <w:rFonts w:hint="eastAsia" w:ascii="仿宋" w:hAnsi="仿宋" w:eastAsia="仿宋" w:cs="仿宋"/>
          <w:color w:val="auto"/>
          <w:highlight w:val="none"/>
          <w:shd w:val="clear" w:color="auto" w:fill="FFFFFF"/>
        </w:rPr>
        <w:t>五、争议处理</w:t>
      </w:r>
    </w:p>
    <w:p w14:paraId="1B853D26">
      <w:pPr>
        <w:pStyle w:val="37"/>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财政部门在政府采购投诉处理、监督检查中，对涉及本国产品标准争议事项的处理，按照政府采购相关法律法规规定等执行，必要时由有关部门或者专业机构对相关事项予以核实。各有关部门、专业机构及其工作人员对政府采购投诉处理、监督检查中知悉的商业秘密负有保密义务。</w:t>
      </w:r>
    </w:p>
    <w:p w14:paraId="6187A595">
      <w:pPr>
        <w:pStyle w:val="37"/>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（一）政府采购投诉处理、监督检查中，对产品或组件是否在中国境内生产存在争议的，按照以下原则处理：</w:t>
      </w:r>
    </w:p>
    <w:p w14:paraId="2BE8299C">
      <w:pPr>
        <w:pStyle w:val="37"/>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1.对于组装类产品或组件，相关供应商及制造商应当提供产品或组件的采购合同，进货记录，制造、加工、组装记录以及其他证明材料。上述证明材料能够证明产品或组件在中国境内生产的，相关产品或组件即可视为在中国境内生产。</w:t>
      </w:r>
    </w:p>
    <w:p w14:paraId="04910F68">
      <w:pPr>
        <w:pStyle w:val="37"/>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2.对于由原材料直接制造、加工形成的产品或组件，如钢材、陶瓷制品、玻璃等，相关供应商及制造商应当提供产品或组件包装上依法标注的生产厂址等信息。生产厂址位于中华人民共和国关境内的，相关产品或组件即可视为在中国境内生产。</w:t>
      </w:r>
    </w:p>
    <w:p w14:paraId="4C08B211">
      <w:pPr>
        <w:pStyle w:val="37"/>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二）政府采购投诉处理、监督检查中，对产品在中国境内生产的组件成本占比、采购项目或采购包中本国产品成本占比是否达到规定比例存在争议的，相关供应商及制造商应当提供组件或产品的会计核算数据、采购合同、进货记录等，财政部门按照中国境内生产的组件成本核算相关规则予以认定。</w:t>
      </w:r>
    </w:p>
    <w:p w14:paraId="04A4133E">
      <w:pPr>
        <w:pStyle w:val="37"/>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三）政府采购投诉处理、监督检查中，对特定产品的关键组件是否在中国境内生产存在争议的，按照本通知第五条第（一）项规定的原则处理；对特定产品的关键工序是否在中国境内完成存在争议的，相关供应商及制造商应当提供关键工序在中国境内完成的记录等材料予以证明。</w:t>
      </w:r>
    </w:p>
    <w:p w14:paraId="2582D591">
      <w:pPr>
        <w:pStyle w:val="37"/>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政府采购投诉处理、监督检查中，相关供应商及制造商未按上述要求提供证明材料或提供的材料不足以证明产品符合本国产品标准的，不应当享受对本国产品的政府采购支持政策，由此影响或者可能影响采购结果的，财政部门按照政府采购相关法律法规规定等处理。</w:t>
      </w:r>
    </w:p>
    <w:p w14:paraId="2747DD51">
      <w:pPr>
        <w:pStyle w:val="37"/>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本通知自2026年1月1日起施行。</w:t>
      </w:r>
    </w:p>
    <w:p w14:paraId="0B022467">
      <w:pPr>
        <w:pStyle w:val="37"/>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附件：1.中国境内生产的组件成本核算基本规则</w:t>
      </w:r>
    </w:p>
    <w:p w14:paraId="6C3B2AD4">
      <w:pPr>
        <w:pStyle w:val="37"/>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　　　2.关于符合本国产品标准的声明函</w:t>
      </w:r>
    </w:p>
    <w:p w14:paraId="34E6F5B0">
      <w:pPr>
        <w:pStyle w:val="37"/>
        <w:shd w:val="clear" w:color="auto" w:fill="FFFFFF"/>
        <w:spacing w:before="20" w:beforeAutospacing="0" w:after="20" w:afterAutospacing="0" w:line="360" w:lineRule="auto"/>
        <w:jc w:val="right"/>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国务院办公厅         </w:t>
      </w:r>
    </w:p>
    <w:p w14:paraId="1B6C1F5B">
      <w:pPr>
        <w:pStyle w:val="37"/>
        <w:shd w:val="clear" w:color="auto" w:fill="FFFFFF"/>
        <w:spacing w:before="20" w:beforeAutospacing="0" w:after="20" w:afterAutospacing="0" w:line="360" w:lineRule="auto"/>
        <w:jc w:val="right"/>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2025年9月28日    </w:t>
      </w:r>
    </w:p>
    <w:p w14:paraId="1DFBA54D">
      <w:pPr>
        <w:pStyle w:val="37"/>
        <w:shd w:val="clear" w:color="auto" w:fill="FFFFFF"/>
        <w:spacing w:before="20" w:beforeAutospacing="0" w:after="20" w:afterAutospacing="0" w:line="360" w:lineRule="auto"/>
        <w:ind w:firstLine="420"/>
        <w:rPr>
          <w:rFonts w:hint="eastAsia" w:ascii="仿宋" w:hAnsi="仿宋" w:eastAsia="仿宋" w:cs="仿宋"/>
          <w:color w:val="auto"/>
          <w:highlight w:val="none"/>
        </w:rPr>
      </w:pPr>
    </w:p>
    <w:p w14:paraId="5A013A23">
      <w:pPr>
        <w:pStyle w:val="37"/>
        <w:shd w:val="clear" w:color="auto" w:fill="FFFFFF"/>
        <w:spacing w:before="20" w:beforeAutospacing="0" w:after="20" w:afterAutospacing="0" w:line="360" w:lineRule="auto"/>
        <w:ind w:firstLine="420"/>
        <w:rPr>
          <w:rFonts w:hint="eastAsia" w:ascii="仿宋" w:hAnsi="仿宋" w:eastAsia="仿宋" w:cs="仿宋"/>
          <w:color w:val="auto"/>
          <w:highlight w:val="none"/>
        </w:rPr>
      </w:pPr>
    </w:p>
    <w:p w14:paraId="7C202F45">
      <w:pPr>
        <w:rPr>
          <w:rStyle w:val="46"/>
          <w:rFonts w:hint="eastAsia" w:ascii="仿宋" w:hAnsi="仿宋" w:eastAsia="仿宋" w:cs="仿宋"/>
          <w:color w:val="auto"/>
          <w:sz w:val="24"/>
          <w:szCs w:val="24"/>
          <w:highlight w:val="none"/>
          <w:shd w:val="clear" w:color="auto" w:fill="FFFFFF"/>
        </w:rPr>
      </w:pPr>
      <w:r>
        <w:rPr>
          <w:rStyle w:val="46"/>
          <w:rFonts w:hint="eastAsia" w:ascii="仿宋" w:hAnsi="仿宋" w:eastAsia="仿宋" w:cs="仿宋"/>
          <w:color w:val="auto"/>
          <w:sz w:val="24"/>
          <w:szCs w:val="24"/>
          <w:highlight w:val="none"/>
          <w:shd w:val="clear" w:color="auto" w:fill="FFFFFF"/>
        </w:rPr>
        <w:br w:type="page"/>
      </w:r>
    </w:p>
    <w:p w14:paraId="79C2731B">
      <w:pPr>
        <w:pStyle w:val="37"/>
        <w:shd w:val="clear" w:color="auto" w:fill="FFFFFF"/>
        <w:spacing w:before="20" w:beforeAutospacing="0" w:after="20" w:afterAutospacing="0" w:line="360" w:lineRule="auto"/>
        <w:rPr>
          <w:rFonts w:hint="eastAsia" w:ascii="仿宋" w:hAnsi="仿宋" w:eastAsia="仿宋" w:cs="仿宋"/>
          <w:color w:val="auto"/>
          <w:highlight w:val="none"/>
        </w:rPr>
      </w:pPr>
      <w:r>
        <w:rPr>
          <w:rStyle w:val="46"/>
          <w:rFonts w:hint="eastAsia" w:ascii="仿宋" w:hAnsi="仿宋" w:eastAsia="仿宋" w:cs="仿宋"/>
          <w:color w:val="auto"/>
          <w:highlight w:val="none"/>
          <w:shd w:val="clear" w:color="auto" w:fill="FFFFFF"/>
        </w:rPr>
        <w:t>附件1</w:t>
      </w:r>
    </w:p>
    <w:p w14:paraId="33C6DB8E">
      <w:pPr>
        <w:pStyle w:val="37"/>
        <w:shd w:val="clear" w:color="auto" w:fill="FFFFFF"/>
        <w:spacing w:before="20" w:beforeAutospacing="0" w:after="20" w:afterAutospacing="0" w:line="360" w:lineRule="auto"/>
        <w:ind w:firstLine="420"/>
        <w:rPr>
          <w:rFonts w:hint="eastAsia" w:ascii="仿宋" w:hAnsi="仿宋" w:eastAsia="仿宋" w:cs="仿宋"/>
          <w:color w:val="auto"/>
          <w:highlight w:val="none"/>
        </w:rPr>
      </w:pPr>
    </w:p>
    <w:p w14:paraId="6EE19D17">
      <w:pPr>
        <w:pStyle w:val="37"/>
        <w:shd w:val="clear" w:color="auto" w:fill="FFFFFF"/>
        <w:spacing w:before="20" w:beforeAutospacing="0" w:after="20" w:afterAutospacing="0" w:line="360" w:lineRule="auto"/>
        <w:jc w:val="center"/>
        <w:rPr>
          <w:rFonts w:hint="eastAsia" w:ascii="仿宋" w:hAnsi="仿宋" w:eastAsia="仿宋" w:cs="仿宋"/>
          <w:color w:val="auto"/>
          <w:highlight w:val="none"/>
        </w:rPr>
      </w:pPr>
      <w:r>
        <w:rPr>
          <w:rStyle w:val="46"/>
          <w:rFonts w:hint="eastAsia" w:ascii="仿宋" w:hAnsi="仿宋" w:eastAsia="仿宋" w:cs="仿宋"/>
          <w:color w:val="auto"/>
          <w:highlight w:val="none"/>
          <w:shd w:val="clear" w:color="auto" w:fill="FFFFFF"/>
        </w:rPr>
        <w:t>中国境内生产的组件成本核算基本规则</w:t>
      </w:r>
    </w:p>
    <w:p w14:paraId="605478A2">
      <w:pPr>
        <w:pStyle w:val="37"/>
        <w:shd w:val="clear" w:color="auto" w:fill="FFFFFF"/>
        <w:spacing w:before="20" w:beforeAutospacing="0" w:after="20" w:afterAutospacing="0" w:line="360" w:lineRule="auto"/>
        <w:ind w:firstLine="420"/>
        <w:rPr>
          <w:rFonts w:hint="eastAsia" w:ascii="仿宋" w:hAnsi="仿宋" w:eastAsia="仿宋" w:cs="仿宋"/>
          <w:color w:val="auto"/>
          <w:highlight w:val="none"/>
        </w:rPr>
      </w:pPr>
    </w:p>
    <w:p w14:paraId="23A4D3AB">
      <w:pPr>
        <w:pStyle w:val="37"/>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产品在中国境内生产的组件成本，一般按照其二级组件的相关成本进行核算。按照产品的一级组件进行成本核算能够满足中国境内生产的组件成本判定需求的，可以按照一级组件的相关成本进行核算。</w:t>
      </w:r>
    </w:p>
    <w:p w14:paraId="0559016B">
      <w:pPr>
        <w:pStyle w:val="37"/>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一、产品的一级组件是指直接组成产品的组件。产品的二级组件是指直接组成产品一级组件的组件。一级组件不可分解的，视同二级组件。</w:t>
      </w:r>
    </w:p>
    <w:p w14:paraId="4298257C">
      <w:pPr>
        <w:pStyle w:val="37"/>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二、二级组件在中国境内生产的，其全部成本计入中国境内生产的组件成本；二级组件不在中国境内生产的，其成本不计入中国境内生产的组件成本。</w:t>
      </w:r>
    </w:p>
    <w:p w14:paraId="61E2E80D">
      <w:pPr>
        <w:pStyle w:val="37"/>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三、产品总成本和组件成本以相关会计核算数据、采购合同、进货记录等为基础进行计算。</w:t>
      </w:r>
    </w:p>
    <w:p w14:paraId="58ED2B0A">
      <w:pPr>
        <w:pStyle w:val="37"/>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四、需要对成本核算规则予以进一步明确的其他有关事项，由财政部会同有关部门另行规定。</w:t>
      </w:r>
    </w:p>
    <w:p w14:paraId="1D990330">
      <w:pPr>
        <w:pStyle w:val="37"/>
        <w:shd w:val="clear" w:color="auto" w:fill="FFFFFF"/>
        <w:spacing w:before="20" w:beforeAutospacing="0" w:after="20" w:afterAutospacing="0" w:line="360" w:lineRule="auto"/>
        <w:ind w:firstLine="420"/>
        <w:rPr>
          <w:rFonts w:hint="eastAsia" w:ascii="仿宋" w:hAnsi="仿宋" w:eastAsia="仿宋" w:cs="仿宋"/>
          <w:color w:val="auto"/>
          <w:highlight w:val="none"/>
        </w:rPr>
      </w:pPr>
    </w:p>
    <w:p w14:paraId="121C1923">
      <w:pPr>
        <w:pStyle w:val="37"/>
        <w:shd w:val="clear" w:color="auto" w:fill="FFFFFF"/>
        <w:spacing w:before="20" w:beforeAutospacing="0" w:after="20" w:afterAutospacing="0" w:line="360" w:lineRule="auto"/>
        <w:ind w:firstLine="420"/>
        <w:rPr>
          <w:rFonts w:hint="eastAsia" w:ascii="仿宋" w:hAnsi="仿宋" w:eastAsia="仿宋" w:cs="仿宋"/>
          <w:color w:val="auto"/>
          <w:highlight w:val="none"/>
        </w:rPr>
      </w:pPr>
    </w:p>
    <w:p w14:paraId="5AFD1F3E">
      <w:pPr>
        <w:rPr>
          <w:rStyle w:val="46"/>
          <w:rFonts w:hint="eastAsia" w:ascii="仿宋" w:hAnsi="仿宋" w:eastAsia="仿宋" w:cs="仿宋"/>
          <w:color w:val="auto"/>
          <w:sz w:val="24"/>
          <w:szCs w:val="24"/>
          <w:highlight w:val="none"/>
          <w:shd w:val="clear" w:color="auto" w:fill="FFFFFF"/>
        </w:rPr>
      </w:pPr>
      <w:r>
        <w:rPr>
          <w:rStyle w:val="46"/>
          <w:rFonts w:hint="eastAsia" w:ascii="仿宋" w:hAnsi="仿宋" w:eastAsia="仿宋" w:cs="仿宋"/>
          <w:color w:val="auto"/>
          <w:sz w:val="24"/>
          <w:szCs w:val="24"/>
          <w:highlight w:val="none"/>
          <w:shd w:val="clear" w:color="auto" w:fill="FFFFFF"/>
        </w:rPr>
        <w:br w:type="page"/>
      </w:r>
    </w:p>
    <w:p w14:paraId="3BA46AF6">
      <w:pPr>
        <w:pStyle w:val="37"/>
        <w:shd w:val="clear" w:color="auto" w:fill="FFFFFF"/>
        <w:spacing w:before="20" w:beforeAutospacing="0" w:after="20" w:afterAutospacing="0" w:line="360" w:lineRule="auto"/>
        <w:rPr>
          <w:rFonts w:hint="eastAsia" w:ascii="仿宋" w:hAnsi="仿宋" w:eastAsia="仿宋" w:cs="仿宋"/>
          <w:color w:val="auto"/>
          <w:highlight w:val="none"/>
        </w:rPr>
      </w:pPr>
      <w:r>
        <w:rPr>
          <w:rStyle w:val="46"/>
          <w:rFonts w:hint="eastAsia" w:ascii="仿宋" w:hAnsi="仿宋" w:eastAsia="仿宋" w:cs="仿宋"/>
          <w:color w:val="auto"/>
          <w:highlight w:val="none"/>
          <w:shd w:val="clear" w:color="auto" w:fill="FFFFFF"/>
        </w:rPr>
        <w:t>附件2</w:t>
      </w:r>
    </w:p>
    <w:p w14:paraId="2DA82640">
      <w:pPr>
        <w:pStyle w:val="37"/>
        <w:shd w:val="clear" w:color="auto" w:fill="FFFFFF"/>
        <w:spacing w:before="20" w:beforeAutospacing="0" w:after="20" w:afterAutospacing="0" w:line="360" w:lineRule="auto"/>
        <w:ind w:firstLine="420"/>
        <w:rPr>
          <w:rFonts w:hint="eastAsia" w:ascii="仿宋" w:hAnsi="仿宋" w:eastAsia="仿宋" w:cs="仿宋"/>
          <w:color w:val="auto"/>
          <w:highlight w:val="none"/>
        </w:rPr>
      </w:pPr>
    </w:p>
    <w:p w14:paraId="26D038A6">
      <w:pPr>
        <w:pStyle w:val="37"/>
        <w:shd w:val="clear" w:color="auto" w:fill="FFFFFF"/>
        <w:spacing w:before="20" w:beforeAutospacing="0" w:after="20" w:afterAutospacing="0" w:line="360" w:lineRule="auto"/>
        <w:jc w:val="center"/>
        <w:rPr>
          <w:rFonts w:hint="eastAsia" w:ascii="仿宋" w:hAnsi="仿宋" w:eastAsia="仿宋" w:cs="仿宋"/>
          <w:color w:val="auto"/>
          <w:highlight w:val="none"/>
        </w:rPr>
      </w:pPr>
      <w:r>
        <w:rPr>
          <w:rStyle w:val="46"/>
          <w:rFonts w:hint="eastAsia" w:ascii="仿宋" w:hAnsi="仿宋" w:eastAsia="仿宋" w:cs="仿宋"/>
          <w:color w:val="auto"/>
          <w:highlight w:val="none"/>
          <w:shd w:val="clear" w:color="auto" w:fill="FFFFFF"/>
        </w:rPr>
        <w:t>关于符合本国产品标准的声明函</w:t>
      </w:r>
    </w:p>
    <w:p w14:paraId="1D19F227">
      <w:pPr>
        <w:pStyle w:val="37"/>
        <w:shd w:val="clear" w:color="auto" w:fill="FFFFFF"/>
        <w:spacing w:before="20" w:beforeAutospacing="0" w:after="20" w:afterAutospacing="0" w:line="360" w:lineRule="auto"/>
        <w:ind w:firstLine="420"/>
        <w:rPr>
          <w:rFonts w:hint="eastAsia" w:ascii="仿宋" w:hAnsi="仿宋" w:eastAsia="仿宋" w:cs="仿宋"/>
          <w:color w:val="auto"/>
          <w:highlight w:val="none"/>
        </w:rPr>
      </w:pPr>
    </w:p>
    <w:p w14:paraId="076B7E57">
      <w:pPr>
        <w:pStyle w:val="37"/>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41DA7D9D">
      <w:pPr>
        <w:pStyle w:val="37"/>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1.</w:t>
      </w:r>
      <w:r>
        <w:rPr>
          <w:rStyle w:val="49"/>
          <w:rFonts w:hint="eastAsia" w:ascii="仿宋" w:hAnsi="仿宋" w:eastAsia="仿宋" w:cs="仿宋"/>
          <w:i w:val="0"/>
          <w:color w:val="auto"/>
          <w:highlight w:val="none"/>
          <w:shd w:val="clear" w:color="auto" w:fill="FFFFFF"/>
        </w:rPr>
        <w:t>（产品名称1）</w:t>
      </w:r>
      <w:r>
        <w:rPr>
          <w:rStyle w:val="49"/>
          <w:rFonts w:hint="eastAsia" w:ascii="仿宋" w:hAnsi="仿宋" w:eastAsia="仿宋" w:cs="仿宋"/>
          <w:i w:val="0"/>
          <w:color w:val="auto"/>
          <w:highlight w:val="none"/>
          <w:shd w:val="clear" w:color="auto" w:fill="FFFFFF"/>
          <w:vertAlign w:val="superscript"/>
        </w:rPr>
        <w:t>1</w:t>
      </w:r>
      <w:r>
        <w:rPr>
          <w:rFonts w:hint="eastAsia" w:ascii="仿宋" w:hAnsi="仿宋" w:eastAsia="仿宋" w:cs="仿宋"/>
          <w:color w:val="auto"/>
          <w:highlight w:val="none"/>
          <w:shd w:val="clear" w:color="auto" w:fill="FFFFFF"/>
        </w:rPr>
        <w:t>，生产厂为</w:t>
      </w:r>
      <w:r>
        <w:rPr>
          <w:rStyle w:val="49"/>
          <w:rFonts w:hint="eastAsia" w:ascii="仿宋" w:hAnsi="仿宋" w:eastAsia="仿宋" w:cs="仿宋"/>
          <w:i w:val="0"/>
          <w:color w:val="auto"/>
          <w:highlight w:val="none"/>
          <w:shd w:val="clear" w:color="auto" w:fill="FFFFFF"/>
        </w:rPr>
        <w:t>（厂名）</w:t>
      </w:r>
      <w:r>
        <w:rPr>
          <w:rStyle w:val="49"/>
          <w:rFonts w:hint="eastAsia" w:ascii="仿宋" w:hAnsi="仿宋" w:eastAsia="仿宋" w:cs="仿宋"/>
          <w:i w:val="0"/>
          <w:color w:val="auto"/>
          <w:highlight w:val="none"/>
          <w:shd w:val="clear" w:color="auto" w:fill="FFFFFF"/>
          <w:vertAlign w:val="superscript"/>
        </w:rPr>
        <w:t>2</w:t>
      </w:r>
      <w:r>
        <w:rPr>
          <w:rFonts w:hint="eastAsia" w:ascii="仿宋" w:hAnsi="仿宋" w:eastAsia="仿宋" w:cs="仿宋"/>
          <w:color w:val="auto"/>
          <w:highlight w:val="none"/>
          <w:shd w:val="clear" w:color="auto" w:fill="FFFFFF"/>
        </w:rPr>
        <w:t>，厂址为</w:t>
      </w:r>
      <w:r>
        <w:rPr>
          <w:rStyle w:val="49"/>
          <w:rFonts w:hint="eastAsia" w:ascii="仿宋" w:hAnsi="仿宋" w:eastAsia="仿宋" w:cs="仿宋"/>
          <w:i w:val="0"/>
          <w:color w:val="auto"/>
          <w:highlight w:val="none"/>
          <w:shd w:val="clear" w:color="auto" w:fill="FFFFFF"/>
        </w:rPr>
        <w:t>（生产厂址）</w:t>
      </w:r>
      <w:r>
        <w:rPr>
          <w:rFonts w:hint="eastAsia" w:ascii="仿宋" w:hAnsi="仿宋" w:eastAsia="仿宋" w:cs="仿宋"/>
          <w:color w:val="auto"/>
          <w:highlight w:val="none"/>
          <w:shd w:val="clear" w:color="auto" w:fill="FFFFFF"/>
        </w:rPr>
        <w:t>。</w:t>
      </w:r>
      <w:r>
        <w:rPr>
          <w:rStyle w:val="49"/>
          <w:rFonts w:hint="eastAsia" w:ascii="仿宋" w:hAnsi="仿宋" w:eastAsia="仿宋" w:cs="仿宋"/>
          <w:i w:val="0"/>
          <w:color w:val="auto"/>
          <w:highlight w:val="none"/>
          <w:shd w:val="clear" w:color="auto" w:fill="FFFFFF"/>
        </w:rPr>
        <w:t>（产品名称1）</w:t>
      </w:r>
      <w:r>
        <w:rPr>
          <w:rFonts w:hint="eastAsia" w:ascii="仿宋" w:hAnsi="仿宋" w:eastAsia="仿宋" w:cs="仿宋"/>
          <w:color w:val="auto"/>
          <w:highlight w:val="none"/>
          <w:shd w:val="clear" w:color="auto" w:fill="FFFFFF"/>
        </w:rPr>
        <w:t>的中国境内生产的组件成本占比≥</w:t>
      </w:r>
      <w:r>
        <w:rPr>
          <w:rStyle w:val="49"/>
          <w:rFonts w:hint="eastAsia" w:ascii="仿宋" w:hAnsi="仿宋" w:eastAsia="仿宋" w:cs="仿宋"/>
          <w:i w:val="0"/>
          <w:color w:val="auto"/>
          <w:highlight w:val="none"/>
          <w:shd w:val="clear" w:color="auto" w:fill="FFFFFF"/>
        </w:rPr>
        <w:t>（规定比例）</w:t>
      </w:r>
      <w:r>
        <w:rPr>
          <w:rStyle w:val="49"/>
          <w:rFonts w:hint="eastAsia" w:ascii="仿宋" w:hAnsi="仿宋" w:eastAsia="仿宋" w:cs="仿宋"/>
          <w:i w:val="0"/>
          <w:color w:val="auto"/>
          <w:highlight w:val="none"/>
          <w:shd w:val="clear" w:color="auto" w:fill="FFFFFF"/>
          <w:vertAlign w:val="superscript"/>
        </w:rPr>
        <w:t>3</w:t>
      </w:r>
      <w:r>
        <w:rPr>
          <w:rFonts w:hint="eastAsia" w:ascii="仿宋" w:hAnsi="仿宋" w:eastAsia="仿宋" w:cs="仿宋"/>
          <w:color w:val="auto"/>
          <w:highlight w:val="none"/>
          <w:shd w:val="clear" w:color="auto" w:fill="FFFFFF"/>
        </w:rPr>
        <w:t>。</w:t>
      </w:r>
      <w:r>
        <w:rPr>
          <w:rStyle w:val="49"/>
          <w:rFonts w:hint="eastAsia" w:ascii="仿宋" w:hAnsi="仿宋" w:eastAsia="仿宋" w:cs="仿宋"/>
          <w:i w:val="0"/>
          <w:color w:val="auto"/>
          <w:highlight w:val="none"/>
          <w:shd w:val="clear" w:color="auto" w:fill="FFFFFF"/>
        </w:rPr>
        <w:t>（产品名称1）</w:t>
      </w:r>
      <w:r>
        <w:rPr>
          <w:rFonts w:hint="eastAsia" w:ascii="仿宋" w:hAnsi="仿宋" w:eastAsia="仿宋" w:cs="仿宋"/>
          <w:color w:val="auto"/>
          <w:highlight w:val="none"/>
          <w:shd w:val="clear" w:color="auto" w:fill="FFFFFF"/>
        </w:rPr>
        <w:t>的</w:t>
      </w:r>
      <w:r>
        <w:rPr>
          <w:rStyle w:val="49"/>
          <w:rFonts w:hint="eastAsia" w:ascii="仿宋" w:hAnsi="仿宋" w:eastAsia="仿宋" w:cs="仿宋"/>
          <w:i w:val="0"/>
          <w:color w:val="auto"/>
          <w:highlight w:val="none"/>
          <w:shd w:val="clear" w:color="auto" w:fill="FFFFFF"/>
        </w:rPr>
        <w:t>（关键组件）</w:t>
      </w:r>
      <w:r>
        <w:rPr>
          <w:rStyle w:val="49"/>
          <w:rFonts w:hint="eastAsia" w:ascii="仿宋" w:hAnsi="仿宋" w:eastAsia="仿宋" w:cs="仿宋"/>
          <w:i w:val="0"/>
          <w:color w:val="auto"/>
          <w:highlight w:val="none"/>
          <w:shd w:val="clear" w:color="auto" w:fill="FFFFFF"/>
          <w:vertAlign w:val="superscript"/>
        </w:rPr>
        <w:t>4</w:t>
      </w:r>
      <w:r>
        <w:rPr>
          <w:rFonts w:hint="eastAsia" w:ascii="仿宋" w:hAnsi="仿宋" w:eastAsia="仿宋" w:cs="仿宋"/>
          <w:color w:val="auto"/>
          <w:highlight w:val="none"/>
          <w:shd w:val="clear" w:color="auto" w:fill="FFFFFF"/>
        </w:rPr>
        <w:t>在中国境内生产。</w:t>
      </w:r>
      <w:r>
        <w:rPr>
          <w:rStyle w:val="49"/>
          <w:rFonts w:hint="eastAsia" w:ascii="仿宋" w:hAnsi="仿宋" w:eastAsia="仿宋" w:cs="仿宋"/>
          <w:i w:val="0"/>
          <w:color w:val="auto"/>
          <w:highlight w:val="none"/>
          <w:shd w:val="clear" w:color="auto" w:fill="FFFFFF"/>
        </w:rPr>
        <w:t>（产品名称1）</w:t>
      </w:r>
      <w:r>
        <w:rPr>
          <w:rFonts w:hint="eastAsia" w:ascii="仿宋" w:hAnsi="仿宋" w:eastAsia="仿宋" w:cs="仿宋"/>
          <w:color w:val="auto"/>
          <w:highlight w:val="none"/>
          <w:shd w:val="clear" w:color="auto" w:fill="FFFFFF"/>
        </w:rPr>
        <w:t>的</w:t>
      </w:r>
      <w:r>
        <w:rPr>
          <w:rStyle w:val="49"/>
          <w:rFonts w:hint="eastAsia" w:ascii="仿宋" w:hAnsi="仿宋" w:eastAsia="仿宋" w:cs="仿宋"/>
          <w:i w:val="0"/>
          <w:color w:val="auto"/>
          <w:highlight w:val="none"/>
          <w:shd w:val="clear" w:color="auto" w:fill="FFFFFF"/>
        </w:rPr>
        <w:t>（关键工序）</w:t>
      </w:r>
      <w:r>
        <w:rPr>
          <w:rStyle w:val="49"/>
          <w:rFonts w:hint="eastAsia" w:ascii="仿宋" w:hAnsi="仿宋" w:eastAsia="仿宋" w:cs="仿宋"/>
          <w:i w:val="0"/>
          <w:color w:val="auto"/>
          <w:highlight w:val="none"/>
          <w:shd w:val="clear" w:color="auto" w:fill="FFFFFF"/>
          <w:vertAlign w:val="superscript"/>
        </w:rPr>
        <w:t>5</w:t>
      </w:r>
      <w:r>
        <w:rPr>
          <w:rFonts w:hint="eastAsia" w:ascii="仿宋" w:hAnsi="仿宋" w:eastAsia="仿宋" w:cs="仿宋"/>
          <w:color w:val="auto"/>
          <w:highlight w:val="none"/>
          <w:shd w:val="clear" w:color="auto" w:fill="FFFFFF"/>
        </w:rPr>
        <w:t>在中国境内完成。</w:t>
      </w:r>
    </w:p>
    <w:p w14:paraId="7611B7BD">
      <w:pPr>
        <w:pStyle w:val="37"/>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2.</w:t>
      </w:r>
      <w:r>
        <w:rPr>
          <w:rStyle w:val="49"/>
          <w:rFonts w:hint="eastAsia" w:ascii="仿宋" w:hAnsi="仿宋" w:eastAsia="仿宋" w:cs="仿宋"/>
          <w:i w:val="0"/>
          <w:color w:val="auto"/>
          <w:highlight w:val="none"/>
          <w:shd w:val="clear" w:color="auto" w:fill="FFFFFF"/>
        </w:rPr>
        <w:t>（产品名称2）</w:t>
      </w:r>
      <w:r>
        <w:rPr>
          <w:rFonts w:hint="eastAsia" w:ascii="仿宋" w:hAnsi="仿宋" w:eastAsia="仿宋" w:cs="仿宋"/>
          <w:color w:val="auto"/>
          <w:highlight w:val="none"/>
          <w:shd w:val="clear" w:color="auto" w:fill="FFFFFF"/>
        </w:rPr>
        <w:t>，生产厂为</w:t>
      </w:r>
      <w:r>
        <w:rPr>
          <w:rStyle w:val="49"/>
          <w:rFonts w:hint="eastAsia" w:ascii="仿宋" w:hAnsi="仿宋" w:eastAsia="仿宋" w:cs="仿宋"/>
          <w:i w:val="0"/>
          <w:color w:val="auto"/>
          <w:highlight w:val="none"/>
          <w:shd w:val="clear" w:color="auto" w:fill="FFFFFF"/>
        </w:rPr>
        <w:t>（厂名）</w:t>
      </w:r>
      <w:r>
        <w:rPr>
          <w:rFonts w:hint="eastAsia" w:ascii="仿宋" w:hAnsi="仿宋" w:eastAsia="仿宋" w:cs="仿宋"/>
          <w:color w:val="auto"/>
          <w:highlight w:val="none"/>
          <w:shd w:val="clear" w:color="auto" w:fill="FFFFFF"/>
        </w:rPr>
        <w:t>，厂址为</w:t>
      </w:r>
      <w:r>
        <w:rPr>
          <w:rStyle w:val="49"/>
          <w:rFonts w:hint="eastAsia" w:ascii="仿宋" w:hAnsi="仿宋" w:eastAsia="仿宋" w:cs="仿宋"/>
          <w:i w:val="0"/>
          <w:color w:val="auto"/>
          <w:highlight w:val="none"/>
          <w:shd w:val="clear" w:color="auto" w:fill="FFFFFF"/>
        </w:rPr>
        <w:t>（生产厂址）</w:t>
      </w:r>
      <w:r>
        <w:rPr>
          <w:rFonts w:hint="eastAsia" w:ascii="仿宋" w:hAnsi="仿宋" w:eastAsia="仿宋" w:cs="仿宋"/>
          <w:color w:val="auto"/>
          <w:highlight w:val="none"/>
          <w:shd w:val="clear" w:color="auto" w:fill="FFFFFF"/>
        </w:rPr>
        <w:t>。</w:t>
      </w:r>
      <w:r>
        <w:rPr>
          <w:rStyle w:val="49"/>
          <w:rFonts w:hint="eastAsia" w:ascii="仿宋" w:hAnsi="仿宋" w:eastAsia="仿宋" w:cs="仿宋"/>
          <w:i w:val="0"/>
          <w:color w:val="auto"/>
          <w:highlight w:val="none"/>
          <w:shd w:val="clear" w:color="auto" w:fill="FFFFFF"/>
        </w:rPr>
        <w:t>（产品名称2）</w:t>
      </w:r>
      <w:r>
        <w:rPr>
          <w:rFonts w:hint="eastAsia" w:ascii="仿宋" w:hAnsi="仿宋" w:eastAsia="仿宋" w:cs="仿宋"/>
          <w:color w:val="auto"/>
          <w:highlight w:val="none"/>
          <w:shd w:val="clear" w:color="auto" w:fill="FFFFFF"/>
        </w:rPr>
        <w:t>的中国境内生产的组件成本占比≥</w:t>
      </w:r>
      <w:r>
        <w:rPr>
          <w:rStyle w:val="49"/>
          <w:rFonts w:hint="eastAsia" w:ascii="仿宋" w:hAnsi="仿宋" w:eastAsia="仿宋" w:cs="仿宋"/>
          <w:i w:val="0"/>
          <w:color w:val="auto"/>
          <w:highlight w:val="none"/>
          <w:shd w:val="clear" w:color="auto" w:fill="FFFFFF"/>
        </w:rPr>
        <w:t>（规定比例）</w:t>
      </w:r>
      <w:r>
        <w:rPr>
          <w:rFonts w:hint="eastAsia" w:ascii="仿宋" w:hAnsi="仿宋" w:eastAsia="仿宋" w:cs="仿宋"/>
          <w:color w:val="auto"/>
          <w:highlight w:val="none"/>
          <w:shd w:val="clear" w:color="auto" w:fill="FFFFFF"/>
        </w:rPr>
        <w:t>。</w:t>
      </w:r>
      <w:r>
        <w:rPr>
          <w:rStyle w:val="49"/>
          <w:rFonts w:hint="eastAsia" w:ascii="仿宋" w:hAnsi="仿宋" w:eastAsia="仿宋" w:cs="仿宋"/>
          <w:i w:val="0"/>
          <w:color w:val="auto"/>
          <w:highlight w:val="none"/>
          <w:shd w:val="clear" w:color="auto" w:fill="FFFFFF"/>
        </w:rPr>
        <w:t>（产品名称2）</w:t>
      </w:r>
      <w:r>
        <w:rPr>
          <w:rFonts w:hint="eastAsia" w:ascii="仿宋" w:hAnsi="仿宋" w:eastAsia="仿宋" w:cs="仿宋"/>
          <w:color w:val="auto"/>
          <w:highlight w:val="none"/>
          <w:shd w:val="clear" w:color="auto" w:fill="FFFFFF"/>
        </w:rPr>
        <w:t>的</w:t>
      </w:r>
      <w:r>
        <w:rPr>
          <w:rStyle w:val="49"/>
          <w:rFonts w:hint="eastAsia" w:ascii="仿宋" w:hAnsi="仿宋" w:eastAsia="仿宋" w:cs="仿宋"/>
          <w:i w:val="0"/>
          <w:color w:val="auto"/>
          <w:highlight w:val="none"/>
          <w:shd w:val="clear" w:color="auto" w:fill="FFFFFF"/>
        </w:rPr>
        <w:t>（关键组件）</w:t>
      </w:r>
      <w:r>
        <w:rPr>
          <w:rFonts w:hint="eastAsia" w:ascii="仿宋" w:hAnsi="仿宋" w:eastAsia="仿宋" w:cs="仿宋"/>
          <w:color w:val="auto"/>
          <w:highlight w:val="none"/>
          <w:shd w:val="clear" w:color="auto" w:fill="FFFFFF"/>
        </w:rPr>
        <w:t>在中国境内生产。</w:t>
      </w:r>
      <w:r>
        <w:rPr>
          <w:rStyle w:val="49"/>
          <w:rFonts w:hint="eastAsia" w:ascii="仿宋" w:hAnsi="仿宋" w:eastAsia="仿宋" w:cs="仿宋"/>
          <w:i w:val="0"/>
          <w:color w:val="auto"/>
          <w:highlight w:val="none"/>
          <w:shd w:val="clear" w:color="auto" w:fill="FFFFFF"/>
        </w:rPr>
        <w:t>（产品名称2）</w:t>
      </w:r>
      <w:r>
        <w:rPr>
          <w:rFonts w:hint="eastAsia" w:ascii="仿宋" w:hAnsi="仿宋" w:eastAsia="仿宋" w:cs="仿宋"/>
          <w:color w:val="auto"/>
          <w:highlight w:val="none"/>
          <w:shd w:val="clear" w:color="auto" w:fill="FFFFFF"/>
        </w:rPr>
        <w:t>的</w:t>
      </w:r>
      <w:r>
        <w:rPr>
          <w:rStyle w:val="49"/>
          <w:rFonts w:hint="eastAsia" w:ascii="仿宋" w:hAnsi="仿宋" w:eastAsia="仿宋" w:cs="仿宋"/>
          <w:i w:val="0"/>
          <w:color w:val="auto"/>
          <w:highlight w:val="none"/>
          <w:shd w:val="clear" w:color="auto" w:fill="FFFFFF"/>
        </w:rPr>
        <w:t>（关键工序）</w:t>
      </w:r>
      <w:r>
        <w:rPr>
          <w:rFonts w:hint="eastAsia" w:ascii="仿宋" w:hAnsi="仿宋" w:eastAsia="仿宋" w:cs="仿宋"/>
          <w:color w:val="auto"/>
          <w:highlight w:val="none"/>
          <w:shd w:val="clear" w:color="auto" w:fill="FFFFFF"/>
        </w:rPr>
        <w:t>在中国境内完成。</w:t>
      </w:r>
    </w:p>
    <w:p w14:paraId="20C2C759">
      <w:pPr>
        <w:pStyle w:val="37"/>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w:t>
      </w:r>
    </w:p>
    <w:p w14:paraId="6B665435">
      <w:pPr>
        <w:pStyle w:val="37"/>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本公司（单位）对上述声明内容的真实性负责。如有虚假，愿承担相应法律责任。</w:t>
      </w:r>
    </w:p>
    <w:p w14:paraId="4FB95BE8">
      <w:pPr>
        <w:pStyle w:val="37"/>
        <w:shd w:val="clear" w:color="auto" w:fill="FFFFFF"/>
        <w:spacing w:before="20" w:beforeAutospacing="0" w:after="20" w:afterAutospacing="0" w:line="360" w:lineRule="auto"/>
        <w:ind w:firstLine="420"/>
        <w:jc w:val="right"/>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公司（单位）名称（盖章）：      </w:t>
      </w:r>
    </w:p>
    <w:p w14:paraId="1507A76E">
      <w:pPr>
        <w:pStyle w:val="37"/>
        <w:shd w:val="clear" w:color="auto" w:fill="FFFFFF"/>
        <w:spacing w:before="20" w:beforeAutospacing="0" w:after="20" w:afterAutospacing="0" w:line="360" w:lineRule="auto"/>
        <w:ind w:firstLine="420"/>
        <w:jc w:val="right"/>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日期：　　　　　年　　月　日    </w:t>
      </w:r>
    </w:p>
    <w:p w14:paraId="61AED9C3">
      <w:pPr>
        <w:pStyle w:val="37"/>
        <w:shd w:val="clear" w:color="auto" w:fill="FFFFFF"/>
        <w:spacing w:before="20" w:beforeAutospacing="0" w:after="20" w:afterAutospacing="0" w:line="360" w:lineRule="auto"/>
        <w:ind w:firstLine="420"/>
        <w:rPr>
          <w:rFonts w:hint="eastAsia" w:ascii="仿宋" w:hAnsi="仿宋" w:eastAsia="仿宋" w:cs="仿宋"/>
          <w:color w:val="auto"/>
          <w:highlight w:val="none"/>
        </w:rPr>
      </w:pPr>
    </w:p>
    <w:p w14:paraId="0BE4ED87">
      <w:pPr>
        <w:pStyle w:val="37"/>
        <w:shd w:val="clear" w:color="auto" w:fill="FFFFFF"/>
        <w:spacing w:before="20" w:beforeAutospacing="0" w:after="20" w:afterAutospacing="0" w:line="360" w:lineRule="auto"/>
        <w:ind w:firstLine="420"/>
        <w:rPr>
          <w:rFonts w:hint="eastAsia" w:ascii="仿宋" w:hAnsi="仿宋" w:eastAsia="仿宋" w:cs="仿宋"/>
          <w:color w:val="auto"/>
          <w:highlight w:val="none"/>
        </w:rPr>
      </w:pPr>
    </w:p>
    <w:p w14:paraId="687905CB">
      <w:pPr>
        <w:pStyle w:val="37"/>
        <w:shd w:val="clear" w:color="auto" w:fill="FFFFFF"/>
        <w:spacing w:before="20" w:beforeAutospacing="0" w:after="20" w:afterAutospacing="0" w:line="360" w:lineRule="auto"/>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_____________________________</w:t>
      </w:r>
    </w:p>
    <w:p w14:paraId="05E02DF7">
      <w:pPr>
        <w:pStyle w:val="37"/>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1.产品如有型号，请在“产品名称”栏一并填写。</w:t>
      </w:r>
    </w:p>
    <w:p w14:paraId="045021D1">
      <w:pPr>
        <w:pStyle w:val="37"/>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2.生产厂名与厂址应与生产厂营业执照载明的相关信息保持一致。</w:t>
      </w:r>
    </w:p>
    <w:p w14:paraId="112E148A">
      <w:pPr>
        <w:pStyle w:val="37"/>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3.该产品的中国境内生产的组件成本占比相关要求实施前，“规定比例”栏可不填，下同。</w:t>
      </w:r>
    </w:p>
    <w:p w14:paraId="2FD69BCB">
      <w:pPr>
        <w:pStyle w:val="37"/>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4.该产品的关键组件要求实施前，“关键组件”栏可不填，下同。</w:t>
      </w:r>
    </w:p>
    <w:p w14:paraId="57239449">
      <w:pPr>
        <w:pStyle w:val="37"/>
        <w:shd w:val="clear" w:color="auto" w:fill="FFFFFF"/>
        <w:spacing w:before="20" w:beforeAutospacing="0" w:after="20" w:afterAutospacing="0" w:line="360" w:lineRule="auto"/>
        <w:ind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5.该产品的关键工序要求实施前，“关键工序”栏可不填，下同。</w:t>
      </w:r>
    </w:p>
    <w:p w14:paraId="0AFC90AF">
      <w:pPr>
        <w:spacing w:line="360" w:lineRule="auto"/>
        <w:rPr>
          <w:rFonts w:hint="eastAsia" w:ascii="仿宋" w:hAnsi="仿宋" w:eastAsia="仿宋" w:cs="仿宋"/>
          <w:color w:val="auto"/>
          <w:sz w:val="24"/>
          <w:szCs w:val="24"/>
          <w:highlight w:val="none"/>
        </w:rPr>
      </w:pPr>
    </w:p>
    <w:p w14:paraId="16474D16">
      <w:pPr>
        <w:spacing w:line="360" w:lineRule="auto"/>
        <w:rPr>
          <w:rFonts w:hint="eastAsia" w:ascii="仿宋" w:hAnsi="仿宋" w:eastAsia="仿宋" w:cs="仿宋"/>
          <w:color w:val="auto"/>
          <w:sz w:val="24"/>
          <w:szCs w:val="24"/>
          <w:highlight w:val="none"/>
          <w:shd w:val="clear" w:color="auto" w:fill="FFFFFF" w:themeFill="background1"/>
        </w:rPr>
      </w:pPr>
    </w:p>
    <w:sectPr>
      <w:headerReference r:id="rId8" w:type="default"/>
      <w:footerReference r:id="rId9" w:type="default"/>
      <w:pgSz w:w="11906" w:h="16838"/>
      <w:pgMar w:top="1134" w:right="1418" w:bottom="1134" w:left="1418" w:header="851" w:footer="992" w:gutter="0"/>
      <w:cols w:space="425"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
    <w:altName w:val="Times New Roman"/>
    <w:panose1 w:val="00000000000000000000"/>
    <w:charset w:val="00"/>
    <w:family w:val="auto"/>
    <w:pitch w:val="default"/>
    <w:sig w:usb0="00000000" w:usb1="00000000" w:usb2="00000000" w:usb3="00000000" w:csb0="00000001" w:csb1="00000000"/>
  </w:font>
  <w:font w:name="??">
    <w:altName w:val="宋体"/>
    <w:panose1 w:val="00000000000000000000"/>
    <w:charset w:val="86"/>
    <w:family w:val="roman"/>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monospace">
    <w:altName w:val="Courier New"/>
    <w:panose1 w:val="00000000000000000000"/>
    <w:charset w:val="00"/>
    <w:family w:val="auto"/>
    <w:pitch w:val="default"/>
    <w:sig w:usb0="00000000" w:usb1="00000000" w:usb2="00000000" w:usb3="00000000" w:csb0="00000001" w:csb1="00000000"/>
  </w:font>
  <w:font w:name="Trebuchet MS">
    <w:panose1 w:val="020B0603020202020204"/>
    <w:charset w:val="00"/>
    <w:family w:val="swiss"/>
    <w:pitch w:val="default"/>
    <w:sig w:usb0="00000687" w:usb1="00000000" w:usb2="00000000" w:usb3="00000000" w:csb0="2000009F" w:csb1="00000000"/>
  </w:font>
  <w:font w:name="方正仿宋简体">
    <w:altName w:val="微软雅黑"/>
    <w:panose1 w:val="00000000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0000000000000000000"/>
    <w:charset w:val="86"/>
    <w:family w:val="auto"/>
    <w:pitch w:val="default"/>
    <w:sig w:usb0="00000000" w:usb1="00000000" w:usb2="00000000" w:usb3="00000000" w:csb0="00040000" w:csb1="00000000"/>
  </w:font>
  <w:font w:name="华文仿宋">
    <w:panose1 w:val="02010600040101010101"/>
    <w:charset w:val="86"/>
    <w:family w:val="auto"/>
    <w:pitch w:val="default"/>
    <w:sig w:usb0="00000287" w:usb1="080F0000" w:usb2="00000000" w:usb3="00000000" w:csb0="0004009F" w:csb1="DFD70000"/>
  </w:font>
  <w:font w:name="Tms Rmn">
    <w:altName w:val="Segoe Print"/>
    <w:panose1 w:val="02020603040505020304"/>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Verdana">
    <w:panose1 w:val="020B0604030504040204"/>
    <w:charset w:val="00"/>
    <w:family w:val="swiss"/>
    <w:pitch w:val="default"/>
    <w:sig w:usb0="A00006FF" w:usb1="4000205B" w:usb2="0000001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49FEE9">
    <w:pPr>
      <w:pStyle w:val="23"/>
      <w:jc w:val="center"/>
      <w:rPr>
        <w:rFonts w:hint="eastAsia" w:asciiTheme="minorEastAsia" w:hAnsiTheme="minorEastAsia" w:eastAsiaTheme="minorEastAsia"/>
        <w:sz w:val="21"/>
        <w:szCs w:val="21"/>
        <w:lang w:val="zh-C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A72334">
    <w:pPr>
      <w:pStyle w:val="23"/>
      <w:framePr w:wrap="around" w:vAnchor="text" w:hAnchor="margin" w:xAlign="center" w:y="1"/>
      <w:rPr>
        <w:rStyle w:val="47"/>
      </w:rPr>
    </w:pPr>
    <w:r>
      <w:rPr>
        <w:rStyle w:val="47"/>
      </w:rPr>
      <w:fldChar w:fldCharType="begin"/>
    </w:r>
    <w:r>
      <w:rPr>
        <w:rStyle w:val="47"/>
      </w:rPr>
      <w:instrText xml:space="preserve">PAGE  </w:instrText>
    </w:r>
    <w:r>
      <w:rPr>
        <w:rStyle w:val="47"/>
      </w:rPr>
      <w:fldChar w:fldCharType="separate"/>
    </w:r>
    <w:r>
      <w:rPr>
        <w:rStyle w:val="47"/>
      </w:rPr>
      <w:t>68</w:t>
    </w:r>
    <w:r>
      <w:rPr>
        <w:rStyle w:val="47"/>
      </w:rPr>
      <w:fldChar w:fldCharType="end"/>
    </w:r>
  </w:p>
  <w:p w14:paraId="7CFE6338">
    <w:pPr>
      <w:pStyle w:val="2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266432">
    <w:pPr>
      <w:pStyle w:val="23"/>
      <w:jc w:val="center"/>
      <w:rPr>
        <w:rFonts w:hint="eastAsia" w:asciiTheme="minorEastAsia" w:hAnsiTheme="minorEastAsia" w:eastAsiaTheme="minorEastAsia"/>
        <w:sz w:val="21"/>
        <w:szCs w:val="21"/>
      </w:rPr>
    </w:pPr>
    <w:r>
      <w:rPr>
        <w:rFonts w:asciiTheme="minorEastAsia" w:hAnsiTheme="minorEastAsia" w:eastAsiaTheme="minorEastAsia"/>
        <w:sz w:val="21"/>
        <w:szCs w:val="21"/>
      </w:rPr>
      <w:fldChar w:fldCharType="begin"/>
    </w:r>
    <w:r>
      <w:rPr>
        <w:rFonts w:asciiTheme="minorEastAsia" w:hAnsiTheme="minorEastAsia" w:eastAsiaTheme="minorEastAsia"/>
        <w:sz w:val="21"/>
        <w:szCs w:val="21"/>
      </w:rPr>
      <w:instrText xml:space="preserve"> PAGE   \* MERGEFORMAT </w:instrText>
    </w:r>
    <w:r>
      <w:rPr>
        <w:rFonts w:asciiTheme="minorEastAsia" w:hAnsiTheme="minorEastAsia" w:eastAsiaTheme="minorEastAsia"/>
        <w:sz w:val="21"/>
        <w:szCs w:val="21"/>
      </w:rPr>
      <w:fldChar w:fldCharType="separate"/>
    </w:r>
    <w:r>
      <w:rPr>
        <w:rFonts w:asciiTheme="minorEastAsia" w:hAnsiTheme="minorEastAsia" w:eastAsiaTheme="minorEastAsia"/>
        <w:sz w:val="21"/>
        <w:szCs w:val="21"/>
        <w:lang w:val="zh-CN"/>
      </w:rPr>
      <w:t>3</w:t>
    </w:r>
    <w:r>
      <w:rPr>
        <w:rFonts w:asciiTheme="minorEastAsia" w:hAnsiTheme="minorEastAsia" w:eastAsiaTheme="minorEastAsia"/>
        <w:sz w:val="21"/>
        <w:szCs w:val="21"/>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hint="eastAsia" w:ascii="仿宋" w:hAnsi="仿宋" w:eastAsia="仿宋" w:cs="仿宋"/>
        <w:sz w:val="24"/>
        <w:szCs w:val="24"/>
      </w:rPr>
      <w:id w:val="147460240"/>
    </w:sdtPr>
    <w:sdtEndPr>
      <w:rPr>
        <w:rFonts w:hint="eastAsia" w:ascii="仿宋" w:hAnsi="仿宋" w:eastAsia="仿宋" w:cs="仿宋"/>
        <w:sz w:val="24"/>
        <w:szCs w:val="24"/>
      </w:rPr>
    </w:sdtEndPr>
    <w:sdtContent>
      <w:p w14:paraId="35427F79">
        <w:pPr>
          <w:pStyle w:val="23"/>
          <w:jc w:val="center"/>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PAGE   \* MERGEFORMAT</w:instrText>
        </w:r>
        <w:r>
          <w:rPr>
            <w:rFonts w:hint="eastAsia" w:ascii="仿宋" w:hAnsi="仿宋" w:eastAsia="仿宋" w:cs="仿宋"/>
            <w:sz w:val="24"/>
            <w:szCs w:val="24"/>
          </w:rPr>
          <w:fldChar w:fldCharType="separate"/>
        </w:r>
        <w:r>
          <w:rPr>
            <w:rFonts w:hint="eastAsia" w:ascii="仿宋" w:hAnsi="仿宋" w:eastAsia="仿宋" w:cs="仿宋"/>
            <w:sz w:val="24"/>
            <w:szCs w:val="24"/>
            <w:lang w:val="zh-CN"/>
          </w:rPr>
          <w:t>30</w:t>
        </w:r>
        <w:r>
          <w:rPr>
            <w:rFonts w:hint="eastAsia" w:ascii="仿宋" w:hAnsi="仿宋" w:eastAsia="仿宋" w:cs="仿宋"/>
            <w:sz w:val="24"/>
            <w:szCs w:val="24"/>
          </w:rPr>
          <w:fldChar w:fldCharType="end"/>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hint="eastAsia" w:ascii="仿宋" w:hAnsi="仿宋" w:eastAsia="仿宋" w:cs="仿宋"/>
        <w:sz w:val="24"/>
        <w:szCs w:val="24"/>
      </w:rPr>
      <w:id w:val="-367532114"/>
    </w:sdtPr>
    <w:sdtEndPr>
      <w:rPr>
        <w:rFonts w:hint="eastAsia" w:ascii="仿宋" w:hAnsi="仿宋" w:eastAsia="仿宋" w:cs="仿宋"/>
        <w:sz w:val="24"/>
        <w:szCs w:val="24"/>
        <w:lang w:val="zh-CN"/>
      </w:rPr>
    </w:sdtEndPr>
    <w:sdtContent>
      <w:p w14:paraId="6B74787C">
        <w:pPr>
          <w:pStyle w:val="23"/>
          <w:ind w:right="360"/>
          <w:jc w:val="center"/>
          <w:rPr>
            <w:rFonts w:hint="eastAsia" w:ascii="仿宋" w:hAnsi="仿宋" w:eastAsia="仿宋" w:cs="仿宋"/>
            <w:sz w:val="24"/>
            <w:szCs w:val="24"/>
            <w:lang w:val="zh-CN"/>
          </w:rPr>
        </w:pPr>
        <w:r>
          <w:rPr>
            <w:rFonts w:hint="eastAsia" w:ascii="仿宋" w:hAnsi="仿宋" w:eastAsia="仿宋" w:cs="仿宋"/>
            <w:sz w:val="24"/>
            <w:szCs w:val="24"/>
            <w:lang w:val="zh-CN"/>
          </w:rPr>
          <w:fldChar w:fldCharType="begin"/>
        </w:r>
        <w:r>
          <w:rPr>
            <w:rFonts w:hint="eastAsia" w:ascii="仿宋" w:hAnsi="仿宋" w:eastAsia="仿宋" w:cs="仿宋"/>
            <w:sz w:val="24"/>
            <w:szCs w:val="24"/>
            <w:lang w:val="zh-CN"/>
          </w:rPr>
          <w:instrText xml:space="preserve">PAGE   \* MERGEFORMAT</w:instrText>
        </w:r>
        <w:r>
          <w:rPr>
            <w:rFonts w:hint="eastAsia" w:ascii="仿宋" w:hAnsi="仿宋" w:eastAsia="仿宋" w:cs="仿宋"/>
            <w:sz w:val="24"/>
            <w:szCs w:val="24"/>
            <w:lang w:val="zh-CN"/>
          </w:rPr>
          <w:fldChar w:fldCharType="separate"/>
        </w:r>
        <w:r>
          <w:rPr>
            <w:rFonts w:hint="eastAsia" w:ascii="仿宋" w:hAnsi="仿宋" w:eastAsia="仿宋" w:cs="仿宋"/>
            <w:sz w:val="24"/>
            <w:szCs w:val="24"/>
            <w:lang w:val="zh-CN"/>
          </w:rPr>
          <w:t>68</w:t>
        </w:r>
        <w:r>
          <w:rPr>
            <w:rFonts w:hint="eastAsia" w:ascii="仿宋" w:hAnsi="仿宋" w:eastAsia="仿宋" w:cs="仿宋"/>
            <w:sz w:val="24"/>
            <w:szCs w:val="24"/>
            <w:lang w:val="zh-CN"/>
          </w:rPr>
          <w:fldChar w:fldCharType="end"/>
        </w:r>
      </w:p>
    </w:sdtContent>
  </w:sdt>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D0667B">
    <w:pPr>
      <w:pStyle w:val="24"/>
      <w:pBdr>
        <w:bottom w:val="none" w:color="auto" w:sz="0" w:space="0"/>
      </w:pBdr>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2046DD">
    <w:pPr>
      <w:pStyle w:val="24"/>
      <w:pBdr>
        <w:bottom w:val="none" w:color="auto" w:sz="0" w:space="0"/>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0E1D8E5"/>
    <w:multiLevelType w:val="singleLevel"/>
    <w:tmpl w:val="D0E1D8E5"/>
    <w:lvl w:ilvl="0" w:tentative="0">
      <w:start w:val="1"/>
      <w:numFmt w:val="decimal"/>
      <w:lvlText w:val="%1."/>
      <w:lvlJc w:val="left"/>
      <w:pPr>
        <w:tabs>
          <w:tab w:val="left" w:pos="312"/>
        </w:tabs>
      </w:pPr>
    </w:lvl>
  </w:abstractNum>
  <w:abstractNum w:abstractNumId="1">
    <w:nsid w:val="644E5166"/>
    <w:multiLevelType w:val="multilevel"/>
    <w:tmpl w:val="644E5166"/>
    <w:lvl w:ilvl="0" w:tentative="0">
      <w:start w:val="1"/>
      <w:numFmt w:val="decimal"/>
      <w:lvlText w:val="（%1）"/>
      <w:lvlJc w:val="left"/>
      <w:pPr>
        <w:ind w:left="1200" w:hanging="72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hideSpellingErrors/>
  <w:documentProtection w:formatting="1" w:enforcement="0"/>
  <w:defaultTabStop w:val="420"/>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E5YzQ0MWM2NDg3NzAxNTI3MDYxNmNiYmNjZWVhNTgifQ=="/>
    <w:docVar w:name="KSO_WPS_MARK_KEY" w:val="8964930e-b812-44f6-ad31-5e90c699a630"/>
  </w:docVars>
  <w:rsids>
    <w:rsidRoot w:val="00172A27"/>
    <w:rsid w:val="00001340"/>
    <w:rsid w:val="00003F6D"/>
    <w:rsid w:val="00004DAA"/>
    <w:rsid w:val="0000568A"/>
    <w:rsid w:val="00006BD9"/>
    <w:rsid w:val="00007487"/>
    <w:rsid w:val="00007BA8"/>
    <w:rsid w:val="00013484"/>
    <w:rsid w:val="000149FB"/>
    <w:rsid w:val="00014F7D"/>
    <w:rsid w:val="000159AC"/>
    <w:rsid w:val="000162FE"/>
    <w:rsid w:val="00016F23"/>
    <w:rsid w:val="00020B17"/>
    <w:rsid w:val="000212A6"/>
    <w:rsid w:val="00022B09"/>
    <w:rsid w:val="00022B6E"/>
    <w:rsid w:val="00022B77"/>
    <w:rsid w:val="000244CA"/>
    <w:rsid w:val="00025CCF"/>
    <w:rsid w:val="00026F71"/>
    <w:rsid w:val="00030171"/>
    <w:rsid w:val="000304C4"/>
    <w:rsid w:val="00033566"/>
    <w:rsid w:val="000335F4"/>
    <w:rsid w:val="00036B12"/>
    <w:rsid w:val="000400E8"/>
    <w:rsid w:val="00046152"/>
    <w:rsid w:val="0005003E"/>
    <w:rsid w:val="00050467"/>
    <w:rsid w:val="000536BB"/>
    <w:rsid w:val="0005677C"/>
    <w:rsid w:val="000604DE"/>
    <w:rsid w:val="000616A1"/>
    <w:rsid w:val="00062A04"/>
    <w:rsid w:val="00063C04"/>
    <w:rsid w:val="000641A9"/>
    <w:rsid w:val="00065D98"/>
    <w:rsid w:val="00070AF5"/>
    <w:rsid w:val="00071140"/>
    <w:rsid w:val="00071492"/>
    <w:rsid w:val="00071EBA"/>
    <w:rsid w:val="000726EA"/>
    <w:rsid w:val="00072968"/>
    <w:rsid w:val="00073D96"/>
    <w:rsid w:val="0007571C"/>
    <w:rsid w:val="000762D4"/>
    <w:rsid w:val="0007797D"/>
    <w:rsid w:val="0008025F"/>
    <w:rsid w:val="0008034C"/>
    <w:rsid w:val="00080E16"/>
    <w:rsid w:val="0008176E"/>
    <w:rsid w:val="00081BD3"/>
    <w:rsid w:val="0008215D"/>
    <w:rsid w:val="00082FC4"/>
    <w:rsid w:val="00083B64"/>
    <w:rsid w:val="00085BB6"/>
    <w:rsid w:val="000904A3"/>
    <w:rsid w:val="000916AB"/>
    <w:rsid w:val="000923E8"/>
    <w:rsid w:val="000941A8"/>
    <w:rsid w:val="00094989"/>
    <w:rsid w:val="000A02F9"/>
    <w:rsid w:val="000A1822"/>
    <w:rsid w:val="000A32B9"/>
    <w:rsid w:val="000A3552"/>
    <w:rsid w:val="000A3C63"/>
    <w:rsid w:val="000A68F0"/>
    <w:rsid w:val="000B0F6F"/>
    <w:rsid w:val="000B210F"/>
    <w:rsid w:val="000B331B"/>
    <w:rsid w:val="000B581D"/>
    <w:rsid w:val="000B74E1"/>
    <w:rsid w:val="000B797D"/>
    <w:rsid w:val="000C3368"/>
    <w:rsid w:val="000C388B"/>
    <w:rsid w:val="000C3905"/>
    <w:rsid w:val="000C62C3"/>
    <w:rsid w:val="000D171A"/>
    <w:rsid w:val="000D37C8"/>
    <w:rsid w:val="000D3B49"/>
    <w:rsid w:val="000D7CE7"/>
    <w:rsid w:val="000E20F2"/>
    <w:rsid w:val="000E5B9C"/>
    <w:rsid w:val="000E6FF4"/>
    <w:rsid w:val="000E7461"/>
    <w:rsid w:val="000E7AF9"/>
    <w:rsid w:val="000E7B9A"/>
    <w:rsid w:val="000F1BFD"/>
    <w:rsid w:val="000F2511"/>
    <w:rsid w:val="000F74B7"/>
    <w:rsid w:val="00101A72"/>
    <w:rsid w:val="00101AA4"/>
    <w:rsid w:val="001060B3"/>
    <w:rsid w:val="001063D0"/>
    <w:rsid w:val="0010650C"/>
    <w:rsid w:val="001079FC"/>
    <w:rsid w:val="00107FE2"/>
    <w:rsid w:val="001100D5"/>
    <w:rsid w:val="00112251"/>
    <w:rsid w:val="00114633"/>
    <w:rsid w:val="00115D31"/>
    <w:rsid w:val="00117093"/>
    <w:rsid w:val="00117660"/>
    <w:rsid w:val="0012205E"/>
    <w:rsid w:val="001227D5"/>
    <w:rsid w:val="00123259"/>
    <w:rsid w:val="0012668B"/>
    <w:rsid w:val="001279E1"/>
    <w:rsid w:val="00127B38"/>
    <w:rsid w:val="0013312B"/>
    <w:rsid w:val="00133C36"/>
    <w:rsid w:val="001346CB"/>
    <w:rsid w:val="00134F82"/>
    <w:rsid w:val="00135714"/>
    <w:rsid w:val="001378D2"/>
    <w:rsid w:val="00140D70"/>
    <w:rsid w:val="001411D9"/>
    <w:rsid w:val="00141AF5"/>
    <w:rsid w:val="001431D9"/>
    <w:rsid w:val="00143612"/>
    <w:rsid w:val="00144E0F"/>
    <w:rsid w:val="00145F16"/>
    <w:rsid w:val="00146B4C"/>
    <w:rsid w:val="00146E26"/>
    <w:rsid w:val="001511BA"/>
    <w:rsid w:val="00151679"/>
    <w:rsid w:val="00151E56"/>
    <w:rsid w:val="0015454B"/>
    <w:rsid w:val="0015454E"/>
    <w:rsid w:val="0015472C"/>
    <w:rsid w:val="00154A10"/>
    <w:rsid w:val="00156E77"/>
    <w:rsid w:val="0015794E"/>
    <w:rsid w:val="00160C84"/>
    <w:rsid w:val="00162304"/>
    <w:rsid w:val="00162D5F"/>
    <w:rsid w:val="001635B4"/>
    <w:rsid w:val="001663BF"/>
    <w:rsid w:val="001676DD"/>
    <w:rsid w:val="00171B8B"/>
    <w:rsid w:val="00172A27"/>
    <w:rsid w:val="001733AF"/>
    <w:rsid w:val="00173CD5"/>
    <w:rsid w:val="00176984"/>
    <w:rsid w:val="00176FAD"/>
    <w:rsid w:val="0018101E"/>
    <w:rsid w:val="001825D7"/>
    <w:rsid w:val="0018398B"/>
    <w:rsid w:val="0018468F"/>
    <w:rsid w:val="00186618"/>
    <w:rsid w:val="00190CFC"/>
    <w:rsid w:val="00192309"/>
    <w:rsid w:val="00192531"/>
    <w:rsid w:val="00193A7C"/>
    <w:rsid w:val="001940A4"/>
    <w:rsid w:val="001970FB"/>
    <w:rsid w:val="0019744D"/>
    <w:rsid w:val="001A148C"/>
    <w:rsid w:val="001A1642"/>
    <w:rsid w:val="001A2117"/>
    <w:rsid w:val="001A27D4"/>
    <w:rsid w:val="001A2D5E"/>
    <w:rsid w:val="001A3274"/>
    <w:rsid w:val="001A33AD"/>
    <w:rsid w:val="001A377B"/>
    <w:rsid w:val="001A45DD"/>
    <w:rsid w:val="001A4A04"/>
    <w:rsid w:val="001A4E5A"/>
    <w:rsid w:val="001A5AD8"/>
    <w:rsid w:val="001B1748"/>
    <w:rsid w:val="001B36D6"/>
    <w:rsid w:val="001B7A07"/>
    <w:rsid w:val="001C09A4"/>
    <w:rsid w:val="001C0C4F"/>
    <w:rsid w:val="001C3DA2"/>
    <w:rsid w:val="001C5D03"/>
    <w:rsid w:val="001C7321"/>
    <w:rsid w:val="001D024E"/>
    <w:rsid w:val="001D50A5"/>
    <w:rsid w:val="001D53FB"/>
    <w:rsid w:val="001D79E8"/>
    <w:rsid w:val="001E1D3C"/>
    <w:rsid w:val="001E33A7"/>
    <w:rsid w:val="001E3D69"/>
    <w:rsid w:val="001E4755"/>
    <w:rsid w:val="001E5AAE"/>
    <w:rsid w:val="001E6E8F"/>
    <w:rsid w:val="001E700D"/>
    <w:rsid w:val="001E7813"/>
    <w:rsid w:val="001F22E9"/>
    <w:rsid w:val="001F3A08"/>
    <w:rsid w:val="001F610A"/>
    <w:rsid w:val="001F7725"/>
    <w:rsid w:val="0020058C"/>
    <w:rsid w:val="00200BA8"/>
    <w:rsid w:val="002011FB"/>
    <w:rsid w:val="002016BA"/>
    <w:rsid w:val="0020210D"/>
    <w:rsid w:val="002055DD"/>
    <w:rsid w:val="00205DF6"/>
    <w:rsid w:val="002071B0"/>
    <w:rsid w:val="00207852"/>
    <w:rsid w:val="002115F3"/>
    <w:rsid w:val="00213B45"/>
    <w:rsid w:val="00213C80"/>
    <w:rsid w:val="00215811"/>
    <w:rsid w:val="0022177D"/>
    <w:rsid w:val="0022315A"/>
    <w:rsid w:val="002233BB"/>
    <w:rsid w:val="00225083"/>
    <w:rsid w:val="002250F4"/>
    <w:rsid w:val="00226DEC"/>
    <w:rsid w:val="002271B7"/>
    <w:rsid w:val="0022755E"/>
    <w:rsid w:val="0022787A"/>
    <w:rsid w:val="00231BFB"/>
    <w:rsid w:val="0023316F"/>
    <w:rsid w:val="00234F95"/>
    <w:rsid w:val="0023520B"/>
    <w:rsid w:val="002362FF"/>
    <w:rsid w:val="00236964"/>
    <w:rsid w:val="00236D43"/>
    <w:rsid w:val="00237C99"/>
    <w:rsid w:val="00237D81"/>
    <w:rsid w:val="0024079C"/>
    <w:rsid w:val="00241719"/>
    <w:rsid w:val="00241F93"/>
    <w:rsid w:val="002443C9"/>
    <w:rsid w:val="00245F22"/>
    <w:rsid w:val="002472C0"/>
    <w:rsid w:val="00247F47"/>
    <w:rsid w:val="002508FA"/>
    <w:rsid w:val="00253DC3"/>
    <w:rsid w:val="00254157"/>
    <w:rsid w:val="002541CE"/>
    <w:rsid w:val="002545CB"/>
    <w:rsid w:val="00257F22"/>
    <w:rsid w:val="002604A7"/>
    <w:rsid w:val="00260910"/>
    <w:rsid w:val="00262839"/>
    <w:rsid w:val="00263CA6"/>
    <w:rsid w:val="00264ECA"/>
    <w:rsid w:val="00266F04"/>
    <w:rsid w:val="002677CF"/>
    <w:rsid w:val="00272DDC"/>
    <w:rsid w:val="00276E33"/>
    <w:rsid w:val="0028204B"/>
    <w:rsid w:val="00283F2B"/>
    <w:rsid w:val="00290E87"/>
    <w:rsid w:val="00292040"/>
    <w:rsid w:val="0029280E"/>
    <w:rsid w:val="00294684"/>
    <w:rsid w:val="00294BD6"/>
    <w:rsid w:val="00294D99"/>
    <w:rsid w:val="002967DA"/>
    <w:rsid w:val="00297672"/>
    <w:rsid w:val="002A6A08"/>
    <w:rsid w:val="002A76F7"/>
    <w:rsid w:val="002B0041"/>
    <w:rsid w:val="002B0624"/>
    <w:rsid w:val="002B0980"/>
    <w:rsid w:val="002B0C40"/>
    <w:rsid w:val="002C0E26"/>
    <w:rsid w:val="002C1AFD"/>
    <w:rsid w:val="002C2DD2"/>
    <w:rsid w:val="002C33A1"/>
    <w:rsid w:val="002C3AB5"/>
    <w:rsid w:val="002D10A3"/>
    <w:rsid w:val="002D1BE8"/>
    <w:rsid w:val="002D25D3"/>
    <w:rsid w:val="002D27BF"/>
    <w:rsid w:val="002D2A64"/>
    <w:rsid w:val="002D3439"/>
    <w:rsid w:val="002D6CF2"/>
    <w:rsid w:val="002E0067"/>
    <w:rsid w:val="002E0574"/>
    <w:rsid w:val="002E15A3"/>
    <w:rsid w:val="002E1D0A"/>
    <w:rsid w:val="002E4293"/>
    <w:rsid w:val="002E5AAD"/>
    <w:rsid w:val="002E6176"/>
    <w:rsid w:val="002E6670"/>
    <w:rsid w:val="002E7D55"/>
    <w:rsid w:val="002F10F5"/>
    <w:rsid w:val="002F2283"/>
    <w:rsid w:val="002F54A1"/>
    <w:rsid w:val="002F66E8"/>
    <w:rsid w:val="00300AC7"/>
    <w:rsid w:val="00300C92"/>
    <w:rsid w:val="00301B47"/>
    <w:rsid w:val="00301F82"/>
    <w:rsid w:val="003024B8"/>
    <w:rsid w:val="00303002"/>
    <w:rsid w:val="00304D2D"/>
    <w:rsid w:val="00312306"/>
    <w:rsid w:val="0031257E"/>
    <w:rsid w:val="003131AE"/>
    <w:rsid w:val="00313F13"/>
    <w:rsid w:val="00314210"/>
    <w:rsid w:val="00315623"/>
    <w:rsid w:val="00315D4B"/>
    <w:rsid w:val="00315D59"/>
    <w:rsid w:val="00316DBA"/>
    <w:rsid w:val="00316E96"/>
    <w:rsid w:val="0032116D"/>
    <w:rsid w:val="00321D81"/>
    <w:rsid w:val="003233E1"/>
    <w:rsid w:val="00324A7B"/>
    <w:rsid w:val="003264F1"/>
    <w:rsid w:val="0032668D"/>
    <w:rsid w:val="00326D40"/>
    <w:rsid w:val="00327B52"/>
    <w:rsid w:val="0033094D"/>
    <w:rsid w:val="00330F50"/>
    <w:rsid w:val="00331C14"/>
    <w:rsid w:val="0033356A"/>
    <w:rsid w:val="003344D9"/>
    <w:rsid w:val="00336C8C"/>
    <w:rsid w:val="00336E0F"/>
    <w:rsid w:val="00336F54"/>
    <w:rsid w:val="00336F6F"/>
    <w:rsid w:val="003426B2"/>
    <w:rsid w:val="00343622"/>
    <w:rsid w:val="003458F7"/>
    <w:rsid w:val="00345FE0"/>
    <w:rsid w:val="00350D9E"/>
    <w:rsid w:val="0035279D"/>
    <w:rsid w:val="00353142"/>
    <w:rsid w:val="00357570"/>
    <w:rsid w:val="00360323"/>
    <w:rsid w:val="00360D30"/>
    <w:rsid w:val="00361C9D"/>
    <w:rsid w:val="00361CD5"/>
    <w:rsid w:val="00362CA2"/>
    <w:rsid w:val="00363991"/>
    <w:rsid w:val="00364473"/>
    <w:rsid w:val="003659B8"/>
    <w:rsid w:val="00365DA6"/>
    <w:rsid w:val="00367609"/>
    <w:rsid w:val="00367A6E"/>
    <w:rsid w:val="003706ED"/>
    <w:rsid w:val="00370F25"/>
    <w:rsid w:val="00372DE6"/>
    <w:rsid w:val="003738A8"/>
    <w:rsid w:val="00373CAA"/>
    <w:rsid w:val="003766F5"/>
    <w:rsid w:val="00376E83"/>
    <w:rsid w:val="00381492"/>
    <w:rsid w:val="00382C56"/>
    <w:rsid w:val="00387372"/>
    <w:rsid w:val="00387B8B"/>
    <w:rsid w:val="0039170F"/>
    <w:rsid w:val="003923EF"/>
    <w:rsid w:val="0039269B"/>
    <w:rsid w:val="00395423"/>
    <w:rsid w:val="00396138"/>
    <w:rsid w:val="00396B25"/>
    <w:rsid w:val="003972C3"/>
    <w:rsid w:val="003A2B5A"/>
    <w:rsid w:val="003A5B50"/>
    <w:rsid w:val="003A6FF0"/>
    <w:rsid w:val="003B375E"/>
    <w:rsid w:val="003B3EF1"/>
    <w:rsid w:val="003B508E"/>
    <w:rsid w:val="003B6120"/>
    <w:rsid w:val="003B70AD"/>
    <w:rsid w:val="003B72EC"/>
    <w:rsid w:val="003B75FA"/>
    <w:rsid w:val="003C0B9E"/>
    <w:rsid w:val="003C2CBB"/>
    <w:rsid w:val="003C452F"/>
    <w:rsid w:val="003C6C59"/>
    <w:rsid w:val="003C7619"/>
    <w:rsid w:val="003D01BB"/>
    <w:rsid w:val="003D05EA"/>
    <w:rsid w:val="003D4211"/>
    <w:rsid w:val="003D5B21"/>
    <w:rsid w:val="003D5CDD"/>
    <w:rsid w:val="003D6081"/>
    <w:rsid w:val="003D678F"/>
    <w:rsid w:val="003E1C9B"/>
    <w:rsid w:val="003E27FC"/>
    <w:rsid w:val="003E476A"/>
    <w:rsid w:val="003E4A7A"/>
    <w:rsid w:val="003E612D"/>
    <w:rsid w:val="003F2B4D"/>
    <w:rsid w:val="003F443A"/>
    <w:rsid w:val="003F5C6B"/>
    <w:rsid w:val="00400C51"/>
    <w:rsid w:val="00401A88"/>
    <w:rsid w:val="0040310D"/>
    <w:rsid w:val="00403C31"/>
    <w:rsid w:val="004214CD"/>
    <w:rsid w:val="004220B6"/>
    <w:rsid w:val="00423D2D"/>
    <w:rsid w:val="004269F5"/>
    <w:rsid w:val="00426E22"/>
    <w:rsid w:val="00427988"/>
    <w:rsid w:val="0043107A"/>
    <w:rsid w:val="0043182A"/>
    <w:rsid w:val="00432C0C"/>
    <w:rsid w:val="004334BF"/>
    <w:rsid w:val="00433AA5"/>
    <w:rsid w:val="00433EED"/>
    <w:rsid w:val="00434DA2"/>
    <w:rsid w:val="004360E4"/>
    <w:rsid w:val="004373BC"/>
    <w:rsid w:val="00437914"/>
    <w:rsid w:val="00444EE1"/>
    <w:rsid w:val="004453B8"/>
    <w:rsid w:val="0044799D"/>
    <w:rsid w:val="0045091A"/>
    <w:rsid w:val="00450A93"/>
    <w:rsid w:val="00450B61"/>
    <w:rsid w:val="0045260B"/>
    <w:rsid w:val="00452BB8"/>
    <w:rsid w:val="004534FA"/>
    <w:rsid w:val="00454A56"/>
    <w:rsid w:val="00455C21"/>
    <w:rsid w:val="00460531"/>
    <w:rsid w:val="0046196D"/>
    <w:rsid w:val="00462B25"/>
    <w:rsid w:val="004640C1"/>
    <w:rsid w:val="00464441"/>
    <w:rsid w:val="00464E09"/>
    <w:rsid w:val="00471946"/>
    <w:rsid w:val="004814EE"/>
    <w:rsid w:val="00483315"/>
    <w:rsid w:val="004948A3"/>
    <w:rsid w:val="00496454"/>
    <w:rsid w:val="0049776B"/>
    <w:rsid w:val="004A010F"/>
    <w:rsid w:val="004A1E94"/>
    <w:rsid w:val="004A36AE"/>
    <w:rsid w:val="004A383A"/>
    <w:rsid w:val="004A4981"/>
    <w:rsid w:val="004A5376"/>
    <w:rsid w:val="004A57DB"/>
    <w:rsid w:val="004A6517"/>
    <w:rsid w:val="004A68AF"/>
    <w:rsid w:val="004A7D7E"/>
    <w:rsid w:val="004B0537"/>
    <w:rsid w:val="004B1332"/>
    <w:rsid w:val="004B1F18"/>
    <w:rsid w:val="004B4371"/>
    <w:rsid w:val="004B441A"/>
    <w:rsid w:val="004B49BA"/>
    <w:rsid w:val="004B7605"/>
    <w:rsid w:val="004C28AA"/>
    <w:rsid w:val="004C380F"/>
    <w:rsid w:val="004C4D2E"/>
    <w:rsid w:val="004C55B6"/>
    <w:rsid w:val="004D11B3"/>
    <w:rsid w:val="004D65F4"/>
    <w:rsid w:val="004D75D5"/>
    <w:rsid w:val="004D780A"/>
    <w:rsid w:val="004E1539"/>
    <w:rsid w:val="004E1E11"/>
    <w:rsid w:val="004E2088"/>
    <w:rsid w:val="004E419C"/>
    <w:rsid w:val="004E42A0"/>
    <w:rsid w:val="004E4876"/>
    <w:rsid w:val="004E6506"/>
    <w:rsid w:val="004E76D1"/>
    <w:rsid w:val="004E7786"/>
    <w:rsid w:val="004F0D23"/>
    <w:rsid w:val="004F1B97"/>
    <w:rsid w:val="004F3534"/>
    <w:rsid w:val="004F4E62"/>
    <w:rsid w:val="00501303"/>
    <w:rsid w:val="00501762"/>
    <w:rsid w:val="00504761"/>
    <w:rsid w:val="0050500E"/>
    <w:rsid w:val="00505D61"/>
    <w:rsid w:val="00507DCF"/>
    <w:rsid w:val="00510D95"/>
    <w:rsid w:val="00510FAA"/>
    <w:rsid w:val="00511747"/>
    <w:rsid w:val="00512B3E"/>
    <w:rsid w:val="00520FE8"/>
    <w:rsid w:val="00521371"/>
    <w:rsid w:val="00521B49"/>
    <w:rsid w:val="005230D2"/>
    <w:rsid w:val="00523E02"/>
    <w:rsid w:val="00526A5F"/>
    <w:rsid w:val="00526F0E"/>
    <w:rsid w:val="005307A5"/>
    <w:rsid w:val="00531310"/>
    <w:rsid w:val="0053132A"/>
    <w:rsid w:val="005315B6"/>
    <w:rsid w:val="00534A62"/>
    <w:rsid w:val="00535AFD"/>
    <w:rsid w:val="0053703C"/>
    <w:rsid w:val="00540929"/>
    <w:rsid w:val="0054181E"/>
    <w:rsid w:val="005431E4"/>
    <w:rsid w:val="00543EF0"/>
    <w:rsid w:val="00544DAB"/>
    <w:rsid w:val="00545C11"/>
    <w:rsid w:val="00546AF9"/>
    <w:rsid w:val="00547C3A"/>
    <w:rsid w:val="0055435D"/>
    <w:rsid w:val="0055693E"/>
    <w:rsid w:val="00556DE1"/>
    <w:rsid w:val="00560B54"/>
    <w:rsid w:val="0056149F"/>
    <w:rsid w:val="00561C6E"/>
    <w:rsid w:val="00561E3A"/>
    <w:rsid w:val="00563383"/>
    <w:rsid w:val="0056642B"/>
    <w:rsid w:val="005664C2"/>
    <w:rsid w:val="00566F28"/>
    <w:rsid w:val="0057237E"/>
    <w:rsid w:val="0057327B"/>
    <w:rsid w:val="00573463"/>
    <w:rsid w:val="00573E10"/>
    <w:rsid w:val="0057576E"/>
    <w:rsid w:val="00575869"/>
    <w:rsid w:val="00577ECB"/>
    <w:rsid w:val="00577FFA"/>
    <w:rsid w:val="0058149C"/>
    <w:rsid w:val="00582395"/>
    <w:rsid w:val="00582453"/>
    <w:rsid w:val="00582F95"/>
    <w:rsid w:val="0058332C"/>
    <w:rsid w:val="00584B8C"/>
    <w:rsid w:val="0058687A"/>
    <w:rsid w:val="005879D1"/>
    <w:rsid w:val="00587F35"/>
    <w:rsid w:val="00587F68"/>
    <w:rsid w:val="0059433E"/>
    <w:rsid w:val="00595E23"/>
    <w:rsid w:val="00596F2C"/>
    <w:rsid w:val="0059795A"/>
    <w:rsid w:val="005A0D00"/>
    <w:rsid w:val="005A215C"/>
    <w:rsid w:val="005A31BE"/>
    <w:rsid w:val="005A4B20"/>
    <w:rsid w:val="005A69CA"/>
    <w:rsid w:val="005A6E28"/>
    <w:rsid w:val="005A7D87"/>
    <w:rsid w:val="005B0282"/>
    <w:rsid w:val="005B0D2C"/>
    <w:rsid w:val="005B2051"/>
    <w:rsid w:val="005B2CB8"/>
    <w:rsid w:val="005B319E"/>
    <w:rsid w:val="005B4857"/>
    <w:rsid w:val="005C19F6"/>
    <w:rsid w:val="005C4260"/>
    <w:rsid w:val="005C53A8"/>
    <w:rsid w:val="005C7EA7"/>
    <w:rsid w:val="005D13CC"/>
    <w:rsid w:val="005D1FF8"/>
    <w:rsid w:val="005D3BA9"/>
    <w:rsid w:val="005D5A13"/>
    <w:rsid w:val="005D651D"/>
    <w:rsid w:val="005E3AF0"/>
    <w:rsid w:val="005E3C18"/>
    <w:rsid w:val="005E5AF5"/>
    <w:rsid w:val="005E617A"/>
    <w:rsid w:val="005E69C2"/>
    <w:rsid w:val="005F0454"/>
    <w:rsid w:val="005F4907"/>
    <w:rsid w:val="005F496A"/>
    <w:rsid w:val="005F7132"/>
    <w:rsid w:val="0060072E"/>
    <w:rsid w:val="006007B3"/>
    <w:rsid w:val="00600C9C"/>
    <w:rsid w:val="0060581D"/>
    <w:rsid w:val="006069F3"/>
    <w:rsid w:val="00612345"/>
    <w:rsid w:val="00614572"/>
    <w:rsid w:val="00617B6A"/>
    <w:rsid w:val="00622533"/>
    <w:rsid w:val="00622699"/>
    <w:rsid w:val="0062361A"/>
    <w:rsid w:val="00627128"/>
    <w:rsid w:val="00630529"/>
    <w:rsid w:val="00630AAC"/>
    <w:rsid w:val="006314C2"/>
    <w:rsid w:val="00631C5A"/>
    <w:rsid w:val="00635290"/>
    <w:rsid w:val="006360FE"/>
    <w:rsid w:val="0063610A"/>
    <w:rsid w:val="006367D4"/>
    <w:rsid w:val="006372C6"/>
    <w:rsid w:val="006409A7"/>
    <w:rsid w:val="00641966"/>
    <w:rsid w:val="00642A9D"/>
    <w:rsid w:val="00643880"/>
    <w:rsid w:val="00644CAA"/>
    <w:rsid w:val="0064722F"/>
    <w:rsid w:val="00647296"/>
    <w:rsid w:val="00647D58"/>
    <w:rsid w:val="00650391"/>
    <w:rsid w:val="00651875"/>
    <w:rsid w:val="00652149"/>
    <w:rsid w:val="00652A1B"/>
    <w:rsid w:val="00652A7E"/>
    <w:rsid w:val="00657AD0"/>
    <w:rsid w:val="00661E10"/>
    <w:rsid w:val="0066511C"/>
    <w:rsid w:val="00665BBC"/>
    <w:rsid w:val="0066681E"/>
    <w:rsid w:val="00671508"/>
    <w:rsid w:val="006728AB"/>
    <w:rsid w:val="00674656"/>
    <w:rsid w:val="00674A1B"/>
    <w:rsid w:val="00675171"/>
    <w:rsid w:val="00677777"/>
    <w:rsid w:val="006804BB"/>
    <w:rsid w:val="00682D47"/>
    <w:rsid w:val="0068600F"/>
    <w:rsid w:val="00690B8C"/>
    <w:rsid w:val="0069349B"/>
    <w:rsid w:val="00694313"/>
    <w:rsid w:val="00697DA0"/>
    <w:rsid w:val="006A4875"/>
    <w:rsid w:val="006A4AC4"/>
    <w:rsid w:val="006B014A"/>
    <w:rsid w:val="006B1566"/>
    <w:rsid w:val="006B2DDD"/>
    <w:rsid w:val="006B36B5"/>
    <w:rsid w:val="006B36FC"/>
    <w:rsid w:val="006B5580"/>
    <w:rsid w:val="006B6739"/>
    <w:rsid w:val="006B68DE"/>
    <w:rsid w:val="006B7027"/>
    <w:rsid w:val="006B76F1"/>
    <w:rsid w:val="006C059C"/>
    <w:rsid w:val="006C067A"/>
    <w:rsid w:val="006C06C9"/>
    <w:rsid w:val="006C08F0"/>
    <w:rsid w:val="006C1460"/>
    <w:rsid w:val="006C214D"/>
    <w:rsid w:val="006C29C7"/>
    <w:rsid w:val="006C38F9"/>
    <w:rsid w:val="006C4A2A"/>
    <w:rsid w:val="006C4E5B"/>
    <w:rsid w:val="006C551A"/>
    <w:rsid w:val="006C70F0"/>
    <w:rsid w:val="006C7CC8"/>
    <w:rsid w:val="006D3668"/>
    <w:rsid w:val="006D5AF8"/>
    <w:rsid w:val="006E249F"/>
    <w:rsid w:val="006E344D"/>
    <w:rsid w:val="006E51CF"/>
    <w:rsid w:val="006E5FE5"/>
    <w:rsid w:val="006E65C8"/>
    <w:rsid w:val="006F1C1C"/>
    <w:rsid w:val="006F2A4E"/>
    <w:rsid w:val="006F43E1"/>
    <w:rsid w:val="006F6DB0"/>
    <w:rsid w:val="006F7BBE"/>
    <w:rsid w:val="0070157E"/>
    <w:rsid w:val="00703805"/>
    <w:rsid w:val="00704AEC"/>
    <w:rsid w:val="007059ED"/>
    <w:rsid w:val="00706514"/>
    <w:rsid w:val="00706A17"/>
    <w:rsid w:val="007076D2"/>
    <w:rsid w:val="00707E51"/>
    <w:rsid w:val="00711806"/>
    <w:rsid w:val="00711C48"/>
    <w:rsid w:val="00711DFE"/>
    <w:rsid w:val="00712744"/>
    <w:rsid w:val="007137F1"/>
    <w:rsid w:val="007138FC"/>
    <w:rsid w:val="007156D2"/>
    <w:rsid w:val="0072037A"/>
    <w:rsid w:val="00721DA0"/>
    <w:rsid w:val="00722364"/>
    <w:rsid w:val="00725381"/>
    <w:rsid w:val="0072662D"/>
    <w:rsid w:val="007277B0"/>
    <w:rsid w:val="00727EAB"/>
    <w:rsid w:val="00731897"/>
    <w:rsid w:val="0073306F"/>
    <w:rsid w:val="00734DE1"/>
    <w:rsid w:val="00736681"/>
    <w:rsid w:val="0074166A"/>
    <w:rsid w:val="00741C4B"/>
    <w:rsid w:val="0074370A"/>
    <w:rsid w:val="0074426E"/>
    <w:rsid w:val="0074546D"/>
    <w:rsid w:val="00746398"/>
    <w:rsid w:val="0075151D"/>
    <w:rsid w:val="00754316"/>
    <w:rsid w:val="00754C0A"/>
    <w:rsid w:val="0075583A"/>
    <w:rsid w:val="00757B07"/>
    <w:rsid w:val="00757C4E"/>
    <w:rsid w:val="00760768"/>
    <w:rsid w:val="0076202B"/>
    <w:rsid w:val="00762219"/>
    <w:rsid w:val="00763863"/>
    <w:rsid w:val="00763FE6"/>
    <w:rsid w:val="007643EE"/>
    <w:rsid w:val="007658ED"/>
    <w:rsid w:val="00767044"/>
    <w:rsid w:val="0076772C"/>
    <w:rsid w:val="007729C6"/>
    <w:rsid w:val="00772B13"/>
    <w:rsid w:val="00773822"/>
    <w:rsid w:val="00775D8E"/>
    <w:rsid w:val="00784173"/>
    <w:rsid w:val="00784793"/>
    <w:rsid w:val="007856A2"/>
    <w:rsid w:val="00787D19"/>
    <w:rsid w:val="00787F29"/>
    <w:rsid w:val="007911C0"/>
    <w:rsid w:val="00793FDF"/>
    <w:rsid w:val="00794B68"/>
    <w:rsid w:val="007954DC"/>
    <w:rsid w:val="00796034"/>
    <w:rsid w:val="00796F49"/>
    <w:rsid w:val="007A0E43"/>
    <w:rsid w:val="007A1915"/>
    <w:rsid w:val="007A2281"/>
    <w:rsid w:val="007A2460"/>
    <w:rsid w:val="007A5319"/>
    <w:rsid w:val="007A5EAB"/>
    <w:rsid w:val="007A6417"/>
    <w:rsid w:val="007A7EF1"/>
    <w:rsid w:val="007B2335"/>
    <w:rsid w:val="007B23B1"/>
    <w:rsid w:val="007B2A84"/>
    <w:rsid w:val="007B2F31"/>
    <w:rsid w:val="007B60D5"/>
    <w:rsid w:val="007C5747"/>
    <w:rsid w:val="007C5ABC"/>
    <w:rsid w:val="007C66D2"/>
    <w:rsid w:val="007D68A5"/>
    <w:rsid w:val="007D78E8"/>
    <w:rsid w:val="007D7C72"/>
    <w:rsid w:val="007E170C"/>
    <w:rsid w:val="007E2464"/>
    <w:rsid w:val="007E2857"/>
    <w:rsid w:val="007E5766"/>
    <w:rsid w:val="007E66CA"/>
    <w:rsid w:val="007F0D8B"/>
    <w:rsid w:val="007F3BED"/>
    <w:rsid w:val="007F4A6C"/>
    <w:rsid w:val="007F5620"/>
    <w:rsid w:val="007F659E"/>
    <w:rsid w:val="007F6C55"/>
    <w:rsid w:val="007F741A"/>
    <w:rsid w:val="00800372"/>
    <w:rsid w:val="008029D1"/>
    <w:rsid w:val="00803C6A"/>
    <w:rsid w:val="00804E94"/>
    <w:rsid w:val="008060F8"/>
    <w:rsid w:val="0080672E"/>
    <w:rsid w:val="008068DA"/>
    <w:rsid w:val="008068EC"/>
    <w:rsid w:val="00806F37"/>
    <w:rsid w:val="008104C1"/>
    <w:rsid w:val="008108D3"/>
    <w:rsid w:val="00813D04"/>
    <w:rsid w:val="008140A8"/>
    <w:rsid w:val="0081414C"/>
    <w:rsid w:val="00820914"/>
    <w:rsid w:val="008247D9"/>
    <w:rsid w:val="00826C3A"/>
    <w:rsid w:val="00834286"/>
    <w:rsid w:val="00837F36"/>
    <w:rsid w:val="00837F86"/>
    <w:rsid w:val="00840834"/>
    <w:rsid w:val="00843C8F"/>
    <w:rsid w:val="00846F1B"/>
    <w:rsid w:val="00850C31"/>
    <w:rsid w:val="00851279"/>
    <w:rsid w:val="008517A8"/>
    <w:rsid w:val="00851933"/>
    <w:rsid w:val="00852C4C"/>
    <w:rsid w:val="0085318D"/>
    <w:rsid w:val="00854756"/>
    <w:rsid w:val="00854939"/>
    <w:rsid w:val="0085611C"/>
    <w:rsid w:val="00857654"/>
    <w:rsid w:val="00857B62"/>
    <w:rsid w:val="00857DAE"/>
    <w:rsid w:val="008606B9"/>
    <w:rsid w:val="00860FFC"/>
    <w:rsid w:val="00861A5D"/>
    <w:rsid w:val="00861D9E"/>
    <w:rsid w:val="00862930"/>
    <w:rsid w:val="00862EBB"/>
    <w:rsid w:val="008631DD"/>
    <w:rsid w:val="00865ABB"/>
    <w:rsid w:val="00865FCD"/>
    <w:rsid w:val="008675CD"/>
    <w:rsid w:val="008703DB"/>
    <w:rsid w:val="00870A04"/>
    <w:rsid w:val="00870D07"/>
    <w:rsid w:val="00871A8D"/>
    <w:rsid w:val="008729A4"/>
    <w:rsid w:val="00872CE4"/>
    <w:rsid w:val="00874C29"/>
    <w:rsid w:val="00875212"/>
    <w:rsid w:val="00875534"/>
    <w:rsid w:val="00876CB5"/>
    <w:rsid w:val="00877E4D"/>
    <w:rsid w:val="0088119D"/>
    <w:rsid w:val="00881663"/>
    <w:rsid w:val="00882E04"/>
    <w:rsid w:val="00882EB5"/>
    <w:rsid w:val="008836C9"/>
    <w:rsid w:val="00884BA6"/>
    <w:rsid w:val="008858F6"/>
    <w:rsid w:val="00886A11"/>
    <w:rsid w:val="00890A9E"/>
    <w:rsid w:val="00890CF1"/>
    <w:rsid w:val="00891481"/>
    <w:rsid w:val="00891C8E"/>
    <w:rsid w:val="00892CDB"/>
    <w:rsid w:val="00892DE8"/>
    <w:rsid w:val="008931EB"/>
    <w:rsid w:val="008946FE"/>
    <w:rsid w:val="008953BF"/>
    <w:rsid w:val="008959F0"/>
    <w:rsid w:val="00895C8B"/>
    <w:rsid w:val="00896271"/>
    <w:rsid w:val="00896F7A"/>
    <w:rsid w:val="008A046E"/>
    <w:rsid w:val="008A6628"/>
    <w:rsid w:val="008B1C0E"/>
    <w:rsid w:val="008B1D39"/>
    <w:rsid w:val="008B2BE1"/>
    <w:rsid w:val="008B39D9"/>
    <w:rsid w:val="008B3F0E"/>
    <w:rsid w:val="008B4BF9"/>
    <w:rsid w:val="008B5573"/>
    <w:rsid w:val="008C32AB"/>
    <w:rsid w:val="008C35FD"/>
    <w:rsid w:val="008C3A97"/>
    <w:rsid w:val="008C6135"/>
    <w:rsid w:val="008C7706"/>
    <w:rsid w:val="008C7741"/>
    <w:rsid w:val="008C7BEB"/>
    <w:rsid w:val="008D39FF"/>
    <w:rsid w:val="008D5387"/>
    <w:rsid w:val="008D6647"/>
    <w:rsid w:val="008D7578"/>
    <w:rsid w:val="008E200B"/>
    <w:rsid w:val="008E2341"/>
    <w:rsid w:val="008E6991"/>
    <w:rsid w:val="008E7014"/>
    <w:rsid w:val="008F0B40"/>
    <w:rsid w:val="008F0CF1"/>
    <w:rsid w:val="008F1D6D"/>
    <w:rsid w:val="008F45EF"/>
    <w:rsid w:val="008F6AA2"/>
    <w:rsid w:val="008F71D3"/>
    <w:rsid w:val="00900116"/>
    <w:rsid w:val="009015ED"/>
    <w:rsid w:val="00901EC4"/>
    <w:rsid w:val="00901FC1"/>
    <w:rsid w:val="00904E9A"/>
    <w:rsid w:val="00906288"/>
    <w:rsid w:val="00907356"/>
    <w:rsid w:val="00907869"/>
    <w:rsid w:val="0090793B"/>
    <w:rsid w:val="00910795"/>
    <w:rsid w:val="0091080B"/>
    <w:rsid w:val="00910B36"/>
    <w:rsid w:val="0091635D"/>
    <w:rsid w:val="00916987"/>
    <w:rsid w:val="0091776B"/>
    <w:rsid w:val="00922592"/>
    <w:rsid w:val="00922911"/>
    <w:rsid w:val="0092308E"/>
    <w:rsid w:val="00923995"/>
    <w:rsid w:val="00926EE7"/>
    <w:rsid w:val="009306C6"/>
    <w:rsid w:val="00930E5F"/>
    <w:rsid w:val="00931F9B"/>
    <w:rsid w:val="009324A1"/>
    <w:rsid w:val="009324FE"/>
    <w:rsid w:val="009342AD"/>
    <w:rsid w:val="009354D8"/>
    <w:rsid w:val="009401BF"/>
    <w:rsid w:val="0094041C"/>
    <w:rsid w:val="0094055B"/>
    <w:rsid w:val="00941545"/>
    <w:rsid w:val="00941F19"/>
    <w:rsid w:val="00942729"/>
    <w:rsid w:val="009437A7"/>
    <w:rsid w:val="00945DCD"/>
    <w:rsid w:val="00945FE5"/>
    <w:rsid w:val="00946789"/>
    <w:rsid w:val="00946F1D"/>
    <w:rsid w:val="0094755C"/>
    <w:rsid w:val="0095114F"/>
    <w:rsid w:val="00954FDC"/>
    <w:rsid w:val="00955047"/>
    <w:rsid w:val="00957E0C"/>
    <w:rsid w:val="009613A3"/>
    <w:rsid w:val="0096147D"/>
    <w:rsid w:val="00964D3A"/>
    <w:rsid w:val="00965552"/>
    <w:rsid w:val="0096574A"/>
    <w:rsid w:val="0096617A"/>
    <w:rsid w:val="00966734"/>
    <w:rsid w:val="00966D0A"/>
    <w:rsid w:val="00966E63"/>
    <w:rsid w:val="00966EE6"/>
    <w:rsid w:val="0097008C"/>
    <w:rsid w:val="009700E7"/>
    <w:rsid w:val="00973457"/>
    <w:rsid w:val="00975577"/>
    <w:rsid w:val="00975775"/>
    <w:rsid w:val="0097689B"/>
    <w:rsid w:val="0097728B"/>
    <w:rsid w:val="00980CE0"/>
    <w:rsid w:val="009810CE"/>
    <w:rsid w:val="0098149F"/>
    <w:rsid w:val="00981669"/>
    <w:rsid w:val="00981749"/>
    <w:rsid w:val="00982B86"/>
    <w:rsid w:val="009840B0"/>
    <w:rsid w:val="009869E5"/>
    <w:rsid w:val="0098708B"/>
    <w:rsid w:val="009875C2"/>
    <w:rsid w:val="00990636"/>
    <w:rsid w:val="009930AE"/>
    <w:rsid w:val="009937B6"/>
    <w:rsid w:val="0099499D"/>
    <w:rsid w:val="009953B0"/>
    <w:rsid w:val="00995F93"/>
    <w:rsid w:val="00996993"/>
    <w:rsid w:val="00996DE1"/>
    <w:rsid w:val="009A0191"/>
    <w:rsid w:val="009A0B72"/>
    <w:rsid w:val="009A10FB"/>
    <w:rsid w:val="009A19B4"/>
    <w:rsid w:val="009A1D1F"/>
    <w:rsid w:val="009A26FE"/>
    <w:rsid w:val="009A32F3"/>
    <w:rsid w:val="009A3390"/>
    <w:rsid w:val="009A3A2D"/>
    <w:rsid w:val="009A3F97"/>
    <w:rsid w:val="009A456E"/>
    <w:rsid w:val="009A6799"/>
    <w:rsid w:val="009A693B"/>
    <w:rsid w:val="009A71B6"/>
    <w:rsid w:val="009A7284"/>
    <w:rsid w:val="009A749E"/>
    <w:rsid w:val="009B018E"/>
    <w:rsid w:val="009B074B"/>
    <w:rsid w:val="009B090B"/>
    <w:rsid w:val="009B0A3E"/>
    <w:rsid w:val="009B460E"/>
    <w:rsid w:val="009B4DB7"/>
    <w:rsid w:val="009B5730"/>
    <w:rsid w:val="009B7DCA"/>
    <w:rsid w:val="009C0761"/>
    <w:rsid w:val="009C110A"/>
    <w:rsid w:val="009C4888"/>
    <w:rsid w:val="009C5D68"/>
    <w:rsid w:val="009C5FF2"/>
    <w:rsid w:val="009C747C"/>
    <w:rsid w:val="009C7FD8"/>
    <w:rsid w:val="009D03AC"/>
    <w:rsid w:val="009D05BF"/>
    <w:rsid w:val="009D0798"/>
    <w:rsid w:val="009D19E0"/>
    <w:rsid w:val="009D2432"/>
    <w:rsid w:val="009D33DB"/>
    <w:rsid w:val="009D5AE6"/>
    <w:rsid w:val="009E0142"/>
    <w:rsid w:val="009E0C46"/>
    <w:rsid w:val="009E6131"/>
    <w:rsid w:val="009E75F9"/>
    <w:rsid w:val="009E77FC"/>
    <w:rsid w:val="009F064F"/>
    <w:rsid w:val="009F12E3"/>
    <w:rsid w:val="009F15EF"/>
    <w:rsid w:val="009F24D1"/>
    <w:rsid w:val="009F266C"/>
    <w:rsid w:val="009F31AC"/>
    <w:rsid w:val="009F5DA5"/>
    <w:rsid w:val="009F69E1"/>
    <w:rsid w:val="009F7205"/>
    <w:rsid w:val="00A00684"/>
    <w:rsid w:val="00A01EFD"/>
    <w:rsid w:val="00A02E4D"/>
    <w:rsid w:val="00A03AC7"/>
    <w:rsid w:val="00A04B51"/>
    <w:rsid w:val="00A0509D"/>
    <w:rsid w:val="00A068B7"/>
    <w:rsid w:val="00A106FA"/>
    <w:rsid w:val="00A112E7"/>
    <w:rsid w:val="00A1183F"/>
    <w:rsid w:val="00A15101"/>
    <w:rsid w:val="00A15172"/>
    <w:rsid w:val="00A15738"/>
    <w:rsid w:val="00A17158"/>
    <w:rsid w:val="00A20856"/>
    <w:rsid w:val="00A2630C"/>
    <w:rsid w:val="00A27445"/>
    <w:rsid w:val="00A320D2"/>
    <w:rsid w:val="00A33300"/>
    <w:rsid w:val="00A35333"/>
    <w:rsid w:val="00A36250"/>
    <w:rsid w:val="00A36BD6"/>
    <w:rsid w:val="00A377F1"/>
    <w:rsid w:val="00A41CA5"/>
    <w:rsid w:val="00A42164"/>
    <w:rsid w:val="00A45D00"/>
    <w:rsid w:val="00A46BC3"/>
    <w:rsid w:val="00A50020"/>
    <w:rsid w:val="00A503F2"/>
    <w:rsid w:val="00A5088A"/>
    <w:rsid w:val="00A5113A"/>
    <w:rsid w:val="00A53297"/>
    <w:rsid w:val="00A5392E"/>
    <w:rsid w:val="00A5556E"/>
    <w:rsid w:val="00A56F7A"/>
    <w:rsid w:val="00A57C84"/>
    <w:rsid w:val="00A61FBA"/>
    <w:rsid w:val="00A63E68"/>
    <w:rsid w:val="00A648D2"/>
    <w:rsid w:val="00A648FB"/>
    <w:rsid w:val="00A665B8"/>
    <w:rsid w:val="00A6778D"/>
    <w:rsid w:val="00A677BE"/>
    <w:rsid w:val="00A72586"/>
    <w:rsid w:val="00A72A06"/>
    <w:rsid w:val="00A7351F"/>
    <w:rsid w:val="00A73D9B"/>
    <w:rsid w:val="00A7407E"/>
    <w:rsid w:val="00A74E2E"/>
    <w:rsid w:val="00A766B8"/>
    <w:rsid w:val="00A77E23"/>
    <w:rsid w:val="00A836DB"/>
    <w:rsid w:val="00A83CBD"/>
    <w:rsid w:val="00A83FE0"/>
    <w:rsid w:val="00A841E3"/>
    <w:rsid w:val="00A84A76"/>
    <w:rsid w:val="00A8579A"/>
    <w:rsid w:val="00A8620D"/>
    <w:rsid w:val="00A867EA"/>
    <w:rsid w:val="00A920ED"/>
    <w:rsid w:val="00A92AA7"/>
    <w:rsid w:val="00A92ACF"/>
    <w:rsid w:val="00A9412E"/>
    <w:rsid w:val="00A96C5C"/>
    <w:rsid w:val="00A96EED"/>
    <w:rsid w:val="00A971EB"/>
    <w:rsid w:val="00A97447"/>
    <w:rsid w:val="00AA0C7F"/>
    <w:rsid w:val="00AA0E37"/>
    <w:rsid w:val="00AA1E25"/>
    <w:rsid w:val="00AA2184"/>
    <w:rsid w:val="00AA2BDB"/>
    <w:rsid w:val="00AA65EF"/>
    <w:rsid w:val="00AB07FC"/>
    <w:rsid w:val="00AB0BCB"/>
    <w:rsid w:val="00AB3FD0"/>
    <w:rsid w:val="00AB4874"/>
    <w:rsid w:val="00AB6D21"/>
    <w:rsid w:val="00AB706C"/>
    <w:rsid w:val="00AB7635"/>
    <w:rsid w:val="00AB7D40"/>
    <w:rsid w:val="00AC0B44"/>
    <w:rsid w:val="00AC169A"/>
    <w:rsid w:val="00AC17BD"/>
    <w:rsid w:val="00AC2B08"/>
    <w:rsid w:val="00AC2D29"/>
    <w:rsid w:val="00AC3329"/>
    <w:rsid w:val="00AC3DDA"/>
    <w:rsid w:val="00AD0858"/>
    <w:rsid w:val="00AD159E"/>
    <w:rsid w:val="00AD3423"/>
    <w:rsid w:val="00AD3FA3"/>
    <w:rsid w:val="00AD5B07"/>
    <w:rsid w:val="00AE1905"/>
    <w:rsid w:val="00AE2804"/>
    <w:rsid w:val="00AE2F7F"/>
    <w:rsid w:val="00AE4760"/>
    <w:rsid w:val="00AE5366"/>
    <w:rsid w:val="00AE5935"/>
    <w:rsid w:val="00AE6558"/>
    <w:rsid w:val="00AE677E"/>
    <w:rsid w:val="00AF0B18"/>
    <w:rsid w:val="00AF1261"/>
    <w:rsid w:val="00AF27EF"/>
    <w:rsid w:val="00AF35AE"/>
    <w:rsid w:val="00AF4288"/>
    <w:rsid w:val="00AF4321"/>
    <w:rsid w:val="00AF727F"/>
    <w:rsid w:val="00AF7858"/>
    <w:rsid w:val="00B00632"/>
    <w:rsid w:val="00B02D93"/>
    <w:rsid w:val="00B03C70"/>
    <w:rsid w:val="00B0493F"/>
    <w:rsid w:val="00B05F78"/>
    <w:rsid w:val="00B11638"/>
    <w:rsid w:val="00B14B7E"/>
    <w:rsid w:val="00B15EDE"/>
    <w:rsid w:val="00B165AD"/>
    <w:rsid w:val="00B17992"/>
    <w:rsid w:val="00B20979"/>
    <w:rsid w:val="00B250E9"/>
    <w:rsid w:val="00B253DA"/>
    <w:rsid w:val="00B25BF9"/>
    <w:rsid w:val="00B26486"/>
    <w:rsid w:val="00B3066F"/>
    <w:rsid w:val="00B31413"/>
    <w:rsid w:val="00B318DD"/>
    <w:rsid w:val="00B31F28"/>
    <w:rsid w:val="00B32FDE"/>
    <w:rsid w:val="00B3485C"/>
    <w:rsid w:val="00B3551C"/>
    <w:rsid w:val="00B36091"/>
    <w:rsid w:val="00B3642B"/>
    <w:rsid w:val="00B4100F"/>
    <w:rsid w:val="00B4145E"/>
    <w:rsid w:val="00B41BA7"/>
    <w:rsid w:val="00B42098"/>
    <w:rsid w:val="00B44ADD"/>
    <w:rsid w:val="00B44C76"/>
    <w:rsid w:val="00B455A2"/>
    <w:rsid w:val="00B52440"/>
    <w:rsid w:val="00B530FB"/>
    <w:rsid w:val="00B55DD4"/>
    <w:rsid w:val="00B6041A"/>
    <w:rsid w:val="00B61231"/>
    <w:rsid w:val="00B62621"/>
    <w:rsid w:val="00B628A3"/>
    <w:rsid w:val="00B650BB"/>
    <w:rsid w:val="00B65DD7"/>
    <w:rsid w:val="00B66D36"/>
    <w:rsid w:val="00B70BA9"/>
    <w:rsid w:val="00B71045"/>
    <w:rsid w:val="00B716F5"/>
    <w:rsid w:val="00B76B5B"/>
    <w:rsid w:val="00B77E95"/>
    <w:rsid w:val="00B81EE5"/>
    <w:rsid w:val="00B836E8"/>
    <w:rsid w:val="00B837F7"/>
    <w:rsid w:val="00B840BB"/>
    <w:rsid w:val="00B841A4"/>
    <w:rsid w:val="00B871DD"/>
    <w:rsid w:val="00B87871"/>
    <w:rsid w:val="00B904BC"/>
    <w:rsid w:val="00B904BD"/>
    <w:rsid w:val="00B904C6"/>
    <w:rsid w:val="00B94F46"/>
    <w:rsid w:val="00B95D06"/>
    <w:rsid w:val="00B97024"/>
    <w:rsid w:val="00BA13CF"/>
    <w:rsid w:val="00BA1954"/>
    <w:rsid w:val="00BA3109"/>
    <w:rsid w:val="00BA3821"/>
    <w:rsid w:val="00BA4ED7"/>
    <w:rsid w:val="00BA5D51"/>
    <w:rsid w:val="00BA6DE7"/>
    <w:rsid w:val="00BA7063"/>
    <w:rsid w:val="00BB33FE"/>
    <w:rsid w:val="00BB399B"/>
    <w:rsid w:val="00BB546D"/>
    <w:rsid w:val="00BB57F2"/>
    <w:rsid w:val="00BB5C5F"/>
    <w:rsid w:val="00BB612A"/>
    <w:rsid w:val="00BB7BE1"/>
    <w:rsid w:val="00BC31ED"/>
    <w:rsid w:val="00BC378F"/>
    <w:rsid w:val="00BC679D"/>
    <w:rsid w:val="00BC6F1B"/>
    <w:rsid w:val="00BC7668"/>
    <w:rsid w:val="00BC7FCC"/>
    <w:rsid w:val="00BD1FA5"/>
    <w:rsid w:val="00BD2812"/>
    <w:rsid w:val="00BD2AA1"/>
    <w:rsid w:val="00BD4F83"/>
    <w:rsid w:val="00BD6825"/>
    <w:rsid w:val="00BD68F5"/>
    <w:rsid w:val="00BD6949"/>
    <w:rsid w:val="00BE1B0A"/>
    <w:rsid w:val="00BE2053"/>
    <w:rsid w:val="00BE4B8D"/>
    <w:rsid w:val="00BE5BB0"/>
    <w:rsid w:val="00BE5EB9"/>
    <w:rsid w:val="00BE6BAD"/>
    <w:rsid w:val="00BE7350"/>
    <w:rsid w:val="00BF07AF"/>
    <w:rsid w:val="00BF28EC"/>
    <w:rsid w:val="00BF3023"/>
    <w:rsid w:val="00BF30DF"/>
    <w:rsid w:val="00BF3C75"/>
    <w:rsid w:val="00BF4D37"/>
    <w:rsid w:val="00BF4FA6"/>
    <w:rsid w:val="00BF51F6"/>
    <w:rsid w:val="00BF67A4"/>
    <w:rsid w:val="00BF736A"/>
    <w:rsid w:val="00BF7C79"/>
    <w:rsid w:val="00BF7E00"/>
    <w:rsid w:val="00C021C5"/>
    <w:rsid w:val="00C024DE"/>
    <w:rsid w:val="00C02D9A"/>
    <w:rsid w:val="00C0323D"/>
    <w:rsid w:val="00C0414C"/>
    <w:rsid w:val="00C05A34"/>
    <w:rsid w:val="00C062CE"/>
    <w:rsid w:val="00C12240"/>
    <w:rsid w:val="00C12A4C"/>
    <w:rsid w:val="00C13F57"/>
    <w:rsid w:val="00C21672"/>
    <w:rsid w:val="00C228C9"/>
    <w:rsid w:val="00C23951"/>
    <w:rsid w:val="00C2434C"/>
    <w:rsid w:val="00C24A6F"/>
    <w:rsid w:val="00C24B25"/>
    <w:rsid w:val="00C24B71"/>
    <w:rsid w:val="00C25400"/>
    <w:rsid w:val="00C32B90"/>
    <w:rsid w:val="00C34FE2"/>
    <w:rsid w:val="00C355E3"/>
    <w:rsid w:val="00C35B06"/>
    <w:rsid w:val="00C36578"/>
    <w:rsid w:val="00C421E7"/>
    <w:rsid w:val="00C45175"/>
    <w:rsid w:val="00C45C27"/>
    <w:rsid w:val="00C466A2"/>
    <w:rsid w:val="00C479FE"/>
    <w:rsid w:val="00C47EB3"/>
    <w:rsid w:val="00C50B7E"/>
    <w:rsid w:val="00C51716"/>
    <w:rsid w:val="00C53ADD"/>
    <w:rsid w:val="00C56FCE"/>
    <w:rsid w:val="00C57F31"/>
    <w:rsid w:val="00C60BE2"/>
    <w:rsid w:val="00C62E07"/>
    <w:rsid w:val="00C630C0"/>
    <w:rsid w:val="00C6630D"/>
    <w:rsid w:val="00C70585"/>
    <w:rsid w:val="00C70E6B"/>
    <w:rsid w:val="00C70F4F"/>
    <w:rsid w:val="00C735C8"/>
    <w:rsid w:val="00C81A50"/>
    <w:rsid w:val="00C8225B"/>
    <w:rsid w:val="00C8247E"/>
    <w:rsid w:val="00C824BC"/>
    <w:rsid w:val="00C82F49"/>
    <w:rsid w:val="00C840F2"/>
    <w:rsid w:val="00C90624"/>
    <w:rsid w:val="00C9122B"/>
    <w:rsid w:val="00C91710"/>
    <w:rsid w:val="00C91CF5"/>
    <w:rsid w:val="00C92046"/>
    <w:rsid w:val="00C9347A"/>
    <w:rsid w:val="00C93969"/>
    <w:rsid w:val="00C954F2"/>
    <w:rsid w:val="00C9683B"/>
    <w:rsid w:val="00C97CBA"/>
    <w:rsid w:val="00CA012F"/>
    <w:rsid w:val="00CA03A3"/>
    <w:rsid w:val="00CA03E4"/>
    <w:rsid w:val="00CA0EF6"/>
    <w:rsid w:val="00CA2C2E"/>
    <w:rsid w:val="00CA31DB"/>
    <w:rsid w:val="00CA368F"/>
    <w:rsid w:val="00CA5325"/>
    <w:rsid w:val="00CB0DB8"/>
    <w:rsid w:val="00CB3D54"/>
    <w:rsid w:val="00CB5E73"/>
    <w:rsid w:val="00CB6363"/>
    <w:rsid w:val="00CB6B10"/>
    <w:rsid w:val="00CB71A5"/>
    <w:rsid w:val="00CB78B8"/>
    <w:rsid w:val="00CC09E1"/>
    <w:rsid w:val="00CC22E5"/>
    <w:rsid w:val="00CC2BDA"/>
    <w:rsid w:val="00CC41C9"/>
    <w:rsid w:val="00CC7637"/>
    <w:rsid w:val="00CD1F7C"/>
    <w:rsid w:val="00CD22B4"/>
    <w:rsid w:val="00CD22FD"/>
    <w:rsid w:val="00CD33AB"/>
    <w:rsid w:val="00CD4714"/>
    <w:rsid w:val="00CD5DA8"/>
    <w:rsid w:val="00CD5E71"/>
    <w:rsid w:val="00CD7088"/>
    <w:rsid w:val="00CD73CF"/>
    <w:rsid w:val="00CD7AEF"/>
    <w:rsid w:val="00CE0520"/>
    <w:rsid w:val="00CE263C"/>
    <w:rsid w:val="00CE3DCA"/>
    <w:rsid w:val="00CE4795"/>
    <w:rsid w:val="00CE63BA"/>
    <w:rsid w:val="00CE7441"/>
    <w:rsid w:val="00CE7ECF"/>
    <w:rsid w:val="00CF172B"/>
    <w:rsid w:val="00CF1C70"/>
    <w:rsid w:val="00CF291C"/>
    <w:rsid w:val="00CF4B54"/>
    <w:rsid w:val="00CF579A"/>
    <w:rsid w:val="00D011AF"/>
    <w:rsid w:val="00D02A38"/>
    <w:rsid w:val="00D02CDB"/>
    <w:rsid w:val="00D060F5"/>
    <w:rsid w:val="00D061F7"/>
    <w:rsid w:val="00D06613"/>
    <w:rsid w:val="00D07C47"/>
    <w:rsid w:val="00D119E0"/>
    <w:rsid w:val="00D1264E"/>
    <w:rsid w:val="00D12679"/>
    <w:rsid w:val="00D13FCC"/>
    <w:rsid w:val="00D15B9A"/>
    <w:rsid w:val="00D15C72"/>
    <w:rsid w:val="00D15D80"/>
    <w:rsid w:val="00D163C4"/>
    <w:rsid w:val="00D17D8C"/>
    <w:rsid w:val="00D22932"/>
    <w:rsid w:val="00D2307C"/>
    <w:rsid w:val="00D23BE8"/>
    <w:rsid w:val="00D24DED"/>
    <w:rsid w:val="00D251B5"/>
    <w:rsid w:val="00D26793"/>
    <w:rsid w:val="00D273F1"/>
    <w:rsid w:val="00D27953"/>
    <w:rsid w:val="00D307AC"/>
    <w:rsid w:val="00D30FCC"/>
    <w:rsid w:val="00D32D6D"/>
    <w:rsid w:val="00D330EC"/>
    <w:rsid w:val="00D334C0"/>
    <w:rsid w:val="00D34610"/>
    <w:rsid w:val="00D35E77"/>
    <w:rsid w:val="00D35F50"/>
    <w:rsid w:val="00D36619"/>
    <w:rsid w:val="00D366DC"/>
    <w:rsid w:val="00D440EA"/>
    <w:rsid w:val="00D4473F"/>
    <w:rsid w:val="00D450F4"/>
    <w:rsid w:val="00D45431"/>
    <w:rsid w:val="00D50E97"/>
    <w:rsid w:val="00D61D2D"/>
    <w:rsid w:val="00D62FEB"/>
    <w:rsid w:val="00D631D5"/>
    <w:rsid w:val="00D70370"/>
    <w:rsid w:val="00D7086E"/>
    <w:rsid w:val="00D71DCC"/>
    <w:rsid w:val="00D736C1"/>
    <w:rsid w:val="00D744E3"/>
    <w:rsid w:val="00D774D6"/>
    <w:rsid w:val="00D8223C"/>
    <w:rsid w:val="00D829FE"/>
    <w:rsid w:val="00D84C15"/>
    <w:rsid w:val="00D84E89"/>
    <w:rsid w:val="00D85475"/>
    <w:rsid w:val="00D85D15"/>
    <w:rsid w:val="00D87DC8"/>
    <w:rsid w:val="00D9044D"/>
    <w:rsid w:val="00D92085"/>
    <w:rsid w:val="00D92A15"/>
    <w:rsid w:val="00D9567D"/>
    <w:rsid w:val="00D97792"/>
    <w:rsid w:val="00DA2563"/>
    <w:rsid w:val="00DA3144"/>
    <w:rsid w:val="00DA380B"/>
    <w:rsid w:val="00DA46BF"/>
    <w:rsid w:val="00DA5D2B"/>
    <w:rsid w:val="00DA6E85"/>
    <w:rsid w:val="00DB026D"/>
    <w:rsid w:val="00DB55BF"/>
    <w:rsid w:val="00DB6DE4"/>
    <w:rsid w:val="00DB7459"/>
    <w:rsid w:val="00DC0AE8"/>
    <w:rsid w:val="00DC1E56"/>
    <w:rsid w:val="00DC22A3"/>
    <w:rsid w:val="00DC2870"/>
    <w:rsid w:val="00DC357F"/>
    <w:rsid w:val="00DC499D"/>
    <w:rsid w:val="00DC530E"/>
    <w:rsid w:val="00DC6F4D"/>
    <w:rsid w:val="00DC7034"/>
    <w:rsid w:val="00DC7123"/>
    <w:rsid w:val="00DD0935"/>
    <w:rsid w:val="00DD413C"/>
    <w:rsid w:val="00DD5620"/>
    <w:rsid w:val="00DD5A57"/>
    <w:rsid w:val="00DD69FD"/>
    <w:rsid w:val="00DE3995"/>
    <w:rsid w:val="00DE3D4E"/>
    <w:rsid w:val="00DE499C"/>
    <w:rsid w:val="00DE51E6"/>
    <w:rsid w:val="00DE7383"/>
    <w:rsid w:val="00DF29E0"/>
    <w:rsid w:val="00E006C0"/>
    <w:rsid w:val="00E010C0"/>
    <w:rsid w:val="00E02410"/>
    <w:rsid w:val="00E0297A"/>
    <w:rsid w:val="00E056E2"/>
    <w:rsid w:val="00E05CD7"/>
    <w:rsid w:val="00E1005E"/>
    <w:rsid w:val="00E121FC"/>
    <w:rsid w:val="00E12587"/>
    <w:rsid w:val="00E12AF3"/>
    <w:rsid w:val="00E1692B"/>
    <w:rsid w:val="00E16DE5"/>
    <w:rsid w:val="00E17C56"/>
    <w:rsid w:val="00E2069A"/>
    <w:rsid w:val="00E20CEB"/>
    <w:rsid w:val="00E2623C"/>
    <w:rsid w:val="00E311A1"/>
    <w:rsid w:val="00E335B6"/>
    <w:rsid w:val="00E34833"/>
    <w:rsid w:val="00E34AA5"/>
    <w:rsid w:val="00E34FF9"/>
    <w:rsid w:val="00E35CFB"/>
    <w:rsid w:val="00E40272"/>
    <w:rsid w:val="00E41690"/>
    <w:rsid w:val="00E4229F"/>
    <w:rsid w:val="00E422C7"/>
    <w:rsid w:val="00E45AB6"/>
    <w:rsid w:val="00E47291"/>
    <w:rsid w:val="00E50150"/>
    <w:rsid w:val="00E53529"/>
    <w:rsid w:val="00E53FDA"/>
    <w:rsid w:val="00E54DB3"/>
    <w:rsid w:val="00E56210"/>
    <w:rsid w:val="00E56EAE"/>
    <w:rsid w:val="00E5757F"/>
    <w:rsid w:val="00E603D7"/>
    <w:rsid w:val="00E638EA"/>
    <w:rsid w:val="00E656AA"/>
    <w:rsid w:val="00E66181"/>
    <w:rsid w:val="00E66C53"/>
    <w:rsid w:val="00E6736C"/>
    <w:rsid w:val="00E6785B"/>
    <w:rsid w:val="00E67BB4"/>
    <w:rsid w:val="00E705A5"/>
    <w:rsid w:val="00E715AA"/>
    <w:rsid w:val="00E72A65"/>
    <w:rsid w:val="00E7531B"/>
    <w:rsid w:val="00E761CC"/>
    <w:rsid w:val="00E76696"/>
    <w:rsid w:val="00E76A25"/>
    <w:rsid w:val="00E77A12"/>
    <w:rsid w:val="00E82AD8"/>
    <w:rsid w:val="00E8351B"/>
    <w:rsid w:val="00E847F7"/>
    <w:rsid w:val="00E8563B"/>
    <w:rsid w:val="00E86281"/>
    <w:rsid w:val="00E87230"/>
    <w:rsid w:val="00E872AD"/>
    <w:rsid w:val="00E87666"/>
    <w:rsid w:val="00E90187"/>
    <w:rsid w:val="00E9078D"/>
    <w:rsid w:val="00E912E2"/>
    <w:rsid w:val="00E91776"/>
    <w:rsid w:val="00E91F35"/>
    <w:rsid w:val="00E92B97"/>
    <w:rsid w:val="00E9657A"/>
    <w:rsid w:val="00E96D5C"/>
    <w:rsid w:val="00EA1BD1"/>
    <w:rsid w:val="00EB1A1D"/>
    <w:rsid w:val="00EC22AB"/>
    <w:rsid w:val="00EC3FE2"/>
    <w:rsid w:val="00EC4B99"/>
    <w:rsid w:val="00EC7068"/>
    <w:rsid w:val="00EC7DD2"/>
    <w:rsid w:val="00ED2BB4"/>
    <w:rsid w:val="00ED3584"/>
    <w:rsid w:val="00ED4027"/>
    <w:rsid w:val="00ED60D0"/>
    <w:rsid w:val="00ED6C3C"/>
    <w:rsid w:val="00ED76F3"/>
    <w:rsid w:val="00ED7DB6"/>
    <w:rsid w:val="00EE1040"/>
    <w:rsid w:val="00EE21F8"/>
    <w:rsid w:val="00EE2E7A"/>
    <w:rsid w:val="00EE2F7B"/>
    <w:rsid w:val="00EE3B90"/>
    <w:rsid w:val="00EE53E1"/>
    <w:rsid w:val="00EE65FD"/>
    <w:rsid w:val="00EE66C4"/>
    <w:rsid w:val="00EE687C"/>
    <w:rsid w:val="00EE76F2"/>
    <w:rsid w:val="00EE7F58"/>
    <w:rsid w:val="00EF0CEA"/>
    <w:rsid w:val="00EF18C4"/>
    <w:rsid w:val="00EF35ED"/>
    <w:rsid w:val="00EF3B3E"/>
    <w:rsid w:val="00EF41E5"/>
    <w:rsid w:val="00EF4B01"/>
    <w:rsid w:val="00EF51F5"/>
    <w:rsid w:val="00F00A1D"/>
    <w:rsid w:val="00F01518"/>
    <w:rsid w:val="00F06D4E"/>
    <w:rsid w:val="00F06EE8"/>
    <w:rsid w:val="00F10359"/>
    <w:rsid w:val="00F1099B"/>
    <w:rsid w:val="00F112FD"/>
    <w:rsid w:val="00F11777"/>
    <w:rsid w:val="00F1211D"/>
    <w:rsid w:val="00F13338"/>
    <w:rsid w:val="00F141A0"/>
    <w:rsid w:val="00F1438C"/>
    <w:rsid w:val="00F15103"/>
    <w:rsid w:val="00F15461"/>
    <w:rsid w:val="00F16187"/>
    <w:rsid w:val="00F224E3"/>
    <w:rsid w:val="00F233B5"/>
    <w:rsid w:val="00F2452B"/>
    <w:rsid w:val="00F24FE1"/>
    <w:rsid w:val="00F2619A"/>
    <w:rsid w:val="00F2710C"/>
    <w:rsid w:val="00F2729C"/>
    <w:rsid w:val="00F31B29"/>
    <w:rsid w:val="00F31FED"/>
    <w:rsid w:val="00F321DC"/>
    <w:rsid w:val="00F3403B"/>
    <w:rsid w:val="00F37934"/>
    <w:rsid w:val="00F37DC2"/>
    <w:rsid w:val="00F41097"/>
    <w:rsid w:val="00F41962"/>
    <w:rsid w:val="00F42632"/>
    <w:rsid w:val="00F42B8A"/>
    <w:rsid w:val="00F437B8"/>
    <w:rsid w:val="00F4666F"/>
    <w:rsid w:val="00F51285"/>
    <w:rsid w:val="00F5283D"/>
    <w:rsid w:val="00F52CD7"/>
    <w:rsid w:val="00F543FA"/>
    <w:rsid w:val="00F6004B"/>
    <w:rsid w:val="00F60674"/>
    <w:rsid w:val="00F61041"/>
    <w:rsid w:val="00F61283"/>
    <w:rsid w:val="00F654E8"/>
    <w:rsid w:val="00F65CFD"/>
    <w:rsid w:val="00F66864"/>
    <w:rsid w:val="00F72FCF"/>
    <w:rsid w:val="00F756C3"/>
    <w:rsid w:val="00F767C2"/>
    <w:rsid w:val="00F806F1"/>
    <w:rsid w:val="00F817AD"/>
    <w:rsid w:val="00F8450E"/>
    <w:rsid w:val="00F84C5B"/>
    <w:rsid w:val="00F90B1B"/>
    <w:rsid w:val="00F933D8"/>
    <w:rsid w:val="00F94DA0"/>
    <w:rsid w:val="00F97519"/>
    <w:rsid w:val="00FA2416"/>
    <w:rsid w:val="00FA386D"/>
    <w:rsid w:val="00FA6AA1"/>
    <w:rsid w:val="00FA6BE0"/>
    <w:rsid w:val="00FA72A6"/>
    <w:rsid w:val="00FA754C"/>
    <w:rsid w:val="00FB0525"/>
    <w:rsid w:val="00FB21A6"/>
    <w:rsid w:val="00FB2314"/>
    <w:rsid w:val="00FB2B29"/>
    <w:rsid w:val="00FB558D"/>
    <w:rsid w:val="00FB5939"/>
    <w:rsid w:val="00FB6276"/>
    <w:rsid w:val="00FB637F"/>
    <w:rsid w:val="00FB7217"/>
    <w:rsid w:val="00FC08E6"/>
    <w:rsid w:val="00FC1561"/>
    <w:rsid w:val="00FC212C"/>
    <w:rsid w:val="00FC2AF7"/>
    <w:rsid w:val="00FD03E2"/>
    <w:rsid w:val="00FD06BC"/>
    <w:rsid w:val="00FD2465"/>
    <w:rsid w:val="00FD6B4B"/>
    <w:rsid w:val="00FD7E63"/>
    <w:rsid w:val="00FE1245"/>
    <w:rsid w:val="00FE19AC"/>
    <w:rsid w:val="00FE2336"/>
    <w:rsid w:val="00FE4098"/>
    <w:rsid w:val="00FE5627"/>
    <w:rsid w:val="00FF0BA2"/>
    <w:rsid w:val="00FF2520"/>
    <w:rsid w:val="00FF3930"/>
    <w:rsid w:val="00FF4215"/>
    <w:rsid w:val="00FF48D6"/>
    <w:rsid w:val="00FF4C4F"/>
    <w:rsid w:val="00FF4C85"/>
    <w:rsid w:val="00FF4D7D"/>
    <w:rsid w:val="00FF566C"/>
    <w:rsid w:val="00FF7770"/>
    <w:rsid w:val="00FF7BA0"/>
    <w:rsid w:val="01073EEA"/>
    <w:rsid w:val="02377801"/>
    <w:rsid w:val="029307AF"/>
    <w:rsid w:val="02AB78A7"/>
    <w:rsid w:val="030376E3"/>
    <w:rsid w:val="03415CF6"/>
    <w:rsid w:val="03465822"/>
    <w:rsid w:val="03791753"/>
    <w:rsid w:val="03F23E6F"/>
    <w:rsid w:val="04C3537C"/>
    <w:rsid w:val="04FD5688"/>
    <w:rsid w:val="05477B20"/>
    <w:rsid w:val="05816FE5"/>
    <w:rsid w:val="05D62C76"/>
    <w:rsid w:val="071734B3"/>
    <w:rsid w:val="07397B77"/>
    <w:rsid w:val="078B42EC"/>
    <w:rsid w:val="07E01DA1"/>
    <w:rsid w:val="091B505B"/>
    <w:rsid w:val="096802A0"/>
    <w:rsid w:val="09EB7C1C"/>
    <w:rsid w:val="0A4A3E4A"/>
    <w:rsid w:val="0A7C0731"/>
    <w:rsid w:val="0A805ABD"/>
    <w:rsid w:val="0A84735B"/>
    <w:rsid w:val="0A9652E1"/>
    <w:rsid w:val="0AD11E75"/>
    <w:rsid w:val="0B521208"/>
    <w:rsid w:val="0B8A6024"/>
    <w:rsid w:val="0BC67500"/>
    <w:rsid w:val="0C0B585A"/>
    <w:rsid w:val="0C1069CD"/>
    <w:rsid w:val="0CF137AD"/>
    <w:rsid w:val="0D38442D"/>
    <w:rsid w:val="0E5E1C72"/>
    <w:rsid w:val="0E7E40C2"/>
    <w:rsid w:val="0E85294D"/>
    <w:rsid w:val="0E8B5099"/>
    <w:rsid w:val="0EC64D24"/>
    <w:rsid w:val="0EF84D38"/>
    <w:rsid w:val="0F052A35"/>
    <w:rsid w:val="0F83329A"/>
    <w:rsid w:val="103352E6"/>
    <w:rsid w:val="1125116C"/>
    <w:rsid w:val="112D2F0D"/>
    <w:rsid w:val="114C494B"/>
    <w:rsid w:val="11553800"/>
    <w:rsid w:val="11A80796"/>
    <w:rsid w:val="11E903EC"/>
    <w:rsid w:val="120E39AF"/>
    <w:rsid w:val="12255CB7"/>
    <w:rsid w:val="12371157"/>
    <w:rsid w:val="125A2040"/>
    <w:rsid w:val="12785A55"/>
    <w:rsid w:val="1283439D"/>
    <w:rsid w:val="135C4810"/>
    <w:rsid w:val="139879D4"/>
    <w:rsid w:val="14551D69"/>
    <w:rsid w:val="148E7DB7"/>
    <w:rsid w:val="14C64A14"/>
    <w:rsid w:val="150E63FB"/>
    <w:rsid w:val="15D90A9B"/>
    <w:rsid w:val="160E6673"/>
    <w:rsid w:val="16526560"/>
    <w:rsid w:val="16EF0253"/>
    <w:rsid w:val="16FE2244"/>
    <w:rsid w:val="17101F77"/>
    <w:rsid w:val="17544559"/>
    <w:rsid w:val="17793FC0"/>
    <w:rsid w:val="17996410"/>
    <w:rsid w:val="17A45E25"/>
    <w:rsid w:val="17BA5C6D"/>
    <w:rsid w:val="18421C82"/>
    <w:rsid w:val="18431802"/>
    <w:rsid w:val="1853036D"/>
    <w:rsid w:val="185C1C65"/>
    <w:rsid w:val="18AB55D2"/>
    <w:rsid w:val="190A3122"/>
    <w:rsid w:val="19AD646C"/>
    <w:rsid w:val="19B90EF2"/>
    <w:rsid w:val="19E219A9"/>
    <w:rsid w:val="1A2B5E06"/>
    <w:rsid w:val="1A2E40E5"/>
    <w:rsid w:val="1A9D6778"/>
    <w:rsid w:val="1B661967"/>
    <w:rsid w:val="1BA96177"/>
    <w:rsid w:val="1C016E0E"/>
    <w:rsid w:val="1C5D5C5E"/>
    <w:rsid w:val="1CC21F65"/>
    <w:rsid w:val="1CDC489E"/>
    <w:rsid w:val="1CF739BD"/>
    <w:rsid w:val="1D2207B9"/>
    <w:rsid w:val="1D436C02"/>
    <w:rsid w:val="1D4448D9"/>
    <w:rsid w:val="1D570900"/>
    <w:rsid w:val="1D8B2357"/>
    <w:rsid w:val="1E0D5462"/>
    <w:rsid w:val="1E19760E"/>
    <w:rsid w:val="1E2277E6"/>
    <w:rsid w:val="1E8F40C9"/>
    <w:rsid w:val="1F106FB8"/>
    <w:rsid w:val="1F861028"/>
    <w:rsid w:val="20812058"/>
    <w:rsid w:val="209B4FA7"/>
    <w:rsid w:val="20A918DB"/>
    <w:rsid w:val="20DA787E"/>
    <w:rsid w:val="213F3B84"/>
    <w:rsid w:val="21457AA6"/>
    <w:rsid w:val="2160757F"/>
    <w:rsid w:val="21617F9F"/>
    <w:rsid w:val="21DC13D3"/>
    <w:rsid w:val="22A719E1"/>
    <w:rsid w:val="22B44975"/>
    <w:rsid w:val="22EB2BDA"/>
    <w:rsid w:val="230B2DFF"/>
    <w:rsid w:val="233C481F"/>
    <w:rsid w:val="23566F63"/>
    <w:rsid w:val="23827D58"/>
    <w:rsid w:val="23D23A4F"/>
    <w:rsid w:val="23DF164F"/>
    <w:rsid w:val="244871F4"/>
    <w:rsid w:val="245416F5"/>
    <w:rsid w:val="24732C75"/>
    <w:rsid w:val="24A00DDE"/>
    <w:rsid w:val="24AB32DF"/>
    <w:rsid w:val="24B0423F"/>
    <w:rsid w:val="24E65B35"/>
    <w:rsid w:val="25287F65"/>
    <w:rsid w:val="255B6AB3"/>
    <w:rsid w:val="2566249D"/>
    <w:rsid w:val="25696723"/>
    <w:rsid w:val="25F767DC"/>
    <w:rsid w:val="2629095F"/>
    <w:rsid w:val="26345C82"/>
    <w:rsid w:val="26393298"/>
    <w:rsid w:val="267133CE"/>
    <w:rsid w:val="26964247"/>
    <w:rsid w:val="26A12BEB"/>
    <w:rsid w:val="26C03072"/>
    <w:rsid w:val="26EB780B"/>
    <w:rsid w:val="2739310C"/>
    <w:rsid w:val="278F0C96"/>
    <w:rsid w:val="27E9484A"/>
    <w:rsid w:val="27FF5E1C"/>
    <w:rsid w:val="284B5B2B"/>
    <w:rsid w:val="29E51041"/>
    <w:rsid w:val="2A1E44A1"/>
    <w:rsid w:val="2A4E308A"/>
    <w:rsid w:val="2A9A62D0"/>
    <w:rsid w:val="2B1A4D1A"/>
    <w:rsid w:val="2BDB094E"/>
    <w:rsid w:val="2C73041D"/>
    <w:rsid w:val="2CE83322"/>
    <w:rsid w:val="2D662499"/>
    <w:rsid w:val="2D8172D3"/>
    <w:rsid w:val="2E0028ED"/>
    <w:rsid w:val="2E031E2E"/>
    <w:rsid w:val="2E0A1A24"/>
    <w:rsid w:val="2E130F54"/>
    <w:rsid w:val="2EA4771D"/>
    <w:rsid w:val="2EA65A14"/>
    <w:rsid w:val="2EB96AE5"/>
    <w:rsid w:val="2EED2E72"/>
    <w:rsid w:val="2EF97A69"/>
    <w:rsid w:val="2F1C4306"/>
    <w:rsid w:val="2F3E7229"/>
    <w:rsid w:val="301F52AD"/>
    <w:rsid w:val="306B04F2"/>
    <w:rsid w:val="31085D41"/>
    <w:rsid w:val="313F54DB"/>
    <w:rsid w:val="32427031"/>
    <w:rsid w:val="3262491A"/>
    <w:rsid w:val="326F3B9E"/>
    <w:rsid w:val="32C53F54"/>
    <w:rsid w:val="33174961"/>
    <w:rsid w:val="33324FAE"/>
    <w:rsid w:val="34125129"/>
    <w:rsid w:val="34465710"/>
    <w:rsid w:val="34A57D4B"/>
    <w:rsid w:val="34E24AFB"/>
    <w:rsid w:val="35337105"/>
    <w:rsid w:val="353D61D5"/>
    <w:rsid w:val="35846E2F"/>
    <w:rsid w:val="3598300D"/>
    <w:rsid w:val="35A95619"/>
    <w:rsid w:val="35ED7BFB"/>
    <w:rsid w:val="35FB40C6"/>
    <w:rsid w:val="36716136"/>
    <w:rsid w:val="36B64491"/>
    <w:rsid w:val="36E27034"/>
    <w:rsid w:val="371442C0"/>
    <w:rsid w:val="37272C99"/>
    <w:rsid w:val="37672E6A"/>
    <w:rsid w:val="37B95FE7"/>
    <w:rsid w:val="37BB6822"/>
    <w:rsid w:val="37CD77F5"/>
    <w:rsid w:val="38445935"/>
    <w:rsid w:val="3909523B"/>
    <w:rsid w:val="39AE1450"/>
    <w:rsid w:val="3A0D4D1C"/>
    <w:rsid w:val="3A63223A"/>
    <w:rsid w:val="3A7A7584"/>
    <w:rsid w:val="3BB05953"/>
    <w:rsid w:val="3BC62A80"/>
    <w:rsid w:val="3BD66A3C"/>
    <w:rsid w:val="3C0435A9"/>
    <w:rsid w:val="3CFC24D2"/>
    <w:rsid w:val="3D2F28A7"/>
    <w:rsid w:val="3D6844FA"/>
    <w:rsid w:val="3D7F382F"/>
    <w:rsid w:val="3E6D18D9"/>
    <w:rsid w:val="3E990920"/>
    <w:rsid w:val="3E99447C"/>
    <w:rsid w:val="3E9A0E65"/>
    <w:rsid w:val="3EDB51F8"/>
    <w:rsid w:val="3EE6168C"/>
    <w:rsid w:val="3F0C172B"/>
    <w:rsid w:val="3F7D5B4C"/>
    <w:rsid w:val="3FBA0D54"/>
    <w:rsid w:val="3FCF3A3E"/>
    <w:rsid w:val="3FCF3ECE"/>
    <w:rsid w:val="4024421A"/>
    <w:rsid w:val="40503261"/>
    <w:rsid w:val="408D0011"/>
    <w:rsid w:val="409C46F8"/>
    <w:rsid w:val="40A73392"/>
    <w:rsid w:val="40B530C4"/>
    <w:rsid w:val="40F33877"/>
    <w:rsid w:val="41043009"/>
    <w:rsid w:val="41BE41FA"/>
    <w:rsid w:val="42150A67"/>
    <w:rsid w:val="42BA70B7"/>
    <w:rsid w:val="42F00D2B"/>
    <w:rsid w:val="430D368B"/>
    <w:rsid w:val="43195B8C"/>
    <w:rsid w:val="43662FA4"/>
    <w:rsid w:val="43860D47"/>
    <w:rsid w:val="43D1290A"/>
    <w:rsid w:val="43F03E56"/>
    <w:rsid w:val="44207E0E"/>
    <w:rsid w:val="44BC4DD3"/>
    <w:rsid w:val="45343151"/>
    <w:rsid w:val="45C83899"/>
    <w:rsid w:val="45CD0EAF"/>
    <w:rsid w:val="46095A45"/>
    <w:rsid w:val="47685334"/>
    <w:rsid w:val="476A2E5A"/>
    <w:rsid w:val="480A6B3D"/>
    <w:rsid w:val="482D19C9"/>
    <w:rsid w:val="483D056E"/>
    <w:rsid w:val="48541414"/>
    <w:rsid w:val="485E04E5"/>
    <w:rsid w:val="492359B6"/>
    <w:rsid w:val="49325BF9"/>
    <w:rsid w:val="49E1317B"/>
    <w:rsid w:val="4A3E412A"/>
    <w:rsid w:val="4A5D0DAA"/>
    <w:rsid w:val="4A5D6CA6"/>
    <w:rsid w:val="4A7B537E"/>
    <w:rsid w:val="4B1706C2"/>
    <w:rsid w:val="4B374E90"/>
    <w:rsid w:val="4B5700E4"/>
    <w:rsid w:val="4C1B2975"/>
    <w:rsid w:val="4C3457E4"/>
    <w:rsid w:val="4C583D01"/>
    <w:rsid w:val="4C9038B4"/>
    <w:rsid w:val="4D73233C"/>
    <w:rsid w:val="4DA42E3E"/>
    <w:rsid w:val="4ECC61A8"/>
    <w:rsid w:val="4F1E0688"/>
    <w:rsid w:val="4F4B3D3E"/>
    <w:rsid w:val="4FB235F0"/>
    <w:rsid w:val="4FC2067F"/>
    <w:rsid w:val="4FDA48F5"/>
    <w:rsid w:val="4FE31FFC"/>
    <w:rsid w:val="50412BC6"/>
    <w:rsid w:val="50746077"/>
    <w:rsid w:val="51581F75"/>
    <w:rsid w:val="516A7EFA"/>
    <w:rsid w:val="51750D79"/>
    <w:rsid w:val="519A07DF"/>
    <w:rsid w:val="51D174B1"/>
    <w:rsid w:val="522B58DB"/>
    <w:rsid w:val="528943B0"/>
    <w:rsid w:val="52F65BC8"/>
    <w:rsid w:val="53193986"/>
    <w:rsid w:val="534A1D91"/>
    <w:rsid w:val="53A4333A"/>
    <w:rsid w:val="54065CB8"/>
    <w:rsid w:val="541D7610"/>
    <w:rsid w:val="549B3399"/>
    <w:rsid w:val="54DB0444"/>
    <w:rsid w:val="550A28B3"/>
    <w:rsid w:val="552B25EE"/>
    <w:rsid w:val="553F0C3F"/>
    <w:rsid w:val="556C4241"/>
    <w:rsid w:val="55782BE6"/>
    <w:rsid w:val="55986DE4"/>
    <w:rsid w:val="55B81234"/>
    <w:rsid w:val="55C021FF"/>
    <w:rsid w:val="55CF5EF1"/>
    <w:rsid w:val="5622559B"/>
    <w:rsid w:val="562875A6"/>
    <w:rsid w:val="569673B7"/>
    <w:rsid w:val="56FE35BF"/>
    <w:rsid w:val="57081D47"/>
    <w:rsid w:val="57193F55"/>
    <w:rsid w:val="57200B83"/>
    <w:rsid w:val="57555DE6"/>
    <w:rsid w:val="57780607"/>
    <w:rsid w:val="57A2219C"/>
    <w:rsid w:val="57B123DF"/>
    <w:rsid w:val="57B74395"/>
    <w:rsid w:val="57B95737"/>
    <w:rsid w:val="58382B00"/>
    <w:rsid w:val="587C4716"/>
    <w:rsid w:val="58FC1D80"/>
    <w:rsid w:val="595C6329"/>
    <w:rsid w:val="59D6437F"/>
    <w:rsid w:val="59E36A9C"/>
    <w:rsid w:val="59FD5DAF"/>
    <w:rsid w:val="5A2B500F"/>
    <w:rsid w:val="5A58296B"/>
    <w:rsid w:val="5A7823A2"/>
    <w:rsid w:val="5B343F14"/>
    <w:rsid w:val="5B597015"/>
    <w:rsid w:val="5B7E7DD1"/>
    <w:rsid w:val="5BBB1A7E"/>
    <w:rsid w:val="5BC22E0D"/>
    <w:rsid w:val="5BE977B3"/>
    <w:rsid w:val="5BF15A06"/>
    <w:rsid w:val="5BF25068"/>
    <w:rsid w:val="5C084598"/>
    <w:rsid w:val="5C090F2F"/>
    <w:rsid w:val="5C6E4DC9"/>
    <w:rsid w:val="5CB94A17"/>
    <w:rsid w:val="5D221689"/>
    <w:rsid w:val="5DC56BE4"/>
    <w:rsid w:val="5E0C65C1"/>
    <w:rsid w:val="5E9D3853"/>
    <w:rsid w:val="5EFF6126"/>
    <w:rsid w:val="5F1A4D0E"/>
    <w:rsid w:val="5F1B397A"/>
    <w:rsid w:val="5F323AA6"/>
    <w:rsid w:val="5F4E6765"/>
    <w:rsid w:val="5F661819"/>
    <w:rsid w:val="5F9C5723"/>
    <w:rsid w:val="60477D84"/>
    <w:rsid w:val="606E3563"/>
    <w:rsid w:val="61844695"/>
    <w:rsid w:val="61AD3C17"/>
    <w:rsid w:val="61B45646"/>
    <w:rsid w:val="61F23D20"/>
    <w:rsid w:val="623F6839"/>
    <w:rsid w:val="627E7362"/>
    <w:rsid w:val="63BA261B"/>
    <w:rsid w:val="63BC2837"/>
    <w:rsid w:val="63C16BEA"/>
    <w:rsid w:val="63DA0F0F"/>
    <w:rsid w:val="642344A2"/>
    <w:rsid w:val="64291F23"/>
    <w:rsid w:val="642F1B54"/>
    <w:rsid w:val="6477675E"/>
    <w:rsid w:val="64942E6C"/>
    <w:rsid w:val="64EA33D4"/>
    <w:rsid w:val="64FC57C2"/>
    <w:rsid w:val="656B457B"/>
    <w:rsid w:val="65C94540"/>
    <w:rsid w:val="664D59C9"/>
    <w:rsid w:val="667C658D"/>
    <w:rsid w:val="668F6040"/>
    <w:rsid w:val="66C11F13"/>
    <w:rsid w:val="66D103A8"/>
    <w:rsid w:val="66EF082E"/>
    <w:rsid w:val="67F500C6"/>
    <w:rsid w:val="6804655B"/>
    <w:rsid w:val="688D47A2"/>
    <w:rsid w:val="68AA5354"/>
    <w:rsid w:val="68AB69D7"/>
    <w:rsid w:val="68E1689C"/>
    <w:rsid w:val="6981521F"/>
    <w:rsid w:val="6996429D"/>
    <w:rsid w:val="69A51678"/>
    <w:rsid w:val="6A8C11F2"/>
    <w:rsid w:val="6AAB7162"/>
    <w:rsid w:val="6B431148"/>
    <w:rsid w:val="6B6F018F"/>
    <w:rsid w:val="6BF3491C"/>
    <w:rsid w:val="6C3F4E4E"/>
    <w:rsid w:val="6C4258A4"/>
    <w:rsid w:val="6CB57E24"/>
    <w:rsid w:val="6CDC65C8"/>
    <w:rsid w:val="6D1D48B7"/>
    <w:rsid w:val="6D9D5488"/>
    <w:rsid w:val="6DD662A4"/>
    <w:rsid w:val="6DDB33BB"/>
    <w:rsid w:val="6E1F2C65"/>
    <w:rsid w:val="6EFC61DE"/>
    <w:rsid w:val="6F0D2199"/>
    <w:rsid w:val="6F531FEF"/>
    <w:rsid w:val="6FF46EB5"/>
    <w:rsid w:val="702C664F"/>
    <w:rsid w:val="707B3132"/>
    <w:rsid w:val="708B5A6B"/>
    <w:rsid w:val="708F2650"/>
    <w:rsid w:val="70F82402"/>
    <w:rsid w:val="71866233"/>
    <w:rsid w:val="71C34D91"/>
    <w:rsid w:val="7235379B"/>
    <w:rsid w:val="72402057"/>
    <w:rsid w:val="73A6496A"/>
    <w:rsid w:val="73AB01D2"/>
    <w:rsid w:val="74212243"/>
    <w:rsid w:val="74594157"/>
    <w:rsid w:val="749649DF"/>
    <w:rsid w:val="74A569D0"/>
    <w:rsid w:val="74AD776E"/>
    <w:rsid w:val="74C94E19"/>
    <w:rsid w:val="75054F76"/>
    <w:rsid w:val="757A4300"/>
    <w:rsid w:val="75DF43F9"/>
    <w:rsid w:val="75E404AF"/>
    <w:rsid w:val="77C875A5"/>
    <w:rsid w:val="77E15F71"/>
    <w:rsid w:val="78025A15"/>
    <w:rsid w:val="787A073D"/>
    <w:rsid w:val="789254BD"/>
    <w:rsid w:val="78CD4747"/>
    <w:rsid w:val="78E04567"/>
    <w:rsid w:val="790A14F7"/>
    <w:rsid w:val="7931117A"/>
    <w:rsid w:val="793D7B1F"/>
    <w:rsid w:val="795310F0"/>
    <w:rsid w:val="7A0643B5"/>
    <w:rsid w:val="7AAC0AB8"/>
    <w:rsid w:val="7AFB3B2F"/>
    <w:rsid w:val="7B783090"/>
    <w:rsid w:val="7B8E7BC4"/>
    <w:rsid w:val="7BF73FB5"/>
    <w:rsid w:val="7C1032C9"/>
    <w:rsid w:val="7C43369E"/>
    <w:rsid w:val="7D503278"/>
    <w:rsid w:val="7D6A5E50"/>
    <w:rsid w:val="7DA3346D"/>
    <w:rsid w:val="7DC50D0D"/>
    <w:rsid w:val="7E1A3F8B"/>
    <w:rsid w:val="7E941F8F"/>
    <w:rsid w:val="7F61630B"/>
    <w:rsid w:val="7F735A32"/>
    <w:rsid w:val="7F8C71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iPriority="0" w:semiHidden="0" w:name="heading 4"/>
    <w:lsdException w:qFormat="1" w:uiPriority="0" w:semiHidden="0" w:name="heading 5"/>
    <w:lsdException w:qFormat="1" w:uiPriority="9" w:name="heading 6"/>
    <w:lsdException w:qFormat="1" w:uiPriority="9" w:name="heading 7"/>
    <w:lsdException w:qFormat="1" w:uiPriority="9" w:name="heading 8"/>
    <w:lsdException w:qFormat="1" w:uiPriority="9"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qFormat="1" w:unhideWhenUsed="0" w:uiPriority="0" w:semiHidden="0" w:name="table of figures"/>
    <w:lsdException w:uiPriority="99" w:name="envelope address"/>
    <w:lsdException w:uiPriority="99" w:name="envelope return"/>
    <w:lsdException w:qFormat="1" w:unhideWhenUsed="0" w:uiPriority="0"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iPriority="0" w:semiHidden="0" w:name="toa heading"/>
    <w:lsdException w:uiPriority="99" w:name="List"/>
    <w:lsdException w:uiPriority="99" w:name="List Bullet"/>
    <w:lsdException w:qFormat="1" w:unhideWhenUsed="0" w:uiPriority="99" w:semiHidden="0"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99" w:semiHidden="0" w:name="Body Text"/>
    <w:lsdException w:qFormat="1" w:unhideWhenUsed="0" w:uiPriority="0" w:semiHidden="0" w:name="Body Text Indent"/>
    <w:lsdException w:uiPriority="99" w:name="List Continue"/>
    <w:lsdException w:qFormat="1" w:unhideWhenUsed="0" w:uiPriority="99" w:semiHidden="0"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iPriority="99" w:name="Note Heading"/>
    <w:lsdException w:qFormat="1" w:uiPriority="99" w:semiHidden="0" w:name="Body Text 2"/>
    <w:lsdException w:uiPriority="99" w:name="Body Text 3"/>
    <w:lsdException w:qFormat="1" w:unhideWhenUsed="0" w:uiPriority="99" w:semiHidden="0" w:name="Body Text Indent 2"/>
    <w:lsdException w:qFormat="1" w:unhideWhenUsed="0" w:uiPriority="99" w:semiHidden="0"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qFormat="1" w:unhideWhenUsed="0" w:uiPriority="99" w:semiHidden="0" w:name="HTML Acronym"/>
    <w:lsdException w:uiPriority="99" w:name="HTML Address"/>
    <w:lsdException w:qFormat="1" w:unhideWhenUsed="0" w:uiPriority="99" w:semiHidden="0" w:name="HTML Cite"/>
    <w:lsdException w:qFormat="1" w:unhideWhenUsed="0" w:uiPriority="99" w:semiHidden="0" w:name="HTML Code"/>
    <w:lsdException w:qFormat="1" w:unhideWhenUsed="0" w:uiPriority="99" w:semiHidden="0" w:name="HTML Definition"/>
    <w:lsdException w:qFormat="1" w:unhideWhenUsed="0" w:uiPriority="99" w:semiHidden="0" w:name="HTML Keyboard"/>
    <w:lsdException w:qFormat="1" w:unhideWhenUsed="0" w:uiPriority="99" w:semiHidden="0" w:name="HTML Preformatted"/>
    <w:lsdException w:qFormat="1" w:unhideWhenUsed="0" w:uiPriority="99" w:semiHidden="0" w:name="HTML Sample"/>
    <w:lsdException w:uiPriority="99" w:name="HTML Typewriter"/>
    <w:lsdException w:qFormat="1" w:unhideWhenUsed="0" w:uiPriority="99"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60"/>
    <w:qFormat/>
    <w:uiPriority w:val="9"/>
    <w:pPr>
      <w:keepNext/>
      <w:widowControl/>
      <w:spacing w:before="340" w:after="330" w:line="576" w:lineRule="auto"/>
      <w:jc w:val="center"/>
      <w:outlineLvl w:val="0"/>
    </w:pPr>
    <w:rPr>
      <w:rFonts w:ascii="???" w:hAnsi="???" w:eastAsia="宋体" w:cs="Arial"/>
      <w:b/>
      <w:bCs/>
      <w:color w:val="020000"/>
      <w:kern w:val="36"/>
      <w:sz w:val="44"/>
      <w:szCs w:val="44"/>
    </w:rPr>
  </w:style>
  <w:style w:type="paragraph" w:styleId="3">
    <w:name w:val="heading 2"/>
    <w:basedOn w:val="1"/>
    <w:next w:val="1"/>
    <w:link w:val="61"/>
    <w:qFormat/>
    <w:uiPriority w:val="0"/>
    <w:pPr>
      <w:keepNext/>
      <w:widowControl/>
      <w:spacing w:before="260" w:after="260" w:line="412" w:lineRule="auto"/>
      <w:outlineLvl w:val="1"/>
    </w:pPr>
    <w:rPr>
      <w:rFonts w:ascii="???" w:hAnsi="???" w:eastAsia="宋体" w:cs="Arial"/>
      <w:b/>
      <w:bCs/>
      <w:color w:val="020000"/>
      <w:kern w:val="0"/>
      <w:sz w:val="32"/>
      <w:szCs w:val="32"/>
    </w:rPr>
  </w:style>
  <w:style w:type="paragraph" w:styleId="4">
    <w:name w:val="heading 3"/>
    <w:basedOn w:val="1"/>
    <w:next w:val="1"/>
    <w:link w:val="62"/>
    <w:qFormat/>
    <w:uiPriority w:val="0"/>
    <w:pPr>
      <w:keepNext/>
      <w:widowControl/>
      <w:spacing w:before="260" w:after="260" w:line="412" w:lineRule="auto"/>
      <w:outlineLvl w:val="2"/>
    </w:pPr>
    <w:rPr>
      <w:rFonts w:ascii="??" w:hAnsi="??" w:eastAsia="宋体" w:cs="Arial"/>
      <w:b/>
      <w:bCs/>
      <w:color w:val="000000"/>
      <w:kern w:val="0"/>
      <w:sz w:val="32"/>
      <w:szCs w:val="32"/>
    </w:rPr>
  </w:style>
  <w:style w:type="paragraph" w:styleId="5">
    <w:name w:val="heading 4"/>
    <w:basedOn w:val="1"/>
    <w:next w:val="1"/>
    <w:unhideWhenUsed/>
    <w:qFormat/>
    <w:uiPriority w:val="0"/>
    <w:pPr>
      <w:keepNext/>
      <w:keepLines/>
      <w:spacing w:before="280" w:after="290" w:line="377" w:lineRule="auto"/>
      <w:outlineLvl w:val="3"/>
    </w:pPr>
    <w:rPr>
      <w:rFonts w:asciiTheme="majorHAnsi" w:hAnsiTheme="majorHAnsi" w:eastAsiaTheme="majorEastAsia" w:cstheme="majorBidi"/>
      <w:b/>
      <w:bCs/>
      <w:szCs w:val="28"/>
    </w:rPr>
  </w:style>
  <w:style w:type="paragraph" w:styleId="6">
    <w:name w:val="heading 5"/>
    <w:basedOn w:val="1"/>
    <w:next w:val="1"/>
    <w:link w:val="219"/>
    <w:unhideWhenUsed/>
    <w:qFormat/>
    <w:uiPriority w:val="0"/>
    <w:pPr>
      <w:keepNext/>
      <w:keepLines/>
      <w:spacing w:before="280" w:after="290" w:line="376" w:lineRule="auto"/>
      <w:outlineLvl w:val="4"/>
    </w:pPr>
    <w:rPr>
      <w:b/>
      <w:bCs/>
      <w:sz w:val="28"/>
      <w:szCs w:val="28"/>
    </w:rPr>
  </w:style>
  <w:style w:type="character" w:default="1" w:styleId="45">
    <w:name w:val="Default Paragraph Font"/>
    <w:unhideWhenUsed/>
    <w:qFormat/>
    <w:uiPriority w:val="1"/>
  </w:style>
  <w:style w:type="table" w:default="1" w:styleId="43">
    <w:name w:val="Normal Table"/>
    <w:semiHidden/>
    <w:unhideWhenUsed/>
    <w:qFormat/>
    <w:uiPriority w:val="99"/>
    <w:tblPr>
      <w:tblCellMar>
        <w:top w:w="0" w:type="dxa"/>
        <w:left w:w="108" w:type="dxa"/>
        <w:bottom w:w="0" w:type="dxa"/>
        <w:right w:w="108" w:type="dxa"/>
      </w:tblCellMar>
    </w:tblPr>
  </w:style>
  <w:style w:type="paragraph" w:styleId="7">
    <w:name w:val="toc 7"/>
    <w:basedOn w:val="1"/>
    <w:next w:val="1"/>
    <w:qFormat/>
    <w:uiPriority w:val="0"/>
    <w:pPr>
      <w:ind w:left="2520" w:leftChars="1200"/>
    </w:pPr>
    <w:rPr>
      <w:rFonts w:ascii="Times New Roman" w:hAnsi="Times New Roman" w:eastAsia="宋体" w:cs="Times New Roman"/>
      <w:szCs w:val="24"/>
    </w:rPr>
  </w:style>
  <w:style w:type="paragraph" w:styleId="8">
    <w:name w:val="List Number"/>
    <w:basedOn w:val="1"/>
    <w:qFormat/>
    <w:uiPriority w:val="99"/>
    <w:pPr>
      <w:widowControl/>
      <w:spacing w:before="100" w:beforeAutospacing="1" w:after="100" w:afterAutospacing="1"/>
      <w:jc w:val="left"/>
    </w:pPr>
    <w:rPr>
      <w:rFonts w:ascii="宋体" w:hAnsi="宋体" w:eastAsia="宋体" w:cs="宋体"/>
      <w:kern w:val="0"/>
      <w:sz w:val="24"/>
      <w:szCs w:val="24"/>
    </w:rPr>
  </w:style>
  <w:style w:type="paragraph" w:styleId="9">
    <w:name w:val="Normal Indent"/>
    <w:basedOn w:val="1"/>
    <w:link w:val="113"/>
    <w:qFormat/>
    <w:uiPriority w:val="0"/>
    <w:pPr>
      <w:ind w:firstLine="420" w:firstLineChars="200"/>
    </w:pPr>
    <w:rPr>
      <w:rFonts w:ascii="Times New Roman" w:hAnsi="Times New Roman" w:eastAsia="宋体" w:cs="Times New Roman"/>
      <w:kern w:val="0"/>
      <w:sz w:val="24"/>
      <w:szCs w:val="20"/>
    </w:rPr>
  </w:style>
  <w:style w:type="paragraph" w:styleId="10">
    <w:name w:val="Document Map"/>
    <w:basedOn w:val="1"/>
    <w:link w:val="131"/>
    <w:qFormat/>
    <w:uiPriority w:val="0"/>
    <w:rPr>
      <w:rFonts w:ascii="宋体" w:hAnsi="Calibri" w:eastAsia="宋体" w:cs="Times New Roman"/>
      <w:kern w:val="0"/>
      <w:sz w:val="18"/>
      <w:szCs w:val="20"/>
    </w:rPr>
  </w:style>
  <w:style w:type="paragraph" w:styleId="11">
    <w:name w:val="toa heading"/>
    <w:basedOn w:val="1"/>
    <w:next w:val="1"/>
    <w:unhideWhenUsed/>
    <w:qFormat/>
    <w:uiPriority w:val="0"/>
    <w:pPr>
      <w:spacing w:before="120"/>
    </w:pPr>
    <w:rPr>
      <w:rFonts w:ascii="Cambria" w:hAnsi="Cambria" w:eastAsia="宋体" w:cs="Times New Roman"/>
      <w:sz w:val="24"/>
    </w:rPr>
  </w:style>
  <w:style w:type="paragraph" w:styleId="12">
    <w:name w:val="annotation text"/>
    <w:basedOn w:val="1"/>
    <w:link w:val="159"/>
    <w:qFormat/>
    <w:uiPriority w:val="0"/>
    <w:pPr>
      <w:jc w:val="left"/>
    </w:pPr>
  </w:style>
  <w:style w:type="paragraph" w:styleId="13">
    <w:name w:val="Salutation"/>
    <w:basedOn w:val="1"/>
    <w:next w:val="1"/>
    <w:link w:val="220"/>
    <w:qFormat/>
    <w:uiPriority w:val="0"/>
    <w:rPr>
      <w:rFonts w:ascii="宋体" w:hAnsi="Times New Roman" w:eastAsia="宋体" w:cs="Times New Roman"/>
      <w:b/>
      <w:sz w:val="28"/>
      <w:szCs w:val="24"/>
    </w:rPr>
  </w:style>
  <w:style w:type="paragraph" w:styleId="14">
    <w:name w:val="Body Text"/>
    <w:basedOn w:val="1"/>
    <w:next w:val="1"/>
    <w:link w:val="134"/>
    <w:qFormat/>
    <w:uiPriority w:val="99"/>
    <w:pPr>
      <w:spacing w:after="120"/>
    </w:pPr>
    <w:rPr>
      <w:rFonts w:ascii="Calibri" w:hAnsi="Calibri" w:eastAsia="宋体" w:cs="Times New Roman"/>
      <w:kern w:val="0"/>
      <w:sz w:val="24"/>
      <w:szCs w:val="20"/>
    </w:rPr>
  </w:style>
  <w:style w:type="paragraph" w:styleId="15">
    <w:name w:val="Body Text Indent"/>
    <w:basedOn w:val="1"/>
    <w:link w:val="65"/>
    <w:qFormat/>
    <w:uiPriority w:val="0"/>
    <w:pPr>
      <w:widowControl/>
      <w:spacing w:after="120"/>
      <w:ind w:left="420"/>
    </w:pPr>
    <w:rPr>
      <w:rFonts w:ascii="??" w:hAnsi="??" w:eastAsia="宋体" w:cs="Arial"/>
      <w:kern w:val="0"/>
      <w:sz w:val="24"/>
      <w:szCs w:val="24"/>
    </w:rPr>
  </w:style>
  <w:style w:type="paragraph" w:styleId="16">
    <w:name w:val="toc 5"/>
    <w:basedOn w:val="1"/>
    <w:next w:val="1"/>
    <w:qFormat/>
    <w:uiPriority w:val="0"/>
    <w:pPr>
      <w:ind w:left="1680" w:leftChars="800"/>
    </w:pPr>
    <w:rPr>
      <w:rFonts w:ascii="Times New Roman" w:hAnsi="Times New Roman" w:eastAsia="宋体" w:cs="Times New Roman"/>
      <w:szCs w:val="24"/>
    </w:rPr>
  </w:style>
  <w:style w:type="paragraph" w:styleId="17">
    <w:name w:val="toc 3"/>
    <w:basedOn w:val="1"/>
    <w:next w:val="1"/>
    <w:qFormat/>
    <w:uiPriority w:val="39"/>
    <w:pPr>
      <w:ind w:left="840" w:leftChars="400"/>
    </w:pPr>
    <w:rPr>
      <w:rFonts w:ascii="Times New Roman" w:hAnsi="Times New Roman" w:eastAsia="宋体" w:cs="Times New Roman"/>
      <w:szCs w:val="24"/>
    </w:rPr>
  </w:style>
  <w:style w:type="paragraph" w:styleId="18">
    <w:name w:val="Plain Text"/>
    <w:basedOn w:val="1"/>
    <w:link w:val="197"/>
    <w:qFormat/>
    <w:uiPriority w:val="0"/>
    <w:rPr>
      <w:rFonts w:ascii="宋体" w:hAnsi="Courier New" w:eastAsia="宋体" w:cs="宋体"/>
      <w:szCs w:val="21"/>
    </w:rPr>
  </w:style>
  <w:style w:type="paragraph" w:styleId="19">
    <w:name w:val="toc 8"/>
    <w:basedOn w:val="1"/>
    <w:next w:val="1"/>
    <w:qFormat/>
    <w:uiPriority w:val="0"/>
    <w:pPr>
      <w:ind w:left="2940" w:leftChars="1400"/>
    </w:pPr>
    <w:rPr>
      <w:rFonts w:ascii="Times New Roman" w:hAnsi="Times New Roman" w:eastAsia="宋体" w:cs="Times New Roman"/>
      <w:szCs w:val="24"/>
    </w:rPr>
  </w:style>
  <w:style w:type="paragraph" w:styleId="20">
    <w:name w:val="Date"/>
    <w:basedOn w:val="1"/>
    <w:next w:val="1"/>
    <w:link w:val="154"/>
    <w:qFormat/>
    <w:uiPriority w:val="0"/>
    <w:rPr>
      <w:szCs w:val="21"/>
    </w:rPr>
  </w:style>
  <w:style w:type="paragraph" w:styleId="21">
    <w:name w:val="Body Text Indent 2"/>
    <w:basedOn w:val="1"/>
    <w:link w:val="127"/>
    <w:qFormat/>
    <w:uiPriority w:val="99"/>
    <w:pPr>
      <w:spacing w:before="100" w:beforeAutospacing="1" w:after="100" w:afterAutospacing="1" w:line="360" w:lineRule="auto"/>
      <w:ind w:firstLine="420"/>
    </w:pPr>
    <w:rPr>
      <w:rFonts w:ascii="宋体" w:hAnsi="Calibri" w:eastAsia="宋体" w:cs="Times New Roman"/>
      <w:kern w:val="0"/>
      <w:sz w:val="24"/>
      <w:szCs w:val="20"/>
    </w:rPr>
  </w:style>
  <w:style w:type="paragraph" w:styleId="22">
    <w:name w:val="Balloon Text"/>
    <w:basedOn w:val="1"/>
    <w:link w:val="77"/>
    <w:qFormat/>
    <w:uiPriority w:val="0"/>
    <w:rPr>
      <w:rFonts w:ascii="Calibri" w:hAnsi="Calibri" w:eastAsia="宋体" w:cs="Times New Roman"/>
      <w:sz w:val="18"/>
      <w:szCs w:val="18"/>
    </w:rPr>
  </w:style>
  <w:style w:type="paragraph" w:styleId="23">
    <w:name w:val="footer"/>
    <w:basedOn w:val="1"/>
    <w:link w:val="64"/>
    <w:qFormat/>
    <w:uiPriority w:val="99"/>
    <w:pPr>
      <w:tabs>
        <w:tab w:val="center" w:pos="4153"/>
        <w:tab w:val="right" w:pos="8306"/>
      </w:tabs>
      <w:snapToGrid w:val="0"/>
      <w:jc w:val="left"/>
    </w:pPr>
    <w:rPr>
      <w:rFonts w:ascii="Calibri" w:hAnsi="Calibri" w:eastAsia="宋体" w:cs="Times New Roman"/>
      <w:sz w:val="18"/>
      <w:szCs w:val="18"/>
    </w:rPr>
  </w:style>
  <w:style w:type="paragraph" w:styleId="24">
    <w:name w:val="header"/>
    <w:basedOn w:val="1"/>
    <w:link w:val="63"/>
    <w:qFormat/>
    <w:uiPriority w:val="0"/>
    <w:pPr>
      <w:pBdr>
        <w:bottom w:val="single" w:color="auto" w:sz="6" w:space="1"/>
      </w:pBdr>
      <w:tabs>
        <w:tab w:val="center" w:pos="4153"/>
        <w:tab w:val="right" w:pos="8306"/>
      </w:tabs>
      <w:snapToGrid w:val="0"/>
      <w:jc w:val="center"/>
    </w:pPr>
    <w:rPr>
      <w:rFonts w:ascii="Calibri" w:hAnsi="Calibri" w:eastAsia="宋体" w:cs="Times New Roman"/>
      <w:sz w:val="18"/>
      <w:szCs w:val="18"/>
    </w:rPr>
  </w:style>
  <w:style w:type="paragraph" w:styleId="25">
    <w:name w:val="toc 1"/>
    <w:basedOn w:val="1"/>
    <w:next w:val="1"/>
    <w:qFormat/>
    <w:uiPriority w:val="39"/>
    <w:rPr>
      <w:rFonts w:ascii="Times New Roman" w:hAnsi="Times New Roman" w:eastAsia="宋体" w:cs="Times New Roman"/>
      <w:szCs w:val="24"/>
    </w:rPr>
  </w:style>
  <w:style w:type="paragraph" w:styleId="26">
    <w:name w:val="toc 4"/>
    <w:basedOn w:val="1"/>
    <w:next w:val="1"/>
    <w:qFormat/>
    <w:uiPriority w:val="0"/>
    <w:pPr>
      <w:ind w:left="1260" w:leftChars="600"/>
    </w:pPr>
    <w:rPr>
      <w:rFonts w:ascii="Times New Roman" w:hAnsi="Times New Roman" w:eastAsia="宋体" w:cs="Times New Roman"/>
      <w:szCs w:val="24"/>
    </w:rPr>
  </w:style>
  <w:style w:type="paragraph" w:styleId="27">
    <w:name w:val="Subtitle"/>
    <w:basedOn w:val="1"/>
    <w:next w:val="1"/>
    <w:link w:val="221"/>
    <w:qFormat/>
    <w:uiPriority w:val="11"/>
    <w:pPr>
      <w:spacing w:before="240" w:after="60" w:line="312" w:lineRule="auto"/>
      <w:jc w:val="center"/>
      <w:outlineLvl w:val="1"/>
    </w:pPr>
    <w:rPr>
      <w:rFonts w:ascii="Cambria" w:hAnsi="Cambria" w:eastAsia="仿宋" w:cs="Times New Roman"/>
      <w:b/>
      <w:bCs/>
      <w:kern w:val="28"/>
      <w:sz w:val="32"/>
      <w:szCs w:val="32"/>
    </w:rPr>
  </w:style>
  <w:style w:type="paragraph" w:styleId="28">
    <w:name w:val="footnote text"/>
    <w:basedOn w:val="1"/>
    <w:link w:val="171"/>
    <w:qFormat/>
    <w:uiPriority w:val="0"/>
    <w:pPr>
      <w:snapToGrid w:val="0"/>
      <w:jc w:val="left"/>
    </w:pPr>
    <w:rPr>
      <w:rFonts w:ascii="Times New Roman" w:hAnsi="Times New Roman" w:eastAsia="宋体" w:cs="Times New Roman"/>
      <w:sz w:val="18"/>
      <w:szCs w:val="18"/>
    </w:rPr>
  </w:style>
  <w:style w:type="paragraph" w:styleId="29">
    <w:name w:val="toc 6"/>
    <w:basedOn w:val="1"/>
    <w:next w:val="1"/>
    <w:qFormat/>
    <w:uiPriority w:val="0"/>
    <w:pPr>
      <w:ind w:left="2100" w:leftChars="1000"/>
    </w:pPr>
    <w:rPr>
      <w:rFonts w:ascii="Times New Roman" w:hAnsi="Times New Roman" w:eastAsia="宋体" w:cs="Times New Roman"/>
      <w:szCs w:val="24"/>
    </w:rPr>
  </w:style>
  <w:style w:type="paragraph" w:styleId="30">
    <w:name w:val="Body Text Indent 3"/>
    <w:basedOn w:val="1"/>
    <w:link w:val="129"/>
    <w:qFormat/>
    <w:uiPriority w:val="99"/>
    <w:pPr>
      <w:spacing w:line="440" w:lineRule="exact"/>
      <w:ind w:firstLine="412" w:firstLineChars="200"/>
    </w:pPr>
    <w:rPr>
      <w:rFonts w:ascii="宋体" w:hAnsi="Calibri" w:eastAsia="宋体" w:cs="Times New Roman"/>
      <w:kern w:val="0"/>
      <w:sz w:val="20"/>
      <w:szCs w:val="20"/>
    </w:rPr>
  </w:style>
  <w:style w:type="paragraph" w:styleId="31">
    <w:name w:val="table of figures"/>
    <w:basedOn w:val="1"/>
    <w:next w:val="1"/>
    <w:qFormat/>
    <w:uiPriority w:val="0"/>
    <w:pPr>
      <w:ind w:left="200" w:leftChars="200" w:hanging="200" w:hangingChars="200"/>
    </w:pPr>
    <w:rPr>
      <w:rFonts w:ascii="Times New Roman" w:hAnsi="Times New Roman" w:eastAsia="宋体" w:cs="Times New Roman"/>
      <w:szCs w:val="20"/>
    </w:rPr>
  </w:style>
  <w:style w:type="paragraph" w:styleId="32">
    <w:name w:val="toc 2"/>
    <w:basedOn w:val="1"/>
    <w:next w:val="1"/>
    <w:qFormat/>
    <w:uiPriority w:val="39"/>
    <w:pPr>
      <w:ind w:left="420" w:leftChars="200"/>
    </w:pPr>
    <w:rPr>
      <w:rFonts w:ascii="Times New Roman" w:hAnsi="Times New Roman" w:eastAsia="宋体" w:cs="Times New Roman"/>
      <w:szCs w:val="24"/>
    </w:rPr>
  </w:style>
  <w:style w:type="paragraph" w:styleId="33">
    <w:name w:val="toc 9"/>
    <w:basedOn w:val="1"/>
    <w:next w:val="1"/>
    <w:qFormat/>
    <w:uiPriority w:val="0"/>
    <w:pPr>
      <w:ind w:left="3360" w:leftChars="1600"/>
    </w:pPr>
    <w:rPr>
      <w:rFonts w:ascii="Times New Roman" w:hAnsi="Times New Roman" w:eastAsia="宋体" w:cs="Times New Roman"/>
      <w:szCs w:val="24"/>
    </w:rPr>
  </w:style>
  <w:style w:type="paragraph" w:styleId="34">
    <w:name w:val="Body Text 2"/>
    <w:basedOn w:val="1"/>
    <w:link w:val="204"/>
    <w:unhideWhenUsed/>
    <w:qFormat/>
    <w:uiPriority w:val="99"/>
    <w:pPr>
      <w:spacing w:after="120" w:line="480" w:lineRule="auto"/>
    </w:pPr>
  </w:style>
  <w:style w:type="paragraph" w:styleId="35">
    <w:name w:val="List Continue 2"/>
    <w:basedOn w:val="1"/>
    <w:qFormat/>
    <w:uiPriority w:val="99"/>
    <w:pPr>
      <w:spacing w:after="120"/>
      <w:ind w:left="840" w:leftChars="400"/>
    </w:pPr>
    <w:rPr>
      <w:rFonts w:ascii="Times New Roman" w:hAnsi="Times New Roman" w:eastAsia="宋体" w:cs="Times New Roman"/>
      <w:szCs w:val="24"/>
    </w:rPr>
  </w:style>
  <w:style w:type="paragraph" w:styleId="36">
    <w:name w:val="HTML Preformatted"/>
    <w:basedOn w:val="1"/>
    <w:link w:val="209"/>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atLeast"/>
      <w:jc w:val="left"/>
    </w:pPr>
    <w:rPr>
      <w:rFonts w:ascii="Arial" w:hAnsi="Arial" w:cs="Arial"/>
      <w:kern w:val="0"/>
      <w:sz w:val="28"/>
      <w:szCs w:val="28"/>
    </w:rPr>
  </w:style>
  <w:style w:type="paragraph" w:styleId="37">
    <w:name w:val="Normal (Web)"/>
    <w:basedOn w:val="1"/>
    <w:qFormat/>
    <w:uiPriority w:val="99"/>
    <w:pPr>
      <w:widowControl/>
      <w:spacing w:before="100" w:beforeAutospacing="1" w:after="100" w:afterAutospacing="1"/>
      <w:jc w:val="left"/>
    </w:pPr>
    <w:rPr>
      <w:rFonts w:ascii="宋体" w:hAnsi="宋体" w:eastAsia="宋体" w:cs="宋体"/>
      <w:kern w:val="0"/>
      <w:sz w:val="24"/>
      <w:szCs w:val="24"/>
    </w:rPr>
  </w:style>
  <w:style w:type="paragraph" w:styleId="38">
    <w:name w:val="index 1"/>
    <w:basedOn w:val="1"/>
    <w:next w:val="1"/>
    <w:qFormat/>
    <w:uiPriority w:val="0"/>
    <w:pPr>
      <w:adjustRightInd w:val="0"/>
      <w:snapToGrid w:val="0"/>
      <w:spacing w:line="300" w:lineRule="exact"/>
    </w:pPr>
    <w:rPr>
      <w:rFonts w:ascii="宋体" w:hAnsi="宋体" w:eastAsia="宋体" w:cs="Times New Roman"/>
      <w:bCs/>
      <w:sz w:val="20"/>
      <w:szCs w:val="21"/>
    </w:rPr>
  </w:style>
  <w:style w:type="paragraph" w:styleId="39">
    <w:name w:val="Title"/>
    <w:basedOn w:val="1"/>
    <w:next w:val="1"/>
    <w:link w:val="157"/>
    <w:qFormat/>
    <w:uiPriority w:val="0"/>
    <w:pPr>
      <w:spacing w:before="240" w:after="60"/>
      <w:jc w:val="center"/>
      <w:outlineLvl w:val="0"/>
    </w:pPr>
    <w:rPr>
      <w:rFonts w:ascii="Cambria" w:hAnsi="Cambria" w:cs="Times New Roman"/>
      <w:b/>
      <w:bCs/>
      <w:sz w:val="32"/>
      <w:szCs w:val="32"/>
    </w:rPr>
  </w:style>
  <w:style w:type="paragraph" w:styleId="40">
    <w:name w:val="annotation subject"/>
    <w:basedOn w:val="12"/>
    <w:next w:val="12"/>
    <w:link w:val="164"/>
    <w:qFormat/>
    <w:uiPriority w:val="0"/>
    <w:rPr>
      <w:b/>
      <w:bCs/>
    </w:rPr>
  </w:style>
  <w:style w:type="paragraph" w:styleId="41">
    <w:name w:val="Body Text First Indent"/>
    <w:basedOn w:val="14"/>
    <w:link w:val="222"/>
    <w:qFormat/>
    <w:uiPriority w:val="0"/>
    <w:pPr>
      <w:autoSpaceDE w:val="0"/>
      <w:autoSpaceDN w:val="0"/>
      <w:adjustRightInd w:val="0"/>
      <w:spacing w:line="360" w:lineRule="auto"/>
      <w:ind w:firstLine="420" w:firstLineChars="200"/>
    </w:pPr>
    <w:rPr>
      <w:rFonts w:ascii="Arial" w:hAnsi="Arial"/>
      <w:sz w:val="20"/>
      <w:szCs w:val="21"/>
    </w:rPr>
  </w:style>
  <w:style w:type="paragraph" w:styleId="42">
    <w:name w:val="Body Text First Indent 2"/>
    <w:basedOn w:val="15"/>
    <w:next w:val="1"/>
    <w:link w:val="201"/>
    <w:unhideWhenUsed/>
    <w:qFormat/>
    <w:uiPriority w:val="99"/>
    <w:pPr>
      <w:widowControl w:val="0"/>
      <w:ind w:left="200" w:leftChars="200" w:firstLine="420" w:firstLineChars="200"/>
    </w:pPr>
    <w:rPr>
      <w:rFonts w:asciiTheme="minorHAnsi" w:hAnsiTheme="minorHAnsi" w:eastAsiaTheme="minorEastAsia" w:cstheme="minorBidi"/>
      <w:kern w:val="2"/>
      <w:sz w:val="21"/>
      <w:szCs w:val="22"/>
    </w:rPr>
  </w:style>
  <w:style w:type="table" w:styleId="44">
    <w:name w:val="Table Grid"/>
    <w:basedOn w:val="43"/>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6">
    <w:name w:val="Strong"/>
    <w:basedOn w:val="45"/>
    <w:qFormat/>
    <w:uiPriority w:val="22"/>
    <w:rPr>
      <w:rFonts w:cs="Times New Roman"/>
      <w:b/>
    </w:rPr>
  </w:style>
  <w:style w:type="character" w:styleId="47">
    <w:name w:val="page number"/>
    <w:basedOn w:val="45"/>
    <w:qFormat/>
    <w:uiPriority w:val="0"/>
    <w:rPr>
      <w:rFonts w:cs="Times New Roman"/>
    </w:rPr>
  </w:style>
  <w:style w:type="character" w:styleId="48">
    <w:name w:val="FollowedHyperlink"/>
    <w:basedOn w:val="45"/>
    <w:qFormat/>
    <w:uiPriority w:val="99"/>
    <w:rPr>
      <w:rFonts w:cs="Times New Roman"/>
      <w:color w:val="555555"/>
      <w:u w:val="none"/>
    </w:rPr>
  </w:style>
  <w:style w:type="character" w:styleId="49">
    <w:name w:val="Emphasis"/>
    <w:basedOn w:val="45"/>
    <w:qFormat/>
    <w:uiPriority w:val="0"/>
    <w:rPr>
      <w:rFonts w:cs="Times New Roman"/>
      <w:i/>
    </w:rPr>
  </w:style>
  <w:style w:type="character" w:styleId="50">
    <w:name w:val="HTML Definition"/>
    <w:basedOn w:val="45"/>
    <w:qFormat/>
    <w:uiPriority w:val="99"/>
    <w:rPr>
      <w:rFonts w:cs="Times New Roman"/>
    </w:rPr>
  </w:style>
  <w:style w:type="character" w:styleId="51">
    <w:name w:val="HTML Acronym"/>
    <w:basedOn w:val="45"/>
    <w:qFormat/>
    <w:uiPriority w:val="99"/>
    <w:rPr>
      <w:rFonts w:cs="Times New Roman"/>
    </w:rPr>
  </w:style>
  <w:style w:type="character" w:styleId="52">
    <w:name w:val="HTML Variable"/>
    <w:basedOn w:val="45"/>
    <w:qFormat/>
    <w:uiPriority w:val="99"/>
    <w:rPr>
      <w:rFonts w:cs="Times New Roman"/>
    </w:rPr>
  </w:style>
  <w:style w:type="character" w:styleId="53">
    <w:name w:val="Hyperlink"/>
    <w:basedOn w:val="45"/>
    <w:qFormat/>
    <w:uiPriority w:val="99"/>
    <w:rPr>
      <w:rFonts w:cs="Times New Roman"/>
      <w:color w:val="555555"/>
      <w:u w:val="none"/>
    </w:rPr>
  </w:style>
  <w:style w:type="character" w:styleId="54">
    <w:name w:val="HTML Code"/>
    <w:basedOn w:val="45"/>
    <w:qFormat/>
    <w:uiPriority w:val="99"/>
    <w:rPr>
      <w:rFonts w:ascii="monospace" w:hAnsi="monospace" w:cs="Times New Roman"/>
      <w:sz w:val="24"/>
    </w:rPr>
  </w:style>
  <w:style w:type="character" w:styleId="55">
    <w:name w:val="annotation reference"/>
    <w:qFormat/>
    <w:uiPriority w:val="0"/>
    <w:rPr>
      <w:sz w:val="21"/>
      <w:szCs w:val="21"/>
    </w:rPr>
  </w:style>
  <w:style w:type="character" w:styleId="56">
    <w:name w:val="HTML Cite"/>
    <w:basedOn w:val="45"/>
    <w:qFormat/>
    <w:uiPriority w:val="99"/>
    <w:rPr>
      <w:rFonts w:cs="Times New Roman"/>
    </w:rPr>
  </w:style>
  <w:style w:type="character" w:styleId="57">
    <w:name w:val="footnote reference"/>
    <w:semiHidden/>
    <w:qFormat/>
    <w:uiPriority w:val="0"/>
    <w:rPr>
      <w:vertAlign w:val="superscript"/>
    </w:rPr>
  </w:style>
  <w:style w:type="character" w:styleId="58">
    <w:name w:val="HTML Keyboard"/>
    <w:basedOn w:val="45"/>
    <w:qFormat/>
    <w:uiPriority w:val="99"/>
    <w:rPr>
      <w:rFonts w:ascii="monospace" w:hAnsi="monospace" w:cs="Times New Roman"/>
      <w:sz w:val="24"/>
    </w:rPr>
  </w:style>
  <w:style w:type="character" w:styleId="59">
    <w:name w:val="HTML Sample"/>
    <w:basedOn w:val="45"/>
    <w:qFormat/>
    <w:uiPriority w:val="99"/>
    <w:rPr>
      <w:rFonts w:ascii="monospace" w:hAnsi="monospace" w:cs="Times New Roman"/>
      <w:sz w:val="24"/>
    </w:rPr>
  </w:style>
  <w:style w:type="character" w:customStyle="1" w:styleId="60">
    <w:name w:val="标题 1 字符"/>
    <w:basedOn w:val="45"/>
    <w:link w:val="2"/>
    <w:qFormat/>
    <w:uiPriority w:val="9"/>
    <w:rPr>
      <w:rFonts w:ascii="???" w:hAnsi="???" w:eastAsia="宋体" w:cs="Arial"/>
      <w:b/>
      <w:bCs/>
      <w:color w:val="020000"/>
      <w:kern w:val="36"/>
      <w:sz w:val="44"/>
      <w:szCs w:val="44"/>
    </w:rPr>
  </w:style>
  <w:style w:type="character" w:customStyle="1" w:styleId="61">
    <w:name w:val="标题 2 字符"/>
    <w:basedOn w:val="45"/>
    <w:link w:val="3"/>
    <w:qFormat/>
    <w:uiPriority w:val="99"/>
    <w:rPr>
      <w:rFonts w:ascii="???" w:hAnsi="???" w:eastAsia="宋体" w:cs="Arial"/>
      <w:b/>
      <w:bCs/>
      <w:color w:val="020000"/>
      <w:kern w:val="0"/>
      <w:sz w:val="32"/>
      <w:szCs w:val="32"/>
    </w:rPr>
  </w:style>
  <w:style w:type="character" w:customStyle="1" w:styleId="62">
    <w:name w:val="标题 3 字符"/>
    <w:basedOn w:val="45"/>
    <w:link w:val="4"/>
    <w:qFormat/>
    <w:uiPriority w:val="99"/>
    <w:rPr>
      <w:rFonts w:ascii="??" w:hAnsi="??" w:eastAsia="宋体" w:cs="Arial"/>
      <w:b/>
      <w:bCs/>
      <w:color w:val="000000"/>
      <w:kern w:val="0"/>
      <w:sz w:val="32"/>
      <w:szCs w:val="32"/>
    </w:rPr>
  </w:style>
  <w:style w:type="character" w:customStyle="1" w:styleId="63">
    <w:name w:val="页眉 字符"/>
    <w:basedOn w:val="45"/>
    <w:link w:val="24"/>
    <w:qFormat/>
    <w:uiPriority w:val="99"/>
    <w:rPr>
      <w:rFonts w:ascii="Calibri" w:hAnsi="Calibri" w:eastAsia="宋体" w:cs="Times New Roman"/>
      <w:sz w:val="18"/>
      <w:szCs w:val="18"/>
    </w:rPr>
  </w:style>
  <w:style w:type="character" w:customStyle="1" w:styleId="64">
    <w:name w:val="页脚 字符"/>
    <w:basedOn w:val="45"/>
    <w:link w:val="23"/>
    <w:qFormat/>
    <w:uiPriority w:val="99"/>
    <w:rPr>
      <w:rFonts w:ascii="Calibri" w:hAnsi="Calibri" w:eastAsia="宋体" w:cs="Times New Roman"/>
      <w:sz w:val="18"/>
      <w:szCs w:val="18"/>
    </w:rPr>
  </w:style>
  <w:style w:type="character" w:customStyle="1" w:styleId="65">
    <w:name w:val="正文文本缩进 字符"/>
    <w:basedOn w:val="45"/>
    <w:link w:val="15"/>
    <w:qFormat/>
    <w:uiPriority w:val="0"/>
    <w:rPr>
      <w:rFonts w:ascii="??" w:hAnsi="??" w:eastAsia="宋体" w:cs="Arial"/>
      <w:kern w:val="0"/>
      <w:sz w:val="24"/>
      <w:szCs w:val="24"/>
    </w:rPr>
  </w:style>
  <w:style w:type="paragraph" w:customStyle="1" w:styleId="66">
    <w:name w:val="列出段落1"/>
    <w:basedOn w:val="1"/>
    <w:link w:val="207"/>
    <w:qFormat/>
    <w:uiPriority w:val="0"/>
    <w:pPr>
      <w:ind w:firstLine="420" w:firstLineChars="200"/>
    </w:pPr>
    <w:rPr>
      <w:rFonts w:ascii="Calibri" w:hAnsi="Calibri" w:eastAsia="宋体" w:cs="Times New Roman"/>
    </w:rPr>
  </w:style>
  <w:style w:type="character" w:customStyle="1" w:styleId="67">
    <w:name w:val="标题 2 Char Char"/>
    <w:qFormat/>
    <w:uiPriority w:val="99"/>
    <w:rPr>
      <w:rFonts w:ascii="Arial" w:hAnsi="Arial" w:eastAsia="黑体"/>
      <w:b/>
      <w:kern w:val="2"/>
      <w:sz w:val="32"/>
      <w:lang w:val="en-US" w:eastAsia="zh-CN"/>
    </w:rPr>
  </w:style>
  <w:style w:type="character" w:customStyle="1" w:styleId="68">
    <w:name w:val="2charchar"/>
    <w:basedOn w:val="45"/>
    <w:qFormat/>
    <w:uiPriority w:val="99"/>
    <w:rPr>
      <w:rFonts w:cs="Times New Roman"/>
    </w:rPr>
  </w:style>
  <w:style w:type="paragraph" w:customStyle="1" w:styleId="69">
    <w:name w:val="表格文字"/>
    <w:basedOn w:val="1"/>
    <w:qFormat/>
    <w:uiPriority w:val="0"/>
    <w:pPr>
      <w:adjustRightInd w:val="0"/>
      <w:spacing w:line="420" w:lineRule="atLeast"/>
      <w:jc w:val="left"/>
    </w:pPr>
    <w:rPr>
      <w:rFonts w:ascii="Times New Roman" w:hAnsi="Times New Roman" w:eastAsia="宋体" w:cs="Times New Roman"/>
      <w:kern w:val="0"/>
      <w:szCs w:val="20"/>
    </w:rPr>
  </w:style>
  <w:style w:type="paragraph" w:customStyle="1" w:styleId="70">
    <w:name w:val="z-窗体顶端1"/>
    <w:basedOn w:val="1"/>
    <w:next w:val="1"/>
    <w:link w:val="71"/>
    <w:semiHidden/>
    <w:qFormat/>
    <w:uiPriority w:val="99"/>
    <w:pPr>
      <w:widowControl/>
      <w:pBdr>
        <w:bottom w:val="single" w:color="auto" w:sz="6" w:space="1"/>
      </w:pBdr>
      <w:jc w:val="center"/>
    </w:pPr>
    <w:rPr>
      <w:rFonts w:ascii="Arial" w:hAnsi="Arial" w:eastAsia="宋体" w:cs="Arial"/>
      <w:vanish/>
      <w:kern w:val="0"/>
      <w:sz w:val="16"/>
      <w:szCs w:val="16"/>
    </w:rPr>
  </w:style>
  <w:style w:type="character" w:customStyle="1" w:styleId="71">
    <w:name w:val="z-窗体顶端 Char"/>
    <w:basedOn w:val="45"/>
    <w:link w:val="70"/>
    <w:semiHidden/>
    <w:qFormat/>
    <w:uiPriority w:val="99"/>
    <w:rPr>
      <w:rFonts w:ascii="Arial" w:hAnsi="Arial" w:eastAsia="宋体" w:cs="Arial"/>
      <w:vanish/>
      <w:kern w:val="0"/>
      <w:sz w:val="16"/>
      <w:szCs w:val="16"/>
    </w:rPr>
  </w:style>
  <w:style w:type="paragraph" w:customStyle="1" w:styleId="72">
    <w:name w:val="z-窗体底端1"/>
    <w:basedOn w:val="1"/>
    <w:next w:val="1"/>
    <w:link w:val="73"/>
    <w:semiHidden/>
    <w:qFormat/>
    <w:uiPriority w:val="99"/>
    <w:pPr>
      <w:widowControl/>
      <w:pBdr>
        <w:top w:val="single" w:color="auto" w:sz="6" w:space="1"/>
      </w:pBdr>
      <w:jc w:val="center"/>
    </w:pPr>
    <w:rPr>
      <w:rFonts w:ascii="Arial" w:hAnsi="Arial" w:eastAsia="宋体" w:cs="Arial"/>
      <w:vanish/>
      <w:kern w:val="0"/>
      <w:sz w:val="16"/>
      <w:szCs w:val="16"/>
    </w:rPr>
  </w:style>
  <w:style w:type="character" w:customStyle="1" w:styleId="73">
    <w:name w:val="z-窗体底端 Char"/>
    <w:basedOn w:val="45"/>
    <w:link w:val="72"/>
    <w:semiHidden/>
    <w:qFormat/>
    <w:uiPriority w:val="99"/>
    <w:rPr>
      <w:rFonts w:ascii="Arial" w:hAnsi="Arial" w:eastAsia="宋体" w:cs="Arial"/>
      <w:vanish/>
      <w:kern w:val="0"/>
      <w:sz w:val="16"/>
      <w:szCs w:val="16"/>
    </w:rPr>
  </w:style>
  <w:style w:type="paragraph" w:customStyle="1" w:styleId="74">
    <w:name w:val="hu正文"/>
    <w:basedOn w:val="1"/>
    <w:link w:val="75"/>
    <w:qFormat/>
    <w:uiPriority w:val="99"/>
    <w:pPr>
      <w:spacing w:before="156" w:after="156" w:line="300" w:lineRule="auto"/>
      <w:ind w:firstLine="480" w:firstLineChars="200"/>
    </w:pPr>
    <w:rPr>
      <w:rFonts w:ascii="Times New Roman" w:hAnsi="Times New Roman" w:eastAsia="宋体" w:cs="Times New Roman"/>
      <w:kern w:val="0"/>
      <w:sz w:val="24"/>
      <w:szCs w:val="20"/>
    </w:rPr>
  </w:style>
  <w:style w:type="character" w:customStyle="1" w:styleId="75">
    <w:name w:val="hu正文 Char"/>
    <w:link w:val="74"/>
    <w:qFormat/>
    <w:locked/>
    <w:uiPriority w:val="99"/>
    <w:rPr>
      <w:rFonts w:ascii="Times New Roman" w:hAnsi="Times New Roman" w:eastAsia="宋体" w:cs="Times New Roman"/>
      <w:kern w:val="0"/>
      <w:sz w:val="24"/>
      <w:szCs w:val="20"/>
    </w:rPr>
  </w:style>
  <w:style w:type="paragraph" w:customStyle="1" w:styleId="76">
    <w:name w:val="无间隔1"/>
    <w:qFormat/>
    <w:uiPriority w:val="99"/>
    <w:pPr>
      <w:widowControl w:val="0"/>
      <w:jc w:val="both"/>
    </w:pPr>
    <w:rPr>
      <w:rFonts w:ascii="Calibri" w:hAnsi="Calibri" w:eastAsia="宋体" w:cs="Times New Roman"/>
      <w:kern w:val="2"/>
      <w:sz w:val="21"/>
      <w:szCs w:val="22"/>
      <w:lang w:val="en-US" w:eastAsia="zh-CN" w:bidi="ar-SA"/>
    </w:rPr>
  </w:style>
  <w:style w:type="character" w:customStyle="1" w:styleId="77">
    <w:name w:val="批注框文本 字符"/>
    <w:basedOn w:val="45"/>
    <w:link w:val="22"/>
    <w:qFormat/>
    <w:uiPriority w:val="0"/>
    <w:rPr>
      <w:rFonts w:ascii="Calibri" w:hAnsi="Calibri" w:eastAsia="宋体" w:cs="Times New Roman"/>
      <w:sz w:val="18"/>
      <w:szCs w:val="18"/>
    </w:rPr>
  </w:style>
  <w:style w:type="character" w:customStyle="1" w:styleId="78">
    <w:name w:val="ui-bz-bg-hover1"/>
    <w:basedOn w:val="45"/>
    <w:qFormat/>
    <w:uiPriority w:val="99"/>
    <w:rPr>
      <w:rFonts w:cs="Times New Roman"/>
    </w:rPr>
  </w:style>
  <w:style w:type="character" w:customStyle="1" w:styleId="79">
    <w:name w:val="批注框文本 Char1"/>
    <w:qFormat/>
    <w:uiPriority w:val="99"/>
    <w:rPr>
      <w:rFonts w:ascii="Times New Roman" w:hAnsi="Times New Roman" w:eastAsia="宋体"/>
      <w:sz w:val="18"/>
    </w:rPr>
  </w:style>
  <w:style w:type="character" w:customStyle="1" w:styleId="80">
    <w:name w:val="bds_nopic"/>
    <w:basedOn w:val="45"/>
    <w:qFormat/>
    <w:uiPriority w:val="99"/>
    <w:rPr>
      <w:rFonts w:cs="Times New Roman"/>
    </w:rPr>
  </w:style>
  <w:style w:type="character" w:customStyle="1" w:styleId="81">
    <w:name w:val="tip12"/>
    <w:qFormat/>
    <w:uiPriority w:val="99"/>
    <w:rPr>
      <w:vanish/>
      <w:color w:val="FF0000"/>
      <w:sz w:val="18"/>
    </w:rPr>
  </w:style>
  <w:style w:type="character" w:customStyle="1" w:styleId="82">
    <w:name w:val="Body Text Indent 3 Char"/>
    <w:qFormat/>
    <w:locked/>
    <w:uiPriority w:val="99"/>
    <w:rPr>
      <w:rFonts w:ascii="宋体" w:eastAsia="宋体"/>
    </w:rPr>
  </w:style>
  <w:style w:type="character" w:customStyle="1" w:styleId="83">
    <w:name w:val="HTML Markup"/>
    <w:qFormat/>
    <w:uiPriority w:val="99"/>
    <w:rPr>
      <w:vanish/>
      <w:color w:val="FF0000"/>
    </w:rPr>
  </w:style>
  <w:style w:type="character" w:customStyle="1" w:styleId="84">
    <w:name w:val="tip7"/>
    <w:qFormat/>
    <w:uiPriority w:val="99"/>
    <w:rPr>
      <w:vanish/>
      <w:color w:val="FF0000"/>
      <w:sz w:val="18"/>
    </w:rPr>
  </w:style>
  <w:style w:type="character" w:customStyle="1" w:styleId="85">
    <w:name w:val="f-star"/>
    <w:qFormat/>
    <w:uiPriority w:val="99"/>
    <w:rPr>
      <w:color w:val="999999"/>
      <w:sz w:val="21"/>
    </w:rPr>
  </w:style>
  <w:style w:type="character" w:customStyle="1" w:styleId="86">
    <w:name w:val="Document Map Char1"/>
    <w:qFormat/>
    <w:uiPriority w:val="99"/>
    <w:rPr>
      <w:rFonts w:ascii="Times New Roman" w:hAnsi="Times New Roman"/>
      <w:kern w:val="2"/>
      <w:sz w:val="2"/>
    </w:rPr>
  </w:style>
  <w:style w:type="character" w:customStyle="1" w:styleId="87">
    <w:name w:val="my-class2"/>
    <w:basedOn w:val="45"/>
    <w:qFormat/>
    <w:uiPriority w:val="99"/>
    <w:rPr>
      <w:rFonts w:cs="Times New Roman"/>
    </w:rPr>
  </w:style>
  <w:style w:type="character" w:customStyle="1" w:styleId="88">
    <w:name w:val="no52"/>
    <w:basedOn w:val="45"/>
    <w:qFormat/>
    <w:uiPriority w:val="99"/>
    <w:rPr>
      <w:rFonts w:cs="Times New Roman"/>
    </w:rPr>
  </w:style>
  <w:style w:type="character" w:customStyle="1" w:styleId="89">
    <w:name w:val="no4"/>
    <w:basedOn w:val="45"/>
    <w:qFormat/>
    <w:uiPriority w:val="99"/>
    <w:rPr>
      <w:rFonts w:cs="Times New Roman"/>
    </w:rPr>
  </w:style>
  <w:style w:type="character" w:customStyle="1" w:styleId="90">
    <w:name w:val="my-notice"/>
    <w:basedOn w:val="45"/>
    <w:qFormat/>
    <w:uiPriority w:val="99"/>
    <w:rPr>
      <w:rFonts w:cs="Times New Roman"/>
    </w:rPr>
  </w:style>
  <w:style w:type="character" w:customStyle="1" w:styleId="91">
    <w:name w:val="ico-jiang"/>
    <w:basedOn w:val="45"/>
    <w:qFormat/>
    <w:uiPriority w:val="99"/>
    <w:rPr>
      <w:rFonts w:cs="Times New Roman"/>
    </w:rPr>
  </w:style>
  <w:style w:type="character" w:customStyle="1" w:styleId="92">
    <w:name w:val="ico-jiang2"/>
    <w:basedOn w:val="45"/>
    <w:qFormat/>
    <w:uiPriority w:val="99"/>
    <w:rPr>
      <w:rFonts w:cs="Times New Roman"/>
    </w:rPr>
  </w:style>
  <w:style w:type="character" w:customStyle="1" w:styleId="93">
    <w:name w:val="bds_more1"/>
    <w:qFormat/>
    <w:uiPriority w:val="99"/>
    <w:rPr>
      <w:rFonts w:ascii="宋体" w:hAnsi="宋体" w:eastAsia="宋体"/>
    </w:rPr>
  </w:style>
  <w:style w:type="character" w:customStyle="1" w:styleId="94">
    <w:name w:val="Body Text Indent 2 Char"/>
    <w:qFormat/>
    <w:locked/>
    <w:uiPriority w:val="99"/>
    <w:rPr>
      <w:rFonts w:ascii="宋体" w:eastAsia="宋体"/>
      <w:sz w:val="24"/>
    </w:rPr>
  </w:style>
  <w:style w:type="character" w:customStyle="1" w:styleId="95">
    <w:name w:val="org_name"/>
    <w:basedOn w:val="45"/>
    <w:qFormat/>
    <w:uiPriority w:val="99"/>
    <w:rPr>
      <w:rFonts w:cs="Times New Roman"/>
    </w:rPr>
  </w:style>
  <w:style w:type="character" w:customStyle="1" w:styleId="96">
    <w:name w:val="org_name2"/>
    <w:basedOn w:val="45"/>
    <w:qFormat/>
    <w:uiPriority w:val="99"/>
    <w:rPr>
      <w:rFonts w:cs="Times New Roman"/>
    </w:rPr>
  </w:style>
  <w:style w:type="character" w:customStyle="1" w:styleId="97">
    <w:name w:val="tip10"/>
    <w:qFormat/>
    <w:uiPriority w:val="99"/>
    <w:rPr>
      <w:vanish/>
      <w:color w:val="FF0000"/>
      <w:sz w:val="18"/>
    </w:rPr>
  </w:style>
  <w:style w:type="character" w:customStyle="1" w:styleId="98">
    <w:name w:val="orange"/>
    <w:qFormat/>
    <w:uiPriority w:val="99"/>
    <w:rPr>
      <w:color w:val="3FB58F"/>
    </w:rPr>
  </w:style>
  <w:style w:type="character" w:customStyle="1" w:styleId="99">
    <w:name w:val="bds_more"/>
    <w:basedOn w:val="45"/>
    <w:qFormat/>
    <w:uiPriority w:val="99"/>
    <w:rPr>
      <w:rFonts w:cs="Times New Roman"/>
    </w:rPr>
  </w:style>
  <w:style w:type="character" w:customStyle="1" w:styleId="100">
    <w:name w:val="t-tag"/>
    <w:qFormat/>
    <w:uiPriority w:val="99"/>
    <w:rPr>
      <w:color w:val="FFFFFF"/>
      <w:sz w:val="18"/>
      <w:shd w:val="clear" w:color="auto" w:fill="FE8833"/>
    </w:rPr>
  </w:style>
  <w:style w:type="character" w:customStyle="1" w:styleId="101">
    <w:name w:val="top-icon"/>
    <w:basedOn w:val="45"/>
    <w:qFormat/>
    <w:uiPriority w:val="99"/>
    <w:rPr>
      <w:rFonts w:cs="Times New Roman"/>
    </w:rPr>
  </w:style>
  <w:style w:type="character" w:customStyle="1" w:styleId="102">
    <w:name w:val="Body Text Char"/>
    <w:qFormat/>
    <w:locked/>
    <w:uiPriority w:val="99"/>
    <w:rPr>
      <w:sz w:val="24"/>
    </w:rPr>
  </w:style>
  <w:style w:type="character" w:customStyle="1" w:styleId="103">
    <w:name w:val="no72"/>
    <w:basedOn w:val="45"/>
    <w:qFormat/>
    <w:uiPriority w:val="99"/>
    <w:rPr>
      <w:rFonts w:cs="Times New Roman"/>
    </w:rPr>
  </w:style>
  <w:style w:type="character" w:customStyle="1" w:styleId="104">
    <w:name w:val="bds_nopic2"/>
    <w:basedOn w:val="45"/>
    <w:qFormat/>
    <w:uiPriority w:val="99"/>
    <w:rPr>
      <w:rFonts w:cs="Times New Roman"/>
    </w:rPr>
  </w:style>
  <w:style w:type="character" w:customStyle="1" w:styleId="105">
    <w:name w:val="Document Map Char"/>
    <w:qFormat/>
    <w:uiPriority w:val="99"/>
    <w:rPr>
      <w:rFonts w:ascii="宋体"/>
      <w:sz w:val="18"/>
    </w:rPr>
  </w:style>
  <w:style w:type="character" w:customStyle="1" w:styleId="106">
    <w:name w:val="no6"/>
    <w:basedOn w:val="45"/>
    <w:qFormat/>
    <w:uiPriority w:val="99"/>
    <w:rPr>
      <w:rFonts w:cs="Times New Roman"/>
    </w:rPr>
  </w:style>
  <w:style w:type="character" w:customStyle="1" w:styleId="107">
    <w:name w:val="tip"/>
    <w:qFormat/>
    <w:uiPriority w:val="99"/>
    <w:rPr>
      <w:vanish/>
      <w:color w:val="FF0000"/>
      <w:sz w:val="18"/>
    </w:rPr>
  </w:style>
  <w:style w:type="character" w:customStyle="1" w:styleId="108">
    <w:name w:val="apple-converted-space"/>
    <w:basedOn w:val="45"/>
    <w:qFormat/>
    <w:uiPriority w:val="99"/>
    <w:rPr>
      <w:rFonts w:cs="Times New Roman"/>
    </w:rPr>
  </w:style>
  <w:style w:type="character" w:customStyle="1" w:styleId="109">
    <w:name w:val="bds_more2"/>
    <w:basedOn w:val="45"/>
    <w:qFormat/>
    <w:uiPriority w:val="99"/>
    <w:rPr>
      <w:rFonts w:cs="Times New Roman"/>
    </w:rPr>
  </w:style>
  <w:style w:type="character" w:customStyle="1" w:styleId="110">
    <w:name w:val="my-class"/>
    <w:basedOn w:val="45"/>
    <w:qFormat/>
    <w:uiPriority w:val="99"/>
    <w:rPr>
      <w:rFonts w:cs="Times New Roman"/>
    </w:rPr>
  </w:style>
  <w:style w:type="character" w:customStyle="1" w:styleId="111">
    <w:name w:val="ui-bz-bg-hover"/>
    <w:qFormat/>
    <w:uiPriority w:val="99"/>
    <w:rPr>
      <w:shd w:val="clear" w:color="auto" w:fill="000000"/>
    </w:rPr>
  </w:style>
  <w:style w:type="character" w:customStyle="1" w:styleId="112">
    <w:name w:val="no7"/>
    <w:basedOn w:val="45"/>
    <w:qFormat/>
    <w:uiPriority w:val="99"/>
    <w:rPr>
      <w:rFonts w:cs="Times New Roman"/>
    </w:rPr>
  </w:style>
  <w:style w:type="character" w:customStyle="1" w:styleId="113">
    <w:name w:val="正文缩进 字符"/>
    <w:link w:val="9"/>
    <w:qFormat/>
    <w:locked/>
    <w:uiPriority w:val="0"/>
    <w:rPr>
      <w:rFonts w:ascii="Times New Roman" w:hAnsi="Times New Roman" w:eastAsia="宋体" w:cs="Times New Roman"/>
      <w:kern w:val="0"/>
      <w:sz w:val="24"/>
      <w:szCs w:val="20"/>
    </w:rPr>
  </w:style>
  <w:style w:type="character" w:customStyle="1" w:styleId="114">
    <w:name w:val="ico-jiang1"/>
    <w:basedOn w:val="45"/>
    <w:qFormat/>
    <w:uiPriority w:val="99"/>
    <w:rPr>
      <w:rFonts w:cs="Times New Roman"/>
    </w:rPr>
  </w:style>
  <w:style w:type="character" w:customStyle="1" w:styleId="115">
    <w:name w:val="no62"/>
    <w:basedOn w:val="45"/>
    <w:qFormat/>
    <w:uiPriority w:val="99"/>
    <w:rPr>
      <w:rFonts w:cs="Times New Roman"/>
    </w:rPr>
  </w:style>
  <w:style w:type="character" w:customStyle="1" w:styleId="116">
    <w:name w:val="orange5"/>
    <w:qFormat/>
    <w:uiPriority w:val="99"/>
    <w:rPr>
      <w:color w:val="3FB58F"/>
    </w:rPr>
  </w:style>
  <w:style w:type="character" w:customStyle="1" w:styleId="117">
    <w:name w:val="bds_more4"/>
    <w:basedOn w:val="45"/>
    <w:qFormat/>
    <w:uiPriority w:val="99"/>
    <w:rPr>
      <w:rFonts w:cs="Times New Roman"/>
    </w:rPr>
  </w:style>
  <w:style w:type="character" w:customStyle="1" w:styleId="118">
    <w:name w:val="no5"/>
    <w:basedOn w:val="45"/>
    <w:qFormat/>
    <w:uiPriority w:val="99"/>
    <w:rPr>
      <w:rFonts w:cs="Times New Roman"/>
    </w:rPr>
  </w:style>
  <w:style w:type="character" w:customStyle="1" w:styleId="119">
    <w:name w:val="bds_more3"/>
    <w:basedOn w:val="45"/>
    <w:qFormat/>
    <w:uiPriority w:val="99"/>
    <w:rPr>
      <w:rFonts w:cs="Times New Roman"/>
    </w:rPr>
  </w:style>
  <w:style w:type="character" w:customStyle="1" w:styleId="120">
    <w:name w:val="no42"/>
    <w:basedOn w:val="45"/>
    <w:qFormat/>
    <w:uiPriority w:val="99"/>
    <w:rPr>
      <w:rFonts w:cs="Times New Roman"/>
    </w:rPr>
  </w:style>
  <w:style w:type="character" w:customStyle="1" w:styleId="121">
    <w:name w:val="bds_nopic1"/>
    <w:basedOn w:val="45"/>
    <w:qFormat/>
    <w:uiPriority w:val="99"/>
    <w:rPr>
      <w:rFonts w:cs="Times New Roman"/>
    </w:rPr>
  </w:style>
  <w:style w:type="character" w:customStyle="1" w:styleId="122">
    <w:name w:val="my-notice1"/>
    <w:basedOn w:val="45"/>
    <w:qFormat/>
    <w:uiPriority w:val="99"/>
    <w:rPr>
      <w:rFonts w:cs="Times New Roman"/>
    </w:rPr>
  </w:style>
  <w:style w:type="character" w:customStyle="1" w:styleId="123">
    <w:name w:val="orange6"/>
    <w:qFormat/>
    <w:uiPriority w:val="99"/>
    <w:rPr>
      <w:color w:val="3FB58F"/>
    </w:rPr>
  </w:style>
  <w:style w:type="character" w:customStyle="1" w:styleId="124">
    <w:name w:val="Document Map Char2"/>
    <w:qFormat/>
    <w:locked/>
    <w:uiPriority w:val="99"/>
    <w:rPr>
      <w:rFonts w:ascii="宋体"/>
      <w:sz w:val="18"/>
    </w:rPr>
  </w:style>
  <w:style w:type="character" w:customStyle="1" w:styleId="125">
    <w:name w:val="ico-jiang3"/>
    <w:basedOn w:val="45"/>
    <w:qFormat/>
    <w:uiPriority w:val="99"/>
    <w:rPr>
      <w:rFonts w:cs="Times New Roman"/>
    </w:rPr>
  </w:style>
  <w:style w:type="character" w:customStyle="1" w:styleId="126">
    <w:name w:val="tip13"/>
    <w:qFormat/>
    <w:uiPriority w:val="99"/>
    <w:rPr>
      <w:vanish/>
      <w:color w:val="FF0000"/>
      <w:sz w:val="18"/>
    </w:rPr>
  </w:style>
  <w:style w:type="character" w:customStyle="1" w:styleId="127">
    <w:name w:val="正文文本缩进 2 字符"/>
    <w:basedOn w:val="45"/>
    <w:link w:val="21"/>
    <w:qFormat/>
    <w:uiPriority w:val="99"/>
    <w:rPr>
      <w:rFonts w:ascii="宋体" w:hAnsi="Calibri" w:eastAsia="宋体" w:cs="Times New Roman"/>
      <w:kern w:val="0"/>
      <w:sz w:val="24"/>
      <w:szCs w:val="20"/>
    </w:rPr>
  </w:style>
  <w:style w:type="character" w:customStyle="1" w:styleId="128">
    <w:name w:val="Body Text Indent 2 Char1"/>
    <w:basedOn w:val="45"/>
    <w:semiHidden/>
    <w:qFormat/>
    <w:locked/>
    <w:uiPriority w:val="99"/>
    <w:rPr>
      <w:rFonts w:cs="Times New Roman"/>
    </w:rPr>
  </w:style>
  <w:style w:type="character" w:customStyle="1" w:styleId="129">
    <w:name w:val="正文文本缩进 3 字符"/>
    <w:basedOn w:val="45"/>
    <w:link w:val="30"/>
    <w:qFormat/>
    <w:uiPriority w:val="99"/>
    <w:rPr>
      <w:rFonts w:ascii="宋体" w:hAnsi="Calibri" w:eastAsia="宋体" w:cs="Times New Roman"/>
      <w:kern w:val="0"/>
      <w:sz w:val="20"/>
      <w:szCs w:val="20"/>
    </w:rPr>
  </w:style>
  <w:style w:type="character" w:customStyle="1" w:styleId="130">
    <w:name w:val="Body Text Indent 3 Char1"/>
    <w:basedOn w:val="45"/>
    <w:semiHidden/>
    <w:qFormat/>
    <w:locked/>
    <w:uiPriority w:val="99"/>
    <w:rPr>
      <w:rFonts w:cs="Times New Roman"/>
      <w:sz w:val="16"/>
      <w:szCs w:val="16"/>
    </w:rPr>
  </w:style>
  <w:style w:type="character" w:customStyle="1" w:styleId="131">
    <w:name w:val="文档结构图 字符"/>
    <w:basedOn w:val="45"/>
    <w:link w:val="10"/>
    <w:qFormat/>
    <w:uiPriority w:val="99"/>
    <w:rPr>
      <w:rFonts w:ascii="宋体" w:hAnsi="Calibri" w:eastAsia="宋体" w:cs="Times New Roman"/>
      <w:kern w:val="0"/>
      <w:sz w:val="18"/>
      <w:szCs w:val="20"/>
    </w:rPr>
  </w:style>
  <w:style w:type="character" w:customStyle="1" w:styleId="132">
    <w:name w:val="Document Map Char3"/>
    <w:basedOn w:val="45"/>
    <w:semiHidden/>
    <w:qFormat/>
    <w:locked/>
    <w:uiPriority w:val="99"/>
    <w:rPr>
      <w:rFonts w:ascii="Times New Roman" w:hAnsi="Times New Roman" w:cs="Times New Roman"/>
      <w:sz w:val="2"/>
    </w:rPr>
  </w:style>
  <w:style w:type="paragraph" w:customStyle="1" w:styleId="133">
    <w:name w:val="_Style 1"/>
    <w:basedOn w:val="1"/>
    <w:qFormat/>
    <w:uiPriority w:val="99"/>
    <w:pPr>
      <w:ind w:firstLine="420" w:firstLineChars="200"/>
    </w:pPr>
    <w:rPr>
      <w:rFonts w:ascii="Times New Roman" w:hAnsi="Times New Roman" w:eastAsia="宋体" w:cs="Times New Roman"/>
      <w:szCs w:val="24"/>
    </w:rPr>
  </w:style>
  <w:style w:type="character" w:customStyle="1" w:styleId="134">
    <w:name w:val="正文文本 字符"/>
    <w:basedOn w:val="45"/>
    <w:link w:val="14"/>
    <w:qFormat/>
    <w:uiPriority w:val="99"/>
    <w:rPr>
      <w:rFonts w:ascii="Calibri" w:hAnsi="Calibri" w:eastAsia="宋体" w:cs="Times New Roman"/>
      <w:kern w:val="0"/>
      <w:sz w:val="24"/>
      <w:szCs w:val="20"/>
    </w:rPr>
  </w:style>
  <w:style w:type="character" w:customStyle="1" w:styleId="135">
    <w:name w:val="Body Text Char1"/>
    <w:basedOn w:val="45"/>
    <w:semiHidden/>
    <w:qFormat/>
    <w:locked/>
    <w:uiPriority w:val="99"/>
    <w:rPr>
      <w:rFonts w:cs="Times New Roman"/>
    </w:rPr>
  </w:style>
  <w:style w:type="paragraph" w:customStyle="1" w:styleId="136">
    <w:name w:val="_Style 21"/>
    <w:basedOn w:val="1"/>
    <w:qFormat/>
    <w:uiPriority w:val="99"/>
    <w:rPr>
      <w:rFonts w:ascii="Times New Roman" w:hAnsi="Times New Roman" w:eastAsia="宋体" w:cs="Times New Roman"/>
      <w:szCs w:val="20"/>
    </w:rPr>
  </w:style>
  <w:style w:type="paragraph" w:customStyle="1" w:styleId="137">
    <w:name w:val="p0"/>
    <w:basedOn w:val="1"/>
    <w:qFormat/>
    <w:uiPriority w:val="0"/>
    <w:pPr>
      <w:widowControl/>
    </w:pPr>
    <w:rPr>
      <w:rFonts w:ascii="Times New Roman" w:hAnsi="Times New Roman" w:eastAsia="宋体" w:cs="Times New Roman"/>
      <w:kern w:val="0"/>
      <w:szCs w:val="21"/>
    </w:rPr>
  </w:style>
  <w:style w:type="paragraph" w:customStyle="1" w:styleId="138">
    <w:name w:val="xl37"/>
    <w:basedOn w:val="1"/>
    <w:qFormat/>
    <w:uiPriority w:val="0"/>
    <w:pPr>
      <w:widowControl/>
      <w:pBdr>
        <w:left w:val="single" w:color="auto" w:sz="8" w:space="0"/>
        <w:right w:val="single" w:color="auto" w:sz="4" w:space="0"/>
      </w:pBdr>
      <w:spacing w:before="100" w:beforeAutospacing="1" w:after="100" w:afterAutospacing="1"/>
      <w:jc w:val="center"/>
      <w:textAlignment w:val="center"/>
    </w:pPr>
    <w:rPr>
      <w:rFonts w:ascii="宋体" w:hAnsi="宋体" w:eastAsia="宋体" w:cs="Times New Roman"/>
      <w:kern w:val="0"/>
      <w:sz w:val="18"/>
      <w:szCs w:val="18"/>
    </w:rPr>
  </w:style>
  <w:style w:type="paragraph" w:customStyle="1" w:styleId="139">
    <w:name w:val="xl25"/>
    <w:basedOn w:val="1"/>
    <w:qFormat/>
    <w:uiPriority w:val="99"/>
    <w:pPr>
      <w:widowControl/>
      <w:spacing w:before="100" w:beforeAutospacing="1" w:after="100" w:afterAutospacing="1"/>
      <w:textAlignment w:val="center"/>
    </w:pPr>
    <w:rPr>
      <w:rFonts w:ascii="宋体" w:hAnsi="宋体" w:eastAsia="宋体" w:cs="Times New Roman"/>
      <w:kern w:val="0"/>
      <w:sz w:val="18"/>
      <w:szCs w:val="18"/>
    </w:rPr>
  </w:style>
  <w:style w:type="paragraph" w:customStyle="1" w:styleId="140">
    <w:name w:val="样式 样式 样式 样式 内容 + 首行缩进:  2 字符18 + 首行缩进:  5.71 厘米 + 首行缩进:  8.04 厘米..."/>
    <w:basedOn w:val="1"/>
    <w:qFormat/>
    <w:uiPriority w:val="99"/>
    <w:pPr>
      <w:widowControl/>
      <w:spacing w:line="360" w:lineRule="auto"/>
      <w:ind w:firstLine="425" w:firstLineChars="177"/>
      <w:jc w:val="left"/>
    </w:pPr>
    <w:rPr>
      <w:rFonts w:ascii="Trebuchet MS" w:hAnsi="Trebuchet MS" w:eastAsia="宋体" w:cs="Times New Roman"/>
      <w:color w:val="404040"/>
      <w:kern w:val="0"/>
      <w:sz w:val="24"/>
      <w:szCs w:val="20"/>
      <w:lang w:eastAsia="en-US"/>
    </w:rPr>
  </w:style>
  <w:style w:type="paragraph" w:customStyle="1" w:styleId="141">
    <w:name w:val="无间隔11"/>
    <w:qFormat/>
    <w:uiPriority w:val="99"/>
    <w:pPr>
      <w:widowControl w:val="0"/>
      <w:spacing w:line="360" w:lineRule="auto"/>
      <w:jc w:val="center"/>
    </w:pPr>
    <w:rPr>
      <w:rFonts w:ascii="Times New Roman" w:hAnsi="Times New Roman" w:eastAsia="宋体" w:cs="Times New Roman"/>
      <w:b/>
      <w:color w:val="000000"/>
      <w:kern w:val="2"/>
      <w:sz w:val="21"/>
      <w:szCs w:val="21"/>
      <w:lang w:val="zh-CN" w:eastAsia="zh-CN" w:bidi="ar-SA"/>
    </w:rPr>
  </w:style>
  <w:style w:type="paragraph" w:customStyle="1" w:styleId="142">
    <w:name w:val="列出段落11"/>
    <w:basedOn w:val="1"/>
    <w:qFormat/>
    <w:uiPriority w:val="99"/>
    <w:pPr>
      <w:ind w:firstLine="420" w:firstLineChars="200"/>
    </w:pPr>
    <w:rPr>
      <w:rFonts w:ascii="Times New Roman" w:hAnsi="Times New Roman" w:eastAsia="宋体" w:cs="Times New Roman"/>
      <w:szCs w:val="24"/>
    </w:rPr>
  </w:style>
  <w:style w:type="paragraph" w:customStyle="1" w:styleId="143">
    <w:name w:val="_Style 2"/>
    <w:basedOn w:val="1"/>
    <w:qFormat/>
    <w:uiPriority w:val="34"/>
    <w:pPr>
      <w:ind w:firstLine="420" w:firstLineChars="200"/>
    </w:pPr>
    <w:rPr>
      <w:rFonts w:ascii="Calibri" w:hAnsi="Calibri" w:eastAsia="宋体" w:cs="Times New Roman"/>
    </w:rPr>
  </w:style>
  <w:style w:type="paragraph" w:customStyle="1" w:styleId="144">
    <w:name w:val="txt14"/>
    <w:basedOn w:val="1"/>
    <w:qFormat/>
    <w:uiPriority w:val="99"/>
    <w:pPr>
      <w:widowControl/>
      <w:spacing w:before="100" w:beforeAutospacing="1" w:after="100" w:afterAutospacing="1"/>
      <w:jc w:val="left"/>
    </w:pPr>
    <w:rPr>
      <w:rFonts w:ascii="宋体" w:hAnsi="宋体" w:eastAsia="宋体" w:cs="Times New Roman"/>
      <w:color w:val="000000"/>
      <w:kern w:val="0"/>
      <w:szCs w:val="21"/>
    </w:rPr>
  </w:style>
  <w:style w:type="paragraph" w:customStyle="1" w:styleId="145">
    <w:name w:val="_Style 11"/>
    <w:basedOn w:val="1"/>
    <w:qFormat/>
    <w:uiPriority w:val="99"/>
    <w:rPr>
      <w:rFonts w:ascii="Times New Roman" w:hAnsi="Times New Roman" w:eastAsia="宋体" w:cs="Times New Roman"/>
      <w:szCs w:val="24"/>
    </w:rPr>
  </w:style>
  <w:style w:type="paragraph" w:customStyle="1" w:styleId="146">
    <w:name w:val="Char"/>
    <w:basedOn w:val="1"/>
    <w:qFormat/>
    <w:uiPriority w:val="99"/>
    <w:rPr>
      <w:rFonts w:ascii="Times New Roman" w:hAnsi="Times New Roman" w:eastAsia="宋体" w:cs="Times New Roman"/>
      <w:szCs w:val="21"/>
    </w:rPr>
  </w:style>
  <w:style w:type="paragraph" w:customStyle="1" w:styleId="147">
    <w:name w:val="列出段落12"/>
    <w:basedOn w:val="1"/>
    <w:qFormat/>
    <w:uiPriority w:val="99"/>
    <w:pPr>
      <w:ind w:firstLine="420" w:firstLineChars="200"/>
    </w:pPr>
    <w:rPr>
      <w:rFonts w:ascii="Times New Roman" w:hAnsi="Times New Roman" w:eastAsia="宋体" w:cs="Times New Roman"/>
      <w:szCs w:val="24"/>
    </w:rPr>
  </w:style>
  <w:style w:type="paragraph" w:customStyle="1" w:styleId="148">
    <w:name w:val="列出段落2"/>
    <w:basedOn w:val="1"/>
    <w:qFormat/>
    <w:uiPriority w:val="99"/>
    <w:pPr>
      <w:ind w:firstLine="420" w:firstLineChars="200"/>
    </w:pPr>
    <w:rPr>
      <w:rFonts w:ascii="Times New Roman" w:hAnsi="Times New Roman" w:eastAsia="宋体" w:cs="Times New Roman"/>
      <w:szCs w:val="24"/>
    </w:rPr>
  </w:style>
  <w:style w:type="paragraph" w:customStyle="1" w:styleId="149">
    <w:name w:val="TOC 标题1"/>
    <w:basedOn w:val="2"/>
    <w:next w:val="1"/>
    <w:qFormat/>
    <w:uiPriority w:val="39"/>
    <w:pPr>
      <w:keepLines/>
      <w:spacing w:before="480" w:after="0" w:line="276" w:lineRule="auto"/>
      <w:jc w:val="left"/>
      <w:outlineLvl w:val="9"/>
    </w:pPr>
    <w:rPr>
      <w:rFonts w:ascii="Cambria" w:hAnsi="Cambria" w:cs="Times New Roman"/>
      <w:color w:val="365F91"/>
      <w:kern w:val="0"/>
      <w:sz w:val="28"/>
      <w:szCs w:val="28"/>
    </w:rPr>
  </w:style>
  <w:style w:type="paragraph" w:customStyle="1" w:styleId="150">
    <w:name w:val="正文文本缩进 31"/>
    <w:basedOn w:val="1"/>
    <w:qFormat/>
    <w:uiPriority w:val="99"/>
    <w:pPr>
      <w:spacing w:line="440" w:lineRule="exact"/>
      <w:ind w:firstLine="412" w:firstLineChars="200"/>
    </w:pPr>
    <w:rPr>
      <w:rFonts w:ascii="宋体" w:hAnsi="宋体" w:eastAsia="宋体" w:cs="Times New Roman"/>
      <w:kern w:val="0"/>
      <w:sz w:val="20"/>
      <w:szCs w:val="20"/>
    </w:rPr>
  </w:style>
  <w:style w:type="character" w:customStyle="1" w:styleId="151">
    <w:name w:val="font41"/>
    <w:qFormat/>
    <w:uiPriority w:val="99"/>
    <w:rPr>
      <w:rFonts w:hint="eastAsia" w:ascii="宋体" w:hAnsi="宋体" w:eastAsia="宋体" w:cs="宋体"/>
      <w:b/>
      <w:color w:val="000000"/>
      <w:sz w:val="22"/>
      <w:szCs w:val="22"/>
      <w:u w:val="none"/>
    </w:rPr>
  </w:style>
  <w:style w:type="character" w:customStyle="1" w:styleId="152">
    <w:name w:val="font81"/>
    <w:qFormat/>
    <w:uiPriority w:val="0"/>
    <w:rPr>
      <w:rFonts w:hint="eastAsia" w:ascii="宋体" w:hAnsi="宋体" w:eastAsia="宋体" w:cs="宋体"/>
      <w:b/>
      <w:color w:val="000000"/>
      <w:sz w:val="22"/>
      <w:szCs w:val="22"/>
      <w:u w:val="none"/>
    </w:rPr>
  </w:style>
  <w:style w:type="character" w:customStyle="1" w:styleId="153">
    <w:name w:val="font21"/>
    <w:qFormat/>
    <w:uiPriority w:val="0"/>
    <w:rPr>
      <w:rFonts w:hint="eastAsia" w:ascii="宋体" w:hAnsi="宋体" w:eastAsia="宋体" w:cs="宋体"/>
      <w:color w:val="000000"/>
      <w:sz w:val="18"/>
      <w:szCs w:val="18"/>
      <w:u w:val="none"/>
    </w:rPr>
  </w:style>
  <w:style w:type="character" w:customStyle="1" w:styleId="154">
    <w:name w:val="日期 字符"/>
    <w:link w:val="20"/>
    <w:qFormat/>
    <w:uiPriority w:val="0"/>
    <w:rPr>
      <w:szCs w:val="21"/>
    </w:rPr>
  </w:style>
  <w:style w:type="character" w:customStyle="1" w:styleId="155">
    <w:name w:val="font01"/>
    <w:qFormat/>
    <w:uiPriority w:val="99"/>
    <w:rPr>
      <w:rFonts w:hint="eastAsia" w:ascii="宋体" w:hAnsi="宋体" w:eastAsia="宋体" w:cs="宋体"/>
      <w:color w:val="000000"/>
      <w:sz w:val="22"/>
      <w:szCs w:val="22"/>
      <w:u w:val="none"/>
    </w:rPr>
  </w:style>
  <w:style w:type="character" w:customStyle="1" w:styleId="156">
    <w:name w:val="Char Char1"/>
    <w:qFormat/>
    <w:uiPriority w:val="0"/>
    <w:rPr>
      <w:rFonts w:eastAsia="宋体"/>
      <w:kern w:val="2"/>
      <w:sz w:val="18"/>
      <w:szCs w:val="18"/>
      <w:lang w:val="en-US" w:eastAsia="zh-CN" w:bidi="ar-SA"/>
    </w:rPr>
  </w:style>
  <w:style w:type="character" w:customStyle="1" w:styleId="157">
    <w:name w:val="标题 字符"/>
    <w:link w:val="39"/>
    <w:qFormat/>
    <w:uiPriority w:val="0"/>
    <w:rPr>
      <w:rFonts w:ascii="Cambria" w:hAnsi="Cambria" w:cs="Times New Roman"/>
      <w:b/>
      <w:bCs/>
      <w:sz w:val="32"/>
      <w:szCs w:val="32"/>
    </w:rPr>
  </w:style>
  <w:style w:type="character" w:customStyle="1" w:styleId="158">
    <w:name w:val="hei141"/>
    <w:qFormat/>
    <w:uiPriority w:val="0"/>
    <w:rPr>
      <w:rFonts w:hint="eastAsia" w:ascii="宋体" w:hAnsi="宋体" w:eastAsia="宋体"/>
      <w:color w:val="000000"/>
      <w:sz w:val="19"/>
      <w:szCs w:val="19"/>
      <w:u w:val="none"/>
    </w:rPr>
  </w:style>
  <w:style w:type="character" w:customStyle="1" w:styleId="159">
    <w:name w:val="批注文字 字符"/>
    <w:link w:val="12"/>
    <w:qFormat/>
    <w:uiPriority w:val="0"/>
  </w:style>
  <w:style w:type="character" w:customStyle="1" w:styleId="160">
    <w:name w:val="apple-style-span"/>
    <w:basedOn w:val="45"/>
    <w:qFormat/>
    <w:uiPriority w:val="0"/>
  </w:style>
  <w:style w:type="character" w:customStyle="1" w:styleId="161">
    <w:name w:val="param-value"/>
    <w:qFormat/>
    <w:uiPriority w:val="99"/>
    <w:rPr>
      <w:rFonts w:cs="Times New Roman"/>
    </w:rPr>
  </w:style>
  <w:style w:type="character" w:customStyle="1" w:styleId="162">
    <w:name w:val="font61"/>
    <w:qFormat/>
    <w:uiPriority w:val="0"/>
    <w:rPr>
      <w:rFonts w:hint="eastAsia" w:ascii="宋体" w:hAnsi="宋体" w:eastAsia="宋体" w:cs="宋体"/>
      <w:color w:val="000000"/>
      <w:sz w:val="22"/>
      <w:szCs w:val="22"/>
      <w:u w:val="none"/>
    </w:rPr>
  </w:style>
  <w:style w:type="character" w:customStyle="1" w:styleId="163">
    <w:name w:val="font11"/>
    <w:qFormat/>
    <w:uiPriority w:val="0"/>
    <w:rPr>
      <w:rFonts w:hint="eastAsia" w:ascii="宋体" w:hAnsi="宋体" w:eastAsia="宋体" w:cs="宋体"/>
      <w:color w:val="FF0000"/>
      <w:sz w:val="22"/>
      <w:szCs w:val="22"/>
      <w:u w:val="none"/>
    </w:rPr>
  </w:style>
  <w:style w:type="character" w:customStyle="1" w:styleId="164">
    <w:name w:val="批注主题 字符"/>
    <w:link w:val="40"/>
    <w:qFormat/>
    <w:uiPriority w:val="0"/>
    <w:rPr>
      <w:b/>
      <w:bCs/>
    </w:rPr>
  </w:style>
  <w:style w:type="character" w:customStyle="1" w:styleId="165">
    <w:name w:val="批注文字 Char1"/>
    <w:basedOn w:val="45"/>
    <w:semiHidden/>
    <w:qFormat/>
    <w:uiPriority w:val="99"/>
  </w:style>
  <w:style w:type="paragraph" w:customStyle="1" w:styleId="166">
    <w:name w:val="内文"/>
    <w:basedOn w:val="1"/>
    <w:qFormat/>
    <w:uiPriority w:val="0"/>
    <w:pPr>
      <w:spacing w:line="500" w:lineRule="exact"/>
      <w:ind w:firstLine="560" w:firstLineChars="200"/>
    </w:pPr>
    <w:rPr>
      <w:rFonts w:ascii="方正仿宋简体" w:hAnsi="宋体" w:eastAsia="方正仿宋简体" w:cs="Times New Roman"/>
      <w:sz w:val="28"/>
      <w:szCs w:val="28"/>
    </w:rPr>
  </w:style>
  <w:style w:type="character" w:customStyle="1" w:styleId="167">
    <w:name w:val="批注主题 Char1"/>
    <w:basedOn w:val="165"/>
    <w:semiHidden/>
    <w:qFormat/>
    <w:uiPriority w:val="99"/>
    <w:rPr>
      <w:b/>
      <w:bCs/>
    </w:rPr>
  </w:style>
  <w:style w:type="paragraph" w:customStyle="1" w:styleId="168">
    <w:name w:val="reader-word-layer reader-word-s1-17"/>
    <w:basedOn w:val="1"/>
    <w:qFormat/>
    <w:uiPriority w:val="0"/>
    <w:pPr>
      <w:widowControl/>
      <w:spacing w:before="100" w:beforeAutospacing="1" w:after="100" w:afterAutospacing="1"/>
      <w:jc w:val="left"/>
    </w:pPr>
    <w:rPr>
      <w:rFonts w:ascii="宋体" w:hAnsi="宋体" w:eastAsia="宋体" w:cs="宋体"/>
      <w:kern w:val="0"/>
      <w:sz w:val="24"/>
      <w:szCs w:val="24"/>
    </w:rPr>
  </w:style>
  <w:style w:type="character" w:customStyle="1" w:styleId="169">
    <w:name w:val="日期 Char1"/>
    <w:basedOn w:val="45"/>
    <w:semiHidden/>
    <w:qFormat/>
    <w:uiPriority w:val="99"/>
  </w:style>
  <w:style w:type="paragraph" w:customStyle="1" w:styleId="170">
    <w:name w:val="reader-word-layer reader-word-s1-14"/>
    <w:basedOn w:val="1"/>
    <w:qFormat/>
    <w:uiPriority w:val="0"/>
    <w:pPr>
      <w:widowControl/>
      <w:spacing w:before="100" w:beforeAutospacing="1" w:after="100" w:afterAutospacing="1"/>
      <w:jc w:val="left"/>
    </w:pPr>
    <w:rPr>
      <w:rFonts w:ascii="宋体" w:hAnsi="宋体" w:eastAsia="宋体" w:cs="宋体"/>
      <w:kern w:val="0"/>
      <w:sz w:val="24"/>
      <w:szCs w:val="24"/>
    </w:rPr>
  </w:style>
  <w:style w:type="character" w:customStyle="1" w:styleId="171">
    <w:name w:val="脚注文本 字符"/>
    <w:basedOn w:val="45"/>
    <w:link w:val="28"/>
    <w:semiHidden/>
    <w:qFormat/>
    <w:uiPriority w:val="0"/>
    <w:rPr>
      <w:rFonts w:ascii="Times New Roman" w:hAnsi="Times New Roman" w:eastAsia="宋体" w:cs="Times New Roman"/>
      <w:sz w:val="18"/>
      <w:szCs w:val="18"/>
    </w:rPr>
  </w:style>
  <w:style w:type="paragraph" w:customStyle="1" w:styleId="172">
    <w:name w:val="reader-word-layer reader-word-s1-16"/>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173">
    <w:name w:val="reader-word-layer reader-word-s1-15"/>
    <w:basedOn w:val="1"/>
    <w:qFormat/>
    <w:uiPriority w:val="0"/>
    <w:pPr>
      <w:widowControl/>
      <w:spacing w:before="100" w:beforeAutospacing="1" w:after="100" w:afterAutospacing="1"/>
      <w:jc w:val="left"/>
    </w:pPr>
    <w:rPr>
      <w:rFonts w:ascii="宋体" w:hAnsi="宋体" w:eastAsia="宋体" w:cs="宋体"/>
      <w:kern w:val="0"/>
      <w:sz w:val="24"/>
      <w:szCs w:val="24"/>
    </w:rPr>
  </w:style>
  <w:style w:type="character" w:customStyle="1" w:styleId="174">
    <w:name w:val="标题 Char1"/>
    <w:basedOn w:val="45"/>
    <w:qFormat/>
    <w:uiPriority w:val="10"/>
    <w:rPr>
      <w:rFonts w:eastAsia="宋体" w:asciiTheme="majorHAnsi" w:hAnsiTheme="majorHAnsi" w:cstheme="majorBidi"/>
      <w:b/>
      <w:bCs/>
      <w:sz w:val="32"/>
      <w:szCs w:val="32"/>
    </w:rPr>
  </w:style>
  <w:style w:type="paragraph" w:customStyle="1" w:styleId="175">
    <w:name w:val="本文正文"/>
    <w:basedOn w:val="1"/>
    <w:qFormat/>
    <w:uiPriority w:val="0"/>
    <w:pPr>
      <w:widowControl/>
      <w:spacing w:line="480" w:lineRule="exact"/>
      <w:ind w:firstLine="200" w:firstLineChars="200"/>
      <w:jc w:val="left"/>
    </w:pPr>
    <w:rPr>
      <w:rFonts w:ascii="宋体" w:hAnsi="宋体" w:eastAsia="宋体" w:cs="Times New Roman"/>
      <w:kern w:val="0"/>
      <w:sz w:val="24"/>
      <w:szCs w:val="24"/>
    </w:rPr>
  </w:style>
  <w:style w:type="paragraph" w:customStyle="1" w:styleId="176">
    <w:name w:val="reader-word-layer reader-word-s1-18"/>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177">
    <w:name w:val="Char Char Char1 Char Char Char Char"/>
    <w:basedOn w:val="1"/>
    <w:qFormat/>
    <w:uiPriority w:val="99"/>
    <w:pPr>
      <w:spacing w:line="300" w:lineRule="auto"/>
    </w:pPr>
    <w:rPr>
      <w:rFonts w:ascii="Tahoma" w:hAnsi="Tahoma" w:eastAsia="宋体" w:cs="Times New Roman"/>
      <w:sz w:val="24"/>
      <w:szCs w:val="24"/>
    </w:rPr>
  </w:style>
  <w:style w:type="paragraph" w:customStyle="1" w:styleId="178">
    <w:name w:val="Default"/>
    <w:qFormat/>
    <w:uiPriority w:val="0"/>
    <w:pPr>
      <w:widowControl w:val="0"/>
      <w:autoSpaceDE w:val="0"/>
      <w:autoSpaceDN w:val="0"/>
      <w:adjustRightInd w:val="0"/>
      <w:jc w:val="both"/>
    </w:pPr>
    <w:rPr>
      <w:rFonts w:ascii="黑体" w:hAnsi="黑体" w:eastAsia="宋体" w:cs="黑体"/>
      <w:color w:val="000000"/>
      <w:sz w:val="24"/>
      <w:szCs w:val="24"/>
      <w:lang w:val="en-US" w:eastAsia="zh-CN" w:bidi="ar-SA"/>
    </w:rPr>
  </w:style>
  <w:style w:type="paragraph" w:customStyle="1" w:styleId="179">
    <w:name w:val="List Paragraph1"/>
    <w:basedOn w:val="1"/>
    <w:qFormat/>
    <w:uiPriority w:val="0"/>
    <w:pPr>
      <w:ind w:firstLine="420" w:firstLineChars="200"/>
    </w:pPr>
    <w:rPr>
      <w:rFonts w:ascii="Times New Roman" w:hAnsi="Times New Roman" w:eastAsia="宋体" w:cs="Times New Roman"/>
      <w:szCs w:val="24"/>
    </w:rPr>
  </w:style>
  <w:style w:type="paragraph" w:customStyle="1" w:styleId="180">
    <w:name w:val="reader-word-layer reader-word-s1-11"/>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181">
    <w:name w:val="reader-word-layer reader-word-s1-19"/>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182">
    <w:name w:val="reader-word-layer reader-word-s1-10"/>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183">
    <w:name w:val="Char Char4"/>
    <w:basedOn w:val="1"/>
    <w:qFormat/>
    <w:uiPriority w:val="0"/>
    <w:pPr>
      <w:widowControl/>
      <w:spacing w:after="160" w:line="240" w:lineRule="exact"/>
      <w:jc w:val="left"/>
    </w:pPr>
    <w:rPr>
      <w:rFonts w:ascii="Times New Roman" w:hAnsi="Times New Roman" w:eastAsia="宋体" w:cs="Times New Roman"/>
      <w:szCs w:val="24"/>
    </w:rPr>
  </w:style>
  <w:style w:type="paragraph" w:customStyle="1" w:styleId="184">
    <w:name w:val="reader-word-layer"/>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185">
    <w:name w:val="Char Char4 Char Char"/>
    <w:basedOn w:val="1"/>
    <w:qFormat/>
    <w:uiPriority w:val="0"/>
    <w:pPr>
      <w:widowControl/>
      <w:spacing w:after="160" w:line="240" w:lineRule="exact"/>
      <w:jc w:val="left"/>
    </w:pPr>
    <w:rPr>
      <w:rFonts w:ascii="Times New Roman" w:hAnsi="Times New Roman" w:eastAsia="宋体" w:cs="Times New Roman"/>
      <w:szCs w:val="24"/>
    </w:rPr>
  </w:style>
  <w:style w:type="paragraph" w:customStyle="1" w:styleId="186">
    <w:name w:val="列出段落3"/>
    <w:basedOn w:val="1"/>
    <w:qFormat/>
    <w:uiPriority w:val="0"/>
    <w:pPr>
      <w:ind w:firstLine="420" w:firstLineChars="200"/>
    </w:pPr>
    <w:rPr>
      <w:rFonts w:ascii="Times New Roman" w:hAnsi="Times New Roman" w:eastAsia="宋体" w:cs="Times New Roman"/>
      <w:szCs w:val="24"/>
    </w:rPr>
  </w:style>
  <w:style w:type="character" w:customStyle="1" w:styleId="187">
    <w:name w:val="Char Char12"/>
    <w:qFormat/>
    <w:uiPriority w:val="0"/>
    <w:rPr>
      <w:rFonts w:eastAsia="宋体"/>
      <w:kern w:val="2"/>
      <w:sz w:val="18"/>
      <w:szCs w:val="18"/>
      <w:lang w:val="en-US" w:eastAsia="zh-CN" w:bidi="ar-SA"/>
    </w:rPr>
  </w:style>
  <w:style w:type="paragraph" w:customStyle="1" w:styleId="188">
    <w:name w:val="Char Char42"/>
    <w:basedOn w:val="1"/>
    <w:qFormat/>
    <w:uiPriority w:val="0"/>
    <w:pPr>
      <w:widowControl/>
      <w:spacing w:after="160" w:line="240" w:lineRule="exact"/>
      <w:jc w:val="left"/>
    </w:pPr>
    <w:rPr>
      <w:rFonts w:ascii="Times New Roman" w:hAnsi="Times New Roman" w:eastAsia="宋体" w:cs="Times New Roman"/>
      <w:szCs w:val="24"/>
    </w:rPr>
  </w:style>
  <w:style w:type="paragraph" w:customStyle="1" w:styleId="189">
    <w:name w:val="Char Char4 Char Char2"/>
    <w:basedOn w:val="1"/>
    <w:qFormat/>
    <w:uiPriority w:val="0"/>
    <w:pPr>
      <w:widowControl/>
      <w:spacing w:after="160" w:line="240" w:lineRule="exact"/>
      <w:jc w:val="left"/>
    </w:pPr>
    <w:rPr>
      <w:rFonts w:ascii="Times New Roman" w:hAnsi="Times New Roman" w:eastAsia="宋体" w:cs="Times New Roman"/>
      <w:szCs w:val="24"/>
    </w:rPr>
  </w:style>
  <w:style w:type="paragraph" w:customStyle="1" w:styleId="190">
    <w:name w:val="列出段落4"/>
    <w:basedOn w:val="1"/>
    <w:qFormat/>
    <w:uiPriority w:val="0"/>
    <w:pPr>
      <w:ind w:firstLine="420" w:firstLineChars="200"/>
    </w:pPr>
    <w:rPr>
      <w:rFonts w:ascii="Times New Roman" w:hAnsi="Times New Roman" w:eastAsia="宋体" w:cs="Times New Roman"/>
      <w:szCs w:val="24"/>
    </w:rPr>
  </w:style>
  <w:style w:type="character" w:customStyle="1" w:styleId="191">
    <w:name w:val="Char Char11"/>
    <w:qFormat/>
    <w:uiPriority w:val="0"/>
    <w:rPr>
      <w:rFonts w:eastAsia="宋体"/>
      <w:kern w:val="2"/>
      <w:sz w:val="18"/>
      <w:szCs w:val="18"/>
      <w:lang w:val="en-US" w:eastAsia="zh-CN" w:bidi="ar-SA"/>
    </w:rPr>
  </w:style>
  <w:style w:type="paragraph" w:customStyle="1" w:styleId="192">
    <w:name w:val="Char Char41"/>
    <w:basedOn w:val="1"/>
    <w:qFormat/>
    <w:uiPriority w:val="0"/>
    <w:pPr>
      <w:widowControl/>
      <w:spacing w:after="160" w:line="240" w:lineRule="exact"/>
      <w:jc w:val="left"/>
    </w:pPr>
    <w:rPr>
      <w:rFonts w:ascii="Times New Roman" w:hAnsi="Times New Roman" w:eastAsia="宋体" w:cs="Times New Roman"/>
      <w:szCs w:val="24"/>
    </w:rPr>
  </w:style>
  <w:style w:type="paragraph" w:customStyle="1" w:styleId="193">
    <w:name w:val="Char Char4 Char Char1"/>
    <w:basedOn w:val="1"/>
    <w:qFormat/>
    <w:uiPriority w:val="0"/>
    <w:pPr>
      <w:widowControl/>
      <w:spacing w:after="160" w:line="240" w:lineRule="exact"/>
      <w:jc w:val="left"/>
    </w:pPr>
    <w:rPr>
      <w:rFonts w:ascii="Times New Roman" w:hAnsi="Times New Roman" w:eastAsia="宋体" w:cs="Times New Roman"/>
      <w:szCs w:val="24"/>
    </w:rPr>
  </w:style>
  <w:style w:type="paragraph" w:customStyle="1" w:styleId="194">
    <w:name w:val="列出段落5"/>
    <w:basedOn w:val="1"/>
    <w:qFormat/>
    <w:uiPriority w:val="0"/>
    <w:pPr>
      <w:ind w:firstLine="420" w:firstLineChars="200"/>
    </w:pPr>
    <w:rPr>
      <w:rFonts w:ascii="Times New Roman" w:hAnsi="Times New Roman" w:eastAsia="宋体" w:cs="Times New Roman"/>
      <w:szCs w:val="24"/>
    </w:rPr>
  </w:style>
  <w:style w:type="character" w:customStyle="1" w:styleId="195">
    <w:name w:val="bookmark-item"/>
    <w:basedOn w:val="45"/>
    <w:qFormat/>
    <w:uiPriority w:val="0"/>
  </w:style>
  <w:style w:type="paragraph" w:customStyle="1" w:styleId="196">
    <w:name w:val="列出段落6"/>
    <w:basedOn w:val="1"/>
    <w:qFormat/>
    <w:uiPriority w:val="34"/>
    <w:pPr>
      <w:ind w:firstLine="420" w:firstLineChars="200"/>
    </w:pPr>
    <w:rPr>
      <w:rFonts w:ascii="Calibri" w:hAnsi="Calibri" w:eastAsia="宋体" w:cs="Times New Roman"/>
    </w:rPr>
  </w:style>
  <w:style w:type="character" w:customStyle="1" w:styleId="197">
    <w:name w:val="纯文本 字符"/>
    <w:basedOn w:val="45"/>
    <w:link w:val="18"/>
    <w:qFormat/>
    <w:uiPriority w:val="0"/>
    <w:rPr>
      <w:rFonts w:ascii="宋体" w:hAnsi="Courier New" w:eastAsia="宋体" w:cs="宋体"/>
      <w:kern w:val="2"/>
      <w:sz w:val="21"/>
      <w:szCs w:val="21"/>
    </w:rPr>
  </w:style>
  <w:style w:type="paragraph" w:customStyle="1" w:styleId="198">
    <w:name w:val="0"/>
    <w:basedOn w:val="1"/>
    <w:qFormat/>
    <w:uiPriority w:val="0"/>
    <w:pPr>
      <w:widowControl/>
      <w:snapToGrid w:val="0"/>
      <w:jc w:val="left"/>
    </w:pPr>
    <w:rPr>
      <w:rFonts w:ascii="Times New Roman" w:hAnsi="Times New Roman" w:eastAsia="宋体" w:cs="Times New Roman"/>
      <w:kern w:val="0"/>
      <w:sz w:val="20"/>
      <w:szCs w:val="20"/>
    </w:rPr>
  </w:style>
  <w:style w:type="paragraph" w:customStyle="1" w:styleId="199">
    <w:name w:val="Table Paragraph"/>
    <w:basedOn w:val="1"/>
    <w:qFormat/>
    <w:uiPriority w:val="1"/>
    <w:pPr>
      <w:jc w:val="left"/>
    </w:pPr>
    <w:rPr>
      <w:rFonts w:ascii="Calibri" w:hAnsi="Calibri" w:eastAsia="Calibri" w:cs="Times New Roman"/>
      <w:kern w:val="0"/>
      <w:sz w:val="22"/>
      <w:lang w:eastAsia="en-US"/>
    </w:rPr>
  </w:style>
  <w:style w:type="paragraph" w:customStyle="1" w:styleId="200">
    <w:name w:val="_Style 3"/>
    <w:basedOn w:val="1"/>
    <w:qFormat/>
    <w:uiPriority w:val="34"/>
    <w:pPr>
      <w:ind w:firstLine="420" w:firstLineChars="200"/>
    </w:pPr>
    <w:rPr>
      <w:rFonts w:ascii="Times New Roman" w:hAnsi="Times New Roman" w:eastAsia="宋体" w:cs="黑体"/>
      <w:szCs w:val="24"/>
    </w:rPr>
  </w:style>
  <w:style w:type="character" w:customStyle="1" w:styleId="201">
    <w:name w:val="正文文本首行缩进 2 字符"/>
    <w:basedOn w:val="65"/>
    <w:link w:val="42"/>
    <w:semiHidden/>
    <w:qFormat/>
    <w:uiPriority w:val="99"/>
    <w:rPr>
      <w:rFonts w:ascii="??" w:hAnsi="??" w:eastAsia="宋体" w:cs="Arial"/>
      <w:kern w:val="2"/>
      <w:sz w:val="21"/>
      <w:szCs w:val="22"/>
    </w:rPr>
  </w:style>
  <w:style w:type="paragraph" w:customStyle="1" w:styleId="202">
    <w:name w:val="标书正文"/>
    <w:basedOn w:val="1"/>
    <w:qFormat/>
    <w:uiPriority w:val="0"/>
    <w:pPr>
      <w:spacing w:line="560" w:lineRule="exact"/>
      <w:ind w:firstLine="723" w:firstLineChars="200"/>
      <w:jc w:val="center"/>
    </w:pPr>
    <w:rPr>
      <w:rFonts w:ascii="仿宋_GB2312" w:hAnsi="Times New Roman" w:eastAsia="仿宋_GB2312" w:cs="Times New Roman"/>
      <w:b/>
      <w:sz w:val="36"/>
      <w:szCs w:val="20"/>
    </w:rPr>
  </w:style>
  <w:style w:type="paragraph" w:customStyle="1" w:styleId="203">
    <w:name w:val="表格"/>
    <w:qFormat/>
    <w:uiPriority w:val="0"/>
    <w:pPr>
      <w:adjustRightInd w:val="0"/>
      <w:snapToGrid w:val="0"/>
      <w:spacing w:before="20" w:after="20"/>
      <w:jc w:val="center"/>
      <w:textAlignment w:val="baseline"/>
    </w:pPr>
    <w:rPr>
      <w:rFonts w:ascii="Arial" w:hAnsi="Arial" w:eastAsia="宋体" w:cs="Times New Roman"/>
      <w:snapToGrid w:val="0"/>
      <w:sz w:val="21"/>
      <w:lang w:val="en-US" w:eastAsia="zh-CN" w:bidi="ar-SA"/>
    </w:rPr>
  </w:style>
  <w:style w:type="character" w:customStyle="1" w:styleId="204">
    <w:name w:val="正文文本 2 字符"/>
    <w:basedOn w:val="45"/>
    <w:link w:val="34"/>
    <w:semiHidden/>
    <w:qFormat/>
    <w:uiPriority w:val="99"/>
    <w:rPr>
      <w:rFonts w:asciiTheme="minorHAnsi" w:hAnsiTheme="minorHAnsi" w:eastAsiaTheme="minorEastAsia" w:cstheme="minorBidi"/>
      <w:kern w:val="2"/>
      <w:sz w:val="21"/>
      <w:szCs w:val="22"/>
    </w:rPr>
  </w:style>
  <w:style w:type="paragraph" w:customStyle="1" w:styleId="205">
    <w:name w:val="缺省文本"/>
    <w:qFormat/>
    <w:uiPriority w:val="0"/>
    <w:pPr>
      <w:widowControl w:val="0"/>
      <w:autoSpaceDE w:val="0"/>
      <w:autoSpaceDN w:val="0"/>
      <w:adjustRightInd w:val="0"/>
    </w:pPr>
    <w:rPr>
      <w:rFonts w:ascii="Times New Roman" w:hAnsi="Times New Roman" w:eastAsia="宋体" w:cs="Times New Roman"/>
      <w:color w:val="000000"/>
      <w:szCs w:val="24"/>
      <w:lang w:val="en-US" w:eastAsia="zh-CN" w:bidi="ar-SA"/>
    </w:rPr>
  </w:style>
  <w:style w:type="paragraph" w:customStyle="1" w:styleId="206">
    <w:name w:val="列表段落1"/>
    <w:basedOn w:val="1"/>
    <w:qFormat/>
    <w:uiPriority w:val="0"/>
    <w:pPr>
      <w:ind w:firstLine="420" w:firstLineChars="200"/>
    </w:pPr>
    <w:rPr>
      <w:rFonts w:ascii="Times New Roman" w:hAnsi="Times New Roman" w:eastAsia="宋体" w:cs="Times New Roman"/>
    </w:rPr>
  </w:style>
  <w:style w:type="character" w:customStyle="1" w:styleId="207">
    <w:name w:val="列表段落 字符"/>
    <w:link w:val="66"/>
    <w:qFormat/>
    <w:uiPriority w:val="0"/>
    <w:rPr>
      <w:rFonts w:ascii="Calibri" w:hAnsi="Calibri"/>
      <w:kern w:val="2"/>
      <w:sz w:val="21"/>
      <w:szCs w:val="22"/>
    </w:rPr>
  </w:style>
  <w:style w:type="paragraph" w:customStyle="1" w:styleId="208">
    <w:name w:val="列表段落2"/>
    <w:basedOn w:val="1"/>
    <w:unhideWhenUsed/>
    <w:qFormat/>
    <w:uiPriority w:val="99"/>
    <w:pPr>
      <w:ind w:firstLine="420" w:firstLineChars="200"/>
    </w:pPr>
  </w:style>
  <w:style w:type="character" w:customStyle="1" w:styleId="209">
    <w:name w:val="HTML 预设格式 字符"/>
    <w:basedOn w:val="45"/>
    <w:link w:val="36"/>
    <w:qFormat/>
    <w:uiPriority w:val="0"/>
    <w:rPr>
      <w:rFonts w:ascii="Arial" w:hAnsi="Arial" w:cs="Arial" w:eastAsiaTheme="minorEastAsia"/>
      <w:sz w:val="28"/>
      <w:szCs w:val="28"/>
    </w:rPr>
  </w:style>
  <w:style w:type="paragraph" w:customStyle="1" w:styleId="210">
    <w:name w:val="BodyText"/>
    <w:basedOn w:val="1"/>
    <w:next w:val="211"/>
    <w:qFormat/>
    <w:uiPriority w:val="0"/>
    <w:pPr>
      <w:spacing w:line="300" w:lineRule="auto"/>
      <w:jc w:val="center"/>
      <w:textAlignment w:val="baseline"/>
    </w:pPr>
    <w:rPr>
      <w:rFonts w:ascii="宋体" w:hAnsi="宋体" w:eastAsia="宋体"/>
      <w:sz w:val="24"/>
      <w:szCs w:val="24"/>
    </w:rPr>
  </w:style>
  <w:style w:type="paragraph" w:customStyle="1" w:styleId="211">
    <w:name w:val="TOC2"/>
    <w:basedOn w:val="1"/>
    <w:next w:val="1"/>
    <w:qFormat/>
    <w:uiPriority w:val="0"/>
    <w:pPr>
      <w:spacing w:line="413" w:lineRule="auto"/>
      <w:ind w:left="240" w:leftChars="100"/>
      <w:textAlignment w:val="baseline"/>
    </w:pPr>
    <w:rPr>
      <w:rFonts w:ascii="Calibri" w:hAnsi="Calibri" w:eastAsia="仿宋"/>
      <w:sz w:val="24"/>
      <w:szCs w:val="24"/>
    </w:rPr>
  </w:style>
  <w:style w:type="character" w:customStyle="1" w:styleId="212">
    <w:name w:val="纯文本 Char1"/>
    <w:qFormat/>
    <w:uiPriority w:val="0"/>
    <w:rPr>
      <w:rFonts w:eastAsia="宋体"/>
      <w:kern w:val="2"/>
      <w:sz w:val="24"/>
      <w:lang w:val="en-US" w:eastAsia="zh-CN" w:bidi="ar-SA"/>
    </w:rPr>
  </w:style>
  <w:style w:type="character" w:customStyle="1" w:styleId="213">
    <w:name w:val="页脚 Char1"/>
    <w:qFormat/>
    <w:uiPriority w:val="0"/>
    <w:rPr>
      <w:rFonts w:eastAsia="宋体"/>
      <w:kern w:val="2"/>
      <w:sz w:val="18"/>
      <w:szCs w:val="18"/>
      <w:lang w:val="en-US" w:eastAsia="zh-CN" w:bidi="ar-SA"/>
    </w:rPr>
  </w:style>
  <w:style w:type="character" w:customStyle="1" w:styleId="214">
    <w:name w:val="页眉 Char1"/>
    <w:qFormat/>
    <w:uiPriority w:val="0"/>
    <w:rPr>
      <w:rFonts w:eastAsia="宋体"/>
      <w:kern w:val="2"/>
      <w:sz w:val="18"/>
      <w:szCs w:val="18"/>
      <w:lang w:val="en-US" w:eastAsia="zh-CN" w:bidi="ar-SA"/>
    </w:rPr>
  </w:style>
  <w:style w:type="character" w:customStyle="1" w:styleId="215">
    <w:name w:val="正文缩进 Char1"/>
    <w:link w:val="216"/>
    <w:qFormat/>
    <w:uiPriority w:val="0"/>
    <w:rPr>
      <w:rFonts w:ascii="宋体"/>
      <w:sz w:val="24"/>
    </w:rPr>
  </w:style>
  <w:style w:type="paragraph" w:customStyle="1" w:styleId="216">
    <w:name w:val="正文缩进1"/>
    <w:basedOn w:val="1"/>
    <w:link w:val="215"/>
    <w:qFormat/>
    <w:uiPriority w:val="0"/>
    <w:pPr>
      <w:autoSpaceDE w:val="0"/>
      <w:autoSpaceDN w:val="0"/>
      <w:adjustRightInd w:val="0"/>
      <w:ind w:firstLine="420"/>
      <w:jc w:val="left"/>
    </w:pPr>
    <w:rPr>
      <w:rFonts w:ascii="宋体" w:hAnsi="Times New Roman" w:eastAsia="宋体" w:cs="Times New Roman"/>
      <w:kern w:val="0"/>
      <w:sz w:val="24"/>
      <w:szCs w:val="20"/>
    </w:rPr>
  </w:style>
  <w:style w:type="paragraph" w:customStyle="1" w:styleId="217">
    <w:name w:val="索引 11"/>
    <w:basedOn w:val="1"/>
    <w:next w:val="1"/>
    <w:qFormat/>
    <w:uiPriority w:val="0"/>
    <w:pPr>
      <w:spacing w:line="360" w:lineRule="auto"/>
    </w:pPr>
    <w:rPr>
      <w:rFonts w:ascii="仿宋_GB2312" w:hAnsi="Times New Roman" w:eastAsia="仿宋_GB2312" w:cs="Times New Roman"/>
      <w:sz w:val="24"/>
      <w:szCs w:val="20"/>
    </w:rPr>
  </w:style>
  <w:style w:type="paragraph" w:customStyle="1" w:styleId="218">
    <w:name w:val="纯文本1"/>
    <w:basedOn w:val="1"/>
    <w:qFormat/>
    <w:uiPriority w:val="0"/>
    <w:rPr>
      <w:rFonts w:ascii="宋体" w:hAnsi="Courier New" w:eastAsia="宋体" w:cs="Times New Roman"/>
      <w:kern w:val="0"/>
      <w:sz w:val="20"/>
      <w:szCs w:val="20"/>
    </w:rPr>
  </w:style>
  <w:style w:type="character" w:customStyle="1" w:styleId="219">
    <w:name w:val="标题 5 字符"/>
    <w:basedOn w:val="45"/>
    <w:link w:val="6"/>
    <w:semiHidden/>
    <w:qFormat/>
    <w:uiPriority w:val="9"/>
    <w:rPr>
      <w:rFonts w:asciiTheme="minorHAnsi" w:hAnsiTheme="minorHAnsi" w:eastAsiaTheme="minorEastAsia" w:cstheme="minorBidi"/>
      <w:b/>
      <w:bCs/>
      <w:kern w:val="2"/>
      <w:sz w:val="28"/>
      <w:szCs w:val="28"/>
    </w:rPr>
  </w:style>
  <w:style w:type="character" w:customStyle="1" w:styleId="220">
    <w:name w:val="称呼 字符"/>
    <w:basedOn w:val="45"/>
    <w:link w:val="13"/>
    <w:qFormat/>
    <w:uiPriority w:val="0"/>
    <w:rPr>
      <w:rFonts w:ascii="宋体"/>
      <w:b/>
      <w:kern w:val="2"/>
      <w:sz w:val="28"/>
      <w:szCs w:val="24"/>
    </w:rPr>
  </w:style>
  <w:style w:type="character" w:customStyle="1" w:styleId="221">
    <w:name w:val="副标题 字符"/>
    <w:basedOn w:val="45"/>
    <w:link w:val="27"/>
    <w:qFormat/>
    <w:uiPriority w:val="11"/>
    <w:rPr>
      <w:rFonts w:ascii="Cambria" w:hAnsi="Cambria" w:eastAsia="仿宋"/>
      <w:b/>
      <w:bCs/>
      <w:kern w:val="28"/>
      <w:sz w:val="32"/>
      <w:szCs w:val="32"/>
    </w:rPr>
  </w:style>
  <w:style w:type="character" w:customStyle="1" w:styleId="222">
    <w:name w:val="正文文本首行缩进 字符"/>
    <w:basedOn w:val="134"/>
    <w:link w:val="41"/>
    <w:qFormat/>
    <w:uiPriority w:val="0"/>
    <w:rPr>
      <w:rFonts w:ascii="Arial" w:hAnsi="Arial" w:eastAsia="宋体" w:cs="Times New Roman"/>
      <w:kern w:val="0"/>
      <w:sz w:val="24"/>
      <w:szCs w:val="21"/>
    </w:rPr>
  </w:style>
  <w:style w:type="paragraph" w:customStyle="1" w:styleId="223">
    <w:name w:val="测评方案正文"/>
    <w:basedOn w:val="224"/>
    <w:qFormat/>
    <w:uiPriority w:val="0"/>
    <w:pPr>
      <w:ind w:firstLine="200" w:firstLineChars="200"/>
    </w:pPr>
    <w:rPr>
      <w:b w:val="0"/>
      <w:sz w:val="21"/>
    </w:rPr>
  </w:style>
  <w:style w:type="paragraph" w:customStyle="1" w:styleId="224">
    <w:name w:val="测评方案2级"/>
    <w:basedOn w:val="1"/>
    <w:qFormat/>
    <w:uiPriority w:val="0"/>
    <w:pPr>
      <w:spacing w:beforeLines="50" w:afterLines="50" w:line="300" w:lineRule="auto"/>
    </w:pPr>
    <w:rPr>
      <w:rFonts w:ascii="Times New Roman" w:hAnsi="Times New Roman" w:eastAsia="宋体" w:cs="Times New Roman"/>
      <w:b/>
      <w:sz w:val="28"/>
      <w:szCs w:val="32"/>
    </w:rPr>
  </w:style>
  <w:style w:type="paragraph" w:customStyle="1" w:styleId="225">
    <w:name w:val="正文首行缩进两字符"/>
    <w:qFormat/>
    <w:uiPriority w:val="0"/>
    <w:pPr>
      <w:widowControl w:val="0"/>
      <w:jc w:val="both"/>
    </w:pPr>
    <w:rPr>
      <w:rFonts w:ascii="Calibri" w:hAnsi="Calibri" w:eastAsia="宋体" w:cs="Times New Roman"/>
      <w:kern w:val="2"/>
      <w:sz w:val="21"/>
      <w:lang w:val="en-US" w:eastAsia="zh-CN" w:bidi="ar-SA"/>
    </w:rPr>
  </w:style>
  <w:style w:type="paragraph" w:customStyle="1" w:styleId="226">
    <w:name w:val="测评方案3级"/>
    <w:basedOn w:val="224"/>
    <w:qFormat/>
    <w:uiPriority w:val="0"/>
    <w:pPr>
      <w:spacing w:before="156" w:after="156"/>
    </w:pPr>
    <w:rPr>
      <w:rFonts w:ascii="黑体" w:eastAsia="黑体"/>
      <w:sz w:val="24"/>
    </w:rPr>
  </w:style>
  <w:style w:type="paragraph" w:customStyle="1" w:styleId="227">
    <w:name w:val="Body text|7"/>
    <w:basedOn w:val="1"/>
    <w:qFormat/>
    <w:uiPriority w:val="0"/>
    <w:rPr>
      <w:rFonts w:ascii="Times New Roman" w:hAnsi="Times New Roman" w:eastAsia="宋体" w:cs="Times New Roman"/>
      <w:sz w:val="32"/>
      <w:szCs w:val="32"/>
      <w:shd w:val="clear" w:color="auto" w:fill="FFFFFF"/>
    </w:rPr>
  </w:style>
  <w:style w:type="paragraph" w:customStyle="1" w:styleId="228">
    <w:name w:val="Body text|1"/>
    <w:basedOn w:val="1"/>
    <w:qFormat/>
    <w:uiPriority w:val="0"/>
    <w:pPr>
      <w:spacing w:after="40" w:line="353" w:lineRule="auto"/>
      <w:ind w:firstLine="40"/>
    </w:pPr>
    <w:rPr>
      <w:rFonts w:ascii="宋体" w:hAnsi="宋体" w:eastAsia="宋体" w:cs="宋体"/>
      <w:sz w:val="46"/>
      <w:szCs w:val="46"/>
      <w:lang w:val="zh-TW" w:eastAsia="zh-TW" w:bidi="zh-TW"/>
    </w:rPr>
  </w:style>
  <w:style w:type="paragraph" w:customStyle="1" w:styleId="229">
    <w:name w:val="Body text|2"/>
    <w:basedOn w:val="1"/>
    <w:qFormat/>
    <w:uiPriority w:val="0"/>
    <w:pPr>
      <w:spacing w:after="60"/>
    </w:pPr>
    <w:rPr>
      <w:rFonts w:ascii="宋体" w:hAnsi="宋体" w:eastAsia="宋体" w:cs="宋体"/>
      <w:sz w:val="54"/>
      <w:szCs w:val="54"/>
    </w:rPr>
  </w:style>
  <w:style w:type="paragraph" w:customStyle="1" w:styleId="230">
    <w:name w:val="Body text|6"/>
    <w:basedOn w:val="1"/>
    <w:qFormat/>
    <w:uiPriority w:val="0"/>
    <w:rPr>
      <w:rFonts w:ascii="Times New Roman" w:hAnsi="Times New Roman" w:eastAsia="宋体" w:cs="Times New Roman"/>
      <w:b/>
      <w:bCs/>
      <w:sz w:val="36"/>
      <w:szCs w:val="36"/>
      <w:shd w:val="clear" w:color="auto" w:fill="FFFFFF"/>
    </w:rPr>
  </w:style>
  <w:style w:type="paragraph" w:customStyle="1" w:styleId="231">
    <w:name w:val="正文首行缩进1"/>
    <w:basedOn w:val="14"/>
    <w:qFormat/>
    <w:uiPriority w:val="0"/>
    <w:pPr>
      <w:ind w:firstLine="420" w:firstLineChars="100"/>
    </w:pPr>
    <w:rPr>
      <w:rFonts w:ascii="宋体" w:hAnsi="宋体"/>
      <w:sz w:val="21"/>
      <w:szCs w:val="18"/>
    </w:rPr>
  </w:style>
  <w:style w:type="table" w:customStyle="1" w:styleId="232">
    <w:name w:val="样式9"/>
    <w:basedOn w:val="43"/>
    <w:qFormat/>
    <w:uiPriority w:val="99"/>
    <w:pPr>
      <w:spacing w:line="276" w:lineRule="auto"/>
      <w:jc w:val="center"/>
    </w:pPr>
    <w:rPr>
      <w:rFonts w:eastAsia="华文仿宋"/>
      <w:sz w:val="21"/>
    </w:rPr>
    <w:tblPr>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Pr>
    <w:tcPr>
      <w:vAlign w:val="center"/>
    </w:tcPr>
    <w:tblStylePr w:type="firstRow">
      <w:rPr>
        <w:rFonts w:eastAsia="Tms Rmn"/>
        <w:b/>
      </w:rPr>
    </w:tblStylePr>
  </w:style>
  <w:style w:type="paragraph" w:customStyle="1" w:styleId="233">
    <w:name w:val="表格中文"/>
    <w:qFormat/>
    <w:locked/>
    <w:uiPriority w:val="0"/>
    <w:pPr>
      <w:spacing w:line="240" w:lineRule="atLeast"/>
      <w:jc w:val="both"/>
    </w:pPr>
    <w:rPr>
      <w:rFonts w:ascii="Verdana" w:hAnsi="Verdana" w:eastAsia="宋体" w:cs="Times New Roman"/>
      <w:bCs/>
      <w:sz w:val="18"/>
      <w:szCs w:val="18"/>
      <w:lang w:val="en-US" w:eastAsia="zh-CN" w:bidi="ar-SA"/>
    </w:rPr>
  </w:style>
  <w:style w:type="paragraph" w:customStyle="1" w:styleId="234">
    <w:name w:val="null3"/>
    <w:qFormat/>
    <w:uiPriority w:val="0"/>
    <w:rPr>
      <w:rFonts w:hint="eastAsia" w:ascii="Calibri" w:hAnsi="Calibri" w:eastAsia="宋体" w:cs="Times New Roman"/>
      <w:lang w:val="en-US" w:eastAsia="zh-Hans" w:bidi="ar-SA"/>
    </w:rPr>
  </w:style>
  <w:style w:type="character" w:customStyle="1" w:styleId="235">
    <w:name w:val="15"/>
    <w:qFormat/>
    <w:uiPriority w:val="0"/>
    <w:rPr>
      <w:rFonts w:hint="eastAsia" w:ascii="宋体" w:hAnsi="宋体" w:eastAsia="宋体"/>
      <w:color w:val="000000"/>
      <w:sz w:val="22"/>
      <w:szCs w:val="22"/>
    </w:rPr>
  </w:style>
  <w:style w:type="paragraph" w:customStyle="1" w:styleId="236">
    <w:name w:val="答复表头"/>
    <w:basedOn w:val="237"/>
    <w:next w:val="1"/>
    <w:qFormat/>
    <w:uiPriority w:val="0"/>
    <w:pPr>
      <w:tabs>
        <w:tab w:val="left" w:pos="480"/>
      </w:tabs>
    </w:pPr>
    <w:rPr>
      <w:b/>
    </w:rPr>
  </w:style>
  <w:style w:type="paragraph" w:customStyle="1" w:styleId="237">
    <w:name w:val="正表头"/>
    <w:basedOn w:val="1"/>
    <w:qFormat/>
    <w:uiPriority w:val="0"/>
    <w:pPr>
      <w:tabs>
        <w:tab w:val="left" w:pos="480"/>
      </w:tabs>
      <w:autoSpaceDE w:val="0"/>
      <w:autoSpaceDN w:val="0"/>
      <w:adjustRightInd w:val="0"/>
      <w:jc w:val="center"/>
      <w:textAlignment w:val="baseline"/>
    </w:pPr>
    <w:rPr>
      <w:rFonts w:ascii="宋体" w:hAnsi="Tms Rmn" w:eastAsia="宋体" w:cs="Times New Roman"/>
      <w:color w:val="000000"/>
      <w:kern w:val="0"/>
      <w:szCs w:val="24"/>
    </w:rPr>
  </w:style>
  <w:style w:type="paragraph" w:customStyle="1" w:styleId="238">
    <w:name w:val="表格文字2"/>
    <w:basedOn w:val="239"/>
    <w:qFormat/>
    <w:uiPriority w:val="99"/>
    <w:pPr>
      <w:spacing w:before="25" w:after="25"/>
      <w:jc w:val="left"/>
    </w:pPr>
    <w:rPr>
      <w:bCs/>
      <w:spacing w:val="10"/>
      <w:kern w:val="0"/>
    </w:rPr>
  </w:style>
  <w:style w:type="paragraph" w:customStyle="1" w:styleId="239">
    <w:name w:val="正文1"/>
    <w:qFormat/>
    <w:uiPriority w:val="0"/>
    <w:pPr>
      <w:jc w:val="both"/>
    </w:pPr>
    <w:rPr>
      <w:rFonts w:ascii="Times New Roman" w:hAnsi="Times New Roman" w:eastAsia="宋体" w:cs="Times New Roman"/>
      <w:kern w:val="2"/>
      <w:sz w:val="21"/>
      <w:szCs w:val="21"/>
      <w:lang w:val="en-US" w:eastAsia="zh-CN" w:bidi="ar-SA"/>
    </w:rPr>
  </w:style>
  <w:style w:type="table" w:customStyle="1" w:styleId="240">
    <w:name w:val="Table Normal"/>
    <w:unhideWhenUsed/>
    <w:qFormat/>
    <w:uiPriority w:val="0"/>
    <w:tblPr>
      <w:tblCellMar>
        <w:top w:w="0" w:type="dxa"/>
        <w:left w:w="0" w:type="dxa"/>
        <w:bottom w:w="0" w:type="dxa"/>
        <w:right w:w="0" w:type="dxa"/>
      </w:tblCellMar>
    </w:tblPr>
  </w:style>
  <w:style w:type="paragraph" w:customStyle="1" w:styleId="241">
    <w:name w:val="Normal_6"/>
    <w:qFormat/>
    <w:uiPriority w:val="0"/>
    <w:rPr>
      <w:rFonts w:ascii="宋体" w:hAnsi="宋体" w:eastAsia="宋体" w:cs="Times New Roman"/>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header" Target="header2.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image" Target="media/image2.png"/><Relationship Id="rId11" Type="http://schemas.openxmlformats.org/officeDocument/2006/relationships/image" Target="media/image1.png"/><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微软中国</Company>
  <Pages>77</Pages>
  <Words>18378</Words>
  <Characters>19838</Characters>
  <Lines>1454</Lines>
  <Paragraphs>1493</Paragraphs>
  <TotalTime>28</TotalTime>
  <ScaleCrop>false</ScaleCrop>
  <LinksUpToDate>false</LinksUpToDate>
  <CharactersWithSpaces>20485</CharactersWithSpaces>
  <Application>WPS Office_12.1.0.26884_F1E327BC-269C-435d-A152-05C5408002CA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2022-09-12T11:32:00Z</dcterms:created>
  <dc:creator>Administrator</dc:creator>
  <cp:lastModifiedBy>.</cp:lastModifiedBy>
  <cp:lastPrinted>2024-12-23T11:43:00Z</cp:lastPrinted>
  <dcterms:modified xsi:type="dcterms:W3CDTF">2026-06-17T04:39:05Z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2052-12.1.0.26884</vt:lpwstr>
  </property>
  <property fmtid="{D5CDD505-2E9C-101B-9397-08002B2CF9AE}" pid="3" name="ICV">
    <vt:lpwstr>45C536B71B794FA3A75ABFB9692E7D71_13</vt:lpwstr>
  </property>
  <property fmtid="{D5CDD505-2E9C-101B-9397-08002B2CF9AE}" pid="4" name="KSOTemplateDocerSaveRecord">
    <vt:lpwstr>eyJoZGlkIjoiYzE5M2NlMWI0ZmI4MTMyOTFjNDg1ODY2YTdiMDE0NzAiLCJ1c2VySWQiOiIyMDc2NjcyMDcifQ==</vt:lpwstr>
  </property>
</Properties>
</file>