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AD3BB0">
      <w:pPr>
        <w:adjustRightInd w:val="0"/>
        <w:snapToGrid w:val="0"/>
        <w:jc w:val="left"/>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0" distR="0">
            <wp:extent cx="981075" cy="79057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981075" cy="790575"/>
                    </a:xfrm>
                    <a:prstGeom prst="rect">
                      <a:avLst/>
                    </a:prstGeom>
                    <a:noFill/>
                    <a:ln>
                      <a:noFill/>
                    </a:ln>
                  </pic:spPr>
                </pic:pic>
              </a:graphicData>
            </a:graphic>
          </wp:inline>
        </w:drawing>
      </w:r>
      <w:r>
        <w:rPr>
          <w:rFonts w:hint="eastAsia" w:ascii="仿宋" w:hAnsi="仿宋" w:eastAsia="仿宋" w:cs="仿宋"/>
          <w:color w:val="auto"/>
          <w:highlight w:val="none"/>
        </w:rPr>
        <w:t xml:space="preserve"> </w:t>
      </w:r>
    </w:p>
    <w:p w14:paraId="307F3B95">
      <w:pPr>
        <w:pStyle w:val="13"/>
        <w:rPr>
          <w:rFonts w:hint="eastAsia"/>
          <w:color w:val="auto"/>
          <w:highlight w:val="none"/>
        </w:rPr>
      </w:pPr>
    </w:p>
    <w:p w14:paraId="2347750E">
      <w:pPr>
        <w:adjustRightInd w:val="0"/>
        <w:snapToGrid w:val="0"/>
        <w:jc w:val="left"/>
        <w:rPr>
          <w:rFonts w:hint="eastAsia" w:ascii="仿宋" w:hAnsi="仿宋" w:eastAsia="仿宋" w:cs="仿宋"/>
          <w:color w:val="auto"/>
          <w:highlight w:val="none"/>
        </w:rPr>
      </w:pPr>
    </w:p>
    <w:p w14:paraId="56E9C053">
      <w:pPr>
        <w:adjustRightInd w:val="0"/>
        <w:snapToGrid w:val="0"/>
        <w:spacing w:line="276" w:lineRule="auto"/>
        <w:jc w:val="center"/>
        <w:rPr>
          <w:rFonts w:hint="eastAsia" w:ascii="仿宋" w:hAnsi="仿宋" w:eastAsia="仿宋" w:cs="仿宋"/>
          <w:b/>
          <w:bCs/>
          <w:color w:val="auto"/>
          <w:sz w:val="48"/>
          <w:szCs w:val="24"/>
          <w:highlight w:val="none"/>
          <w:shd w:val="clear" w:color="auto" w:fill="FFFFFF" w:themeFill="background1"/>
          <w:lang w:val="en-US" w:eastAsia="zh-CN"/>
        </w:rPr>
      </w:pPr>
      <w:r>
        <w:rPr>
          <w:rFonts w:hint="eastAsia" w:ascii="仿宋" w:hAnsi="仿宋" w:eastAsia="仿宋" w:cs="仿宋"/>
          <w:b/>
          <w:bCs/>
          <w:color w:val="auto"/>
          <w:sz w:val="52"/>
          <w:szCs w:val="28"/>
          <w:highlight w:val="none"/>
          <w:shd w:val="clear" w:color="auto" w:fill="FFFFFF" w:themeFill="background1"/>
          <w:lang w:val="en-US" w:eastAsia="zh-CN"/>
        </w:rPr>
        <w:t>采 购 文 件</w:t>
      </w:r>
    </w:p>
    <w:p w14:paraId="0CAA0BB0">
      <w:pPr>
        <w:pStyle w:val="35"/>
        <w:jc w:val="center"/>
        <w:rPr>
          <w:color w:val="auto"/>
          <w:sz w:val="16"/>
          <w:szCs w:val="16"/>
          <w:highlight w:val="none"/>
        </w:rPr>
      </w:pPr>
      <w:r>
        <w:rPr>
          <w:rFonts w:hint="eastAsia" w:ascii="仿宋" w:hAnsi="仿宋" w:eastAsia="仿宋" w:cs="仿宋"/>
          <w:b/>
          <w:bCs/>
          <w:color w:val="auto"/>
          <w:sz w:val="28"/>
          <w:szCs w:val="16"/>
          <w:highlight w:val="none"/>
          <w:shd w:val="clear" w:color="auto" w:fill="FFFFFF" w:themeFill="background1"/>
          <w:lang w:val="en-US" w:eastAsia="zh-CN"/>
        </w:rPr>
        <w:t>（竞争性磋商-工程）</w:t>
      </w:r>
    </w:p>
    <w:p w14:paraId="0E707AFC">
      <w:pPr>
        <w:ind w:left="1574" w:right="-191" w:rightChars="-91" w:hanging="1574" w:hangingChars="492"/>
        <w:rPr>
          <w:rFonts w:hint="eastAsia" w:ascii="仿宋" w:hAnsi="仿宋" w:eastAsia="仿宋" w:cs="仿宋"/>
          <w:bCs/>
          <w:color w:val="auto"/>
          <w:kern w:val="0"/>
          <w:sz w:val="32"/>
          <w:szCs w:val="32"/>
          <w:highlight w:val="none"/>
        </w:rPr>
      </w:pPr>
    </w:p>
    <w:p w14:paraId="179713E4">
      <w:pPr>
        <w:ind w:left="1574" w:right="-191" w:rightChars="-91" w:hanging="1574" w:hangingChars="492"/>
        <w:rPr>
          <w:rFonts w:hint="eastAsia" w:ascii="仿宋" w:hAnsi="仿宋" w:eastAsia="仿宋" w:cs="仿宋"/>
          <w:bCs/>
          <w:color w:val="auto"/>
          <w:sz w:val="32"/>
          <w:highlight w:val="none"/>
          <w:lang w:eastAsia="zh-CN"/>
        </w:rPr>
      </w:pPr>
      <w:r>
        <w:rPr>
          <w:rFonts w:hint="eastAsia" w:ascii="仿宋" w:hAnsi="仿宋" w:eastAsia="仿宋" w:cs="仿宋"/>
          <w:bCs/>
          <w:color w:val="auto"/>
          <w:kern w:val="0"/>
          <w:sz w:val="32"/>
          <w:szCs w:val="32"/>
          <w:highlight w:val="none"/>
        </w:rPr>
        <w:t>项目名称：</w:t>
      </w:r>
      <w:r>
        <w:rPr>
          <w:rFonts w:hint="eastAsia" w:ascii="仿宋" w:hAnsi="仿宋" w:eastAsia="仿宋" w:cs="仿宋"/>
          <w:bCs/>
          <w:color w:val="auto"/>
          <w:sz w:val="32"/>
          <w:highlight w:val="none"/>
          <w:lang w:eastAsia="zh-CN"/>
        </w:rPr>
        <w:t>新疆农业大学老满城校区周界围墙护栏维修改造项目</w:t>
      </w:r>
    </w:p>
    <w:p w14:paraId="613344C9">
      <w:pPr>
        <w:adjustRightInd w:val="0"/>
        <w:snapToGrid w:val="0"/>
        <w:spacing w:line="480" w:lineRule="exact"/>
        <w:jc w:val="center"/>
        <w:rPr>
          <w:rFonts w:hint="eastAsia" w:ascii="仿宋" w:hAnsi="仿宋" w:eastAsia="仿宋" w:cs="仿宋"/>
          <w:bCs/>
          <w:color w:val="auto"/>
          <w:sz w:val="32"/>
          <w:szCs w:val="32"/>
          <w:highlight w:val="none"/>
        </w:rPr>
      </w:pPr>
    </w:p>
    <w:p w14:paraId="33A77867">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kern w:val="0"/>
          <w:sz w:val="32"/>
          <w:szCs w:val="32"/>
          <w:highlight w:val="none"/>
        </w:rPr>
        <w:t>采购人(盖章)：</w:t>
      </w:r>
      <w:r>
        <w:rPr>
          <w:rFonts w:hint="eastAsia" w:ascii="仿宋" w:hAnsi="仿宋" w:eastAsia="仿宋" w:cs="仿宋"/>
          <w:bCs/>
          <w:color w:val="auto"/>
          <w:sz w:val="32"/>
          <w:highlight w:val="none"/>
          <w:lang w:eastAsia="zh-CN"/>
        </w:rPr>
        <w:t>新疆农业大学</w:t>
      </w:r>
    </w:p>
    <w:p w14:paraId="75498CB6">
      <w:pPr>
        <w:adjustRightInd w:val="0"/>
        <w:snapToGrid w:val="0"/>
        <w:spacing w:line="480" w:lineRule="exact"/>
        <w:rPr>
          <w:rFonts w:hint="eastAsia" w:ascii="仿宋" w:hAnsi="仿宋" w:eastAsia="仿宋" w:cs="仿宋"/>
          <w:bCs/>
          <w:color w:val="auto"/>
          <w:sz w:val="32"/>
          <w:szCs w:val="32"/>
          <w:highlight w:val="none"/>
        </w:rPr>
      </w:pPr>
    </w:p>
    <w:p w14:paraId="4A0E38F0">
      <w:pPr>
        <w:adjustRightInd w:val="0"/>
        <w:snapToGrid w:val="0"/>
        <w:spacing w:line="480" w:lineRule="exact"/>
        <w:rPr>
          <w:rFonts w:hint="eastAsia" w:ascii="仿宋" w:hAnsi="仿宋" w:eastAsia="仿宋" w:cs="仿宋"/>
          <w:bCs/>
          <w:color w:val="auto"/>
          <w:sz w:val="32"/>
          <w:szCs w:val="32"/>
          <w:highlight w:val="none"/>
          <w:lang w:eastAsia="zh-CN"/>
        </w:rPr>
      </w:pPr>
      <w:r>
        <w:rPr>
          <w:rFonts w:hint="eastAsia" w:ascii="仿宋" w:hAnsi="仿宋" w:eastAsia="仿宋" w:cs="仿宋"/>
          <w:bCs/>
          <w:color w:val="auto"/>
          <w:sz w:val="32"/>
          <w:szCs w:val="32"/>
          <w:highlight w:val="none"/>
        </w:rPr>
        <w:t>联系人：</w:t>
      </w:r>
      <w:r>
        <w:rPr>
          <w:rFonts w:hint="eastAsia" w:ascii="仿宋" w:hAnsi="仿宋" w:eastAsia="仿宋" w:cs="仿宋"/>
          <w:bCs/>
          <w:color w:val="auto"/>
          <w:sz w:val="32"/>
          <w:szCs w:val="32"/>
          <w:highlight w:val="none"/>
          <w:lang w:eastAsia="zh-CN"/>
        </w:rPr>
        <w:t>张冬冬</w:t>
      </w:r>
    </w:p>
    <w:p w14:paraId="6A91EF02">
      <w:pPr>
        <w:adjustRightInd w:val="0"/>
        <w:snapToGrid w:val="0"/>
        <w:spacing w:line="480" w:lineRule="exact"/>
        <w:rPr>
          <w:rFonts w:hint="eastAsia" w:ascii="仿宋" w:hAnsi="仿宋" w:eastAsia="仿宋" w:cs="仿宋"/>
          <w:bCs/>
          <w:color w:val="auto"/>
          <w:sz w:val="32"/>
          <w:szCs w:val="32"/>
          <w:highlight w:val="none"/>
        </w:rPr>
      </w:pPr>
    </w:p>
    <w:p w14:paraId="07722F62">
      <w:pPr>
        <w:adjustRightInd w:val="0"/>
        <w:snapToGrid w:val="0"/>
        <w:spacing w:line="480" w:lineRule="exact"/>
        <w:rPr>
          <w:rFonts w:hint="eastAsia" w:ascii="仿宋" w:hAnsi="仿宋" w:eastAsia="仿宋" w:cs="仿宋"/>
          <w:bCs/>
          <w:color w:val="auto"/>
          <w:sz w:val="32"/>
          <w:szCs w:val="32"/>
          <w:highlight w:val="none"/>
          <w:lang w:eastAsia="zh-CN"/>
        </w:rPr>
      </w:pPr>
      <w:r>
        <w:rPr>
          <w:rFonts w:hint="eastAsia" w:ascii="仿宋" w:hAnsi="仿宋" w:eastAsia="仿宋" w:cs="仿宋"/>
          <w:bCs/>
          <w:color w:val="auto"/>
          <w:sz w:val="32"/>
          <w:szCs w:val="32"/>
          <w:highlight w:val="none"/>
        </w:rPr>
        <w:t>电  话：</w:t>
      </w:r>
      <w:r>
        <w:rPr>
          <w:rFonts w:hint="eastAsia" w:ascii="仿宋" w:hAnsi="仿宋" w:eastAsia="仿宋" w:cs="仿宋"/>
          <w:bCs/>
          <w:color w:val="auto"/>
          <w:sz w:val="32"/>
          <w:szCs w:val="32"/>
          <w:highlight w:val="none"/>
          <w:lang w:eastAsia="zh-CN"/>
        </w:rPr>
        <w:t>18199811604</w:t>
      </w:r>
    </w:p>
    <w:p w14:paraId="45AA3BFE">
      <w:pPr>
        <w:adjustRightInd w:val="0"/>
        <w:snapToGrid w:val="0"/>
        <w:spacing w:line="480" w:lineRule="exact"/>
        <w:rPr>
          <w:rFonts w:hint="eastAsia" w:ascii="仿宋" w:hAnsi="仿宋" w:eastAsia="仿宋" w:cs="仿宋"/>
          <w:bCs/>
          <w:color w:val="auto"/>
          <w:sz w:val="32"/>
          <w:szCs w:val="32"/>
          <w:highlight w:val="none"/>
        </w:rPr>
      </w:pPr>
    </w:p>
    <w:p w14:paraId="28CC2FE6">
      <w:pPr>
        <w:adjustRightInd w:val="0"/>
        <w:snapToGrid w:val="0"/>
        <w:spacing w:line="480" w:lineRule="exact"/>
        <w:rPr>
          <w:rFonts w:hint="eastAsia" w:ascii="仿宋" w:hAnsi="仿宋" w:eastAsia="仿宋" w:cs="仿宋"/>
          <w:bCs/>
          <w:color w:val="auto"/>
          <w:kern w:val="0"/>
          <w:sz w:val="32"/>
          <w:szCs w:val="32"/>
          <w:highlight w:val="none"/>
        </w:rPr>
      </w:pPr>
      <w:r>
        <w:rPr>
          <w:rFonts w:hint="eastAsia" w:ascii="仿宋" w:hAnsi="仿宋" w:eastAsia="仿宋" w:cs="仿宋"/>
          <w:bCs/>
          <w:color w:val="auto"/>
          <w:kern w:val="0"/>
          <w:sz w:val="32"/>
          <w:szCs w:val="32"/>
          <w:highlight w:val="none"/>
        </w:rPr>
        <w:t>—————————————————————————————</w:t>
      </w:r>
    </w:p>
    <w:p w14:paraId="21DAFF7F">
      <w:pPr>
        <w:adjustRightInd w:val="0"/>
        <w:snapToGrid w:val="0"/>
        <w:spacing w:line="480" w:lineRule="exact"/>
        <w:jc w:val="center"/>
        <w:rPr>
          <w:rFonts w:hint="eastAsia" w:ascii="仿宋" w:hAnsi="仿宋" w:eastAsia="仿宋" w:cs="仿宋"/>
          <w:bCs/>
          <w:color w:val="auto"/>
          <w:sz w:val="32"/>
          <w:szCs w:val="32"/>
          <w:highlight w:val="none"/>
        </w:rPr>
      </w:pPr>
    </w:p>
    <w:p w14:paraId="7EC4F0DF">
      <w:pPr>
        <w:adjustRightInd w:val="0"/>
        <w:snapToGrid w:val="0"/>
        <w:spacing w:line="480" w:lineRule="exact"/>
        <w:jc w:val="center"/>
        <w:rPr>
          <w:rFonts w:hint="eastAsia" w:ascii="仿宋" w:hAnsi="仿宋" w:eastAsia="仿宋" w:cs="仿宋"/>
          <w:bCs/>
          <w:color w:val="auto"/>
          <w:sz w:val="32"/>
          <w:szCs w:val="32"/>
          <w:highlight w:val="none"/>
        </w:rPr>
      </w:pPr>
    </w:p>
    <w:p w14:paraId="7E15D6DE">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采购代理机构</w:t>
      </w:r>
      <w:r>
        <w:rPr>
          <w:rFonts w:hint="eastAsia" w:ascii="仿宋" w:hAnsi="仿宋" w:eastAsia="仿宋" w:cs="仿宋"/>
          <w:color w:val="auto"/>
          <w:sz w:val="32"/>
          <w:szCs w:val="32"/>
          <w:highlight w:val="none"/>
        </w:rPr>
        <w:t>(盖章)</w:t>
      </w:r>
      <w:r>
        <w:rPr>
          <w:rFonts w:hint="eastAsia" w:ascii="仿宋" w:hAnsi="仿宋" w:eastAsia="仿宋" w:cs="仿宋"/>
          <w:bCs/>
          <w:color w:val="auto"/>
          <w:sz w:val="32"/>
          <w:szCs w:val="32"/>
          <w:highlight w:val="none"/>
        </w:rPr>
        <w:t>：新疆新世纪招标有限公司</w:t>
      </w:r>
    </w:p>
    <w:p w14:paraId="28C148C1">
      <w:pPr>
        <w:adjustRightInd w:val="0"/>
        <w:snapToGrid w:val="0"/>
        <w:spacing w:line="480" w:lineRule="exact"/>
        <w:jc w:val="both"/>
        <w:rPr>
          <w:rFonts w:hint="eastAsia" w:ascii="仿宋" w:hAnsi="仿宋" w:eastAsia="仿宋" w:cs="仿宋"/>
          <w:bCs/>
          <w:color w:val="auto"/>
          <w:sz w:val="32"/>
          <w:szCs w:val="32"/>
          <w:highlight w:val="none"/>
        </w:rPr>
      </w:pPr>
    </w:p>
    <w:p w14:paraId="33521220">
      <w:pPr>
        <w:adjustRightInd w:val="0"/>
        <w:snapToGrid w:val="0"/>
        <w:spacing w:line="480" w:lineRule="exact"/>
        <w:jc w:val="both"/>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联 系 人： </w:t>
      </w:r>
      <w:r>
        <w:rPr>
          <w:rFonts w:hint="eastAsia" w:ascii="仿宋" w:hAnsi="仿宋" w:eastAsia="仿宋" w:cs="仿宋"/>
          <w:bCs/>
          <w:color w:val="auto"/>
          <w:sz w:val="32"/>
          <w:szCs w:val="32"/>
          <w:highlight w:val="none"/>
          <w:lang w:eastAsia="zh-CN"/>
        </w:rPr>
        <w:t>马丹阳</w:t>
      </w:r>
    </w:p>
    <w:p w14:paraId="12A16FC2">
      <w:pPr>
        <w:adjustRightInd w:val="0"/>
        <w:snapToGrid w:val="0"/>
        <w:spacing w:line="480" w:lineRule="exact"/>
        <w:rPr>
          <w:rFonts w:hint="eastAsia" w:ascii="仿宋" w:hAnsi="仿宋" w:eastAsia="仿宋" w:cs="仿宋"/>
          <w:bCs/>
          <w:color w:val="auto"/>
          <w:kern w:val="0"/>
          <w:sz w:val="32"/>
          <w:szCs w:val="32"/>
          <w:highlight w:val="none"/>
        </w:rPr>
      </w:pPr>
    </w:p>
    <w:p w14:paraId="14CAC3BD">
      <w:pPr>
        <w:adjustRightInd w:val="0"/>
        <w:snapToGrid w:val="0"/>
        <w:spacing w:line="480" w:lineRule="exact"/>
        <w:rPr>
          <w:rFonts w:hint="eastAsia" w:ascii="仿宋" w:hAnsi="仿宋" w:eastAsia="仿宋" w:cs="仿宋"/>
          <w:bCs/>
          <w:color w:val="auto"/>
          <w:sz w:val="32"/>
          <w:szCs w:val="32"/>
          <w:highlight w:val="none"/>
          <w:lang w:val="en-US" w:eastAsia="zh-CN"/>
        </w:rPr>
      </w:pPr>
      <w:r>
        <w:rPr>
          <w:rFonts w:hint="eastAsia" w:ascii="仿宋" w:hAnsi="仿宋" w:eastAsia="仿宋" w:cs="仿宋"/>
          <w:bCs/>
          <w:color w:val="auto"/>
          <w:kern w:val="0"/>
          <w:sz w:val="32"/>
          <w:szCs w:val="32"/>
          <w:highlight w:val="none"/>
        </w:rPr>
        <w:t>电    话</w:t>
      </w:r>
      <w:r>
        <w:rPr>
          <w:rFonts w:hint="eastAsia" w:ascii="仿宋" w:hAnsi="仿宋" w:eastAsia="仿宋" w:cs="仿宋"/>
          <w:bCs/>
          <w:color w:val="auto"/>
          <w:sz w:val="32"/>
          <w:szCs w:val="32"/>
          <w:highlight w:val="none"/>
        </w:rPr>
        <w:t>：</w:t>
      </w:r>
      <w:r>
        <w:rPr>
          <w:rFonts w:hint="eastAsia" w:ascii="仿宋" w:hAnsi="仿宋" w:eastAsia="仿宋" w:cs="仿宋"/>
          <w:bCs/>
          <w:color w:val="auto"/>
          <w:sz w:val="32"/>
          <w:szCs w:val="32"/>
          <w:highlight w:val="none"/>
          <w:lang w:val="en-US" w:eastAsia="zh-CN"/>
        </w:rPr>
        <w:t>0991-4661782</w:t>
      </w:r>
    </w:p>
    <w:p w14:paraId="16EB9ED4">
      <w:pPr>
        <w:adjustRightInd w:val="0"/>
        <w:snapToGrid w:val="0"/>
        <w:spacing w:line="480" w:lineRule="exact"/>
        <w:jc w:val="both"/>
        <w:rPr>
          <w:rFonts w:hint="eastAsia" w:ascii="仿宋" w:hAnsi="仿宋" w:eastAsia="仿宋" w:cs="仿宋"/>
          <w:bCs/>
          <w:color w:val="auto"/>
          <w:sz w:val="32"/>
          <w:szCs w:val="32"/>
          <w:highlight w:val="none"/>
        </w:rPr>
      </w:pPr>
    </w:p>
    <w:p w14:paraId="20926410">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详</w:t>
      </w:r>
      <w:r>
        <w:rPr>
          <w:rFonts w:hint="eastAsia" w:ascii="仿宋" w:hAnsi="仿宋" w:eastAsia="仿宋" w:cs="仿宋"/>
          <w:bCs/>
          <w:color w:val="auto"/>
          <w:sz w:val="32"/>
          <w:szCs w:val="32"/>
          <w:highlight w:val="none"/>
          <w:lang w:val="en-US" w:eastAsia="zh-CN"/>
        </w:rPr>
        <w:t xml:space="preserve">    </w:t>
      </w:r>
      <w:r>
        <w:rPr>
          <w:rFonts w:hint="eastAsia" w:ascii="仿宋" w:hAnsi="仿宋" w:eastAsia="仿宋" w:cs="仿宋"/>
          <w:bCs/>
          <w:color w:val="auto"/>
          <w:sz w:val="32"/>
          <w:szCs w:val="32"/>
          <w:highlight w:val="none"/>
        </w:rPr>
        <w:t>址：乌鲁木齐市新兴街20号凤凰科技大厦五楼</w:t>
      </w:r>
    </w:p>
    <w:p w14:paraId="10F3D302">
      <w:pPr>
        <w:widowControl/>
        <w:jc w:val="left"/>
        <w:rPr>
          <w:rFonts w:hint="eastAsia" w:ascii="仿宋" w:hAnsi="仿宋" w:eastAsia="仿宋" w:cs="仿宋"/>
          <w:b/>
          <w:bCs/>
          <w:color w:val="auto"/>
          <w:sz w:val="24"/>
          <w:szCs w:val="24"/>
          <w:highlight w:val="none"/>
        </w:rPr>
      </w:pPr>
    </w:p>
    <w:p w14:paraId="2D1964E3">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p>
    <w:p w14:paraId="2B1D1C7A">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目 录</w:t>
      </w:r>
    </w:p>
    <w:p w14:paraId="5D584816">
      <w:pPr>
        <w:pStyle w:val="31"/>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TOC \o "1-3" \h \u </w:instrText>
      </w:r>
      <w:r>
        <w:rPr>
          <w:rFonts w:hint="eastAsia" w:ascii="仿宋" w:hAnsi="仿宋" w:eastAsia="仿宋" w:cs="仿宋"/>
          <w:bCs/>
          <w:color w:val="auto"/>
          <w:szCs w:val="21"/>
          <w:highlight w:val="none"/>
        </w:rPr>
        <w:fldChar w:fldCharType="separate"/>
      </w: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_Toc10821 </w:instrText>
      </w:r>
      <w:r>
        <w:rPr>
          <w:rFonts w:hint="eastAsia" w:ascii="仿宋" w:hAnsi="仿宋" w:eastAsia="仿宋" w:cs="仿宋"/>
          <w:bCs/>
          <w:color w:val="auto"/>
          <w:szCs w:val="21"/>
          <w:highlight w:val="none"/>
        </w:rPr>
        <w:fldChar w:fldCharType="separate"/>
      </w:r>
      <w:r>
        <w:rPr>
          <w:rFonts w:hint="eastAsia" w:ascii="仿宋" w:hAnsi="仿宋" w:eastAsia="仿宋" w:cs="仿宋"/>
          <w:bCs/>
          <w:color w:val="auto"/>
          <w:szCs w:val="32"/>
          <w:highlight w:val="none"/>
          <w:lang w:val="en-US" w:eastAsia="zh-CN"/>
        </w:rPr>
        <w:t>竞争性</w:t>
      </w:r>
      <w:r>
        <w:rPr>
          <w:rFonts w:hint="eastAsia" w:ascii="仿宋" w:hAnsi="仿宋" w:eastAsia="仿宋" w:cs="仿宋"/>
          <w:bCs/>
          <w:color w:val="auto"/>
          <w:szCs w:val="32"/>
          <w:highlight w:val="none"/>
        </w:rPr>
        <w:t>磋商公告</w:t>
      </w:r>
      <w:r>
        <w:rPr>
          <w:color w:val="auto"/>
          <w:highlight w:val="none"/>
        </w:rPr>
        <w:tab/>
      </w:r>
      <w:r>
        <w:rPr>
          <w:color w:val="auto"/>
          <w:highlight w:val="none"/>
        </w:rPr>
        <w:fldChar w:fldCharType="begin"/>
      </w:r>
      <w:r>
        <w:rPr>
          <w:color w:val="auto"/>
          <w:highlight w:val="none"/>
        </w:rPr>
        <w:instrText xml:space="preserve"> PAGEREF _Toc10821 \h </w:instrText>
      </w:r>
      <w:r>
        <w:rPr>
          <w:color w:val="auto"/>
          <w:highlight w:val="none"/>
        </w:rPr>
        <w:fldChar w:fldCharType="separate"/>
      </w:r>
      <w:r>
        <w:rPr>
          <w:color w:val="auto"/>
          <w:highlight w:val="none"/>
        </w:rPr>
        <w:t>1</w:t>
      </w:r>
      <w:r>
        <w:rPr>
          <w:color w:val="auto"/>
          <w:highlight w:val="none"/>
        </w:rPr>
        <w:fldChar w:fldCharType="end"/>
      </w:r>
      <w:r>
        <w:rPr>
          <w:rFonts w:hint="eastAsia" w:ascii="仿宋" w:hAnsi="仿宋" w:eastAsia="仿宋" w:cs="仿宋"/>
          <w:bCs/>
          <w:color w:val="auto"/>
          <w:szCs w:val="21"/>
          <w:highlight w:val="none"/>
        </w:rPr>
        <w:fldChar w:fldCharType="end"/>
      </w:r>
    </w:p>
    <w:p w14:paraId="6BD431B3">
      <w:pPr>
        <w:pStyle w:val="31"/>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_Toc11392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rPr>
        <w:t>供应商须知前附表</w:t>
      </w:r>
      <w:r>
        <w:rPr>
          <w:color w:val="auto"/>
          <w:highlight w:val="none"/>
        </w:rPr>
        <w:tab/>
      </w:r>
      <w:r>
        <w:rPr>
          <w:color w:val="auto"/>
          <w:highlight w:val="none"/>
        </w:rPr>
        <w:fldChar w:fldCharType="begin"/>
      </w:r>
      <w:r>
        <w:rPr>
          <w:color w:val="auto"/>
          <w:highlight w:val="none"/>
        </w:rPr>
        <w:instrText xml:space="preserve"> PAGEREF _Toc11392 \h </w:instrText>
      </w:r>
      <w:r>
        <w:rPr>
          <w:color w:val="auto"/>
          <w:highlight w:val="none"/>
        </w:rPr>
        <w:fldChar w:fldCharType="separate"/>
      </w:r>
      <w:r>
        <w:rPr>
          <w:color w:val="auto"/>
          <w:highlight w:val="none"/>
        </w:rPr>
        <w:t>3</w:t>
      </w:r>
      <w:r>
        <w:rPr>
          <w:color w:val="auto"/>
          <w:highlight w:val="none"/>
        </w:rPr>
        <w:fldChar w:fldCharType="end"/>
      </w:r>
      <w:r>
        <w:rPr>
          <w:rFonts w:hint="eastAsia" w:ascii="仿宋" w:hAnsi="仿宋" w:eastAsia="仿宋" w:cs="仿宋"/>
          <w:bCs/>
          <w:color w:val="auto"/>
          <w:szCs w:val="21"/>
          <w:highlight w:val="none"/>
        </w:rPr>
        <w:fldChar w:fldCharType="end"/>
      </w:r>
    </w:p>
    <w:p w14:paraId="2BA9A320">
      <w:pPr>
        <w:pStyle w:val="31"/>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_Toc29647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rPr>
        <w:t>第一章 供应商须知</w:t>
      </w:r>
      <w:r>
        <w:rPr>
          <w:color w:val="auto"/>
          <w:highlight w:val="none"/>
        </w:rPr>
        <w:tab/>
      </w:r>
      <w:r>
        <w:rPr>
          <w:color w:val="auto"/>
          <w:highlight w:val="none"/>
        </w:rPr>
        <w:fldChar w:fldCharType="begin"/>
      </w:r>
      <w:r>
        <w:rPr>
          <w:color w:val="auto"/>
          <w:highlight w:val="none"/>
        </w:rPr>
        <w:instrText xml:space="preserve"> PAGEREF _Toc29647 \h </w:instrText>
      </w:r>
      <w:r>
        <w:rPr>
          <w:color w:val="auto"/>
          <w:highlight w:val="none"/>
        </w:rPr>
        <w:fldChar w:fldCharType="separate"/>
      </w:r>
      <w:r>
        <w:rPr>
          <w:color w:val="auto"/>
          <w:highlight w:val="none"/>
        </w:rPr>
        <w:t>6</w:t>
      </w:r>
      <w:r>
        <w:rPr>
          <w:color w:val="auto"/>
          <w:highlight w:val="none"/>
        </w:rPr>
        <w:fldChar w:fldCharType="end"/>
      </w:r>
      <w:r>
        <w:rPr>
          <w:rFonts w:hint="eastAsia" w:ascii="仿宋" w:hAnsi="仿宋" w:eastAsia="仿宋" w:cs="仿宋"/>
          <w:bCs/>
          <w:color w:val="auto"/>
          <w:szCs w:val="21"/>
          <w:highlight w:val="none"/>
        </w:rPr>
        <w:fldChar w:fldCharType="end"/>
      </w:r>
    </w:p>
    <w:p w14:paraId="2254B5F0">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_Toc27987 </w:instrText>
      </w:r>
      <w:r>
        <w:rPr>
          <w:rFonts w:hint="eastAsia" w:ascii="仿宋" w:hAnsi="仿宋" w:eastAsia="仿宋" w:cs="仿宋"/>
          <w:bCs/>
          <w:color w:val="auto"/>
          <w:szCs w:val="21"/>
          <w:highlight w:val="none"/>
        </w:rPr>
        <w:fldChar w:fldCharType="separate"/>
      </w:r>
      <w:r>
        <w:rPr>
          <w:rFonts w:hint="eastAsia" w:ascii="仿宋" w:hAnsi="仿宋" w:eastAsia="仿宋" w:cs="仿宋"/>
          <w:bCs w:val="0"/>
          <w:color w:val="auto"/>
          <w:szCs w:val="24"/>
          <w:highlight w:val="none"/>
          <w:lang w:val="en-US" w:eastAsia="zh-CN"/>
        </w:rPr>
        <w:t>一、</w:t>
      </w:r>
      <w:r>
        <w:rPr>
          <w:rFonts w:hint="eastAsia" w:ascii="仿宋" w:hAnsi="仿宋" w:eastAsia="仿宋" w:cs="仿宋"/>
          <w:bCs w:val="0"/>
          <w:color w:val="auto"/>
          <w:szCs w:val="24"/>
          <w:highlight w:val="none"/>
        </w:rPr>
        <w:t>总则</w:t>
      </w:r>
      <w:r>
        <w:rPr>
          <w:color w:val="auto"/>
          <w:highlight w:val="none"/>
        </w:rPr>
        <w:tab/>
      </w:r>
      <w:r>
        <w:rPr>
          <w:color w:val="auto"/>
          <w:highlight w:val="none"/>
        </w:rPr>
        <w:fldChar w:fldCharType="begin"/>
      </w:r>
      <w:r>
        <w:rPr>
          <w:color w:val="auto"/>
          <w:highlight w:val="none"/>
        </w:rPr>
        <w:instrText xml:space="preserve"> PAGEREF _Toc27987 \h </w:instrText>
      </w:r>
      <w:r>
        <w:rPr>
          <w:color w:val="auto"/>
          <w:highlight w:val="none"/>
        </w:rPr>
        <w:fldChar w:fldCharType="separate"/>
      </w:r>
      <w:r>
        <w:rPr>
          <w:color w:val="auto"/>
          <w:highlight w:val="none"/>
        </w:rPr>
        <w:t>6</w:t>
      </w:r>
      <w:r>
        <w:rPr>
          <w:color w:val="auto"/>
          <w:highlight w:val="none"/>
        </w:rPr>
        <w:fldChar w:fldCharType="end"/>
      </w:r>
      <w:r>
        <w:rPr>
          <w:rFonts w:hint="eastAsia" w:ascii="仿宋" w:hAnsi="仿宋" w:eastAsia="仿宋" w:cs="仿宋"/>
          <w:bCs/>
          <w:color w:val="auto"/>
          <w:szCs w:val="21"/>
          <w:highlight w:val="none"/>
        </w:rPr>
        <w:fldChar w:fldCharType="end"/>
      </w:r>
    </w:p>
    <w:p w14:paraId="52EADC17">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_Toc9762 </w:instrText>
      </w:r>
      <w:r>
        <w:rPr>
          <w:rFonts w:hint="eastAsia" w:ascii="仿宋" w:hAnsi="仿宋" w:eastAsia="仿宋" w:cs="仿宋"/>
          <w:bCs/>
          <w:color w:val="auto"/>
          <w:szCs w:val="21"/>
          <w:highlight w:val="none"/>
        </w:rPr>
        <w:fldChar w:fldCharType="separate"/>
      </w:r>
      <w:r>
        <w:rPr>
          <w:rFonts w:hint="eastAsia" w:ascii="仿宋" w:hAnsi="仿宋" w:eastAsia="仿宋" w:cs="仿宋"/>
          <w:bCs w:val="0"/>
          <w:color w:val="auto"/>
          <w:szCs w:val="24"/>
          <w:highlight w:val="none"/>
          <w:lang w:val="en-US" w:eastAsia="zh-CN"/>
        </w:rPr>
        <w:t>二、</w:t>
      </w:r>
      <w:r>
        <w:rPr>
          <w:rFonts w:hint="eastAsia" w:ascii="仿宋" w:hAnsi="仿宋" w:eastAsia="仿宋" w:cs="仿宋"/>
          <w:bCs w:val="0"/>
          <w:color w:val="auto"/>
          <w:szCs w:val="24"/>
          <w:highlight w:val="none"/>
          <w:lang w:eastAsia="zh-CN"/>
        </w:rPr>
        <w:t>采购文件</w:t>
      </w:r>
      <w:r>
        <w:rPr>
          <w:color w:val="auto"/>
          <w:highlight w:val="none"/>
        </w:rPr>
        <w:tab/>
      </w:r>
      <w:r>
        <w:rPr>
          <w:color w:val="auto"/>
          <w:highlight w:val="none"/>
        </w:rPr>
        <w:fldChar w:fldCharType="begin"/>
      </w:r>
      <w:r>
        <w:rPr>
          <w:color w:val="auto"/>
          <w:highlight w:val="none"/>
        </w:rPr>
        <w:instrText xml:space="preserve"> PAGEREF _Toc9762 \h </w:instrText>
      </w:r>
      <w:r>
        <w:rPr>
          <w:color w:val="auto"/>
          <w:highlight w:val="none"/>
        </w:rPr>
        <w:fldChar w:fldCharType="separate"/>
      </w:r>
      <w:r>
        <w:rPr>
          <w:color w:val="auto"/>
          <w:highlight w:val="none"/>
        </w:rPr>
        <w:t>8</w:t>
      </w:r>
      <w:r>
        <w:rPr>
          <w:color w:val="auto"/>
          <w:highlight w:val="none"/>
        </w:rPr>
        <w:fldChar w:fldCharType="end"/>
      </w:r>
      <w:r>
        <w:rPr>
          <w:rFonts w:hint="eastAsia" w:ascii="仿宋" w:hAnsi="仿宋" w:eastAsia="仿宋" w:cs="仿宋"/>
          <w:bCs/>
          <w:color w:val="auto"/>
          <w:szCs w:val="21"/>
          <w:highlight w:val="none"/>
        </w:rPr>
        <w:fldChar w:fldCharType="end"/>
      </w:r>
    </w:p>
    <w:p w14:paraId="380BEA2A">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_Toc4238 </w:instrText>
      </w:r>
      <w:r>
        <w:rPr>
          <w:rFonts w:hint="eastAsia" w:ascii="仿宋" w:hAnsi="仿宋" w:eastAsia="仿宋" w:cs="仿宋"/>
          <w:bCs/>
          <w:color w:val="auto"/>
          <w:szCs w:val="21"/>
          <w:highlight w:val="none"/>
        </w:rPr>
        <w:fldChar w:fldCharType="separate"/>
      </w:r>
      <w:r>
        <w:rPr>
          <w:rFonts w:hint="eastAsia" w:ascii="仿宋" w:hAnsi="仿宋" w:eastAsia="仿宋" w:cs="仿宋"/>
          <w:bCs w:val="0"/>
          <w:color w:val="auto"/>
          <w:szCs w:val="24"/>
          <w:highlight w:val="none"/>
          <w:lang w:val="en-US" w:eastAsia="zh-CN"/>
        </w:rPr>
        <w:t>三、</w:t>
      </w:r>
      <w:r>
        <w:rPr>
          <w:rFonts w:hint="eastAsia" w:ascii="仿宋" w:hAnsi="仿宋" w:eastAsia="仿宋" w:cs="仿宋"/>
          <w:bCs w:val="0"/>
          <w:color w:val="auto"/>
          <w:szCs w:val="24"/>
          <w:highlight w:val="none"/>
        </w:rPr>
        <w:t>响应文件</w:t>
      </w:r>
      <w:r>
        <w:rPr>
          <w:color w:val="auto"/>
          <w:highlight w:val="none"/>
        </w:rPr>
        <w:tab/>
      </w:r>
      <w:r>
        <w:rPr>
          <w:color w:val="auto"/>
          <w:highlight w:val="none"/>
        </w:rPr>
        <w:fldChar w:fldCharType="begin"/>
      </w:r>
      <w:r>
        <w:rPr>
          <w:color w:val="auto"/>
          <w:highlight w:val="none"/>
        </w:rPr>
        <w:instrText xml:space="preserve"> PAGEREF _Toc4238 \h </w:instrText>
      </w:r>
      <w:r>
        <w:rPr>
          <w:color w:val="auto"/>
          <w:highlight w:val="none"/>
        </w:rPr>
        <w:fldChar w:fldCharType="separate"/>
      </w:r>
      <w:r>
        <w:rPr>
          <w:color w:val="auto"/>
          <w:highlight w:val="none"/>
        </w:rPr>
        <w:t>9</w:t>
      </w:r>
      <w:r>
        <w:rPr>
          <w:color w:val="auto"/>
          <w:highlight w:val="none"/>
        </w:rPr>
        <w:fldChar w:fldCharType="end"/>
      </w:r>
      <w:r>
        <w:rPr>
          <w:rFonts w:hint="eastAsia" w:ascii="仿宋" w:hAnsi="仿宋" w:eastAsia="仿宋" w:cs="仿宋"/>
          <w:bCs/>
          <w:color w:val="auto"/>
          <w:szCs w:val="21"/>
          <w:highlight w:val="none"/>
        </w:rPr>
        <w:fldChar w:fldCharType="end"/>
      </w:r>
    </w:p>
    <w:p w14:paraId="2DFC4DEF">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_Toc17387 </w:instrText>
      </w:r>
      <w:r>
        <w:rPr>
          <w:rFonts w:hint="eastAsia" w:ascii="仿宋" w:hAnsi="仿宋" w:eastAsia="仿宋" w:cs="仿宋"/>
          <w:bCs/>
          <w:color w:val="auto"/>
          <w:szCs w:val="21"/>
          <w:highlight w:val="none"/>
        </w:rPr>
        <w:fldChar w:fldCharType="separate"/>
      </w:r>
      <w:r>
        <w:rPr>
          <w:rFonts w:hint="eastAsia" w:ascii="仿宋" w:hAnsi="仿宋" w:eastAsia="仿宋" w:cs="仿宋"/>
          <w:bCs w:val="0"/>
          <w:color w:val="auto"/>
          <w:szCs w:val="24"/>
          <w:highlight w:val="none"/>
          <w:lang w:val="en-US" w:eastAsia="zh-CN"/>
        </w:rPr>
        <w:t>四、</w:t>
      </w:r>
      <w:r>
        <w:rPr>
          <w:rFonts w:hint="eastAsia" w:ascii="仿宋" w:hAnsi="仿宋" w:eastAsia="仿宋" w:cs="仿宋"/>
          <w:bCs w:val="0"/>
          <w:color w:val="auto"/>
          <w:szCs w:val="24"/>
          <w:highlight w:val="none"/>
          <w:lang w:eastAsia="zh-CN"/>
        </w:rPr>
        <w:t>响应</w:t>
      </w:r>
      <w:r>
        <w:rPr>
          <w:color w:val="auto"/>
          <w:highlight w:val="none"/>
        </w:rPr>
        <w:tab/>
      </w:r>
      <w:r>
        <w:rPr>
          <w:color w:val="auto"/>
          <w:highlight w:val="none"/>
        </w:rPr>
        <w:fldChar w:fldCharType="begin"/>
      </w:r>
      <w:r>
        <w:rPr>
          <w:color w:val="auto"/>
          <w:highlight w:val="none"/>
        </w:rPr>
        <w:instrText xml:space="preserve"> PAGEREF _Toc17387 \h </w:instrText>
      </w:r>
      <w:r>
        <w:rPr>
          <w:color w:val="auto"/>
          <w:highlight w:val="none"/>
        </w:rPr>
        <w:fldChar w:fldCharType="separate"/>
      </w:r>
      <w:r>
        <w:rPr>
          <w:color w:val="auto"/>
          <w:highlight w:val="none"/>
        </w:rPr>
        <w:t>11</w:t>
      </w:r>
      <w:r>
        <w:rPr>
          <w:color w:val="auto"/>
          <w:highlight w:val="none"/>
        </w:rPr>
        <w:fldChar w:fldCharType="end"/>
      </w:r>
      <w:r>
        <w:rPr>
          <w:rFonts w:hint="eastAsia" w:ascii="仿宋" w:hAnsi="仿宋" w:eastAsia="仿宋" w:cs="仿宋"/>
          <w:bCs/>
          <w:color w:val="auto"/>
          <w:szCs w:val="21"/>
          <w:highlight w:val="none"/>
        </w:rPr>
        <w:fldChar w:fldCharType="end"/>
      </w:r>
    </w:p>
    <w:p w14:paraId="2B9AACF8">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_Toc32357 </w:instrText>
      </w:r>
      <w:r>
        <w:rPr>
          <w:rFonts w:hint="eastAsia" w:ascii="仿宋" w:hAnsi="仿宋" w:eastAsia="仿宋" w:cs="仿宋"/>
          <w:bCs/>
          <w:color w:val="auto"/>
          <w:szCs w:val="21"/>
          <w:highlight w:val="none"/>
        </w:rPr>
        <w:fldChar w:fldCharType="separate"/>
      </w:r>
      <w:r>
        <w:rPr>
          <w:rFonts w:hint="eastAsia" w:ascii="仿宋" w:hAnsi="仿宋" w:eastAsia="仿宋" w:cs="仿宋"/>
          <w:bCs w:val="0"/>
          <w:color w:val="auto"/>
          <w:szCs w:val="24"/>
          <w:highlight w:val="none"/>
          <w:lang w:val="en-US" w:eastAsia="zh-CN"/>
        </w:rPr>
        <w:t>五、</w:t>
      </w:r>
      <w:r>
        <w:rPr>
          <w:rFonts w:hint="eastAsia" w:ascii="仿宋" w:hAnsi="仿宋" w:eastAsia="仿宋" w:cs="仿宋"/>
          <w:bCs w:val="0"/>
          <w:color w:val="auto"/>
          <w:szCs w:val="24"/>
          <w:highlight w:val="none"/>
          <w:lang w:eastAsia="zh-CN"/>
        </w:rPr>
        <w:t>开启</w:t>
      </w:r>
      <w:r>
        <w:rPr>
          <w:color w:val="auto"/>
          <w:highlight w:val="none"/>
        </w:rPr>
        <w:tab/>
      </w:r>
      <w:r>
        <w:rPr>
          <w:color w:val="auto"/>
          <w:highlight w:val="none"/>
        </w:rPr>
        <w:fldChar w:fldCharType="begin"/>
      </w:r>
      <w:r>
        <w:rPr>
          <w:color w:val="auto"/>
          <w:highlight w:val="none"/>
        </w:rPr>
        <w:instrText xml:space="preserve"> PAGEREF _Toc32357 \h </w:instrText>
      </w:r>
      <w:r>
        <w:rPr>
          <w:color w:val="auto"/>
          <w:highlight w:val="none"/>
        </w:rPr>
        <w:fldChar w:fldCharType="separate"/>
      </w:r>
      <w:r>
        <w:rPr>
          <w:color w:val="auto"/>
          <w:highlight w:val="none"/>
        </w:rPr>
        <w:t>12</w:t>
      </w:r>
      <w:r>
        <w:rPr>
          <w:color w:val="auto"/>
          <w:highlight w:val="none"/>
        </w:rPr>
        <w:fldChar w:fldCharType="end"/>
      </w:r>
      <w:r>
        <w:rPr>
          <w:rFonts w:hint="eastAsia" w:ascii="仿宋" w:hAnsi="仿宋" w:eastAsia="仿宋" w:cs="仿宋"/>
          <w:bCs/>
          <w:color w:val="auto"/>
          <w:szCs w:val="21"/>
          <w:highlight w:val="none"/>
        </w:rPr>
        <w:fldChar w:fldCharType="end"/>
      </w:r>
    </w:p>
    <w:p w14:paraId="01C178E4">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_Toc3065 </w:instrText>
      </w:r>
      <w:r>
        <w:rPr>
          <w:rFonts w:hint="eastAsia" w:ascii="仿宋" w:hAnsi="仿宋" w:eastAsia="仿宋" w:cs="仿宋"/>
          <w:bCs/>
          <w:color w:val="auto"/>
          <w:szCs w:val="21"/>
          <w:highlight w:val="none"/>
        </w:rPr>
        <w:fldChar w:fldCharType="separate"/>
      </w:r>
      <w:r>
        <w:rPr>
          <w:rFonts w:hint="eastAsia" w:ascii="仿宋" w:hAnsi="仿宋" w:eastAsia="仿宋" w:cs="仿宋"/>
          <w:bCs w:val="0"/>
          <w:color w:val="auto"/>
          <w:szCs w:val="24"/>
          <w:highlight w:val="none"/>
          <w:lang w:val="en-US" w:eastAsia="zh-CN"/>
        </w:rPr>
        <w:t>六、</w:t>
      </w:r>
      <w:r>
        <w:rPr>
          <w:rFonts w:hint="eastAsia" w:ascii="仿宋" w:hAnsi="仿宋" w:eastAsia="仿宋" w:cs="仿宋"/>
          <w:bCs w:val="0"/>
          <w:color w:val="auto"/>
          <w:szCs w:val="24"/>
          <w:highlight w:val="none"/>
        </w:rPr>
        <w:t>评审</w:t>
      </w:r>
      <w:r>
        <w:rPr>
          <w:color w:val="auto"/>
          <w:highlight w:val="none"/>
        </w:rPr>
        <w:tab/>
      </w:r>
      <w:r>
        <w:rPr>
          <w:color w:val="auto"/>
          <w:highlight w:val="none"/>
        </w:rPr>
        <w:fldChar w:fldCharType="begin"/>
      </w:r>
      <w:r>
        <w:rPr>
          <w:color w:val="auto"/>
          <w:highlight w:val="none"/>
        </w:rPr>
        <w:instrText xml:space="preserve"> PAGEREF _Toc3065 \h </w:instrText>
      </w:r>
      <w:r>
        <w:rPr>
          <w:color w:val="auto"/>
          <w:highlight w:val="none"/>
        </w:rPr>
        <w:fldChar w:fldCharType="separate"/>
      </w:r>
      <w:r>
        <w:rPr>
          <w:color w:val="auto"/>
          <w:highlight w:val="none"/>
        </w:rPr>
        <w:t>12</w:t>
      </w:r>
      <w:r>
        <w:rPr>
          <w:color w:val="auto"/>
          <w:highlight w:val="none"/>
        </w:rPr>
        <w:fldChar w:fldCharType="end"/>
      </w:r>
      <w:r>
        <w:rPr>
          <w:rFonts w:hint="eastAsia" w:ascii="仿宋" w:hAnsi="仿宋" w:eastAsia="仿宋" w:cs="仿宋"/>
          <w:bCs/>
          <w:color w:val="auto"/>
          <w:szCs w:val="21"/>
          <w:highlight w:val="none"/>
        </w:rPr>
        <w:fldChar w:fldCharType="end"/>
      </w:r>
    </w:p>
    <w:p w14:paraId="21FDBBB6">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_Toc15396 </w:instrText>
      </w:r>
      <w:r>
        <w:rPr>
          <w:rFonts w:hint="eastAsia" w:ascii="仿宋" w:hAnsi="仿宋" w:eastAsia="仿宋" w:cs="仿宋"/>
          <w:bCs/>
          <w:color w:val="auto"/>
          <w:szCs w:val="21"/>
          <w:highlight w:val="none"/>
        </w:rPr>
        <w:fldChar w:fldCharType="separate"/>
      </w:r>
      <w:r>
        <w:rPr>
          <w:rFonts w:hint="eastAsia" w:ascii="仿宋" w:hAnsi="仿宋" w:eastAsia="仿宋" w:cs="仿宋"/>
          <w:bCs/>
          <w:color w:val="auto"/>
          <w:szCs w:val="24"/>
          <w:highlight w:val="none"/>
          <w:shd w:val="clear" w:color="auto" w:fill="FFFFFF" w:themeFill="background1"/>
        </w:rPr>
        <w:t>七、定标及合同授予</w:t>
      </w:r>
      <w:r>
        <w:rPr>
          <w:color w:val="auto"/>
          <w:highlight w:val="none"/>
        </w:rPr>
        <w:tab/>
      </w:r>
      <w:r>
        <w:rPr>
          <w:color w:val="auto"/>
          <w:highlight w:val="none"/>
        </w:rPr>
        <w:fldChar w:fldCharType="begin"/>
      </w:r>
      <w:r>
        <w:rPr>
          <w:color w:val="auto"/>
          <w:highlight w:val="none"/>
        </w:rPr>
        <w:instrText xml:space="preserve"> PAGEREF _Toc15396 \h </w:instrText>
      </w:r>
      <w:r>
        <w:rPr>
          <w:color w:val="auto"/>
          <w:highlight w:val="none"/>
        </w:rPr>
        <w:fldChar w:fldCharType="separate"/>
      </w:r>
      <w:r>
        <w:rPr>
          <w:color w:val="auto"/>
          <w:highlight w:val="none"/>
        </w:rPr>
        <w:t>13</w:t>
      </w:r>
      <w:r>
        <w:rPr>
          <w:color w:val="auto"/>
          <w:highlight w:val="none"/>
        </w:rPr>
        <w:fldChar w:fldCharType="end"/>
      </w:r>
      <w:r>
        <w:rPr>
          <w:rFonts w:hint="eastAsia" w:ascii="仿宋" w:hAnsi="仿宋" w:eastAsia="仿宋" w:cs="仿宋"/>
          <w:bCs/>
          <w:color w:val="auto"/>
          <w:szCs w:val="21"/>
          <w:highlight w:val="none"/>
        </w:rPr>
        <w:fldChar w:fldCharType="end"/>
      </w:r>
    </w:p>
    <w:p w14:paraId="50377CA1">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_Toc12575 </w:instrText>
      </w:r>
      <w:r>
        <w:rPr>
          <w:rFonts w:hint="eastAsia" w:ascii="仿宋" w:hAnsi="仿宋" w:eastAsia="仿宋" w:cs="仿宋"/>
          <w:bCs/>
          <w:color w:val="auto"/>
          <w:szCs w:val="21"/>
          <w:highlight w:val="none"/>
        </w:rPr>
        <w:fldChar w:fldCharType="separate"/>
      </w:r>
      <w:r>
        <w:rPr>
          <w:rFonts w:hint="eastAsia" w:ascii="仿宋" w:hAnsi="仿宋" w:eastAsia="仿宋" w:cs="仿宋"/>
          <w:bCs w:val="0"/>
          <w:color w:val="auto"/>
          <w:szCs w:val="24"/>
          <w:highlight w:val="none"/>
          <w:shd w:val="clear" w:color="auto" w:fill="FFFFFF" w:themeFill="background1"/>
        </w:rPr>
        <w:t>八、纪律和监督</w:t>
      </w:r>
      <w:r>
        <w:rPr>
          <w:color w:val="auto"/>
          <w:highlight w:val="none"/>
        </w:rPr>
        <w:tab/>
      </w:r>
      <w:r>
        <w:rPr>
          <w:color w:val="auto"/>
          <w:highlight w:val="none"/>
        </w:rPr>
        <w:fldChar w:fldCharType="begin"/>
      </w:r>
      <w:r>
        <w:rPr>
          <w:color w:val="auto"/>
          <w:highlight w:val="none"/>
        </w:rPr>
        <w:instrText xml:space="preserve"> PAGEREF _Toc12575 \h </w:instrText>
      </w:r>
      <w:r>
        <w:rPr>
          <w:color w:val="auto"/>
          <w:highlight w:val="none"/>
        </w:rPr>
        <w:fldChar w:fldCharType="separate"/>
      </w:r>
      <w:r>
        <w:rPr>
          <w:color w:val="auto"/>
          <w:highlight w:val="none"/>
        </w:rPr>
        <w:t>14</w:t>
      </w:r>
      <w:r>
        <w:rPr>
          <w:color w:val="auto"/>
          <w:highlight w:val="none"/>
        </w:rPr>
        <w:fldChar w:fldCharType="end"/>
      </w:r>
      <w:r>
        <w:rPr>
          <w:rFonts w:hint="eastAsia" w:ascii="仿宋" w:hAnsi="仿宋" w:eastAsia="仿宋" w:cs="仿宋"/>
          <w:bCs/>
          <w:color w:val="auto"/>
          <w:szCs w:val="21"/>
          <w:highlight w:val="none"/>
        </w:rPr>
        <w:fldChar w:fldCharType="end"/>
      </w:r>
    </w:p>
    <w:p w14:paraId="7845E9A1">
      <w:pPr>
        <w:pStyle w:val="31"/>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_Toc20777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rPr>
        <w:t>第二章 评审办法</w:t>
      </w:r>
      <w:r>
        <w:rPr>
          <w:color w:val="auto"/>
          <w:highlight w:val="none"/>
        </w:rPr>
        <w:tab/>
      </w:r>
      <w:r>
        <w:rPr>
          <w:color w:val="auto"/>
          <w:highlight w:val="none"/>
        </w:rPr>
        <w:fldChar w:fldCharType="begin"/>
      </w:r>
      <w:r>
        <w:rPr>
          <w:color w:val="auto"/>
          <w:highlight w:val="none"/>
        </w:rPr>
        <w:instrText xml:space="preserve"> PAGEREF _Toc20777 \h </w:instrText>
      </w:r>
      <w:r>
        <w:rPr>
          <w:color w:val="auto"/>
          <w:highlight w:val="none"/>
        </w:rPr>
        <w:fldChar w:fldCharType="separate"/>
      </w:r>
      <w:r>
        <w:rPr>
          <w:color w:val="auto"/>
          <w:highlight w:val="none"/>
        </w:rPr>
        <w:t>16</w:t>
      </w:r>
      <w:r>
        <w:rPr>
          <w:color w:val="auto"/>
          <w:highlight w:val="none"/>
        </w:rPr>
        <w:fldChar w:fldCharType="end"/>
      </w:r>
      <w:r>
        <w:rPr>
          <w:rFonts w:hint="eastAsia" w:ascii="仿宋" w:hAnsi="仿宋" w:eastAsia="仿宋" w:cs="仿宋"/>
          <w:bCs/>
          <w:color w:val="auto"/>
          <w:szCs w:val="21"/>
          <w:highlight w:val="none"/>
        </w:rPr>
        <w:fldChar w:fldCharType="end"/>
      </w:r>
    </w:p>
    <w:p w14:paraId="3F3B2C81">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_Toc1488 </w:instrText>
      </w:r>
      <w:r>
        <w:rPr>
          <w:rFonts w:hint="eastAsia" w:ascii="仿宋" w:hAnsi="仿宋" w:eastAsia="仿宋" w:cs="仿宋"/>
          <w:bCs/>
          <w:color w:val="auto"/>
          <w:szCs w:val="21"/>
          <w:highlight w:val="none"/>
        </w:rPr>
        <w:fldChar w:fldCharType="separate"/>
      </w:r>
      <w:r>
        <w:rPr>
          <w:rFonts w:hint="eastAsia" w:ascii="仿宋" w:hAnsi="仿宋" w:eastAsia="仿宋" w:cs="仿宋"/>
          <w:bCs/>
          <w:color w:val="auto"/>
          <w:szCs w:val="24"/>
          <w:highlight w:val="none"/>
        </w:rPr>
        <w:t>评审办法前附表</w:t>
      </w:r>
      <w:r>
        <w:rPr>
          <w:color w:val="auto"/>
          <w:highlight w:val="none"/>
        </w:rPr>
        <w:tab/>
      </w:r>
      <w:r>
        <w:rPr>
          <w:color w:val="auto"/>
          <w:highlight w:val="none"/>
        </w:rPr>
        <w:fldChar w:fldCharType="begin"/>
      </w:r>
      <w:r>
        <w:rPr>
          <w:color w:val="auto"/>
          <w:highlight w:val="none"/>
        </w:rPr>
        <w:instrText xml:space="preserve"> PAGEREF _Toc1488 \h </w:instrText>
      </w:r>
      <w:r>
        <w:rPr>
          <w:color w:val="auto"/>
          <w:highlight w:val="none"/>
        </w:rPr>
        <w:fldChar w:fldCharType="separate"/>
      </w:r>
      <w:r>
        <w:rPr>
          <w:color w:val="auto"/>
          <w:highlight w:val="none"/>
        </w:rPr>
        <w:t>16</w:t>
      </w:r>
      <w:r>
        <w:rPr>
          <w:color w:val="auto"/>
          <w:highlight w:val="none"/>
        </w:rPr>
        <w:fldChar w:fldCharType="end"/>
      </w:r>
      <w:r>
        <w:rPr>
          <w:rFonts w:hint="eastAsia" w:ascii="仿宋" w:hAnsi="仿宋" w:eastAsia="仿宋" w:cs="仿宋"/>
          <w:bCs/>
          <w:color w:val="auto"/>
          <w:szCs w:val="21"/>
          <w:highlight w:val="none"/>
        </w:rPr>
        <w:fldChar w:fldCharType="end"/>
      </w:r>
    </w:p>
    <w:p w14:paraId="65222013">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_Toc13432 </w:instrText>
      </w:r>
      <w:r>
        <w:rPr>
          <w:rFonts w:hint="eastAsia" w:ascii="仿宋" w:hAnsi="仿宋" w:eastAsia="仿宋" w:cs="仿宋"/>
          <w:bCs/>
          <w:color w:val="auto"/>
          <w:szCs w:val="21"/>
          <w:highlight w:val="none"/>
        </w:rPr>
        <w:fldChar w:fldCharType="separate"/>
      </w:r>
      <w:r>
        <w:rPr>
          <w:rFonts w:hint="eastAsia" w:ascii="仿宋" w:hAnsi="仿宋" w:eastAsia="仿宋" w:cs="仿宋"/>
          <w:bCs/>
          <w:color w:val="auto"/>
          <w:szCs w:val="24"/>
          <w:highlight w:val="none"/>
          <w:shd w:val="clear" w:color="auto" w:fill="FFFFFF" w:themeFill="background1"/>
          <w:lang w:val="en-US" w:eastAsia="zh-CN"/>
        </w:rPr>
        <w:t>一、</w:t>
      </w:r>
      <w:r>
        <w:rPr>
          <w:rFonts w:hint="eastAsia" w:ascii="仿宋" w:hAnsi="仿宋" w:eastAsia="仿宋" w:cs="仿宋"/>
          <w:bCs/>
          <w:color w:val="auto"/>
          <w:szCs w:val="24"/>
          <w:highlight w:val="none"/>
          <w:shd w:val="clear" w:color="auto" w:fill="FFFFFF" w:themeFill="background1"/>
        </w:rPr>
        <w:t>评审方法</w:t>
      </w:r>
      <w:r>
        <w:rPr>
          <w:color w:val="auto"/>
          <w:highlight w:val="none"/>
        </w:rPr>
        <w:tab/>
      </w:r>
      <w:r>
        <w:rPr>
          <w:color w:val="auto"/>
          <w:highlight w:val="none"/>
        </w:rPr>
        <w:fldChar w:fldCharType="begin"/>
      </w:r>
      <w:r>
        <w:rPr>
          <w:color w:val="auto"/>
          <w:highlight w:val="none"/>
        </w:rPr>
        <w:instrText xml:space="preserve"> PAGEREF _Toc13432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仿宋"/>
          <w:bCs/>
          <w:color w:val="auto"/>
          <w:szCs w:val="21"/>
          <w:highlight w:val="none"/>
        </w:rPr>
        <w:fldChar w:fldCharType="end"/>
      </w:r>
    </w:p>
    <w:p w14:paraId="474B7104">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_Toc25048 </w:instrText>
      </w:r>
      <w:r>
        <w:rPr>
          <w:rFonts w:hint="eastAsia" w:ascii="仿宋" w:hAnsi="仿宋" w:eastAsia="仿宋" w:cs="仿宋"/>
          <w:bCs/>
          <w:color w:val="auto"/>
          <w:szCs w:val="21"/>
          <w:highlight w:val="none"/>
        </w:rPr>
        <w:fldChar w:fldCharType="separate"/>
      </w:r>
      <w:r>
        <w:rPr>
          <w:rFonts w:hint="eastAsia" w:ascii="仿宋" w:hAnsi="仿宋" w:eastAsia="仿宋" w:cs="仿宋"/>
          <w:bCs/>
          <w:color w:val="auto"/>
          <w:szCs w:val="24"/>
          <w:highlight w:val="none"/>
          <w:shd w:val="clear" w:color="auto" w:fill="FFFFFF" w:themeFill="background1"/>
          <w:lang w:val="en-US" w:eastAsia="zh-CN"/>
        </w:rPr>
        <w:t>二、</w:t>
      </w:r>
      <w:r>
        <w:rPr>
          <w:rFonts w:hint="eastAsia" w:ascii="仿宋" w:hAnsi="仿宋" w:eastAsia="仿宋" w:cs="仿宋"/>
          <w:bCs/>
          <w:color w:val="auto"/>
          <w:szCs w:val="24"/>
          <w:highlight w:val="none"/>
          <w:shd w:val="clear" w:color="auto" w:fill="FFFFFF" w:themeFill="background1"/>
        </w:rPr>
        <w:t>评审标准</w:t>
      </w:r>
      <w:r>
        <w:rPr>
          <w:color w:val="auto"/>
          <w:highlight w:val="none"/>
        </w:rPr>
        <w:tab/>
      </w:r>
      <w:r>
        <w:rPr>
          <w:color w:val="auto"/>
          <w:highlight w:val="none"/>
        </w:rPr>
        <w:fldChar w:fldCharType="begin"/>
      </w:r>
      <w:r>
        <w:rPr>
          <w:color w:val="auto"/>
          <w:highlight w:val="none"/>
        </w:rPr>
        <w:instrText xml:space="preserve"> PAGEREF _Toc25048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仿宋"/>
          <w:bCs/>
          <w:color w:val="auto"/>
          <w:szCs w:val="21"/>
          <w:highlight w:val="none"/>
        </w:rPr>
        <w:fldChar w:fldCharType="end"/>
      </w:r>
    </w:p>
    <w:p w14:paraId="5902B397">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_Toc4134 </w:instrText>
      </w:r>
      <w:r>
        <w:rPr>
          <w:rFonts w:hint="eastAsia" w:ascii="仿宋" w:hAnsi="仿宋" w:eastAsia="仿宋" w:cs="仿宋"/>
          <w:bCs/>
          <w:color w:val="auto"/>
          <w:szCs w:val="21"/>
          <w:highlight w:val="none"/>
        </w:rPr>
        <w:fldChar w:fldCharType="separate"/>
      </w:r>
      <w:r>
        <w:rPr>
          <w:rFonts w:hint="eastAsia" w:ascii="仿宋" w:hAnsi="仿宋" w:eastAsia="仿宋" w:cs="仿宋"/>
          <w:bCs/>
          <w:color w:val="auto"/>
          <w:kern w:val="0"/>
          <w:szCs w:val="24"/>
          <w:highlight w:val="none"/>
          <w:shd w:val="clear" w:color="auto" w:fill="FFFFFF" w:themeFill="background1"/>
          <w:lang w:val="en-US" w:eastAsia="zh-CN"/>
        </w:rPr>
        <w:t>三、</w:t>
      </w:r>
      <w:r>
        <w:rPr>
          <w:rFonts w:hint="eastAsia" w:ascii="仿宋" w:hAnsi="仿宋" w:eastAsia="仿宋" w:cs="仿宋"/>
          <w:bCs/>
          <w:color w:val="auto"/>
          <w:kern w:val="0"/>
          <w:szCs w:val="24"/>
          <w:highlight w:val="none"/>
          <w:shd w:val="clear" w:color="auto" w:fill="FFFFFF" w:themeFill="background1"/>
        </w:rPr>
        <w:t>评审程序</w:t>
      </w:r>
      <w:r>
        <w:rPr>
          <w:color w:val="auto"/>
          <w:highlight w:val="none"/>
        </w:rPr>
        <w:tab/>
      </w:r>
      <w:r>
        <w:rPr>
          <w:color w:val="auto"/>
          <w:highlight w:val="none"/>
        </w:rPr>
        <w:fldChar w:fldCharType="begin"/>
      </w:r>
      <w:r>
        <w:rPr>
          <w:color w:val="auto"/>
          <w:highlight w:val="none"/>
        </w:rPr>
        <w:instrText xml:space="preserve"> PAGEREF _Toc4134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仿宋"/>
          <w:bCs/>
          <w:color w:val="auto"/>
          <w:szCs w:val="21"/>
          <w:highlight w:val="none"/>
        </w:rPr>
        <w:fldChar w:fldCharType="end"/>
      </w:r>
    </w:p>
    <w:p w14:paraId="023A51A4">
      <w:pPr>
        <w:pStyle w:val="31"/>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_Toc31392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rPr>
        <w:t xml:space="preserve">第三章 </w:t>
      </w:r>
      <w:r>
        <w:rPr>
          <w:rFonts w:hint="eastAsia" w:ascii="仿宋" w:hAnsi="仿宋" w:eastAsia="仿宋" w:cs="仿宋"/>
          <w:color w:val="auto"/>
          <w:szCs w:val="24"/>
          <w:highlight w:val="none"/>
          <w:lang w:eastAsia="zh-CN"/>
        </w:rPr>
        <w:t>合同文本</w:t>
      </w:r>
      <w:r>
        <w:rPr>
          <w:color w:val="auto"/>
          <w:highlight w:val="none"/>
        </w:rPr>
        <w:tab/>
      </w:r>
      <w:r>
        <w:rPr>
          <w:color w:val="auto"/>
          <w:highlight w:val="none"/>
        </w:rPr>
        <w:fldChar w:fldCharType="begin"/>
      </w:r>
      <w:r>
        <w:rPr>
          <w:color w:val="auto"/>
          <w:highlight w:val="none"/>
        </w:rPr>
        <w:instrText xml:space="preserve"> PAGEREF _Toc31392 \h </w:instrText>
      </w:r>
      <w:r>
        <w:rPr>
          <w:color w:val="auto"/>
          <w:highlight w:val="none"/>
        </w:rPr>
        <w:fldChar w:fldCharType="separate"/>
      </w:r>
      <w:r>
        <w:rPr>
          <w:color w:val="auto"/>
          <w:highlight w:val="none"/>
        </w:rPr>
        <w:t>27</w:t>
      </w:r>
      <w:r>
        <w:rPr>
          <w:color w:val="auto"/>
          <w:highlight w:val="none"/>
        </w:rPr>
        <w:fldChar w:fldCharType="end"/>
      </w:r>
      <w:r>
        <w:rPr>
          <w:rFonts w:hint="eastAsia" w:ascii="仿宋" w:hAnsi="仿宋" w:eastAsia="仿宋" w:cs="仿宋"/>
          <w:bCs/>
          <w:color w:val="auto"/>
          <w:szCs w:val="21"/>
          <w:highlight w:val="none"/>
        </w:rPr>
        <w:fldChar w:fldCharType="end"/>
      </w:r>
    </w:p>
    <w:p w14:paraId="6156C0A8">
      <w:pPr>
        <w:pStyle w:val="31"/>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_Toc20724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rPr>
        <w:t>第四章 技术标准和要求</w:t>
      </w:r>
      <w:r>
        <w:rPr>
          <w:color w:val="auto"/>
          <w:highlight w:val="none"/>
        </w:rPr>
        <w:tab/>
      </w:r>
      <w:r>
        <w:rPr>
          <w:color w:val="auto"/>
          <w:highlight w:val="none"/>
        </w:rPr>
        <w:fldChar w:fldCharType="begin"/>
      </w:r>
      <w:r>
        <w:rPr>
          <w:color w:val="auto"/>
          <w:highlight w:val="none"/>
        </w:rPr>
        <w:instrText xml:space="preserve"> PAGEREF _Toc20724 \h </w:instrText>
      </w:r>
      <w:r>
        <w:rPr>
          <w:color w:val="auto"/>
          <w:highlight w:val="none"/>
        </w:rPr>
        <w:fldChar w:fldCharType="separate"/>
      </w:r>
      <w:r>
        <w:rPr>
          <w:color w:val="auto"/>
          <w:highlight w:val="none"/>
        </w:rPr>
        <w:t>69</w:t>
      </w:r>
      <w:r>
        <w:rPr>
          <w:color w:val="auto"/>
          <w:highlight w:val="none"/>
        </w:rPr>
        <w:fldChar w:fldCharType="end"/>
      </w:r>
      <w:r>
        <w:rPr>
          <w:rFonts w:hint="eastAsia" w:ascii="仿宋" w:hAnsi="仿宋" w:eastAsia="仿宋" w:cs="仿宋"/>
          <w:bCs/>
          <w:color w:val="auto"/>
          <w:szCs w:val="21"/>
          <w:highlight w:val="none"/>
        </w:rPr>
        <w:fldChar w:fldCharType="end"/>
      </w:r>
    </w:p>
    <w:p w14:paraId="29884BF6">
      <w:pPr>
        <w:pStyle w:val="31"/>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_Toc27363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rPr>
        <w:t>第五章 响应文件格式</w:t>
      </w:r>
      <w:r>
        <w:rPr>
          <w:color w:val="auto"/>
          <w:highlight w:val="none"/>
        </w:rPr>
        <w:tab/>
      </w:r>
      <w:r>
        <w:rPr>
          <w:color w:val="auto"/>
          <w:highlight w:val="none"/>
        </w:rPr>
        <w:fldChar w:fldCharType="begin"/>
      </w:r>
      <w:r>
        <w:rPr>
          <w:color w:val="auto"/>
          <w:highlight w:val="none"/>
        </w:rPr>
        <w:instrText xml:space="preserve"> PAGEREF _Toc27363 \h </w:instrText>
      </w:r>
      <w:r>
        <w:rPr>
          <w:color w:val="auto"/>
          <w:highlight w:val="none"/>
        </w:rPr>
        <w:fldChar w:fldCharType="separate"/>
      </w:r>
      <w:r>
        <w:rPr>
          <w:color w:val="auto"/>
          <w:highlight w:val="none"/>
        </w:rPr>
        <w:t>70</w:t>
      </w:r>
      <w:r>
        <w:rPr>
          <w:color w:val="auto"/>
          <w:highlight w:val="none"/>
        </w:rPr>
        <w:fldChar w:fldCharType="end"/>
      </w:r>
      <w:r>
        <w:rPr>
          <w:rFonts w:hint="eastAsia" w:ascii="仿宋" w:hAnsi="仿宋" w:eastAsia="仿宋" w:cs="仿宋"/>
          <w:bCs/>
          <w:color w:val="auto"/>
          <w:szCs w:val="21"/>
          <w:highlight w:val="none"/>
        </w:rPr>
        <w:fldChar w:fldCharType="end"/>
      </w:r>
    </w:p>
    <w:p w14:paraId="12BE3262">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_Toc27588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rPr>
        <w:t>一、</w:t>
      </w:r>
      <w:r>
        <w:rPr>
          <w:rFonts w:hint="eastAsia" w:ascii="仿宋" w:hAnsi="仿宋" w:eastAsia="仿宋" w:cs="仿宋"/>
          <w:color w:val="auto"/>
          <w:szCs w:val="24"/>
          <w:highlight w:val="none"/>
          <w:shd w:val="clear" w:color="auto" w:fill="FFFFFF" w:themeFill="background1"/>
          <w:lang w:eastAsia="zh-CN"/>
        </w:rPr>
        <w:t>开启一览表</w:t>
      </w:r>
      <w:r>
        <w:rPr>
          <w:color w:val="auto"/>
          <w:highlight w:val="none"/>
        </w:rPr>
        <w:tab/>
      </w:r>
      <w:r>
        <w:rPr>
          <w:color w:val="auto"/>
          <w:highlight w:val="none"/>
        </w:rPr>
        <w:fldChar w:fldCharType="begin"/>
      </w:r>
      <w:r>
        <w:rPr>
          <w:color w:val="auto"/>
          <w:highlight w:val="none"/>
        </w:rPr>
        <w:instrText xml:space="preserve"> PAGEREF _Toc27588 \h </w:instrText>
      </w:r>
      <w:r>
        <w:rPr>
          <w:color w:val="auto"/>
          <w:highlight w:val="none"/>
        </w:rPr>
        <w:fldChar w:fldCharType="separate"/>
      </w:r>
      <w:r>
        <w:rPr>
          <w:color w:val="auto"/>
          <w:highlight w:val="none"/>
        </w:rPr>
        <w:t>72</w:t>
      </w:r>
      <w:r>
        <w:rPr>
          <w:color w:val="auto"/>
          <w:highlight w:val="none"/>
        </w:rPr>
        <w:fldChar w:fldCharType="end"/>
      </w:r>
      <w:r>
        <w:rPr>
          <w:rFonts w:hint="eastAsia" w:ascii="仿宋" w:hAnsi="仿宋" w:eastAsia="仿宋" w:cs="仿宋"/>
          <w:bCs/>
          <w:color w:val="auto"/>
          <w:szCs w:val="21"/>
          <w:highlight w:val="none"/>
        </w:rPr>
        <w:fldChar w:fldCharType="end"/>
      </w:r>
    </w:p>
    <w:p w14:paraId="23C4D675">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_Toc19649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二</w:t>
      </w:r>
      <w:r>
        <w:rPr>
          <w:rFonts w:hint="eastAsia" w:ascii="仿宋" w:hAnsi="仿宋" w:eastAsia="仿宋" w:cs="仿宋"/>
          <w:color w:val="auto"/>
          <w:szCs w:val="24"/>
          <w:highlight w:val="none"/>
          <w:shd w:val="clear" w:color="auto" w:fill="FFFFFF" w:themeFill="background1"/>
        </w:rPr>
        <w:t>、</w:t>
      </w:r>
      <w:r>
        <w:rPr>
          <w:rFonts w:hint="eastAsia" w:ascii="仿宋" w:hAnsi="仿宋" w:eastAsia="仿宋" w:cs="仿宋"/>
          <w:color w:val="auto"/>
          <w:szCs w:val="24"/>
          <w:highlight w:val="none"/>
          <w:shd w:val="clear" w:color="auto" w:fill="FFFFFF" w:themeFill="background1"/>
          <w:lang w:val="en-US" w:eastAsia="zh-CN"/>
        </w:rPr>
        <w:t>响应函</w:t>
      </w:r>
      <w:r>
        <w:rPr>
          <w:color w:val="auto"/>
          <w:highlight w:val="none"/>
        </w:rPr>
        <w:tab/>
      </w:r>
      <w:r>
        <w:rPr>
          <w:color w:val="auto"/>
          <w:highlight w:val="none"/>
        </w:rPr>
        <w:fldChar w:fldCharType="begin"/>
      </w:r>
      <w:r>
        <w:rPr>
          <w:color w:val="auto"/>
          <w:highlight w:val="none"/>
        </w:rPr>
        <w:instrText xml:space="preserve"> PAGEREF _Toc19649 \h </w:instrText>
      </w:r>
      <w:r>
        <w:rPr>
          <w:color w:val="auto"/>
          <w:highlight w:val="none"/>
        </w:rPr>
        <w:fldChar w:fldCharType="separate"/>
      </w:r>
      <w:r>
        <w:rPr>
          <w:color w:val="auto"/>
          <w:highlight w:val="none"/>
        </w:rPr>
        <w:t>73</w:t>
      </w:r>
      <w:r>
        <w:rPr>
          <w:color w:val="auto"/>
          <w:highlight w:val="none"/>
        </w:rPr>
        <w:fldChar w:fldCharType="end"/>
      </w:r>
      <w:r>
        <w:rPr>
          <w:rFonts w:hint="eastAsia" w:ascii="仿宋" w:hAnsi="仿宋" w:eastAsia="仿宋" w:cs="仿宋"/>
          <w:bCs/>
          <w:color w:val="auto"/>
          <w:szCs w:val="21"/>
          <w:highlight w:val="none"/>
        </w:rPr>
        <w:fldChar w:fldCharType="end"/>
      </w:r>
    </w:p>
    <w:p w14:paraId="3A212CB3">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_Toc20445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三</w:t>
      </w:r>
      <w:r>
        <w:rPr>
          <w:rFonts w:hint="eastAsia" w:ascii="仿宋" w:hAnsi="仿宋" w:eastAsia="仿宋" w:cs="仿宋"/>
          <w:color w:val="auto"/>
          <w:szCs w:val="24"/>
          <w:highlight w:val="none"/>
          <w:shd w:val="clear" w:color="auto" w:fill="FFFFFF" w:themeFill="background1"/>
        </w:rPr>
        <w:t>、商务条款偏离表</w:t>
      </w:r>
      <w:r>
        <w:rPr>
          <w:color w:val="auto"/>
          <w:highlight w:val="none"/>
        </w:rPr>
        <w:tab/>
      </w:r>
      <w:r>
        <w:rPr>
          <w:color w:val="auto"/>
          <w:highlight w:val="none"/>
        </w:rPr>
        <w:fldChar w:fldCharType="begin"/>
      </w:r>
      <w:r>
        <w:rPr>
          <w:color w:val="auto"/>
          <w:highlight w:val="none"/>
        </w:rPr>
        <w:instrText xml:space="preserve"> PAGEREF _Toc20445 \h </w:instrText>
      </w:r>
      <w:r>
        <w:rPr>
          <w:color w:val="auto"/>
          <w:highlight w:val="none"/>
        </w:rPr>
        <w:fldChar w:fldCharType="separate"/>
      </w:r>
      <w:r>
        <w:rPr>
          <w:color w:val="auto"/>
          <w:highlight w:val="none"/>
        </w:rPr>
        <w:t>74</w:t>
      </w:r>
      <w:r>
        <w:rPr>
          <w:color w:val="auto"/>
          <w:highlight w:val="none"/>
        </w:rPr>
        <w:fldChar w:fldCharType="end"/>
      </w:r>
      <w:r>
        <w:rPr>
          <w:rFonts w:hint="eastAsia" w:ascii="仿宋" w:hAnsi="仿宋" w:eastAsia="仿宋" w:cs="仿宋"/>
          <w:bCs/>
          <w:color w:val="auto"/>
          <w:szCs w:val="21"/>
          <w:highlight w:val="none"/>
        </w:rPr>
        <w:fldChar w:fldCharType="end"/>
      </w:r>
    </w:p>
    <w:p w14:paraId="6A8BBB3A">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_Toc8579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四</w:t>
      </w:r>
      <w:r>
        <w:rPr>
          <w:rFonts w:hint="eastAsia" w:ascii="仿宋" w:hAnsi="仿宋" w:eastAsia="仿宋" w:cs="仿宋"/>
          <w:color w:val="auto"/>
          <w:szCs w:val="24"/>
          <w:highlight w:val="none"/>
          <w:shd w:val="clear" w:color="auto" w:fill="FFFFFF" w:themeFill="background1"/>
        </w:rPr>
        <w:t>、技术条款偏离表</w:t>
      </w:r>
      <w:r>
        <w:rPr>
          <w:color w:val="auto"/>
          <w:highlight w:val="none"/>
        </w:rPr>
        <w:tab/>
      </w:r>
      <w:r>
        <w:rPr>
          <w:color w:val="auto"/>
          <w:highlight w:val="none"/>
        </w:rPr>
        <w:fldChar w:fldCharType="begin"/>
      </w:r>
      <w:r>
        <w:rPr>
          <w:color w:val="auto"/>
          <w:highlight w:val="none"/>
        </w:rPr>
        <w:instrText xml:space="preserve"> PAGEREF _Toc8579 \h </w:instrText>
      </w:r>
      <w:r>
        <w:rPr>
          <w:color w:val="auto"/>
          <w:highlight w:val="none"/>
        </w:rPr>
        <w:fldChar w:fldCharType="separate"/>
      </w:r>
      <w:r>
        <w:rPr>
          <w:color w:val="auto"/>
          <w:highlight w:val="none"/>
        </w:rPr>
        <w:t>75</w:t>
      </w:r>
      <w:r>
        <w:rPr>
          <w:color w:val="auto"/>
          <w:highlight w:val="none"/>
        </w:rPr>
        <w:fldChar w:fldCharType="end"/>
      </w:r>
      <w:r>
        <w:rPr>
          <w:rFonts w:hint="eastAsia" w:ascii="仿宋" w:hAnsi="仿宋" w:eastAsia="仿宋" w:cs="仿宋"/>
          <w:bCs/>
          <w:color w:val="auto"/>
          <w:szCs w:val="21"/>
          <w:highlight w:val="none"/>
        </w:rPr>
        <w:fldChar w:fldCharType="end"/>
      </w:r>
    </w:p>
    <w:p w14:paraId="2DE7DDF8">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_Toc29711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五</w:t>
      </w:r>
      <w:r>
        <w:rPr>
          <w:rFonts w:hint="eastAsia" w:ascii="仿宋" w:hAnsi="仿宋" w:eastAsia="仿宋" w:cs="仿宋"/>
          <w:color w:val="auto"/>
          <w:szCs w:val="24"/>
          <w:highlight w:val="none"/>
          <w:shd w:val="clear" w:color="auto" w:fill="FFFFFF" w:themeFill="background1"/>
        </w:rPr>
        <w:t>、法定代表人身份证明书</w:t>
      </w:r>
      <w:r>
        <w:rPr>
          <w:color w:val="auto"/>
          <w:highlight w:val="none"/>
        </w:rPr>
        <w:tab/>
      </w:r>
      <w:r>
        <w:rPr>
          <w:color w:val="auto"/>
          <w:highlight w:val="none"/>
        </w:rPr>
        <w:fldChar w:fldCharType="begin"/>
      </w:r>
      <w:r>
        <w:rPr>
          <w:color w:val="auto"/>
          <w:highlight w:val="none"/>
        </w:rPr>
        <w:instrText xml:space="preserve"> PAGEREF _Toc29711 \h </w:instrText>
      </w:r>
      <w:r>
        <w:rPr>
          <w:color w:val="auto"/>
          <w:highlight w:val="none"/>
        </w:rPr>
        <w:fldChar w:fldCharType="separate"/>
      </w:r>
      <w:r>
        <w:rPr>
          <w:color w:val="auto"/>
          <w:highlight w:val="none"/>
        </w:rPr>
        <w:t>76</w:t>
      </w:r>
      <w:r>
        <w:rPr>
          <w:color w:val="auto"/>
          <w:highlight w:val="none"/>
        </w:rPr>
        <w:fldChar w:fldCharType="end"/>
      </w:r>
      <w:r>
        <w:rPr>
          <w:rFonts w:hint="eastAsia" w:ascii="仿宋" w:hAnsi="仿宋" w:eastAsia="仿宋" w:cs="仿宋"/>
          <w:bCs/>
          <w:color w:val="auto"/>
          <w:szCs w:val="21"/>
          <w:highlight w:val="none"/>
        </w:rPr>
        <w:fldChar w:fldCharType="end"/>
      </w:r>
    </w:p>
    <w:p w14:paraId="7DB186EE">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_Toc23714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六</w:t>
      </w:r>
      <w:r>
        <w:rPr>
          <w:rFonts w:hint="eastAsia" w:ascii="仿宋" w:hAnsi="仿宋" w:eastAsia="仿宋" w:cs="仿宋"/>
          <w:color w:val="auto"/>
          <w:szCs w:val="24"/>
          <w:highlight w:val="none"/>
          <w:shd w:val="clear" w:color="auto" w:fill="FFFFFF" w:themeFill="background1"/>
        </w:rPr>
        <w:t>、法定代表人授权委托书</w:t>
      </w:r>
      <w:r>
        <w:rPr>
          <w:color w:val="auto"/>
          <w:highlight w:val="none"/>
        </w:rPr>
        <w:tab/>
      </w:r>
      <w:r>
        <w:rPr>
          <w:color w:val="auto"/>
          <w:highlight w:val="none"/>
        </w:rPr>
        <w:fldChar w:fldCharType="begin"/>
      </w:r>
      <w:r>
        <w:rPr>
          <w:color w:val="auto"/>
          <w:highlight w:val="none"/>
        </w:rPr>
        <w:instrText xml:space="preserve"> PAGEREF _Toc23714 \h </w:instrText>
      </w:r>
      <w:r>
        <w:rPr>
          <w:color w:val="auto"/>
          <w:highlight w:val="none"/>
        </w:rPr>
        <w:fldChar w:fldCharType="separate"/>
      </w:r>
      <w:r>
        <w:rPr>
          <w:color w:val="auto"/>
          <w:highlight w:val="none"/>
        </w:rPr>
        <w:t>77</w:t>
      </w:r>
      <w:r>
        <w:rPr>
          <w:color w:val="auto"/>
          <w:highlight w:val="none"/>
        </w:rPr>
        <w:fldChar w:fldCharType="end"/>
      </w:r>
      <w:r>
        <w:rPr>
          <w:rFonts w:hint="eastAsia" w:ascii="仿宋" w:hAnsi="仿宋" w:eastAsia="仿宋" w:cs="仿宋"/>
          <w:bCs/>
          <w:color w:val="auto"/>
          <w:szCs w:val="21"/>
          <w:highlight w:val="none"/>
        </w:rPr>
        <w:fldChar w:fldCharType="end"/>
      </w:r>
    </w:p>
    <w:p w14:paraId="5B801256">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_Toc7734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七</w:t>
      </w:r>
      <w:r>
        <w:rPr>
          <w:rFonts w:hint="eastAsia" w:ascii="仿宋" w:hAnsi="仿宋" w:eastAsia="仿宋" w:cs="仿宋"/>
          <w:color w:val="auto"/>
          <w:szCs w:val="24"/>
          <w:highlight w:val="none"/>
          <w:shd w:val="clear" w:color="auto" w:fill="FFFFFF" w:themeFill="background1"/>
        </w:rPr>
        <w:t>、</w:t>
      </w:r>
      <w:r>
        <w:rPr>
          <w:rFonts w:hint="eastAsia" w:ascii="仿宋" w:hAnsi="仿宋" w:eastAsia="仿宋" w:cs="仿宋"/>
          <w:bCs/>
          <w:color w:val="auto"/>
          <w:szCs w:val="24"/>
          <w:highlight w:val="none"/>
          <w:shd w:val="clear" w:color="auto" w:fill="FFFFFF" w:themeFill="background1"/>
          <w:lang w:eastAsia="zh-CN"/>
        </w:rPr>
        <w:t>供应商资格要求</w:t>
      </w:r>
      <w:r>
        <w:rPr>
          <w:rFonts w:hint="eastAsia" w:ascii="仿宋" w:hAnsi="仿宋" w:eastAsia="仿宋" w:cs="仿宋"/>
          <w:bCs/>
          <w:color w:val="auto"/>
          <w:szCs w:val="24"/>
          <w:highlight w:val="none"/>
          <w:shd w:val="clear" w:color="auto" w:fill="FFFFFF" w:themeFill="background1"/>
        </w:rPr>
        <w:t>证明材料</w:t>
      </w:r>
      <w:r>
        <w:rPr>
          <w:color w:val="auto"/>
          <w:highlight w:val="none"/>
        </w:rPr>
        <w:tab/>
      </w:r>
      <w:r>
        <w:rPr>
          <w:color w:val="auto"/>
          <w:highlight w:val="none"/>
        </w:rPr>
        <w:fldChar w:fldCharType="begin"/>
      </w:r>
      <w:r>
        <w:rPr>
          <w:color w:val="auto"/>
          <w:highlight w:val="none"/>
        </w:rPr>
        <w:instrText xml:space="preserve"> PAGEREF _Toc7734 \h </w:instrText>
      </w:r>
      <w:r>
        <w:rPr>
          <w:color w:val="auto"/>
          <w:highlight w:val="none"/>
        </w:rPr>
        <w:fldChar w:fldCharType="separate"/>
      </w:r>
      <w:r>
        <w:rPr>
          <w:color w:val="auto"/>
          <w:highlight w:val="none"/>
        </w:rPr>
        <w:t>78</w:t>
      </w:r>
      <w:r>
        <w:rPr>
          <w:color w:val="auto"/>
          <w:highlight w:val="none"/>
        </w:rPr>
        <w:fldChar w:fldCharType="end"/>
      </w:r>
      <w:r>
        <w:rPr>
          <w:rFonts w:hint="eastAsia" w:ascii="仿宋" w:hAnsi="仿宋" w:eastAsia="仿宋" w:cs="仿宋"/>
          <w:bCs/>
          <w:color w:val="auto"/>
          <w:szCs w:val="21"/>
          <w:highlight w:val="none"/>
        </w:rPr>
        <w:fldChar w:fldCharType="end"/>
      </w:r>
    </w:p>
    <w:p w14:paraId="3A9F01D5">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_Toc21441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7.</w:t>
      </w:r>
      <w:r>
        <w:rPr>
          <w:rFonts w:hint="eastAsia" w:ascii="仿宋" w:hAnsi="仿宋" w:eastAsia="仿宋" w:cs="仿宋"/>
          <w:color w:val="auto"/>
          <w:szCs w:val="24"/>
          <w:highlight w:val="none"/>
          <w:shd w:val="clear" w:color="auto" w:fill="FFFFFF" w:themeFill="background1"/>
        </w:rPr>
        <w:t>1、法人或者其他组织的营业执照等证明文件，自然人的身份证明</w:t>
      </w:r>
      <w:r>
        <w:rPr>
          <w:color w:val="auto"/>
          <w:highlight w:val="none"/>
        </w:rPr>
        <w:tab/>
      </w:r>
      <w:r>
        <w:rPr>
          <w:color w:val="auto"/>
          <w:highlight w:val="none"/>
        </w:rPr>
        <w:fldChar w:fldCharType="begin"/>
      </w:r>
      <w:r>
        <w:rPr>
          <w:color w:val="auto"/>
          <w:highlight w:val="none"/>
        </w:rPr>
        <w:instrText xml:space="preserve"> PAGEREF _Toc21441 \h </w:instrText>
      </w:r>
      <w:r>
        <w:rPr>
          <w:color w:val="auto"/>
          <w:highlight w:val="none"/>
        </w:rPr>
        <w:fldChar w:fldCharType="separate"/>
      </w:r>
      <w:r>
        <w:rPr>
          <w:color w:val="auto"/>
          <w:highlight w:val="none"/>
        </w:rPr>
        <w:t>79</w:t>
      </w:r>
      <w:r>
        <w:rPr>
          <w:color w:val="auto"/>
          <w:highlight w:val="none"/>
        </w:rPr>
        <w:fldChar w:fldCharType="end"/>
      </w:r>
      <w:r>
        <w:rPr>
          <w:rFonts w:hint="eastAsia" w:ascii="仿宋" w:hAnsi="仿宋" w:eastAsia="仿宋" w:cs="仿宋"/>
          <w:bCs/>
          <w:color w:val="auto"/>
          <w:szCs w:val="21"/>
          <w:highlight w:val="none"/>
        </w:rPr>
        <w:fldChar w:fldCharType="end"/>
      </w:r>
    </w:p>
    <w:p w14:paraId="7F05162D">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_Toc16312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7</w:t>
      </w:r>
      <w:r>
        <w:rPr>
          <w:rFonts w:hint="eastAsia" w:ascii="仿宋" w:hAnsi="仿宋" w:eastAsia="仿宋" w:cs="仿宋"/>
          <w:color w:val="auto"/>
          <w:szCs w:val="24"/>
          <w:highlight w:val="none"/>
          <w:shd w:val="clear" w:color="auto" w:fill="FFFFFF" w:themeFill="background1"/>
        </w:rPr>
        <w:t>.2、财务状况报告，依法缴纳税收和社会保障资金的相关材料</w:t>
      </w:r>
      <w:r>
        <w:rPr>
          <w:color w:val="auto"/>
          <w:highlight w:val="none"/>
        </w:rPr>
        <w:tab/>
      </w:r>
      <w:r>
        <w:rPr>
          <w:color w:val="auto"/>
          <w:highlight w:val="none"/>
        </w:rPr>
        <w:fldChar w:fldCharType="begin"/>
      </w:r>
      <w:r>
        <w:rPr>
          <w:color w:val="auto"/>
          <w:highlight w:val="none"/>
        </w:rPr>
        <w:instrText xml:space="preserve"> PAGEREF _Toc16312 \h </w:instrText>
      </w:r>
      <w:r>
        <w:rPr>
          <w:color w:val="auto"/>
          <w:highlight w:val="none"/>
        </w:rPr>
        <w:fldChar w:fldCharType="separate"/>
      </w:r>
      <w:r>
        <w:rPr>
          <w:color w:val="auto"/>
          <w:highlight w:val="none"/>
        </w:rPr>
        <w:t>80</w:t>
      </w:r>
      <w:r>
        <w:rPr>
          <w:color w:val="auto"/>
          <w:highlight w:val="none"/>
        </w:rPr>
        <w:fldChar w:fldCharType="end"/>
      </w:r>
      <w:r>
        <w:rPr>
          <w:rFonts w:hint="eastAsia" w:ascii="仿宋" w:hAnsi="仿宋" w:eastAsia="仿宋" w:cs="仿宋"/>
          <w:bCs/>
          <w:color w:val="auto"/>
          <w:szCs w:val="21"/>
          <w:highlight w:val="none"/>
        </w:rPr>
        <w:fldChar w:fldCharType="end"/>
      </w:r>
    </w:p>
    <w:p w14:paraId="00FD07A0">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_Toc9149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7</w:t>
      </w:r>
      <w:r>
        <w:rPr>
          <w:rFonts w:hint="eastAsia" w:ascii="仿宋" w:hAnsi="仿宋" w:eastAsia="仿宋" w:cs="仿宋"/>
          <w:color w:val="auto"/>
          <w:szCs w:val="24"/>
          <w:highlight w:val="none"/>
          <w:shd w:val="clear" w:color="auto" w:fill="FFFFFF" w:themeFill="background1"/>
        </w:rPr>
        <w:t>.3、具备履行合同所必需的设备和专业技术能力的证明材料</w:t>
      </w:r>
      <w:r>
        <w:rPr>
          <w:color w:val="auto"/>
          <w:highlight w:val="none"/>
        </w:rPr>
        <w:tab/>
      </w:r>
      <w:r>
        <w:rPr>
          <w:color w:val="auto"/>
          <w:highlight w:val="none"/>
        </w:rPr>
        <w:fldChar w:fldCharType="begin"/>
      </w:r>
      <w:r>
        <w:rPr>
          <w:color w:val="auto"/>
          <w:highlight w:val="none"/>
        </w:rPr>
        <w:instrText xml:space="preserve"> PAGEREF _Toc9149 \h </w:instrText>
      </w:r>
      <w:r>
        <w:rPr>
          <w:color w:val="auto"/>
          <w:highlight w:val="none"/>
        </w:rPr>
        <w:fldChar w:fldCharType="separate"/>
      </w:r>
      <w:r>
        <w:rPr>
          <w:color w:val="auto"/>
          <w:highlight w:val="none"/>
        </w:rPr>
        <w:t>81</w:t>
      </w:r>
      <w:r>
        <w:rPr>
          <w:color w:val="auto"/>
          <w:highlight w:val="none"/>
        </w:rPr>
        <w:fldChar w:fldCharType="end"/>
      </w:r>
      <w:r>
        <w:rPr>
          <w:rFonts w:hint="eastAsia" w:ascii="仿宋" w:hAnsi="仿宋" w:eastAsia="仿宋" w:cs="仿宋"/>
          <w:bCs/>
          <w:color w:val="auto"/>
          <w:szCs w:val="21"/>
          <w:highlight w:val="none"/>
        </w:rPr>
        <w:fldChar w:fldCharType="end"/>
      </w:r>
    </w:p>
    <w:p w14:paraId="02E7AA26">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_Toc22242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7</w:t>
      </w:r>
      <w:r>
        <w:rPr>
          <w:rFonts w:hint="eastAsia" w:ascii="仿宋" w:hAnsi="仿宋" w:eastAsia="仿宋" w:cs="仿宋"/>
          <w:color w:val="auto"/>
          <w:szCs w:val="24"/>
          <w:highlight w:val="none"/>
          <w:shd w:val="clear" w:color="auto" w:fill="FFFFFF" w:themeFill="background1"/>
        </w:rPr>
        <w:t>.4、参加政府采购活动前3年内在经营活动中没有重大违法记录的书面声明</w:t>
      </w:r>
      <w:r>
        <w:rPr>
          <w:color w:val="auto"/>
          <w:highlight w:val="none"/>
        </w:rPr>
        <w:tab/>
      </w:r>
      <w:r>
        <w:rPr>
          <w:color w:val="auto"/>
          <w:highlight w:val="none"/>
        </w:rPr>
        <w:fldChar w:fldCharType="begin"/>
      </w:r>
      <w:r>
        <w:rPr>
          <w:color w:val="auto"/>
          <w:highlight w:val="none"/>
        </w:rPr>
        <w:instrText xml:space="preserve"> PAGEREF _Toc22242 \h </w:instrText>
      </w:r>
      <w:r>
        <w:rPr>
          <w:color w:val="auto"/>
          <w:highlight w:val="none"/>
        </w:rPr>
        <w:fldChar w:fldCharType="separate"/>
      </w:r>
      <w:r>
        <w:rPr>
          <w:color w:val="auto"/>
          <w:highlight w:val="none"/>
        </w:rPr>
        <w:t>82</w:t>
      </w:r>
      <w:r>
        <w:rPr>
          <w:color w:val="auto"/>
          <w:highlight w:val="none"/>
        </w:rPr>
        <w:fldChar w:fldCharType="end"/>
      </w:r>
      <w:r>
        <w:rPr>
          <w:rFonts w:hint="eastAsia" w:ascii="仿宋" w:hAnsi="仿宋" w:eastAsia="仿宋" w:cs="仿宋"/>
          <w:bCs/>
          <w:color w:val="auto"/>
          <w:szCs w:val="21"/>
          <w:highlight w:val="none"/>
        </w:rPr>
        <w:fldChar w:fldCharType="end"/>
      </w:r>
    </w:p>
    <w:p w14:paraId="21B9D363">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_Toc23300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7</w:t>
      </w:r>
      <w:r>
        <w:rPr>
          <w:rFonts w:hint="eastAsia" w:ascii="仿宋" w:hAnsi="仿宋" w:eastAsia="仿宋" w:cs="仿宋"/>
          <w:color w:val="auto"/>
          <w:szCs w:val="24"/>
          <w:highlight w:val="none"/>
          <w:shd w:val="clear" w:color="auto" w:fill="FFFFFF" w:themeFill="background1"/>
        </w:rPr>
        <w:t>.5、具备法律、行政法规规定的其他条件的证明材料</w:t>
      </w:r>
      <w:r>
        <w:rPr>
          <w:color w:val="auto"/>
          <w:highlight w:val="none"/>
        </w:rPr>
        <w:tab/>
      </w:r>
      <w:r>
        <w:rPr>
          <w:color w:val="auto"/>
          <w:highlight w:val="none"/>
        </w:rPr>
        <w:fldChar w:fldCharType="begin"/>
      </w:r>
      <w:r>
        <w:rPr>
          <w:color w:val="auto"/>
          <w:highlight w:val="none"/>
        </w:rPr>
        <w:instrText xml:space="preserve"> PAGEREF _Toc23300 \h </w:instrText>
      </w:r>
      <w:r>
        <w:rPr>
          <w:color w:val="auto"/>
          <w:highlight w:val="none"/>
        </w:rPr>
        <w:fldChar w:fldCharType="separate"/>
      </w:r>
      <w:r>
        <w:rPr>
          <w:color w:val="auto"/>
          <w:highlight w:val="none"/>
        </w:rPr>
        <w:t>83</w:t>
      </w:r>
      <w:r>
        <w:rPr>
          <w:color w:val="auto"/>
          <w:highlight w:val="none"/>
        </w:rPr>
        <w:fldChar w:fldCharType="end"/>
      </w:r>
      <w:r>
        <w:rPr>
          <w:rFonts w:hint="eastAsia" w:ascii="仿宋" w:hAnsi="仿宋" w:eastAsia="仿宋" w:cs="仿宋"/>
          <w:bCs/>
          <w:color w:val="auto"/>
          <w:szCs w:val="21"/>
          <w:highlight w:val="none"/>
        </w:rPr>
        <w:fldChar w:fldCharType="end"/>
      </w:r>
    </w:p>
    <w:p w14:paraId="63A04923">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_Toc1116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八</w:t>
      </w:r>
      <w:r>
        <w:rPr>
          <w:rFonts w:hint="eastAsia" w:ascii="仿宋" w:hAnsi="仿宋" w:eastAsia="仿宋" w:cs="仿宋"/>
          <w:color w:val="auto"/>
          <w:szCs w:val="24"/>
          <w:highlight w:val="none"/>
          <w:shd w:val="clear" w:color="auto" w:fill="FFFFFF" w:themeFill="background1"/>
        </w:rPr>
        <w:t>、</w:t>
      </w:r>
      <w:r>
        <w:rPr>
          <w:rFonts w:hint="eastAsia" w:ascii="仿宋" w:hAnsi="仿宋" w:eastAsia="仿宋" w:cs="仿宋"/>
          <w:color w:val="auto"/>
          <w:szCs w:val="24"/>
          <w:highlight w:val="none"/>
          <w:shd w:val="clear" w:color="auto" w:fill="FFFFFF" w:themeFill="background1"/>
          <w:lang w:val="en-US" w:eastAsia="zh-CN"/>
        </w:rPr>
        <w:t>供应商</w:t>
      </w:r>
      <w:r>
        <w:rPr>
          <w:rFonts w:hint="eastAsia" w:ascii="仿宋" w:hAnsi="仿宋" w:eastAsia="仿宋" w:cs="仿宋"/>
          <w:bCs/>
          <w:color w:val="auto"/>
          <w:szCs w:val="24"/>
          <w:highlight w:val="none"/>
          <w:shd w:val="clear" w:color="auto" w:fill="FFFFFF" w:themeFill="background1"/>
        </w:rPr>
        <w:t>类似项目业绩表</w:t>
      </w:r>
      <w:r>
        <w:rPr>
          <w:color w:val="auto"/>
          <w:highlight w:val="none"/>
        </w:rPr>
        <w:tab/>
      </w:r>
      <w:r>
        <w:rPr>
          <w:color w:val="auto"/>
          <w:highlight w:val="none"/>
        </w:rPr>
        <w:fldChar w:fldCharType="begin"/>
      </w:r>
      <w:r>
        <w:rPr>
          <w:color w:val="auto"/>
          <w:highlight w:val="none"/>
        </w:rPr>
        <w:instrText xml:space="preserve"> PAGEREF _Toc1116 \h </w:instrText>
      </w:r>
      <w:r>
        <w:rPr>
          <w:color w:val="auto"/>
          <w:highlight w:val="none"/>
        </w:rPr>
        <w:fldChar w:fldCharType="separate"/>
      </w:r>
      <w:r>
        <w:rPr>
          <w:color w:val="auto"/>
          <w:highlight w:val="none"/>
        </w:rPr>
        <w:t>86</w:t>
      </w:r>
      <w:r>
        <w:rPr>
          <w:color w:val="auto"/>
          <w:highlight w:val="none"/>
        </w:rPr>
        <w:fldChar w:fldCharType="end"/>
      </w:r>
      <w:r>
        <w:rPr>
          <w:rFonts w:hint="eastAsia" w:ascii="仿宋" w:hAnsi="仿宋" w:eastAsia="仿宋" w:cs="仿宋"/>
          <w:bCs/>
          <w:color w:val="auto"/>
          <w:szCs w:val="21"/>
          <w:highlight w:val="none"/>
        </w:rPr>
        <w:fldChar w:fldCharType="end"/>
      </w:r>
    </w:p>
    <w:p w14:paraId="046B377D">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_Toc31690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九</w:t>
      </w:r>
      <w:r>
        <w:rPr>
          <w:rFonts w:hint="eastAsia" w:ascii="仿宋" w:hAnsi="仿宋" w:eastAsia="仿宋" w:cs="仿宋"/>
          <w:color w:val="auto"/>
          <w:szCs w:val="24"/>
          <w:highlight w:val="none"/>
          <w:shd w:val="clear" w:color="auto" w:fill="FFFFFF" w:themeFill="background1"/>
        </w:rPr>
        <w:t>、</w:t>
      </w:r>
      <w:r>
        <w:rPr>
          <w:rFonts w:hint="eastAsia" w:ascii="仿宋" w:hAnsi="仿宋" w:eastAsia="仿宋" w:cs="仿宋"/>
          <w:bCs/>
          <w:color w:val="auto"/>
          <w:szCs w:val="24"/>
          <w:highlight w:val="none"/>
          <w:shd w:val="clear" w:color="auto" w:fill="FFFFFF" w:themeFill="background1"/>
        </w:rPr>
        <w:t>项目负责人简历表</w:t>
      </w:r>
      <w:r>
        <w:rPr>
          <w:color w:val="auto"/>
          <w:highlight w:val="none"/>
        </w:rPr>
        <w:tab/>
      </w:r>
      <w:r>
        <w:rPr>
          <w:color w:val="auto"/>
          <w:highlight w:val="none"/>
        </w:rPr>
        <w:fldChar w:fldCharType="begin"/>
      </w:r>
      <w:r>
        <w:rPr>
          <w:color w:val="auto"/>
          <w:highlight w:val="none"/>
        </w:rPr>
        <w:instrText xml:space="preserve"> PAGEREF _Toc31690 \h </w:instrText>
      </w:r>
      <w:r>
        <w:rPr>
          <w:color w:val="auto"/>
          <w:highlight w:val="none"/>
        </w:rPr>
        <w:fldChar w:fldCharType="separate"/>
      </w:r>
      <w:r>
        <w:rPr>
          <w:color w:val="auto"/>
          <w:highlight w:val="none"/>
        </w:rPr>
        <w:t>87</w:t>
      </w:r>
      <w:r>
        <w:rPr>
          <w:color w:val="auto"/>
          <w:highlight w:val="none"/>
        </w:rPr>
        <w:fldChar w:fldCharType="end"/>
      </w:r>
      <w:r>
        <w:rPr>
          <w:rFonts w:hint="eastAsia" w:ascii="仿宋" w:hAnsi="仿宋" w:eastAsia="仿宋" w:cs="仿宋"/>
          <w:bCs/>
          <w:color w:val="auto"/>
          <w:szCs w:val="21"/>
          <w:highlight w:val="none"/>
        </w:rPr>
        <w:fldChar w:fldCharType="end"/>
      </w:r>
    </w:p>
    <w:p w14:paraId="353CA806">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_Toc15626 </w:instrText>
      </w:r>
      <w:r>
        <w:rPr>
          <w:rFonts w:hint="eastAsia" w:ascii="仿宋" w:hAnsi="仿宋" w:eastAsia="仿宋" w:cs="仿宋"/>
          <w:bCs/>
          <w:color w:val="auto"/>
          <w:szCs w:val="21"/>
          <w:highlight w:val="none"/>
        </w:rPr>
        <w:fldChar w:fldCharType="separate"/>
      </w:r>
      <w:r>
        <w:rPr>
          <w:rFonts w:hint="eastAsia" w:ascii="仿宋" w:hAnsi="仿宋" w:eastAsia="仿宋" w:cs="仿宋"/>
          <w:bCs/>
          <w:color w:val="auto"/>
          <w:szCs w:val="24"/>
          <w:highlight w:val="none"/>
          <w:shd w:val="clear" w:color="auto" w:fill="FFFFFF" w:themeFill="background1"/>
          <w:lang w:val="en-US" w:eastAsia="zh-CN"/>
        </w:rPr>
        <w:t>十</w:t>
      </w:r>
      <w:r>
        <w:rPr>
          <w:rFonts w:hint="eastAsia" w:ascii="仿宋" w:hAnsi="仿宋" w:eastAsia="仿宋" w:cs="仿宋"/>
          <w:bCs/>
          <w:color w:val="auto"/>
          <w:szCs w:val="24"/>
          <w:highlight w:val="none"/>
          <w:shd w:val="clear" w:color="auto" w:fill="FFFFFF" w:themeFill="background1"/>
        </w:rPr>
        <w:t>、主要项目管理人员表</w:t>
      </w:r>
      <w:r>
        <w:rPr>
          <w:color w:val="auto"/>
          <w:highlight w:val="none"/>
        </w:rPr>
        <w:tab/>
      </w:r>
      <w:r>
        <w:rPr>
          <w:color w:val="auto"/>
          <w:highlight w:val="none"/>
        </w:rPr>
        <w:fldChar w:fldCharType="begin"/>
      </w:r>
      <w:r>
        <w:rPr>
          <w:color w:val="auto"/>
          <w:highlight w:val="none"/>
        </w:rPr>
        <w:instrText xml:space="preserve"> PAGEREF _Toc15626 \h </w:instrText>
      </w:r>
      <w:r>
        <w:rPr>
          <w:color w:val="auto"/>
          <w:highlight w:val="none"/>
        </w:rPr>
        <w:fldChar w:fldCharType="separate"/>
      </w:r>
      <w:r>
        <w:rPr>
          <w:color w:val="auto"/>
          <w:highlight w:val="none"/>
        </w:rPr>
        <w:t>88</w:t>
      </w:r>
      <w:r>
        <w:rPr>
          <w:color w:val="auto"/>
          <w:highlight w:val="none"/>
        </w:rPr>
        <w:fldChar w:fldCharType="end"/>
      </w:r>
      <w:r>
        <w:rPr>
          <w:rFonts w:hint="eastAsia" w:ascii="仿宋" w:hAnsi="仿宋" w:eastAsia="仿宋" w:cs="仿宋"/>
          <w:bCs/>
          <w:color w:val="auto"/>
          <w:szCs w:val="21"/>
          <w:highlight w:val="none"/>
        </w:rPr>
        <w:fldChar w:fldCharType="end"/>
      </w:r>
    </w:p>
    <w:p w14:paraId="7CC84C68">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_Toc15585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rPr>
        <w:t>十</w:t>
      </w:r>
      <w:r>
        <w:rPr>
          <w:rFonts w:hint="eastAsia" w:ascii="仿宋" w:hAnsi="仿宋" w:eastAsia="仿宋" w:cs="仿宋"/>
          <w:color w:val="auto"/>
          <w:szCs w:val="24"/>
          <w:highlight w:val="none"/>
          <w:shd w:val="clear" w:color="auto" w:fill="FFFFFF" w:themeFill="background1"/>
          <w:lang w:val="en-US" w:eastAsia="zh-CN"/>
        </w:rPr>
        <w:t>一</w:t>
      </w:r>
      <w:r>
        <w:rPr>
          <w:rFonts w:hint="eastAsia" w:ascii="仿宋" w:hAnsi="仿宋" w:eastAsia="仿宋" w:cs="仿宋"/>
          <w:color w:val="auto"/>
          <w:szCs w:val="24"/>
          <w:highlight w:val="none"/>
          <w:shd w:val="clear" w:color="auto" w:fill="FFFFFF" w:themeFill="background1"/>
        </w:rPr>
        <w:t>、</w:t>
      </w:r>
      <w:r>
        <w:rPr>
          <w:rFonts w:hint="eastAsia" w:ascii="仿宋" w:hAnsi="仿宋" w:eastAsia="仿宋" w:cs="仿宋"/>
          <w:bCs/>
          <w:color w:val="auto"/>
          <w:szCs w:val="24"/>
          <w:highlight w:val="none"/>
          <w:shd w:val="clear" w:color="auto" w:fill="FFFFFF" w:themeFill="background1"/>
          <w:lang w:eastAsia="zh-CN"/>
        </w:rPr>
        <w:t>施工组织设计</w:t>
      </w:r>
      <w:r>
        <w:rPr>
          <w:color w:val="auto"/>
          <w:highlight w:val="none"/>
        </w:rPr>
        <w:tab/>
      </w:r>
      <w:r>
        <w:rPr>
          <w:color w:val="auto"/>
          <w:highlight w:val="none"/>
        </w:rPr>
        <w:fldChar w:fldCharType="begin"/>
      </w:r>
      <w:r>
        <w:rPr>
          <w:color w:val="auto"/>
          <w:highlight w:val="none"/>
        </w:rPr>
        <w:instrText xml:space="preserve"> PAGEREF _Toc15585 \h </w:instrText>
      </w:r>
      <w:r>
        <w:rPr>
          <w:color w:val="auto"/>
          <w:highlight w:val="none"/>
        </w:rPr>
        <w:fldChar w:fldCharType="separate"/>
      </w:r>
      <w:r>
        <w:rPr>
          <w:color w:val="auto"/>
          <w:highlight w:val="none"/>
        </w:rPr>
        <w:t>89</w:t>
      </w:r>
      <w:r>
        <w:rPr>
          <w:color w:val="auto"/>
          <w:highlight w:val="none"/>
        </w:rPr>
        <w:fldChar w:fldCharType="end"/>
      </w:r>
      <w:r>
        <w:rPr>
          <w:rFonts w:hint="eastAsia" w:ascii="仿宋" w:hAnsi="仿宋" w:eastAsia="仿宋" w:cs="仿宋"/>
          <w:bCs/>
          <w:color w:val="auto"/>
          <w:szCs w:val="21"/>
          <w:highlight w:val="none"/>
        </w:rPr>
        <w:fldChar w:fldCharType="end"/>
      </w:r>
    </w:p>
    <w:p w14:paraId="75BAB64C">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_Toc1033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rPr>
        <w:t>十</w:t>
      </w:r>
      <w:r>
        <w:rPr>
          <w:rFonts w:hint="eastAsia" w:ascii="仿宋" w:hAnsi="仿宋" w:eastAsia="仿宋" w:cs="仿宋"/>
          <w:color w:val="auto"/>
          <w:szCs w:val="24"/>
          <w:highlight w:val="none"/>
          <w:shd w:val="clear" w:color="auto" w:fill="FFFFFF" w:themeFill="background1"/>
          <w:lang w:val="en-US" w:eastAsia="zh-CN"/>
        </w:rPr>
        <w:t>二</w:t>
      </w:r>
      <w:r>
        <w:rPr>
          <w:rFonts w:hint="eastAsia" w:ascii="仿宋" w:hAnsi="仿宋" w:eastAsia="仿宋" w:cs="仿宋"/>
          <w:color w:val="auto"/>
          <w:szCs w:val="24"/>
          <w:highlight w:val="none"/>
          <w:shd w:val="clear" w:color="auto" w:fill="FFFFFF" w:themeFill="background1"/>
        </w:rPr>
        <w:t>、</w:t>
      </w:r>
      <w:r>
        <w:rPr>
          <w:rFonts w:hint="eastAsia" w:ascii="仿宋" w:hAnsi="仿宋" w:eastAsia="仿宋" w:cs="仿宋"/>
          <w:color w:val="auto"/>
          <w:szCs w:val="24"/>
          <w:highlight w:val="none"/>
          <w:shd w:val="clear" w:color="auto" w:fill="FFFFFF" w:themeFill="background1"/>
          <w:lang w:eastAsia="zh-CN"/>
        </w:rPr>
        <w:t>已标价工程量清单</w:t>
      </w:r>
      <w:r>
        <w:rPr>
          <w:color w:val="auto"/>
          <w:highlight w:val="none"/>
        </w:rPr>
        <w:tab/>
      </w:r>
      <w:r>
        <w:rPr>
          <w:color w:val="auto"/>
          <w:highlight w:val="none"/>
        </w:rPr>
        <w:fldChar w:fldCharType="begin"/>
      </w:r>
      <w:r>
        <w:rPr>
          <w:color w:val="auto"/>
          <w:highlight w:val="none"/>
        </w:rPr>
        <w:instrText xml:space="preserve"> PAGEREF _Toc1033 \h </w:instrText>
      </w:r>
      <w:r>
        <w:rPr>
          <w:color w:val="auto"/>
          <w:highlight w:val="none"/>
        </w:rPr>
        <w:fldChar w:fldCharType="separate"/>
      </w:r>
      <w:r>
        <w:rPr>
          <w:color w:val="auto"/>
          <w:highlight w:val="none"/>
        </w:rPr>
        <w:t>90</w:t>
      </w:r>
      <w:r>
        <w:rPr>
          <w:color w:val="auto"/>
          <w:highlight w:val="none"/>
        </w:rPr>
        <w:fldChar w:fldCharType="end"/>
      </w:r>
      <w:r>
        <w:rPr>
          <w:rFonts w:hint="eastAsia" w:ascii="仿宋" w:hAnsi="仿宋" w:eastAsia="仿宋" w:cs="仿宋"/>
          <w:bCs/>
          <w:color w:val="auto"/>
          <w:szCs w:val="21"/>
          <w:highlight w:val="none"/>
        </w:rPr>
        <w:fldChar w:fldCharType="end"/>
      </w:r>
    </w:p>
    <w:p w14:paraId="6140EA5A">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_Toc26163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rPr>
        <w:t>十</w:t>
      </w:r>
      <w:r>
        <w:rPr>
          <w:rFonts w:hint="eastAsia" w:ascii="仿宋" w:hAnsi="仿宋" w:eastAsia="仿宋" w:cs="仿宋"/>
          <w:color w:val="auto"/>
          <w:szCs w:val="24"/>
          <w:highlight w:val="none"/>
          <w:lang w:val="en-US" w:eastAsia="zh-CN"/>
        </w:rPr>
        <w:t>三</w:t>
      </w:r>
      <w:r>
        <w:rPr>
          <w:rFonts w:hint="eastAsia" w:ascii="仿宋" w:hAnsi="仿宋" w:eastAsia="仿宋" w:cs="仿宋"/>
          <w:color w:val="auto"/>
          <w:szCs w:val="24"/>
          <w:highlight w:val="none"/>
        </w:rPr>
        <w:t>、保证金缴纳证明材料</w:t>
      </w:r>
      <w:r>
        <w:rPr>
          <w:color w:val="auto"/>
          <w:highlight w:val="none"/>
        </w:rPr>
        <w:tab/>
      </w:r>
      <w:r>
        <w:rPr>
          <w:color w:val="auto"/>
          <w:highlight w:val="none"/>
        </w:rPr>
        <w:fldChar w:fldCharType="begin"/>
      </w:r>
      <w:r>
        <w:rPr>
          <w:color w:val="auto"/>
          <w:highlight w:val="none"/>
        </w:rPr>
        <w:instrText xml:space="preserve"> PAGEREF _Toc26163 \h </w:instrText>
      </w:r>
      <w:r>
        <w:rPr>
          <w:color w:val="auto"/>
          <w:highlight w:val="none"/>
        </w:rPr>
        <w:fldChar w:fldCharType="separate"/>
      </w:r>
      <w:r>
        <w:rPr>
          <w:color w:val="auto"/>
          <w:highlight w:val="none"/>
        </w:rPr>
        <w:t>91</w:t>
      </w:r>
      <w:r>
        <w:rPr>
          <w:color w:val="auto"/>
          <w:highlight w:val="none"/>
        </w:rPr>
        <w:fldChar w:fldCharType="end"/>
      </w:r>
      <w:r>
        <w:rPr>
          <w:rFonts w:hint="eastAsia" w:ascii="仿宋" w:hAnsi="仿宋" w:eastAsia="仿宋" w:cs="仿宋"/>
          <w:bCs/>
          <w:color w:val="auto"/>
          <w:szCs w:val="21"/>
          <w:highlight w:val="none"/>
        </w:rPr>
        <w:fldChar w:fldCharType="end"/>
      </w:r>
    </w:p>
    <w:p w14:paraId="71AA3E29">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_Toc13758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rPr>
        <w:t>十</w:t>
      </w:r>
      <w:r>
        <w:rPr>
          <w:rFonts w:hint="eastAsia" w:ascii="仿宋" w:hAnsi="仿宋" w:eastAsia="仿宋" w:cs="仿宋"/>
          <w:color w:val="auto"/>
          <w:szCs w:val="24"/>
          <w:highlight w:val="none"/>
          <w:lang w:val="en-US" w:eastAsia="zh-CN"/>
        </w:rPr>
        <w:t>四</w:t>
      </w:r>
      <w:r>
        <w:rPr>
          <w:rFonts w:hint="eastAsia" w:ascii="仿宋" w:hAnsi="仿宋" w:eastAsia="仿宋" w:cs="仿宋"/>
          <w:color w:val="auto"/>
          <w:szCs w:val="24"/>
          <w:highlight w:val="none"/>
        </w:rPr>
        <w:t>、其它需要提交的资料</w:t>
      </w:r>
      <w:r>
        <w:rPr>
          <w:color w:val="auto"/>
          <w:highlight w:val="none"/>
        </w:rPr>
        <w:tab/>
      </w:r>
      <w:r>
        <w:rPr>
          <w:color w:val="auto"/>
          <w:highlight w:val="none"/>
        </w:rPr>
        <w:fldChar w:fldCharType="begin"/>
      </w:r>
      <w:r>
        <w:rPr>
          <w:color w:val="auto"/>
          <w:highlight w:val="none"/>
        </w:rPr>
        <w:instrText xml:space="preserve"> PAGEREF _Toc13758 \h </w:instrText>
      </w:r>
      <w:r>
        <w:rPr>
          <w:color w:val="auto"/>
          <w:highlight w:val="none"/>
        </w:rPr>
        <w:fldChar w:fldCharType="separate"/>
      </w:r>
      <w:r>
        <w:rPr>
          <w:color w:val="auto"/>
          <w:highlight w:val="none"/>
        </w:rPr>
        <w:t>92</w:t>
      </w:r>
      <w:r>
        <w:rPr>
          <w:color w:val="auto"/>
          <w:highlight w:val="none"/>
        </w:rPr>
        <w:fldChar w:fldCharType="end"/>
      </w:r>
      <w:r>
        <w:rPr>
          <w:rFonts w:hint="eastAsia" w:ascii="仿宋" w:hAnsi="仿宋" w:eastAsia="仿宋" w:cs="仿宋"/>
          <w:bCs/>
          <w:color w:val="auto"/>
          <w:szCs w:val="21"/>
          <w:highlight w:val="none"/>
        </w:rPr>
        <w:fldChar w:fldCharType="end"/>
      </w:r>
    </w:p>
    <w:p w14:paraId="6B3C0F80">
      <w:pPr>
        <w:pStyle w:val="31"/>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_Toc20020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rPr>
        <w:t>第六章 补充条款</w:t>
      </w:r>
      <w:r>
        <w:rPr>
          <w:color w:val="auto"/>
          <w:highlight w:val="none"/>
        </w:rPr>
        <w:tab/>
      </w:r>
      <w:r>
        <w:rPr>
          <w:color w:val="auto"/>
          <w:highlight w:val="none"/>
        </w:rPr>
        <w:fldChar w:fldCharType="begin"/>
      </w:r>
      <w:r>
        <w:rPr>
          <w:color w:val="auto"/>
          <w:highlight w:val="none"/>
        </w:rPr>
        <w:instrText xml:space="preserve"> PAGEREF _Toc20020 \h </w:instrText>
      </w:r>
      <w:r>
        <w:rPr>
          <w:color w:val="auto"/>
          <w:highlight w:val="none"/>
        </w:rPr>
        <w:fldChar w:fldCharType="separate"/>
      </w:r>
      <w:r>
        <w:rPr>
          <w:color w:val="auto"/>
          <w:highlight w:val="none"/>
        </w:rPr>
        <w:t>93</w:t>
      </w:r>
      <w:r>
        <w:rPr>
          <w:color w:val="auto"/>
          <w:highlight w:val="none"/>
        </w:rPr>
        <w:fldChar w:fldCharType="end"/>
      </w:r>
      <w:r>
        <w:rPr>
          <w:rFonts w:hint="eastAsia" w:ascii="仿宋" w:hAnsi="仿宋" w:eastAsia="仿宋" w:cs="仿宋"/>
          <w:bCs/>
          <w:color w:val="auto"/>
          <w:szCs w:val="21"/>
          <w:highlight w:val="none"/>
        </w:rPr>
        <w:fldChar w:fldCharType="end"/>
      </w:r>
    </w:p>
    <w:p w14:paraId="6CB083A7">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_Toc29695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pacing w:val="6"/>
          <w:szCs w:val="24"/>
          <w:highlight w:val="none"/>
        </w:rPr>
        <w:t>附件</w:t>
      </w:r>
      <w:r>
        <w:rPr>
          <w:rFonts w:hint="eastAsia" w:ascii="仿宋" w:hAnsi="仿宋" w:eastAsia="仿宋" w:cs="仿宋"/>
          <w:color w:val="auto"/>
          <w:spacing w:val="6"/>
          <w:szCs w:val="24"/>
          <w:highlight w:val="none"/>
          <w:lang w:val="en-US" w:eastAsia="zh-CN"/>
        </w:rPr>
        <w:t>1</w:t>
      </w:r>
      <w:r>
        <w:rPr>
          <w:rFonts w:hint="eastAsia" w:ascii="仿宋" w:hAnsi="仿宋" w:eastAsia="仿宋" w:cs="仿宋"/>
          <w:color w:val="auto"/>
          <w:spacing w:val="6"/>
          <w:szCs w:val="24"/>
          <w:highlight w:val="none"/>
        </w:rPr>
        <w:t>、</w:t>
      </w:r>
      <w:r>
        <w:rPr>
          <w:rFonts w:hint="eastAsia" w:ascii="仿宋" w:hAnsi="仿宋" w:eastAsia="仿宋" w:cs="仿宋"/>
          <w:color w:val="auto"/>
          <w:spacing w:val="6"/>
          <w:szCs w:val="24"/>
          <w:highlight w:val="none"/>
          <w:lang w:val="en-US" w:eastAsia="zh-CN"/>
        </w:rPr>
        <w:t>中小企业扶持政策</w:t>
      </w:r>
      <w:r>
        <w:rPr>
          <w:color w:val="auto"/>
          <w:highlight w:val="none"/>
        </w:rPr>
        <w:tab/>
      </w:r>
      <w:r>
        <w:rPr>
          <w:color w:val="auto"/>
          <w:highlight w:val="none"/>
        </w:rPr>
        <w:fldChar w:fldCharType="begin"/>
      </w:r>
      <w:r>
        <w:rPr>
          <w:color w:val="auto"/>
          <w:highlight w:val="none"/>
        </w:rPr>
        <w:instrText xml:space="preserve"> PAGEREF _Toc29695 \h </w:instrText>
      </w:r>
      <w:r>
        <w:rPr>
          <w:color w:val="auto"/>
          <w:highlight w:val="none"/>
        </w:rPr>
        <w:fldChar w:fldCharType="separate"/>
      </w:r>
      <w:r>
        <w:rPr>
          <w:color w:val="auto"/>
          <w:highlight w:val="none"/>
        </w:rPr>
        <w:t>93</w:t>
      </w:r>
      <w:r>
        <w:rPr>
          <w:color w:val="auto"/>
          <w:highlight w:val="none"/>
        </w:rPr>
        <w:fldChar w:fldCharType="end"/>
      </w:r>
      <w:r>
        <w:rPr>
          <w:rFonts w:hint="eastAsia" w:ascii="仿宋" w:hAnsi="仿宋" w:eastAsia="仿宋" w:cs="仿宋"/>
          <w:bCs/>
          <w:color w:val="auto"/>
          <w:szCs w:val="21"/>
          <w:highlight w:val="none"/>
        </w:rPr>
        <w:fldChar w:fldCharType="end"/>
      </w:r>
    </w:p>
    <w:p w14:paraId="73CCCB0E">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_Toc26569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pacing w:val="6"/>
          <w:szCs w:val="24"/>
          <w:highlight w:val="none"/>
        </w:rPr>
        <w:t>附件</w:t>
      </w:r>
      <w:r>
        <w:rPr>
          <w:rFonts w:hint="eastAsia" w:ascii="仿宋" w:hAnsi="仿宋" w:eastAsia="仿宋" w:cs="仿宋"/>
          <w:color w:val="auto"/>
          <w:spacing w:val="6"/>
          <w:szCs w:val="24"/>
          <w:highlight w:val="none"/>
          <w:lang w:val="en-US" w:eastAsia="zh-CN"/>
        </w:rPr>
        <w:t>2</w:t>
      </w:r>
      <w:r>
        <w:rPr>
          <w:rFonts w:hint="eastAsia" w:ascii="仿宋" w:hAnsi="仿宋" w:eastAsia="仿宋" w:cs="仿宋"/>
          <w:color w:val="auto"/>
          <w:spacing w:val="6"/>
          <w:szCs w:val="24"/>
          <w:highlight w:val="none"/>
        </w:rPr>
        <w:t>、</w:t>
      </w:r>
      <w:r>
        <w:rPr>
          <w:rFonts w:hint="eastAsia" w:ascii="仿宋" w:hAnsi="仿宋" w:eastAsia="仿宋" w:cs="仿宋"/>
          <w:color w:val="auto"/>
          <w:spacing w:val="6"/>
          <w:szCs w:val="24"/>
          <w:highlight w:val="none"/>
          <w:lang w:val="en-US" w:eastAsia="zh-CN"/>
        </w:rPr>
        <w:t>残疾人企业扶持政策</w:t>
      </w:r>
      <w:r>
        <w:rPr>
          <w:color w:val="auto"/>
          <w:highlight w:val="none"/>
        </w:rPr>
        <w:tab/>
      </w:r>
      <w:r>
        <w:rPr>
          <w:color w:val="auto"/>
          <w:highlight w:val="none"/>
        </w:rPr>
        <w:fldChar w:fldCharType="begin"/>
      </w:r>
      <w:r>
        <w:rPr>
          <w:color w:val="auto"/>
          <w:highlight w:val="none"/>
        </w:rPr>
        <w:instrText xml:space="preserve"> PAGEREF _Toc26569 \h </w:instrText>
      </w:r>
      <w:r>
        <w:rPr>
          <w:color w:val="auto"/>
          <w:highlight w:val="none"/>
        </w:rPr>
        <w:fldChar w:fldCharType="separate"/>
      </w:r>
      <w:r>
        <w:rPr>
          <w:color w:val="auto"/>
          <w:highlight w:val="none"/>
        </w:rPr>
        <w:t>97</w:t>
      </w:r>
      <w:r>
        <w:rPr>
          <w:color w:val="auto"/>
          <w:highlight w:val="none"/>
        </w:rPr>
        <w:fldChar w:fldCharType="end"/>
      </w:r>
      <w:r>
        <w:rPr>
          <w:rFonts w:hint="eastAsia" w:ascii="仿宋" w:hAnsi="仿宋" w:eastAsia="仿宋" w:cs="仿宋"/>
          <w:bCs/>
          <w:color w:val="auto"/>
          <w:szCs w:val="21"/>
          <w:highlight w:val="none"/>
        </w:rPr>
        <w:fldChar w:fldCharType="end"/>
      </w:r>
    </w:p>
    <w:p w14:paraId="7E5AA170">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_Toc1247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pacing w:val="6"/>
          <w:szCs w:val="24"/>
          <w:highlight w:val="none"/>
        </w:rPr>
        <w:t>附件</w:t>
      </w:r>
      <w:r>
        <w:rPr>
          <w:rFonts w:hint="eastAsia" w:ascii="仿宋" w:hAnsi="仿宋" w:eastAsia="仿宋" w:cs="仿宋"/>
          <w:color w:val="auto"/>
          <w:spacing w:val="6"/>
          <w:szCs w:val="24"/>
          <w:highlight w:val="none"/>
          <w:lang w:val="en-US" w:eastAsia="zh-CN"/>
        </w:rPr>
        <w:t>3</w:t>
      </w:r>
      <w:r>
        <w:rPr>
          <w:rFonts w:hint="eastAsia" w:ascii="仿宋" w:hAnsi="仿宋" w:eastAsia="仿宋" w:cs="仿宋"/>
          <w:color w:val="auto"/>
          <w:spacing w:val="6"/>
          <w:szCs w:val="24"/>
          <w:highlight w:val="none"/>
        </w:rPr>
        <w:t>、</w:t>
      </w:r>
      <w:r>
        <w:rPr>
          <w:rFonts w:hint="eastAsia" w:ascii="仿宋" w:hAnsi="仿宋" w:eastAsia="仿宋" w:cs="仿宋"/>
          <w:color w:val="auto"/>
          <w:spacing w:val="6"/>
          <w:szCs w:val="24"/>
          <w:highlight w:val="none"/>
          <w:lang w:val="en-US" w:eastAsia="zh-CN"/>
        </w:rPr>
        <w:t>监狱扶持政策</w:t>
      </w:r>
      <w:r>
        <w:rPr>
          <w:color w:val="auto"/>
          <w:highlight w:val="none"/>
        </w:rPr>
        <w:tab/>
      </w:r>
      <w:r>
        <w:rPr>
          <w:color w:val="auto"/>
          <w:highlight w:val="none"/>
        </w:rPr>
        <w:fldChar w:fldCharType="begin"/>
      </w:r>
      <w:r>
        <w:rPr>
          <w:color w:val="auto"/>
          <w:highlight w:val="none"/>
        </w:rPr>
        <w:instrText xml:space="preserve"> PAGEREF _Toc1247 \h </w:instrText>
      </w:r>
      <w:r>
        <w:rPr>
          <w:color w:val="auto"/>
          <w:highlight w:val="none"/>
        </w:rPr>
        <w:fldChar w:fldCharType="separate"/>
      </w:r>
      <w:r>
        <w:rPr>
          <w:color w:val="auto"/>
          <w:highlight w:val="none"/>
        </w:rPr>
        <w:t>99</w:t>
      </w:r>
      <w:r>
        <w:rPr>
          <w:color w:val="auto"/>
          <w:highlight w:val="none"/>
        </w:rPr>
        <w:fldChar w:fldCharType="end"/>
      </w:r>
      <w:r>
        <w:rPr>
          <w:rFonts w:hint="eastAsia" w:ascii="仿宋" w:hAnsi="仿宋" w:eastAsia="仿宋" w:cs="仿宋"/>
          <w:bCs/>
          <w:color w:val="auto"/>
          <w:szCs w:val="21"/>
          <w:highlight w:val="none"/>
        </w:rPr>
        <w:fldChar w:fldCharType="end"/>
      </w:r>
    </w:p>
    <w:p w14:paraId="750FE592">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仿宋" w:hAnsi="仿宋" w:eastAsia="仿宋" w:cs="仿宋"/>
          <w:bCs/>
          <w:color w:val="auto"/>
          <w:highlight w:val="none"/>
        </w:rPr>
      </w:pPr>
      <w:r>
        <w:rPr>
          <w:rFonts w:hint="eastAsia" w:ascii="仿宋" w:hAnsi="仿宋" w:eastAsia="仿宋" w:cs="仿宋"/>
          <w:bCs/>
          <w:color w:val="auto"/>
          <w:szCs w:val="21"/>
          <w:highlight w:val="none"/>
        </w:rPr>
        <w:fldChar w:fldCharType="end"/>
      </w:r>
    </w:p>
    <w:p w14:paraId="3702AB92">
      <w:pPr>
        <w:widowControl/>
        <w:shd w:val="clear" w:color="auto" w:fill="FFFFFF"/>
        <w:spacing w:line="360" w:lineRule="auto"/>
        <w:jc w:val="center"/>
        <w:outlineLvl w:val="0"/>
        <w:rPr>
          <w:rFonts w:hint="eastAsia" w:ascii="仿宋" w:hAnsi="仿宋" w:eastAsia="仿宋" w:cs="仿宋"/>
          <w:b/>
          <w:color w:val="auto"/>
          <w:kern w:val="0"/>
          <w:sz w:val="24"/>
          <w:szCs w:val="24"/>
          <w:highlight w:val="none"/>
        </w:rPr>
        <w:sectPr>
          <w:headerReference r:id="rId3" w:type="default"/>
          <w:footerReference r:id="rId4" w:type="even"/>
          <w:pgSz w:w="11906" w:h="16838"/>
          <w:pgMar w:top="1440" w:right="1080" w:bottom="1440" w:left="1080" w:header="851" w:footer="992" w:gutter="0"/>
          <w:pgNumType w:start="1"/>
          <w:cols w:space="720" w:num="1"/>
          <w:docGrid w:type="lines" w:linePitch="312" w:charSpace="0"/>
        </w:sectPr>
      </w:pPr>
      <w:bookmarkStart w:id="0" w:name="_Toc129942521"/>
    </w:p>
    <w:bookmarkEnd w:id="0"/>
    <w:p w14:paraId="5F514F64">
      <w:pPr>
        <w:spacing w:line="360" w:lineRule="auto"/>
        <w:jc w:val="center"/>
        <w:outlineLvl w:val="0"/>
        <w:rPr>
          <w:rFonts w:hint="eastAsia" w:ascii="仿宋" w:hAnsi="仿宋" w:eastAsia="仿宋" w:cs="仿宋"/>
          <w:b/>
          <w:bCs/>
          <w:color w:val="auto"/>
          <w:sz w:val="28"/>
          <w:szCs w:val="32"/>
          <w:highlight w:val="none"/>
        </w:rPr>
      </w:pPr>
      <w:bookmarkStart w:id="1" w:name="_Toc10821"/>
      <w:bookmarkStart w:id="2" w:name="_Toc30844"/>
      <w:r>
        <w:rPr>
          <w:rFonts w:hint="eastAsia" w:ascii="仿宋" w:hAnsi="仿宋" w:eastAsia="仿宋" w:cs="仿宋"/>
          <w:b/>
          <w:bCs/>
          <w:color w:val="auto"/>
          <w:sz w:val="28"/>
          <w:szCs w:val="32"/>
          <w:highlight w:val="none"/>
          <w:lang w:val="en-US" w:eastAsia="zh-CN"/>
        </w:rPr>
        <w:t>竞争性</w:t>
      </w:r>
      <w:r>
        <w:rPr>
          <w:rFonts w:hint="eastAsia" w:ascii="仿宋" w:hAnsi="仿宋" w:eastAsia="仿宋" w:cs="仿宋"/>
          <w:b/>
          <w:bCs/>
          <w:color w:val="auto"/>
          <w:sz w:val="28"/>
          <w:szCs w:val="32"/>
          <w:highlight w:val="none"/>
        </w:rPr>
        <w:t>磋商公告</w:t>
      </w:r>
      <w:bookmarkEnd w:id="1"/>
      <w:bookmarkEnd w:id="2"/>
    </w:p>
    <w:p w14:paraId="7D4AC2E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项目概况                                         </w:t>
      </w:r>
    </w:p>
    <w:p w14:paraId="46B2511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新疆农业大学老满城校区周界围墙护栏维修改造项目</w:t>
      </w:r>
      <w:r>
        <w:rPr>
          <w:rFonts w:hint="eastAsia" w:ascii="仿宋" w:hAnsi="仿宋" w:eastAsia="仿宋" w:cs="仿宋"/>
          <w:color w:val="auto"/>
          <w:sz w:val="24"/>
          <w:szCs w:val="24"/>
          <w:highlight w:val="none"/>
        </w:rPr>
        <w:t>的潜在供应商应在政采云平台线上获取获取采购文件，并于</w:t>
      </w:r>
      <w:r>
        <w:rPr>
          <w:rFonts w:hint="eastAsia" w:ascii="仿宋" w:hAnsi="仿宋" w:eastAsia="仿宋" w:cs="仿宋"/>
          <w:color w:val="auto"/>
          <w:sz w:val="24"/>
          <w:szCs w:val="24"/>
          <w:highlight w:val="none"/>
          <w:lang w:eastAsia="zh-CN"/>
        </w:rPr>
        <w:t>2026年06月26日16:00</w:t>
      </w:r>
      <w:r>
        <w:rPr>
          <w:rFonts w:hint="eastAsia" w:ascii="仿宋" w:hAnsi="仿宋" w:eastAsia="仿宋" w:cs="仿宋"/>
          <w:color w:val="auto"/>
          <w:sz w:val="24"/>
          <w:szCs w:val="24"/>
          <w:highlight w:val="none"/>
        </w:rPr>
        <w:t>（北京时间）前提交响应文件。</w:t>
      </w:r>
    </w:p>
    <w:p w14:paraId="297B009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一、项目基本情况</w:t>
      </w:r>
    </w:p>
    <w:p w14:paraId="2B79DBC8">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val="en-US" w:eastAsia="zh-CN"/>
        </w:rPr>
        <w:t>XJXSJ-2026(ZC)-356</w:t>
      </w:r>
    </w:p>
    <w:p w14:paraId="63BC9B2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新疆农业大学老满城校区周界围墙护栏维修改造项目</w:t>
      </w:r>
      <w:r>
        <w:rPr>
          <w:rFonts w:hint="eastAsia" w:ascii="仿宋" w:hAnsi="仿宋" w:eastAsia="仿宋" w:cs="仿宋"/>
          <w:color w:val="auto"/>
          <w:sz w:val="24"/>
          <w:szCs w:val="24"/>
          <w:highlight w:val="none"/>
        </w:rPr>
        <w:t> </w:t>
      </w:r>
    </w:p>
    <w:p w14:paraId="34450D9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采购方式：竞争性磋商 </w:t>
      </w:r>
    </w:p>
    <w:p w14:paraId="1D091FD3">
      <w:pPr>
        <w:spacing w:line="360" w:lineRule="auto"/>
        <w:ind w:firstLine="480" w:firstLineChars="200"/>
        <w:rPr>
          <w:rFonts w:hint="default" w:eastAsia="仿宋"/>
          <w:color w:val="auto"/>
          <w:highlight w:val="none"/>
          <w:lang w:val="en-US" w:eastAsia="zh-CN"/>
        </w:rPr>
      </w:pPr>
      <w:r>
        <w:rPr>
          <w:rFonts w:hint="eastAsia" w:ascii="仿宋" w:hAnsi="仿宋" w:eastAsia="仿宋" w:cs="仿宋"/>
          <w:color w:val="auto"/>
          <w:sz w:val="24"/>
          <w:szCs w:val="24"/>
          <w:highlight w:val="none"/>
        </w:rPr>
        <w:t>预算金额（元）：</w:t>
      </w:r>
      <w:r>
        <w:rPr>
          <w:rFonts w:hint="eastAsia" w:ascii="仿宋" w:hAnsi="仿宋" w:eastAsia="仿宋" w:cs="仿宋"/>
          <w:color w:val="auto"/>
          <w:sz w:val="24"/>
          <w:szCs w:val="24"/>
          <w:highlight w:val="none"/>
          <w:lang w:val="en-US" w:eastAsia="zh-CN"/>
        </w:rPr>
        <w:t>300000.00</w:t>
      </w:r>
    </w:p>
    <w:p w14:paraId="7B0749D6">
      <w:pPr>
        <w:spacing w:line="360" w:lineRule="auto"/>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最高限价（元）：</w:t>
      </w:r>
      <w:r>
        <w:rPr>
          <w:rFonts w:hint="eastAsia" w:ascii="仿宋" w:hAnsi="仿宋" w:eastAsia="仿宋" w:cs="仿宋"/>
          <w:color w:val="auto"/>
          <w:sz w:val="24"/>
          <w:szCs w:val="24"/>
          <w:highlight w:val="none"/>
          <w:lang w:val="en-US" w:eastAsia="zh-CN"/>
        </w:rPr>
        <w:t>299467.15元</w:t>
      </w:r>
    </w:p>
    <w:p w14:paraId="2635E33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简要规格描述：</w:t>
      </w:r>
      <w:r>
        <w:rPr>
          <w:rFonts w:hint="eastAsia" w:ascii="仿宋" w:hAnsi="仿宋" w:eastAsia="仿宋" w:cs="仿宋"/>
          <w:color w:val="auto"/>
          <w:sz w:val="24"/>
          <w:szCs w:val="24"/>
          <w:highlight w:val="none"/>
          <w:lang w:eastAsia="zh-CN"/>
        </w:rPr>
        <w:t>新疆农业大学老满城校区周界围墙护栏维修改造项目</w:t>
      </w:r>
      <w:r>
        <w:rPr>
          <w:rFonts w:hint="eastAsia" w:ascii="仿宋" w:hAnsi="仿宋" w:eastAsia="仿宋" w:cs="仿宋"/>
          <w:color w:val="auto"/>
          <w:sz w:val="24"/>
          <w:szCs w:val="24"/>
          <w:highlight w:val="none"/>
        </w:rPr>
        <w:t>（详见工程量清单）   </w:t>
      </w:r>
    </w:p>
    <w:p w14:paraId="154B0851">
      <w:pPr>
        <w:spacing w:line="360" w:lineRule="auto"/>
        <w:ind w:firstLine="480" w:firstLineChars="200"/>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合同履约期限：</w:t>
      </w:r>
      <w:r>
        <w:rPr>
          <w:rFonts w:hint="eastAsia" w:ascii="仿宋" w:hAnsi="仿宋" w:eastAsia="仿宋" w:cs="仿宋"/>
          <w:color w:val="auto"/>
          <w:sz w:val="24"/>
          <w:szCs w:val="24"/>
          <w:highlight w:val="none"/>
          <w:lang w:val="en-US" w:eastAsia="zh-CN"/>
        </w:rPr>
        <w:t>自合同签订之日起45日历日</w:t>
      </w:r>
    </w:p>
    <w:p w14:paraId="261A934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本项目（否）接受联合体</w:t>
      </w:r>
      <w:r>
        <w:rPr>
          <w:rFonts w:hint="eastAsia" w:ascii="仿宋" w:hAnsi="仿宋" w:eastAsia="仿宋" w:cs="仿宋"/>
          <w:color w:val="auto"/>
          <w:sz w:val="24"/>
          <w:szCs w:val="24"/>
          <w:highlight w:val="none"/>
          <w:lang w:eastAsia="zh-CN"/>
        </w:rPr>
        <w:t>响应</w:t>
      </w:r>
      <w:r>
        <w:rPr>
          <w:rFonts w:hint="eastAsia" w:ascii="仿宋" w:hAnsi="仿宋" w:eastAsia="仿宋" w:cs="仿宋"/>
          <w:color w:val="auto"/>
          <w:sz w:val="24"/>
          <w:szCs w:val="24"/>
          <w:highlight w:val="none"/>
        </w:rPr>
        <w:t>。  </w:t>
      </w:r>
    </w:p>
    <w:p w14:paraId="56EF8E4E">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w:t>
      </w:r>
      <w:r>
        <w:rPr>
          <w:rFonts w:hint="eastAsia" w:ascii="仿宋" w:hAnsi="仿宋" w:eastAsia="仿宋" w:cs="仿宋"/>
          <w:color w:val="auto"/>
          <w:sz w:val="24"/>
          <w:szCs w:val="24"/>
          <w:highlight w:val="none"/>
          <w:lang w:eastAsia="zh-CN"/>
        </w:rPr>
        <w:t>供应商的资格要求</w:t>
      </w:r>
      <w:r>
        <w:rPr>
          <w:rFonts w:hint="eastAsia" w:ascii="仿宋" w:hAnsi="仿宋" w:eastAsia="仿宋" w:cs="仿宋"/>
          <w:color w:val="auto"/>
          <w:sz w:val="24"/>
          <w:szCs w:val="24"/>
          <w:highlight w:val="none"/>
        </w:rPr>
        <w:t>：</w:t>
      </w:r>
    </w:p>
    <w:p w14:paraId="0973F66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1、满足《中华人民共和国政府采购法》第二十二条规定。</w:t>
      </w:r>
    </w:p>
    <w:p w14:paraId="2C66EEB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2、供应商为中小企业。</w:t>
      </w:r>
    </w:p>
    <w:p w14:paraId="1D6EA354">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供应商如在“信用中国”网站（www.creditchina.gov.cn）、中国政府采购网（www.ccgp.gov.cn）等渠道被列入失信被执行人、重大税收违法失信主体、政府采购严重违法失信行为记录名单，尚在处罚期内的将被拒绝参加本次采购活动。</w:t>
      </w:r>
    </w:p>
    <w:p w14:paraId="0FDEAC64">
      <w:pPr>
        <w:widowControl/>
        <w:shd w:val="clear" w:color="auto" w:fill="FFFFFF"/>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、供应商须具备：</w:t>
      </w:r>
      <w:r>
        <w:rPr>
          <w:rFonts w:hint="eastAsia" w:ascii="仿宋" w:hAnsi="仿宋" w:eastAsia="仿宋" w:cs="仿宋"/>
          <w:color w:val="auto"/>
          <w:kern w:val="0"/>
          <w:sz w:val="24"/>
          <w:szCs w:val="24"/>
          <w:highlight w:val="none"/>
          <w:lang w:eastAsia="zh-CN"/>
        </w:rPr>
        <w:t>建筑工程（总承包企业资质）三级及以上资质</w:t>
      </w:r>
      <w:r>
        <w:rPr>
          <w:rFonts w:hint="eastAsia" w:ascii="仿宋" w:hAnsi="仿宋" w:eastAsia="仿宋" w:cs="仿宋"/>
          <w:color w:val="auto"/>
          <w:kern w:val="0"/>
          <w:sz w:val="24"/>
          <w:szCs w:val="24"/>
          <w:highlight w:val="none"/>
        </w:rPr>
        <w:t>。</w:t>
      </w:r>
    </w:p>
    <w:p w14:paraId="613829BA">
      <w:pPr>
        <w:widowControl/>
        <w:shd w:val="clear" w:color="auto" w:fill="FFFFFF"/>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供应商须具备有效的安全生产许可证。</w:t>
      </w:r>
    </w:p>
    <w:p w14:paraId="63493BEC">
      <w:pPr>
        <w:widowControl/>
        <w:shd w:val="clear" w:color="auto" w:fill="FFFFFF"/>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供应商名称必须与营业执照、资质证书、安全生产许可证中的企业名称保持一致。</w:t>
      </w:r>
    </w:p>
    <w:p w14:paraId="760DDF3A">
      <w:pPr>
        <w:widowControl/>
        <w:shd w:val="clear" w:color="auto" w:fill="FFFFFF"/>
        <w:spacing w:line="360" w:lineRule="auto"/>
        <w:ind w:firstLine="420"/>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、项目负责人要求：注册建造师（建筑工程专业）二级及以上，本单位注册</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且具备有效的安全生产考核合格证书（B类）。</w:t>
      </w:r>
    </w:p>
    <w:p w14:paraId="20BEF58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三、获取采购文件</w:t>
      </w:r>
    </w:p>
    <w:p w14:paraId="1A5E59B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eastAsia="zh-CN"/>
        </w:rPr>
        <w:t>2026年</w:t>
      </w:r>
      <w:r>
        <w:rPr>
          <w:rFonts w:hint="eastAsia" w:ascii="仿宋" w:hAnsi="仿宋" w:eastAsia="仿宋" w:cs="仿宋"/>
          <w:color w:val="auto"/>
          <w:sz w:val="24"/>
          <w:szCs w:val="24"/>
          <w:highlight w:val="none"/>
          <w:lang w:val="en-US" w:eastAsia="zh-CN"/>
        </w:rPr>
        <w:t>06</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lang w:eastAsia="zh-CN"/>
        </w:rPr>
        <w:t>日至2026年</w:t>
      </w:r>
      <w:r>
        <w:rPr>
          <w:rFonts w:hint="eastAsia" w:ascii="仿宋" w:hAnsi="仿宋" w:eastAsia="仿宋" w:cs="仿宋"/>
          <w:color w:val="auto"/>
          <w:sz w:val="24"/>
          <w:szCs w:val="24"/>
          <w:highlight w:val="none"/>
          <w:lang w:val="en-US" w:eastAsia="zh-CN"/>
        </w:rPr>
        <w:t>06</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23</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rPr>
        <w:t>，每天上午00:00至1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:00，下午1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:00至23:59（北京时间，法定节假日除外）</w:t>
      </w:r>
    </w:p>
    <w:p w14:paraId="2CCE57A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地点：政采云平台线上 </w:t>
      </w:r>
    </w:p>
    <w:p w14:paraId="31DC902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方式：供应商登录政采云平台https://www.zcygov.cn/在线申请获取采购文件（进入“项目采购”应用，在获取采购文件菜单中选择项目，申请获取采购文件） </w:t>
      </w:r>
    </w:p>
    <w:p w14:paraId="7BA0667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售价（元）： 0 </w:t>
      </w:r>
    </w:p>
    <w:p w14:paraId="2705FCE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四、响应文件提交 </w:t>
      </w:r>
    </w:p>
    <w:p w14:paraId="391B3B6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截止时间：</w:t>
      </w:r>
      <w:r>
        <w:rPr>
          <w:rFonts w:hint="eastAsia" w:ascii="仿宋" w:hAnsi="仿宋" w:eastAsia="仿宋" w:cs="仿宋"/>
          <w:color w:val="auto"/>
          <w:sz w:val="24"/>
          <w:szCs w:val="24"/>
          <w:highlight w:val="none"/>
          <w:lang w:eastAsia="zh-CN"/>
        </w:rPr>
        <w:t>2026年06月26日16:00</w:t>
      </w:r>
      <w:r>
        <w:rPr>
          <w:rFonts w:hint="eastAsia" w:ascii="仿宋" w:hAnsi="仿宋" w:eastAsia="仿宋" w:cs="仿宋"/>
          <w:color w:val="auto"/>
          <w:sz w:val="24"/>
          <w:szCs w:val="24"/>
          <w:highlight w:val="none"/>
        </w:rPr>
        <w:t>（北京时间）</w:t>
      </w:r>
    </w:p>
    <w:p w14:paraId="773487D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地点：请登录政采云投标客户端投标 </w:t>
      </w:r>
    </w:p>
    <w:p w14:paraId="19DC68F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五、响应文件开启 </w:t>
      </w:r>
    </w:p>
    <w:p w14:paraId="43B8B11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开启时间：</w:t>
      </w:r>
      <w:r>
        <w:rPr>
          <w:rFonts w:hint="eastAsia" w:ascii="仿宋" w:hAnsi="仿宋" w:eastAsia="仿宋" w:cs="仿宋"/>
          <w:color w:val="auto"/>
          <w:sz w:val="24"/>
          <w:szCs w:val="24"/>
          <w:highlight w:val="none"/>
          <w:lang w:eastAsia="zh-CN"/>
        </w:rPr>
        <w:t>2026年06月26日16:00</w:t>
      </w:r>
      <w:r>
        <w:rPr>
          <w:rFonts w:hint="eastAsia" w:ascii="仿宋" w:hAnsi="仿宋" w:eastAsia="仿宋" w:cs="仿宋"/>
          <w:color w:val="auto"/>
          <w:sz w:val="24"/>
          <w:szCs w:val="24"/>
          <w:highlight w:val="none"/>
        </w:rPr>
        <w:t>（北京时间）</w:t>
      </w:r>
    </w:p>
    <w:p w14:paraId="4CD1EA30">
      <w:pPr>
        <w:spacing w:line="360" w:lineRule="auto"/>
        <w:ind w:firstLine="72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地点：</w:t>
      </w:r>
      <w:r>
        <w:rPr>
          <w:rFonts w:hint="eastAsia" w:ascii="仿宋" w:hAnsi="仿宋" w:eastAsia="仿宋" w:cs="仿宋"/>
          <w:color w:val="auto"/>
          <w:sz w:val="24"/>
          <w:szCs w:val="32"/>
          <w:highlight w:val="none"/>
          <w:lang w:val="en-US" w:eastAsia="zh-CN"/>
        </w:rPr>
        <w:t>供应商</w:t>
      </w:r>
      <w:r>
        <w:rPr>
          <w:rFonts w:hint="eastAsia" w:ascii="仿宋" w:hAnsi="仿宋" w:eastAsia="仿宋" w:cs="仿宋"/>
          <w:color w:val="auto"/>
          <w:sz w:val="24"/>
          <w:szCs w:val="32"/>
          <w:highlight w:val="none"/>
        </w:rPr>
        <w:t>登录政采云平台https://www.zcygov.cn/，进入“项目采购-开标评标-右边选择对应项目点击“进入项目”进入开标大厅。 </w:t>
      </w:r>
    </w:p>
    <w:p w14:paraId="7642B3D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六、公告期限</w:t>
      </w:r>
    </w:p>
    <w:p w14:paraId="3918BD5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自本公告发布之日起3个工作日。</w:t>
      </w:r>
    </w:p>
    <w:p w14:paraId="31E3333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七、凡对本次</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提出询问，请按以下方式联系</w:t>
      </w:r>
    </w:p>
    <w:p w14:paraId="0A4B88A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1.采购人信息</w:t>
      </w:r>
    </w:p>
    <w:p w14:paraId="354CA198">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lang w:eastAsia="zh-CN"/>
        </w:rPr>
        <w:t>新疆农业大学</w:t>
      </w:r>
    </w:p>
    <w:p w14:paraId="36861179">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 址：乌鲁木齐市农大东路311号</w:t>
      </w:r>
    </w:p>
    <w:p w14:paraId="6E277599">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lang w:eastAsia="zh-CN"/>
        </w:rPr>
        <w:t>18199811604</w:t>
      </w:r>
    </w:p>
    <w:p w14:paraId="0944309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2.采购代理机构信息</w:t>
      </w:r>
    </w:p>
    <w:p w14:paraId="67634F3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称：新疆新世纪招标有限公司</w:t>
      </w:r>
    </w:p>
    <w:p w14:paraId="3474061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址：乌鲁木齐市</w:t>
      </w:r>
      <w:r>
        <w:rPr>
          <w:rFonts w:hint="eastAsia" w:ascii="仿宋" w:hAnsi="仿宋" w:eastAsia="仿宋" w:cs="仿宋"/>
          <w:color w:val="auto"/>
          <w:sz w:val="24"/>
          <w:szCs w:val="24"/>
          <w:highlight w:val="none"/>
          <w:lang w:val="en-US" w:eastAsia="zh-CN"/>
        </w:rPr>
        <w:t>水磨沟区</w:t>
      </w:r>
      <w:r>
        <w:rPr>
          <w:rFonts w:hint="eastAsia" w:ascii="仿宋" w:hAnsi="仿宋" w:eastAsia="仿宋" w:cs="仿宋"/>
          <w:color w:val="auto"/>
          <w:sz w:val="24"/>
          <w:szCs w:val="24"/>
          <w:highlight w:val="none"/>
        </w:rPr>
        <w:t>新兴街20号</w:t>
      </w:r>
    </w:p>
    <w:p w14:paraId="1A0C6F7C">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lang w:eastAsia="zh-CN"/>
        </w:rPr>
        <w:t>18690890996</w:t>
      </w:r>
    </w:p>
    <w:p w14:paraId="6044A58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3.项目联系方式</w:t>
      </w:r>
    </w:p>
    <w:p w14:paraId="63337562">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项目联系人：</w:t>
      </w:r>
      <w:r>
        <w:rPr>
          <w:rFonts w:hint="eastAsia" w:ascii="仿宋" w:hAnsi="仿宋" w:eastAsia="仿宋" w:cs="仿宋"/>
          <w:color w:val="auto"/>
          <w:sz w:val="24"/>
          <w:szCs w:val="24"/>
          <w:highlight w:val="none"/>
          <w:lang w:eastAsia="zh-CN"/>
        </w:rPr>
        <w:t>马丹阳</w:t>
      </w:r>
    </w:p>
    <w:p w14:paraId="36987CE1">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电 话：0991-4661782</w:t>
      </w:r>
    </w:p>
    <w:p w14:paraId="749ECDFF">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71894BFC">
      <w:pPr>
        <w:spacing w:line="440" w:lineRule="exact"/>
        <w:jc w:val="center"/>
        <w:outlineLvl w:val="0"/>
        <w:rPr>
          <w:rFonts w:ascii="仿宋" w:hAnsi="仿宋" w:eastAsia="仿宋" w:cs="仿宋"/>
          <w:b/>
          <w:bCs/>
          <w:color w:val="auto"/>
          <w:sz w:val="24"/>
          <w:szCs w:val="24"/>
          <w:highlight w:val="none"/>
          <w:shd w:val="clear" w:color="auto" w:fill="FFFFFF" w:themeFill="background1"/>
        </w:rPr>
      </w:pPr>
      <w:bookmarkStart w:id="3" w:name="_Toc11392"/>
      <w:r>
        <w:rPr>
          <w:rFonts w:hint="eastAsia" w:ascii="仿宋" w:hAnsi="仿宋" w:eastAsia="仿宋" w:cs="仿宋"/>
          <w:b/>
          <w:color w:val="auto"/>
          <w:sz w:val="24"/>
          <w:szCs w:val="24"/>
          <w:highlight w:val="none"/>
        </w:rPr>
        <w:t>供应商须知前附表</w:t>
      </w:r>
      <w:bookmarkEnd w:id="3"/>
      <w:bookmarkStart w:id="4" w:name="_BookMark_3"/>
      <w:bookmarkEnd w:id="4"/>
    </w:p>
    <w:tbl>
      <w:tblPr>
        <w:tblStyle w:val="49"/>
        <w:tblW w:w="9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57" w:type="dxa"/>
          <w:bottom w:w="57" w:type="dxa"/>
          <w:right w:w="57" w:type="dxa"/>
        </w:tblCellMar>
      </w:tblPr>
      <w:tblGrid>
        <w:gridCol w:w="597"/>
        <w:gridCol w:w="1795"/>
        <w:gridCol w:w="6688"/>
      </w:tblGrid>
      <w:tr w14:paraId="6B266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87" w:hRule="atLeast"/>
          <w:jc w:val="center"/>
        </w:trPr>
        <w:tc>
          <w:tcPr>
            <w:tcW w:w="597" w:type="dxa"/>
            <w:vAlign w:val="center"/>
          </w:tcPr>
          <w:p w14:paraId="50F8FD76">
            <w:pPr>
              <w:spacing w:line="240" w:lineRule="auto"/>
              <w:jc w:val="center"/>
              <w:rPr>
                <w:rFonts w:ascii="仿宋" w:hAnsi="仿宋" w:eastAsia="仿宋" w:cs="仿宋"/>
                <w:b/>
                <w:color w:val="auto"/>
                <w:kern w:val="0"/>
                <w:szCs w:val="21"/>
                <w:highlight w:val="none"/>
                <w:shd w:val="clear" w:color="auto" w:fill="FFFFFF" w:themeFill="background1"/>
              </w:rPr>
            </w:pPr>
            <w:r>
              <w:rPr>
                <w:rFonts w:hint="eastAsia" w:ascii="仿宋" w:hAnsi="仿宋" w:eastAsia="仿宋" w:cs="仿宋"/>
                <w:b/>
                <w:color w:val="auto"/>
                <w:kern w:val="0"/>
                <w:szCs w:val="21"/>
                <w:highlight w:val="none"/>
                <w:shd w:val="clear" w:color="auto" w:fill="FFFFFF" w:themeFill="background1"/>
              </w:rPr>
              <w:t>项号</w:t>
            </w:r>
          </w:p>
        </w:tc>
        <w:tc>
          <w:tcPr>
            <w:tcW w:w="8483" w:type="dxa"/>
            <w:gridSpan w:val="2"/>
            <w:vAlign w:val="center"/>
          </w:tcPr>
          <w:p w14:paraId="5E303AAF">
            <w:pPr>
              <w:spacing w:line="240" w:lineRule="auto"/>
              <w:jc w:val="center"/>
              <w:rPr>
                <w:rFonts w:ascii="仿宋" w:hAnsi="仿宋" w:eastAsia="仿宋" w:cs="仿宋"/>
                <w:b/>
                <w:color w:val="auto"/>
                <w:kern w:val="0"/>
                <w:szCs w:val="21"/>
                <w:highlight w:val="none"/>
                <w:shd w:val="clear" w:color="auto" w:fill="FFFFFF" w:themeFill="background1"/>
              </w:rPr>
            </w:pPr>
            <w:r>
              <w:rPr>
                <w:rFonts w:hint="eastAsia" w:ascii="仿宋" w:hAnsi="仿宋" w:eastAsia="仿宋" w:cs="仿宋"/>
                <w:b/>
                <w:color w:val="auto"/>
                <w:kern w:val="0"/>
                <w:szCs w:val="21"/>
                <w:highlight w:val="none"/>
                <w:shd w:val="clear" w:color="auto" w:fill="FFFFFF" w:themeFill="background1"/>
              </w:rPr>
              <w:t>编列内容</w:t>
            </w:r>
          </w:p>
        </w:tc>
      </w:tr>
      <w:tr w14:paraId="06B49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75D805C4">
            <w:pPr>
              <w:spacing w:line="24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w:t>
            </w:r>
          </w:p>
        </w:tc>
        <w:tc>
          <w:tcPr>
            <w:tcW w:w="1795" w:type="dxa"/>
            <w:vAlign w:val="center"/>
          </w:tcPr>
          <w:p w14:paraId="626CAB3C">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项目名称</w:t>
            </w:r>
          </w:p>
        </w:tc>
        <w:tc>
          <w:tcPr>
            <w:tcW w:w="6688" w:type="dxa"/>
            <w:vAlign w:val="center"/>
          </w:tcPr>
          <w:p w14:paraId="01E9B661">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color w:val="auto"/>
                <w:kern w:val="0"/>
                <w:szCs w:val="21"/>
                <w:highlight w:val="none"/>
                <w:shd w:val="clear" w:color="auto" w:fill="FFFFFF" w:themeFill="background1"/>
                <w:lang w:eastAsia="zh-CN"/>
              </w:rPr>
            </w:pPr>
            <w:r>
              <w:rPr>
                <w:rFonts w:hint="eastAsia" w:ascii="仿宋" w:hAnsi="仿宋" w:eastAsia="仿宋" w:cs="仿宋"/>
                <w:color w:val="auto"/>
                <w:kern w:val="0"/>
                <w:szCs w:val="21"/>
                <w:highlight w:val="none"/>
                <w:shd w:val="clear" w:color="auto" w:fill="FFFFFF" w:themeFill="background1"/>
                <w:lang w:eastAsia="zh-CN"/>
              </w:rPr>
              <w:t>新疆农业大学老满城校区周界围墙护栏维修改造项目</w:t>
            </w:r>
          </w:p>
        </w:tc>
      </w:tr>
      <w:tr w14:paraId="6BD18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84B63B9">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6EDB1F3A">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项目编号</w:t>
            </w:r>
          </w:p>
        </w:tc>
        <w:tc>
          <w:tcPr>
            <w:tcW w:w="6688" w:type="dxa"/>
            <w:vAlign w:val="center"/>
          </w:tcPr>
          <w:p w14:paraId="73AFDEB9">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color w:val="auto"/>
                <w:kern w:val="0"/>
                <w:szCs w:val="21"/>
                <w:highlight w:val="none"/>
                <w:shd w:val="clear" w:color="auto" w:fill="FFFFFF" w:themeFill="background1"/>
                <w:lang w:eastAsia="zh-CN"/>
              </w:rPr>
            </w:pPr>
            <w:r>
              <w:rPr>
                <w:rFonts w:hint="eastAsia" w:ascii="仿宋" w:hAnsi="仿宋" w:eastAsia="仿宋" w:cs="仿宋"/>
                <w:color w:val="auto"/>
                <w:kern w:val="0"/>
                <w:szCs w:val="21"/>
                <w:highlight w:val="none"/>
                <w:shd w:val="clear" w:color="auto" w:fill="FFFFFF" w:themeFill="background1"/>
                <w:lang w:val="en-US" w:eastAsia="zh-CN"/>
              </w:rPr>
              <w:t>XJXSJ-2026(ZC)-356</w:t>
            </w:r>
          </w:p>
        </w:tc>
      </w:tr>
      <w:tr w14:paraId="61FED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2953311D">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7D4857AD">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采购人</w:t>
            </w:r>
          </w:p>
        </w:tc>
        <w:tc>
          <w:tcPr>
            <w:tcW w:w="6688" w:type="dxa"/>
            <w:vAlign w:val="bottom"/>
          </w:tcPr>
          <w:p w14:paraId="553D5C9E">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仿宋" w:hAnsi="仿宋" w:eastAsia="仿宋" w:cs="仿宋"/>
                <w:color w:val="auto"/>
                <w:kern w:val="0"/>
                <w:szCs w:val="21"/>
                <w:highlight w:val="none"/>
                <w:shd w:val="clear" w:color="auto" w:fill="FFFFFF" w:themeFill="background1"/>
                <w:lang w:eastAsia="zh-CN"/>
              </w:rPr>
            </w:pPr>
            <w:r>
              <w:rPr>
                <w:rFonts w:hint="eastAsia" w:ascii="仿宋" w:hAnsi="仿宋" w:eastAsia="仿宋" w:cs="仿宋"/>
                <w:color w:val="auto"/>
                <w:kern w:val="0"/>
                <w:szCs w:val="21"/>
                <w:highlight w:val="none"/>
                <w:shd w:val="clear" w:color="auto" w:fill="FFFFFF" w:themeFill="background1"/>
                <w:lang w:eastAsia="zh-CN"/>
              </w:rPr>
              <w:t>新疆农业大学</w:t>
            </w:r>
          </w:p>
        </w:tc>
      </w:tr>
      <w:tr w14:paraId="74661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36581891">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6877A07B">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采购代理机构</w:t>
            </w:r>
          </w:p>
        </w:tc>
        <w:tc>
          <w:tcPr>
            <w:tcW w:w="6688" w:type="dxa"/>
            <w:vAlign w:val="center"/>
          </w:tcPr>
          <w:p w14:paraId="504D6908">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新疆新世纪招标有限公司</w:t>
            </w:r>
          </w:p>
        </w:tc>
      </w:tr>
      <w:tr w14:paraId="5290F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3FECD8F5">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58EA89C5">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项目地点</w:t>
            </w:r>
          </w:p>
        </w:tc>
        <w:tc>
          <w:tcPr>
            <w:tcW w:w="6688" w:type="dxa"/>
            <w:vAlign w:val="center"/>
          </w:tcPr>
          <w:p w14:paraId="4E205B55">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rPr>
              <w:t>乌鲁木齐市</w:t>
            </w:r>
          </w:p>
        </w:tc>
      </w:tr>
      <w:tr w14:paraId="12216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5157D49">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1FABFF53">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资金来源</w:t>
            </w:r>
          </w:p>
        </w:tc>
        <w:tc>
          <w:tcPr>
            <w:tcW w:w="6688" w:type="dxa"/>
            <w:vAlign w:val="center"/>
          </w:tcPr>
          <w:p w14:paraId="1E087C6B">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default" w:ascii="仿宋" w:hAnsi="仿宋" w:eastAsia="仿宋" w:cs="仿宋"/>
                <w:color w:val="auto"/>
                <w:kern w:val="0"/>
                <w:szCs w:val="21"/>
                <w:highlight w:val="none"/>
                <w:shd w:val="clear" w:color="auto" w:fill="FFFFFF" w:themeFill="background1"/>
                <w:lang w:val="en-US" w:eastAsia="zh-CN"/>
              </w:rPr>
            </w:pPr>
            <w:r>
              <w:rPr>
                <w:rFonts w:hint="default" w:ascii="仿宋" w:hAnsi="仿宋" w:eastAsia="仿宋" w:cs="仿宋"/>
                <w:color w:val="auto"/>
                <w:kern w:val="0"/>
                <w:szCs w:val="21"/>
                <w:highlight w:val="none"/>
                <w:shd w:val="clear" w:color="auto" w:fill="FFFFFF" w:themeFill="background1"/>
                <w:lang w:val="en-US" w:eastAsia="zh-CN"/>
              </w:rPr>
              <w:t>校级专项经费</w:t>
            </w:r>
          </w:p>
        </w:tc>
      </w:tr>
      <w:tr w14:paraId="08097B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2390438F">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72C846C4">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采购预算金额</w:t>
            </w:r>
          </w:p>
        </w:tc>
        <w:tc>
          <w:tcPr>
            <w:tcW w:w="6688" w:type="dxa"/>
            <w:vAlign w:val="center"/>
          </w:tcPr>
          <w:p w14:paraId="4B25E8FE">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lang w:val="en-US" w:eastAsia="zh-CN"/>
              </w:rPr>
              <w:t>300000.00</w:t>
            </w:r>
            <w:r>
              <w:rPr>
                <w:rFonts w:hint="eastAsia" w:ascii="仿宋" w:hAnsi="仿宋" w:eastAsia="仿宋" w:cs="仿宋"/>
                <w:color w:val="auto"/>
                <w:kern w:val="0"/>
                <w:szCs w:val="21"/>
                <w:highlight w:val="none"/>
                <w:shd w:val="clear" w:color="auto" w:fill="FFFFFF" w:themeFill="background1"/>
              </w:rPr>
              <w:t>元</w:t>
            </w:r>
          </w:p>
        </w:tc>
      </w:tr>
      <w:tr w14:paraId="31251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DE47FD1">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3833AC3F">
            <w:pPr>
              <w:keepNext/>
              <w:widowControl/>
              <w:spacing w:line="240" w:lineRule="auto"/>
              <w:jc w:val="distribute"/>
              <w:rPr>
                <w:rFonts w:hint="eastAsia" w:ascii="仿宋" w:hAnsi="仿宋" w:eastAsia="仿宋" w:cs="仿宋"/>
                <w:color w:val="auto"/>
                <w:kern w:val="0"/>
                <w:szCs w:val="21"/>
                <w:highlight w:val="none"/>
                <w:shd w:val="clear" w:color="auto" w:fill="FFFFFF" w:themeFill="background1"/>
                <w:lang w:eastAsia="zh-CN"/>
              </w:rPr>
            </w:pPr>
            <w:r>
              <w:rPr>
                <w:rFonts w:hint="eastAsia" w:ascii="仿宋" w:hAnsi="仿宋" w:eastAsia="仿宋" w:cs="仿宋"/>
                <w:color w:val="auto"/>
                <w:kern w:val="0"/>
                <w:szCs w:val="21"/>
                <w:highlight w:val="none"/>
                <w:shd w:val="clear" w:color="auto" w:fill="FFFFFF" w:themeFill="background1"/>
                <w:lang w:eastAsia="zh-CN"/>
              </w:rPr>
              <w:t>最高限价</w:t>
            </w:r>
          </w:p>
        </w:tc>
        <w:tc>
          <w:tcPr>
            <w:tcW w:w="6688" w:type="dxa"/>
            <w:vAlign w:val="center"/>
          </w:tcPr>
          <w:p w14:paraId="471F5C03">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default"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299467.15元</w:t>
            </w:r>
          </w:p>
        </w:tc>
      </w:tr>
      <w:tr w14:paraId="38C34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76F58C3C">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57E1D76F">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承包方式</w:t>
            </w:r>
          </w:p>
        </w:tc>
        <w:tc>
          <w:tcPr>
            <w:tcW w:w="6688" w:type="dxa"/>
            <w:vAlign w:val="center"/>
          </w:tcPr>
          <w:p w14:paraId="5B541DBD">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包工包料</w:t>
            </w:r>
          </w:p>
        </w:tc>
      </w:tr>
      <w:tr w14:paraId="6BE80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562D49B6">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72723649">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质量要求</w:t>
            </w:r>
          </w:p>
        </w:tc>
        <w:tc>
          <w:tcPr>
            <w:tcW w:w="6688" w:type="dxa"/>
            <w:vAlign w:val="center"/>
          </w:tcPr>
          <w:p w14:paraId="7D0C0FA9">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合格</w:t>
            </w:r>
          </w:p>
        </w:tc>
      </w:tr>
      <w:tr w14:paraId="347DE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430A3072">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20D46DC5">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工期</w:t>
            </w:r>
          </w:p>
        </w:tc>
        <w:tc>
          <w:tcPr>
            <w:tcW w:w="6688" w:type="dxa"/>
            <w:vAlign w:val="center"/>
          </w:tcPr>
          <w:p w14:paraId="175A1315">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default"/>
                <w:color w:val="auto"/>
                <w:highlight w:val="none"/>
                <w:lang w:val="en-US"/>
              </w:rPr>
            </w:pPr>
            <w:r>
              <w:rPr>
                <w:rFonts w:hint="eastAsia" w:ascii="仿宋" w:hAnsi="仿宋" w:eastAsia="仿宋" w:cs="仿宋"/>
                <w:color w:val="auto"/>
                <w:sz w:val="21"/>
                <w:szCs w:val="21"/>
                <w:highlight w:val="none"/>
                <w:lang w:val="en-US" w:eastAsia="zh-CN"/>
              </w:rPr>
              <w:t>自合同签订之日起45日历日</w:t>
            </w:r>
          </w:p>
        </w:tc>
      </w:tr>
      <w:tr w14:paraId="2F017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20" w:hRule="atLeast"/>
          <w:jc w:val="center"/>
        </w:trPr>
        <w:tc>
          <w:tcPr>
            <w:tcW w:w="597" w:type="dxa"/>
            <w:vAlign w:val="center"/>
          </w:tcPr>
          <w:p w14:paraId="5C773764">
            <w:pPr>
              <w:spacing w:line="24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w:t>
            </w:r>
          </w:p>
        </w:tc>
        <w:tc>
          <w:tcPr>
            <w:tcW w:w="1795" w:type="dxa"/>
            <w:vAlign w:val="center"/>
          </w:tcPr>
          <w:p w14:paraId="6EE670F7">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采购范围</w:t>
            </w:r>
          </w:p>
        </w:tc>
        <w:tc>
          <w:tcPr>
            <w:tcW w:w="6688" w:type="dxa"/>
            <w:vAlign w:val="center"/>
          </w:tcPr>
          <w:p w14:paraId="2A12288B">
            <w:pPr>
              <w:keepNext/>
              <w:keepLines w:val="0"/>
              <w:pageBreakBefore w:val="0"/>
              <w:widowControl/>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Cs w:val="21"/>
                <w:highlight w:val="none"/>
                <w:shd w:val="clear" w:color="auto" w:fill="FFFFFF" w:themeFill="background1"/>
              </w:rPr>
            </w:pPr>
            <w:bookmarkStart w:id="829" w:name="_GoBack"/>
            <w:bookmarkEnd w:id="829"/>
            <w:r>
              <w:rPr>
                <w:rFonts w:hint="eastAsia" w:ascii="仿宋" w:hAnsi="仿宋" w:eastAsia="仿宋" w:cs="仿宋"/>
                <w:color w:val="auto"/>
                <w:kern w:val="0"/>
                <w:szCs w:val="21"/>
                <w:highlight w:val="none"/>
                <w:shd w:val="clear" w:color="auto" w:fill="FFFFFF" w:themeFill="background1"/>
              </w:rPr>
              <w:t>工程量清单范围内的全部工作内容（包括</w:t>
            </w:r>
            <w:r>
              <w:rPr>
                <w:rFonts w:hint="eastAsia" w:ascii="仿宋" w:hAnsi="仿宋" w:eastAsia="仿宋" w:cs="仿宋"/>
                <w:color w:val="auto"/>
                <w:kern w:val="0"/>
                <w:szCs w:val="21"/>
                <w:highlight w:val="none"/>
                <w:shd w:val="clear" w:color="auto" w:fill="FFFFFF" w:themeFill="background1"/>
                <w:lang w:eastAsia="zh-CN"/>
              </w:rPr>
              <w:t>采购文件</w:t>
            </w:r>
            <w:r>
              <w:rPr>
                <w:rFonts w:hint="eastAsia" w:ascii="仿宋" w:hAnsi="仿宋" w:eastAsia="仿宋" w:cs="仿宋"/>
                <w:color w:val="auto"/>
                <w:kern w:val="0"/>
                <w:szCs w:val="21"/>
                <w:highlight w:val="none"/>
                <w:shd w:val="clear" w:color="auto" w:fill="FFFFFF" w:themeFill="background1"/>
              </w:rPr>
              <w:t>补充及答疑等工作内容）。</w:t>
            </w:r>
          </w:p>
        </w:tc>
      </w:tr>
      <w:tr w14:paraId="7A84A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323ABE38">
            <w:pPr>
              <w:spacing w:line="24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w:t>
            </w:r>
          </w:p>
        </w:tc>
        <w:tc>
          <w:tcPr>
            <w:tcW w:w="1795" w:type="dxa"/>
            <w:vAlign w:val="center"/>
          </w:tcPr>
          <w:p w14:paraId="727F65B3">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采购方式</w:t>
            </w:r>
          </w:p>
        </w:tc>
        <w:tc>
          <w:tcPr>
            <w:tcW w:w="6688" w:type="dxa"/>
            <w:vAlign w:val="center"/>
          </w:tcPr>
          <w:p w14:paraId="638E526E">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竞争性磋商</w:t>
            </w:r>
          </w:p>
        </w:tc>
      </w:tr>
      <w:tr w14:paraId="47493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501453F">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6C7A6EDC">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资格审查方式</w:t>
            </w:r>
          </w:p>
        </w:tc>
        <w:tc>
          <w:tcPr>
            <w:tcW w:w="6688" w:type="dxa"/>
            <w:vAlign w:val="center"/>
          </w:tcPr>
          <w:p w14:paraId="1748E674">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资格后审</w:t>
            </w:r>
          </w:p>
        </w:tc>
      </w:tr>
      <w:tr w14:paraId="59674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0CBF2293">
            <w:pPr>
              <w:spacing w:line="24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4</w:t>
            </w:r>
          </w:p>
        </w:tc>
        <w:tc>
          <w:tcPr>
            <w:tcW w:w="1795" w:type="dxa"/>
            <w:vAlign w:val="center"/>
          </w:tcPr>
          <w:p w14:paraId="599C73B9">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评审办法</w:t>
            </w:r>
          </w:p>
        </w:tc>
        <w:tc>
          <w:tcPr>
            <w:tcW w:w="6688" w:type="dxa"/>
            <w:vAlign w:val="center"/>
          </w:tcPr>
          <w:p w14:paraId="13DF7199">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综合评分法</w:t>
            </w:r>
          </w:p>
        </w:tc>
      </w:tr>
      <w:tr w14:paraId="61D1E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255C9B9B">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60DD3431">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计价方式</w:t>
            </w:r>
          </w:p>
        </w:tc>
        <w:tc>
          <w:tcPr>
            <w:tcW w:w="6688" w:type="dxa"/>
            <w:vAlign w:val="center"/>
          </w:tcPr>
          <w:p w14:paraId="52B4FBEB">
            <w:pPr>
              <w:keepLines w:val="0"/>
              <w:pageBreakBefore w:val="0"/>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highlight w:val="none"/>
              </w:rPr>
              <w:t>工程量清单计价</w:t>
            </w:r>
          </w:p>
        </w:tc>
      </w:tr>
      <w:tr w14:paraId="5D0FA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26A0AC09">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2B0101C4">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成交候选人</w:t>
            </w:r>
          </w:p>
        </w:tc>
        <w:tc>
          <w:tcPr>
            <w:tcW w:w="6688" w:type="dxa"/>
            <w:vAlign w:val="center"/>
          </w:tcPr>
          <w:p w14:paraId="74B11A21">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磋商小组推荐三名成交候选人</w:t>
            </w:r>
          </w:p>
        </w:tc>
      </w:tr>
      <w:tr w14:paraId="5F48E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6775E474">
            <w:pPr>
              <w:spacing w:line="24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5</w:t>
            </w:r>
          </w:p>
        </w:tc>
        <w:tc>
          <w:tcPr>
            <w:tcW w:w="1795" w:type="dxa"/>
            <w:shd w:val="clear" w:color="auto" w:fill="auto"/>
            <w:vAlign w:val="center"/>
          </w:tcPr>
          <w:p w14:paraId="1D5CA773">
            <w:pPr>
              <w:keepNext/>
              <w:widowControl/>
              <w:spacing w:line="240" w:lineRule="auto"/>
              <w:jc w:val="distribute"/>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lang w:eastAsia="zh-CN"/>
              </w:rPr>
              <w:t>供应商的资格要求</w:t>
            </w:r>
          </w:p>
        </w:tc>
        <w:tc>
          <w:tcPr>
            <w:tcW w:w="6688" w:type="dxa"/>
            <w:shd w:val="clear" w:color="auto" w:fill="auto"/>
            <w:vAlign w:val="center"/>
          </w:tcPr>
          <w:p w14:paraId="21B0E5B3">
            <w:pPr>
              <w:keepLines w:val="0"/>
              <w:pageBreakBefore w:val="0"/>
              <w:kinsoku/>
              <w:wordWrap/>
              <w:overflowPunct/>
              <w:topLinePunct w:val="0"/>
              <w:autoSpaceDE/>
              <w:autoSpaceDN/>
              <w:bidi w:val="0"/>
              <w:adjustRightInd/>
              <w:snapToGrid/>
              <w:spacing w:line="240" w:lineRule="auto"/>
              <w:ind w:firstLine="210" w:firstLineChars="100"/>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 w:val="21"/>
                <w:szCs w:val="21"/>
                <w:highlight w:val="none"/>
                <w:shd w:val="clear" w:color="auto" w:fill="FFFFFF" w:themeFill="background1"/>
                <w:lang w:val="en-US" w:eastAsia="zh-CN" w:bidi="ar-SA"/>
              </w:rPr>
              <w:t>1、满足《中华人民共和国政府采购法》第二十二条规定。</w:t>
            </w:r>
          </w:p>
          <w:p w14:paraId="1A3BAA8E">
            <w:pPr>
              <w:keepLines w:val="0"/>
              <w:pageBreakBefore w:val="0"/>
              <w:kinsoku/>
              <w:wordWrap/>
              <w:overflowPunct/>
              <w:topLinePunct w:val="0"/>
              <w:autoSpaceDE/>
              <w:autoSpaceDN/>
              <w:bidi w:val="0"/>
              <w:adjustRightInd/>
              <w:snapToGrid/>
              <w:spacing w:line="240" w:lineRule="auto"/>
              <w:ind w:firstLine="210" w:firstLineChars="100"/>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 w:val="21"/>
                <w:szCs w:val="21"/>
                <w:highlight w:val="none"/>
                <w:shd w:val="clear" w:color="auto" w:fill="FFFFFF" w:themeFill="background1"/>
                <w:lang w:val="en-US" w:eastAsia="zh-CN" w:bidi="ar-SA"/>
              </w:rPr>
              <w:t>2、供应商为中小企业。</w:t>
            </w:r>
          </w:p>
          <w:p w14:paraId="34E3314C">
            <w:pPr>
              <w:keepLines w:val="0"/>
              <w:pageBreakBefore w:val="0"/>
              <w:kinsoku/>
              <w:wordWrap/>
              <w:overflowPunct/>
              <w:topLinePunct w:val="0"/>
              <w:autoSpaceDE/>
              <w:autoSpaceDN/>
              <w:bidi w:val="0"/>
              <w:adjustRightInd/>
              <w:snapToGrid/>
              <w:spacing w:line="240" w:lineRule="auto"/>
              <w:ind w:firstLine="210" w:firstLineChars="100"/>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 w:val="21"/>
                <w:szCs w:val="21"/>
                <w:highlight w:val="none"/>
                <w:shd w:val="clear" w:color="auto" w:fill="FFFFFF" w:themeFill="background1"/>
                <w:lang w:val="en-US" w:eastAsia="zh-CN" w:bidi="ar-SA"/>
              </w:rPr>
              <w:t>3、供应商如在“信用中国”网站（www.creditchina.gov.cn）、中国政府采购网（www.ccgp.gov.cn）等渠道被列入失信被执行人、重大税收违法失信主体、政府采购严重违法失信行为记录名单，尚在处罚期内的将被拒绝参加本次采购活动。</w:t>
            </w:r>
          </w:p>
          <w:p w14:paraId="31D05F3E">
            <w:pPr>
              <w:keepLines w:val="0"/>
              <w:pageBreakBefore w:val="0"/>
              <w:kinsoku/>
              <w:wordWrap/>
              <w:overflowPunct/>
              <w:topLinePunct w:val="0"/>
              <w:autoSpaceDE/>
              <w:autoSpaceDN/>
              <w:bidi w:val="0"/>
              <w:adjustRightInd/>
              <w:snapToGrid/>
              <w:spacing w:line="240" w:lineRule="auto"/>
              <w:ind w:firstLine="210" w:firstLineChars="100"/>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 w:val="21"/>
                <w:szCs w:val="21"/>
                <w:highlight w:val="none"/>
                <w:shd w:val="clear" w:color="auto" w:fill="FFFFFF" w:themeFill="background1"/>
                <w:lang w:val="en-US" w:eastAsia="zh-CN" w:bidi="ar-SA"/>
              </w:rPr>
              <w:t>4、供应商须具备：建筑工程（总承包企业资质）三级及以上资质。</w:t>
            </w:r>
          </w:p>
          <w:p w14:paraId="12A800F2">
            <w:pPr>
              <w:keepLines w:val="0"/>
              <w:pageBreakBefore w:val="0"/>
              <w:kinsoku/>
              <w:wordWrap/>
              <w:overflowPunct/>
              <w:topLinePunct w:val="0"/>
              <w:autoSpaceDE/>
              <w:autoSpaceDN/>
              <w:bidi w:val="0"/>
              <w:adjustRightInd/>
              <w:snapToGrid/>
              <w:spacing w:line="240" w:lineRule="auto"/>
              <w:ind w:firstLine="210" w:firstLineChars="100"/>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 w:val="21"/>
                <w:szCs w:val="21"/>
                <w:highlight w:val="none"/>
                <w:shd w:val="clear" w:color="auto" w:fill="FFFFFF" w:themeFill="background1"/>
                <w:lang w:val="en-US" w:eastAsia="zh-CN" w:bidi="ar-SA"/>
              </w:rPr>
              <w:t>5、供应商须具备有效的安全生产许可证。</w:t>
            </w:r>
          </w:p>
          <w:p w14:paraId="140EC778">
            <w:pPr>
              <w:keepLines w:val="0"/>
              <w:pageBreakBefore w:val="0"/>
              <w:kinsoku/>
              <w:wordWrap/>
              <w:overflowPunct/>
              <w:topLinePunct w:val="0"/>
              <w:autoSpaceDE/>
              <w:autoSpaceDN/>
              <w:bidi w:val="0"/>
              <w:adjustRightInd/>
              <w:snapToGrid/>
              <w:spacing w:line="240" w:lineRule="auto"/>
              <w:ind w:firstLine="210" w:firstLineChars="100"/>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 w:val="21"/>
                <w:szCs w:val="21"/>
                <w:highlight w:val="none"/>
                <w:shd w:val="clear" w:color="auto" w:fill="FFFFFF" w:themeFill="background1"/>
                <w:lang w:val="en-US" w:eastAsia="zh-CN" w:bidi="ar-SA"/>
              </w:rPr>
              <w:t>6、供应商名称必须与营业执照、资质证书、安全生产许可证中的企业名称保持一致。</w:t>
            </w:r>
          </w:p>
          <w:p w14:paraId="25865FD2">
            <w:pPr>
              <w:keepLines w:val="0"/>
              <w:pageBreakBefore w:val="0"/>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 w:val="21"/>
                <w:szCs w:val="21"/>
                <w:highlight w:val="none"/>
                <w:shd w:val="clear" w:color="auto" w:fill="FFFFFF" w:themeFill="background1"/>
                <w:lang w:val="en-US" w:eastAsia="zh-CN" w:bidi="ar-SA"/>
              </w:rPr>
              <w:t>7、项目负责人要求：注册建造师（建筑工程专业）二级及以上，本单位注册；且具备有效的安全生产考核合格证书（B类）。</w:t>
            </w:r>
          </w:p>
        </w:tc>
      </w:tr>
      <w:tr w14:paraId="71A67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358" w:hRule="atLeast"/>
          <w:jc w:val="center"/>
        </w:trPr>
        <w:tc>
          <w:tcPr>
            <w:tcW w:w="597" w:type="dxa"/>
            <w:vAlign w:val="center"/>
          </w:tcPr>
          <w:p w14:paraId="1A112AEF">
            <w:pPr>
              <w:spacing w:line="24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6</w:t>
            </w:r>
          </w:p>
        </w:tc>
        <w:tc>
          <w:tcPr>
            <w:tcW w:w="1795" w:type="dxa"/>
            <w:shd w:val="clear" w:color="auto" w:fill="auto"/>
            <w:vAlign w:val="center"/>
          </w:tcPr>
          <w:p w14:paraId="01C747AB">
            <w:pPr>
              <w:keepNext/>
              <w:keepLines w:val="0"/>
              <w:pageBreakBefore w:val="0"/>
              <w:widowControl/>
              <w:kinsoku/>
              <w:wordWrap/>
              <w:overflowPunct/>
              <w:topLinePunct w:val="0"/>
              <w:autoSpaceDE/>
              <w:autoSpaceDN/>
              <w:bidi w:val="0"/>
              <w:adjustRightInd/>
              <w:snapToGrid/>
              <w:spacing w:beforeAutospacing="0" w:afterAutospacing="0" w:line="240" w:lineRule="auto"/>
              <w:jc w:val="distribute"/>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lang w:val="en-US" w:eastAsia="zh-CN"/>
              </w:rPr>
              <w:t>供应商不得存在的情形</w:t>
            </w:r>
          </w:p>
        </w:tc>
        <w:tc>
          <w:tcPr>
            <w:tcW w:w="6688" w:type="dxa"/>
            <w:shd w:val="clear" w:color="auto" w:fill="auto"/>
            <w:vAlign w:val="center"/>
          </w:tcPr>
          <w:p w14:paraId="38CB86C4">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lang w:val="en-US" w:eastAsia="zh-CN"/>
              </w:rPr>
              <w:t>1、</w:t>
            </w:r>
            <w:r>
              <w:rPr>
                <w:rFonts w:hint="eastAsia" w:ascii="仿宋" w:hAnsi="仿宋" w:eastAsia="仿宋" w:cs="仿宋"/>
                <w:color w:val="auto"/>
                <w:kern w:val="0"/>
                <w:szCs w:val="21"/>
                <w:highlight w:val="none"/>
                <w:shd w:val="clear" w:color="auto" w:fill="FFFFFF" w:themeFill="background1"/>
              </w:rPr>
              <w:t>本项目不接受联合体。</w:t>
            </w:r>
          </w:p>
          <w:p w14:paraId="26CCD2E1">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lang w:val="en-US" w:eastAsia="zh-CN"/>
              </w:rPr>
              <w:t>2、</w:t>
            </w:r>
            <w:r>
              <w:rPr>
                <w:rFonts w:hint="eastAsia" w:ascii="仿宋" w:hAnsi="仿宋" w:eastAsia="仿宋" w:cs="仿宋"/>
                <w:color w:val="auto"/>
                <w:kern w:val="0"/>
                <w:szCs w:val="21"/>
                <w:highlight w:val="none"/>
                <w:shd w:val="clear" w:color="auto" w:fill="FFFFFF" w:themeFill="background1"/>
              </w:rPr>
              <w:t>为采购项目提供整体设计、规范编制或者项目管理、监理、检测等服务的供应商，不得再参加该采购项目的其他采购活动</w:t>
            </w:r>
            <w:r>
              <w:rPr>
                <w:rFonts w:hint="eastAsia" w:ascii="仿宋" w:hAnsi="仿宋" w:eastAsia="仿宋" w:cs="仿宋"/>
                <w:color w:val="auto"/>
                <w:kern w:val="0"/>
                <w:szCs w:val="21"/>
                <w:highlight w:val="none"/>
                <w:shd w:val="clear" w:color="auto" w:fill="FFFFFF" w:themeFill="background1"/>
                <w:lang w:eastAsia="zh-CN"/>
              </w:rPr>
              <w:t>。</w:t>
            </w:r>
          </w:p>
          <w:p w14:paraId="77668AB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firstLine="210" w:firstLineChars="100"/>
              <w:jc w:val="left"/>
              <w:textAlignment w:val="auto"/>
              <w:rPr>
                <w:rFonts w:hint="eastAsia" w:ascii="仿宋" w:hAnsi="仿宋" w:eastAsia="仿宋" w:cs="仿宋"/>
                <w:color w:val="auto"/>
                <w:highlight w:val="none"/>
              </w:rPr>
            </w:pPr>
            <w:r>
              <w:rPr>
                <w:rFonts w:hint="eastAsia" w:ascii="仿宋" w:hAnsi="仿宋" w:eastAsia="仿宋" w:cs="仿宋"/>
                <w:color w:val="auto"/>
                <w:kern w:val="0"/>
                <w:szCs w:val="21"/>
                <w:highlight w:val="none"/>
                <w:shd w:val="clear" w:color="auto" w:fill="FFFFFF" w:themeFill="background1"/>
                <w:lang w:val="en-US" w:eastAsia="zh-CN"/>
              </w:rPr>
              <w:t>3、</w:t>
            </w:r>
            <w:r>
              <w:rPr>
                <w:rFonts w:hint="eastAsia" w:ascii="仿宋" w:hAnsi="仿宋" w:eastAsia="仿宋" w:cs="仿宋"/>
                <w:color w:val="auto"/>
                <w:kern w:val="0"/>
                <w:szCs w:val="21"/>
                <w:highlight w:val="none"/>
                <w:shd w:val="clear" w:color="auto" w:fill="FFFFFF" w:themeFill="background1"/>
              </w:rPr>
              <w:t>单位负责人为同一人或者存在直接控股、管理关系的不同供应商不得参加本项目同一包的采购活动。</w:t>
            </w:r>
          </w:p>
          <w:p w14:paraId="74E96F9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lang w:eastAsia="zh-CN"/>
              </w:rPr>
            </w:pPr>
            <w:r>
              <w:rPr>
                <w:rFonts w:hint="eastAsia" w:ascii="仿宋" w:hAnsi="仿宋" w:eastAsia="仿宋" w:cs="仿宋"/>
                <w:color w:val="auto"/>
                <w:kern w:val="0"/>
                <w:szCs w:val="21"/>
                <w:highlight w:val="none"/>
                <w:shd w:val="clear" w:color="auto" w:fill="FFFFFF" w:themeFill="background1"/>
                <w:lang w:val="en-US" w:eastAsia="zh-CN"/>
              </w:rPr>
              <w:t>4、</w:t>
            </w:r>
            <w:r>
              <w:rPr>
                <w:rFonts w:hint="eastAsia" w:ascii="仿宋" w:hAnsi="仿宋" w:eastAsia="仿宋" w:cs="仿宋"/>
                <w:color w:val="auto"/>
                <w:kern w:val="0"/>
                <w:szCs w:val="21"/>
                <w:highlight w:val="none"/>
                <w:shd w:val="clear" w:color="auto" w:fill="FFFFFF" w:themeFill="background1"/>
              </w:rPr>
              <w:t>供应商处于被责令停业、财产被接管、冻结和破产状态，以及</w:t>
            </w:r>
            <w:r>
              <w:rPr>
                <w:rFonts w:hint="eastAsia" w:ascii="仿宋" w:hAnsi="仿宋" w:eastAsia="仿宋" w:cs="仿宋"/>
                <w:color w:val="auto"/>
                <w:kern w:val="0"/>
                <w:szCs w:val="21"/>
                <w:highlight w:val="none"/>
                <w:shd w:val="clear" w:color="auto" w:fill="FFFFFF" w:themeFill="background1"/>
                <w:lang w:eastAsia="zh-CN"/>
              </w:rPr>
              <w:t>响应资格</w:t>
            </w:r>
            <w:r>
              <w:rPr>
                <w:rFonts w:hint="eastAsia" w:ascii="仿宋" w:hAnsi="仿宋" w:eastAsia="仿宋" w:cs="仿宋"/>
                <w:color w:val="auto"/>
                <w:kern w:val="0"/>
                <w:szCs w:val="21"/>
                <w:highlight w:val="none"/>
                <w:shd w:val="clear" w:color="auto" w:fill="FFFFFF" w:themeFill="background1"/>
              </w:rPr>
              <w:t>被取消或者被暂停且在暂停期内</w:t>
            </w:r>
            <w:r>
              <w:rPr>
                <w:rFonts w:hint="eastAsia" w:ascii="仿宋" w:hAnsi="仿宋" w:eastAsia="仿宋" w:cs="仿宋"/>
                <w:color w:val="auto"/>
                <w:kern w:val="0"/>
                <w:szCs w:val="21"/>
                <w:highlight w:val="none"/>
                <w:shd w:val="clear" w:color="auto" w:fill="FFFFFF" w:themeFill="background1"/>
                <w:lang w:eastAsia="zh-CN"/>
              </w:rPr>
              <w:t>。</w:t>
            </w:r>
          </w:p>
          <w:p w14:paraId="2E08E2AB">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left="0" w:leftChars="0" w:firstLine="210" w:firstLineChars="100"/>
              <w:jc w:val="left"/>
              <w:textAlignment w:val="auto"/>
              <w:rPr>
                <w:rFonts w:hint="eastAsia" w:ascii="仿宋" w:hAnsi="仿宋" w:eastAsia="仿宋" w:cs="仿宋"/>
                <w:color w:val="auto"/>
                <w:kern w:val="2"/>
                <w:sz w:val="21"/>
                <w:szCs w:val="22"/>
                <w:highlight w:val="none"/>
                <w:lang w:val="en-US" w:eastAsia="zh-CN" w:bidi="ar-SA"/>
              </w:rPr>
            </w:pPr>
            <w:r>
              <w:rPr>
                <w:rFonts w:hint="eastAsia" w:ascii="仿宋" w:hAnsi="仿宋" w:eastAsia="仿宋" w:cs="仿宋"/>
                <w:color w:val="auto"/>
                <w:kern w:val="0"/>
                <w:szCs w:val="21"/>
                <w:highlight w:val="none"/>
                <w:shd w:val="clear" w:color="auto" w:fill="FFFFFF" w:themeFill="background1"/>
                <w:lang w:val="en-US" w:eastAsia="zh-CN"/>
              </w:rPr>
              <w:t>5、法律法规及采购文件规定的其他情形。</w:t>
            </w:r>
          </w:p>
        </w:tc>
      </w:tr>
      <w:tr w14:paraId="2AC8B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358" w:hRule="atLeast"/>
          <w:jc w:val="center"/>
        </w:trPr>
        <w:tc>
          <w:tcPr>
            <w:tcW w:w="597" w:type="dxa"/>
            <w:shd w:val="clear" w:color="auto" w:fill="auto"/>
            <w:vAlign w:val="center"/>
          </w:tcPr>
          <w:p w14:paraId="4D667915">
            <w:pPr>
              <w:spacing w:line="240" w:lineRule="auto"/>
              <w:jc w:val="center"/>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7</w:t>
            </w:r>
          </w:p>
        </w:tc>
        <w:tc>
          <w:tcPr>
            <w:tcW w:w="1795" w:type="dxa"/>
            <w:shd w:val="clear" w:color="auto" w:fill="auto"/>
            <w:vAlign w:val="center"/>
          </w:tcPr>
          <w:p w14:paraId="5C2A9341">
            <w:pPr>
              <w:keepNext/>
              <w:widowControl/>
              <w:spacing w:line="240" w:lineRule="auto"/>
              <w:jc w:val="distribute"/>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lang w:eastAsia="zh-CN"/>
              </w:rPr>
              <w:t>采购文件</w:t>
            </w:r>
            <w:r>
              <w:rPr>
                <w:rFonts w:hint="eastAsia" w:ascii="仿宋" w:hAnsi="仿宋" w:eastAsia="仿宋" w:cs="仿宋"/>
                <w:color w:val="auto"/>
                <w:kern w:val="0"/>
                <w:szCs w:val="21"/>
                <w:highlight w:val="none"/>
                <w:shd w:val="clear" w:color="auto" w:fill="FFFFFF" w:themeFill="background1"/>
              </w:rPr>
              <w:t>费</w:t>
            </w:r>
          </w:p>
        </w:tc>
        <w:tc>
          <w:tcPr>
            <w:tcW w:w="6688" w:type="dxa"/>
            <w:shd w:val="clear" w:color="auto" w:fill="auto"/>
            <w:vAlign w:val="center"/>
          </w:tcPr>
          <w:p w14:paraId="34FDCE45">
            <w:pPr>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0元/份</w:t>
            </w:r>
          </w:p>
        </w:tc>
      </w:tr>
      <w:tr w14:paraId="4EBF1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358" w:hRule="atLeast"/>
          <w:jc w:val="center"/>
        </w:trPr>
        <w:tc>
          <w:tcPr>
            <w:tcW w:w="597" w:type="dxa"/>
            <w:shd w:val="clear" w:color="auto" w:fill="auto"/>
            <w:vAlign w:val="center"/>
          </w:tcPr>
          <w:p w14:paraId="36302D6D">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8</w:t>
            </w:r>
          </w:p>
        </w:tc>
        <w:tc>
          <w:tcPr>
            <w:tcW w:w="1795" w:type="dxa"/>
            <w:shd w:val="clear" w:color="auto" w:fill="auto"/>
            <w:vAlign w:val="center"/>
          </w:tcPr>
          <w:p w14:paraId="69B5F0BB">
            <w:pPr>
              <w:keepNext/>
              <w:widowControl/>
              <w:spacing w:line="240" w:lineRule="auto"/>
              <w:jc w:val="distribute"/>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lang w:eastAsia="zh-CN"/>
              </w:rPr>
              <w:t>响应保证金</w:t>
            </w:r>
          </w:p>
        </w:tc>
        <w:tc>
          <w:tcPr>
            <w:tcW w:w="6688" w:type="dxa"/>
            <w:shd w:val="clear" w:color="auto" w:fill="auto"/>
            <w:vAlign w:val="center"/>
          </w:tcPr>
          <w:p w14:paraId="16EEA756">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1、</w:t>
            </w:r>
            <w:r>
              <w:rPr>
                <w:rFonts w:hint="eastAsia" w:ascii="仿宋" w:hAnsi="仿宋" w:eastAsia="仿宋" w:cs="仿宋"/>
                <w:color w:val="auto"/>
                <w:kern w:val="0"/>
                <w:szCs w:val="21"/>
                <w:highlight w:val="none"/>
                <w:shd w:val="clear" w:color="auto" w:fill="FFFFFF" w:themeFill="background1"/>
                <w:lang w:eastAsia="zh-CN"/>
              </w:rPr>
              <w:t>响应保证金</w:t>
            </w:r>
            <w:r>
              <w:rPr>
                <w:rFonts w:hint="eastAsia" w:ascii="仿宋" w:hAnsi="仿宋" w:eastAsia="仿宋" w:cs="仿宋"/>
                <w:color w:val="auto"/>
                <w:kern w:val="0"/>
                <w:szCs w:val="21"/>
                <w:highlight w:val="none"/>
                <w:shd w:val="clear" w:color="auto" w:fill="FFFFFF" w:themeFill="background1"/>
                <w:lang w:val="en-US" w:eastAsia="zh-CN"/>
              </w:rPr>
              <w:t>金额：6000.00元</w:t>
            </w:r>
          </w:p>
          <w:p w14:paraId="342595B4">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2、提交截止时间：同响应文件递交截止时间</w:t>
            </w:r>
          </w:p>
          <w:p w14:paraId="6A41B922">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lang w:val="en-US" w:eastAsia="zh-CN"/>
              </w:rPr>
              <w:t>3、提交形式：</w:t>
            </w:r>
            <w:r>
              <w:rPr>
                <w:rFonts w:hint="eastAsia" w:ascii="仿宋" w:hAnsi="仿宋" w:eastAsia="仿宋" w:cs="仿宋"/>
                <w:color w:val="auto"/>
                <w:kern w:val="0"/>
                <w:szCs w:val="21"/>
                <w:highlight w:val="none"/>
                <w:shd w:val="clear" w:color="auto" w:fill="FFFFFF" w:themeFill="background1"/>
                <w:lang w:eastAsia="zh-CN"/>
              </w:rPr>
              <w:t>响应保证金</w:t>
            </w:r>
            <w:r>
              <w:rPr>
                <w:rFonts w:hint="eastAsia" w:ascii="仿宋" w:hAnsi="仿宋" w:eastAsia="仿宋" w:cs="仿宋"/>
                <w:color w:val="auto"/>
                <w:kern w:val="0"/>
                <w:szCs w:val="21"/>
                <w:highlight w:val="none"/>
                <w:shd w:val="clear" w:color="auto" w:fill="FFFFFF" w:themeFill="background1"/>
              </w:rPr>
              <w:t>以支票、汇票、本票或者金融机构、担保机构出具的保函等非现金形式提交至采购代理机构。</w:t>
            </w:r>
          </w:p>
          <w:p w14:paraId="421A5C2C">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4、银行账户信息</w:t>
            </w:r>
          </w:p>
          <w:p w14:paraId="194AD7E2">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采购代理机构名称：新疆新世纪招标有限公司</w:t>
            </w:r>
          </w:p>
          <w:p w14:paraId="24389E02">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纳税人识别号：91650100726988855F</w:t>
            </w:r>
          </w:p>
          <w:p w14:paraId="6C4A07F5">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开户行：中国农业银行乌鲁木齐新民西街支行</w:t>
            </w:r>
          </w:p>
          <w:p w14:paraId="2723FF8D">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账号：30014701040000595</w:t>
            </w:r>
          </w:p>
          <w:p w14:paraId="639A0E7F">
            <w:pPr>
              <w:keepNext/>
              <w:keepLines w:val="0"/>
              <w:pageBreakBefore w:val="0"/>
              <w:widowControl/>
              <w:kinsoku/>
              <w:wordWrap/>
              <w:overflowPunct/>
              <w:topLinePunct w:val="0"/>
              <w:autoSpaceDE/>
              <w:autoSpaceDN/>
              <w:bidi w:val="0"/>
              <w:adjustRightInd/>
              <w:snapToGrid/>
              <w:spacing w:line="240" w:lineRule="auto"/>
              <w:ind w:firstLine="210" w:firstLineChars="100"/>
              <w:textAlignment w:val="auto"/>
              <w:rPr>
                <w:rFonts w:hint="default"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5、供应商在提交响应保证金时需备注项目名称简称。</w:t>
            </w:r>
          </w:p>
        </w:tc>
      </w:tr>
      <w:tr w14:paraId="60B3D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27401464">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9</w:t>
            </w:r>
          </w:p>
        </w:tc>
        <w:tc>
          <w:tcPr>
            <w:tcW w:w="1795" w:type="dxa"/>
            <w:shd w:val="clear" w:color="auto" w:fill="auto"/>
            <w:vAlign w:val="center"/>
          </w:tcPr>
          <w:p w14:paraId="15B5A047">
            <w:pPr>
              <w:keepNext/>
              <w:widowControl/>
              <w:spacing w:line="240" w:lineRule="auto"/>
              <w:jc w:val="distribute"/>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现场踏勘</w:t>
            </w:r>
          </w:p>
        </w:tc>
        <w:tc>
          <w:tcPr>
            <w:tcW w:w="6688" w:type="dxa"/>
            <w:shd w:val="clear" w:color="auto" w:fill="auto"/>
            <w:vAlign w:val="center"/>
          </w:tcPr>
          <w:p w14:paraId="26149D2C">
            <w:pPr>
              <w:keepLines w:val="0"/>
              <w:pageBreakBefore w:val="0"/>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不组织</w:t>
            </w:r>
          </w:p>
        </w:tc>
      </w:tr>
      <w:tr w14:paraId="4B8DE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548D998F">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10</w:t>
            </w:r>
          </w:p>
        </w:tc>
        <w:tc>
          <w:tcPr>
            <w:tcW w:w="1795" w:type="dxa"/>
            <w:shd w:val="clear" w:color="auto" w:fill="auto"/>
            <w:vAlign w:val="center"/>
          </w:tcPr>
          <w:p w14:paraId="58AB1501">
            <w:pPr>
              <w:keepNext/>
              <w:widowControl/>
              <w:spacing w:line="240" w:lineRule="auto"/>
              <w:jc w:val="distribute"/>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采购答疑</w:t>
            </w:r>
          </w:p>
        </w:tc>
        <w:tc>
          <w:tcPr>
            <w:tcW w:w="6688" w:type="dxa"/>
            <w:shd w:val="clear" w:color="auto" w:fill="auto"/>
            <w:vAlign w:val="center"/>
          </w:tcPr>
          <w:p w14:paraId="5F28F8EE">
            <w:pPr>
              <w:keepLines w:val="0"/>
              <w:pageBreakBefore w:val="0"/>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1、不召开答疑会。</w:t>
            </w:r>
          </w:p>
          <w:p w14:paraId="785EE4CC">
            <w:pPr>
              <w:keepLines w:val="0"/>
              <w:pageBreakBefore w:val="0"/>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2、提出询问的，应当在响应文件递交截止时间6日前以书面形式（加盖公章）递交至新疆新世纪招标有限公司，否则采购人不作任何解释。</w:t>
            </w:r>
          </w:p>
          <w:p w14:paraId="6F067876">
            <w:pPr>
              <w:keepLines w:val="0"/>
              <w:pageBreakBefore w:val="0"/>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3、对</w:t>
            </w:r>
            <w:r>
              <w:rPr>
                <w:rFonts w:hint="eastAsia" w:ascii="仿宋" w:hAnsi="仿宋" w:eastAsia="仿宋" w:cs="仿宋"/>
                <w:color w:val="auto"/>
                <w:kern w:val="0"/>
                <w:szCs w:val="21"/>
                <w:highlight w:val="none"/>
                <w:shd w:val="clear" w:color="auto" w:fill="FFFFFF" w:themeFill="background1"/>
                <w:lang w:eastAsia="zh-CN"/>
              </w:rPr>
              <w:t>采购文件</w:t>
            </w:r>
            <w:r>
              <w:rPr>
                <w:rFonts w:hint="eastAsia" w:ascii="仿宋" w:hAnsi="仿宋" w:eastAsia="仿宋" w:cs="仿宋"/>
                <w:color w:val="auto"/>
                <w:kern w:val="0"/>
                <w:szCs w:val="21"/>
                <w:highlight w:val="none"/>
                <w:shd w:val="clear" w:color="auto" w:fill="FFFFFF" w:themeFill="background1"/>
              </w:rPr>
              <w:t>提出质疑的，应当在获取</w:t>
            </w:r>
            <w:r>
              <w:rPr>
                <w:rFonts w:hint="eastAsia" w:ascii="仿宋" w:hAnsi="仿宋" w:eastAsia="仿宋" w:cs="仿宋"/>
                <w:color w:val="auto"/>
                <w:kern w:val="0"/>
                <w:szCs w:val="21"/>
                <w:highlight w:val="none"/>
                <w:shd w:val="clear" w:color="auto" w:fill="FFFFFF" w:themeFill="background1"/>
                <w:lang w:eastAsia="zh-CN"/>
              </w:rPr>
              <w:t>采购文件</w:t>
            </w:r>
            <w:r>
              <w:rPr>
                <w:rFonts w:hint="eastAsia" w:ascii="仿宋" w:hAnsi="仿宋" w:eastAsia="仿宋" w:cs="仿宋"/>
                <w:color w:val="auto"/>
                <w:kern w:val="0"/>
                <w:szCs w:val="21"/>
                <w:highlight w:val="none"/>
                <w:shd w:val="clear" w:color="auto" w:fill="FFFFFF" w:themeFill="background1"/>
              </w:rPr>
              <w:t>或者</w:t>
            </w:r>
            <w:r>
              <w:rPr>
                <w:rFonts w:hint="eastAsia" w:ascii="仿宋" w:hAnsi="仿宋" w:eastAsia="仿宋" w:cs="仿宋"/>
                <w:color w:val="auto"/>
                <w:kern w:val="0"/>
                <w:szCs w:val="21"/>
                <w:highlight w:val="none"/>
                <w:shd w:val="clear" w:color="auto" w:fill="FFFFFF" w:themeFill="background1"/>
                <w:lang w:eastAsia="zh-CN"/>
              </w:rPr>
              <w:t>采购文件</w:t>
            </w:r>
            <w:r>
              <w:rPr>
                <w:rFonts w:hint="eastAsia" w:ascii="仿宋" w:hAnsi="仿宋" w:eastAsia="仿宋" w:cs="仿宋"/>
                <w:color w:val="auto"/>
                <w:kern w:val="0"/>
                <w:szCs w:val="21"/>
                <w:highlight w:val="none"/>
                <w:shd w:val="clear" w:color="auto" w:fill="FFFFFF" w:themeFill="background1"/>
              </w:rPr>
              <w:t>公告期限届满之日起7个工作日内一次性以书面形式（按照财政部制定的质疑函范本编写）提出并递交至采购代理机构。</w:t>
            </w:r>
          </w:p>
          <w:p w14:paraId="7EA55ECA">
            <w:pPr>
              <w:keepLines w:val="0"/>
              <w:pageBreakBefore w:val="0"/>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质疑接收人：</w:t>
            </w:r>
            <w:r>
              <w:rPr>
                <w:rFonts w:hint="eastAsia" w:ascii="仿宋" w:hAnsi="仿宋" w:eastAsia="仿宋" w:cs="仿宋"/>
                <w:color w:val="auto"/>
                <w:kern w:val="0"/>
                <w:szCs w:val="21"/>
                <w:highlight w:val="none"/>
                <w:shd w:val="clear" w:color="auto" w:fill="FFFFFF" w:themeFill="background1"/>
                <w:lang w:eastAsia="zh-CN"/>
              </w:rPr>
              <w:t>马丹阳</w:t>
            </w:r>
            <w:r>
              <w:rPr>
                <w:rFonts w:hint="eastAsia" w:ascii="仿宋" w:hAnsi="仿宋" w:eastAsia="仿宋" w:cs="仿宋"/>
                <w:color w:val="auto"/>
                <w:kern w:val="0"/>
                <w:szCs w:val="21"/>
                <w:highlight w:val="none"/>
                <w:shd w:val="clear" w:color="auto" w:fill="FFFFFF" w:themeFill="background1"/>
              </w:rPr>
              <w:t>；联系方式：</w:t>
            </w:r>
            <w:r>
              <w:rPr>
                <w:rFonts w:hint="eastAsia" w:ascii="仿宋" w:hAnsi="仿宋" w:eastAsia="仿宋" w:cs="仿宋"/>
                <w:color w:val="auto"/>
                <w:kern w:val="0"/>
                <w:szCs w:val="21"/>
                <w:highlight w:val="none"/>
                <w:shd w:val="clear" w:color="auto" w:fill="FFFFFF" w:themeFill="background1"/>
                <w:lang w:eastAsia="zh-CN"/>
              </w:rPr>
              <w:t>0991-4661782</w:t>
            </w:r>
            <w:r>
              <w:rPr>
                <w:rFonts w:hint="eastAsia" w:ascii="仿宋" w:hAnsi="仿宋" w:eastAsia="仿宋" w:cs="仿宋"/>
                <w:color w:val="auto"/>
                <w:kern w:val="0"/>
                <w:szCs w:val="21"/>
                <w:highlight w:val="none"/>
                <w:shd w:val="clear" w:color="auto" w:fill="FFFFFF" w:themeFill="background1"/>
              </w:rPr>
              <w:t>。</w:t>
            </w:r>
          </w:p>
          <w:p w14:paraId="6ED21B4C">
            <w:pPr>
              <w:keepLines w:val="0"/>
              <w:pageBreakBefore w:val="0"/>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4、注：①、供应商必须在法定质疑期内一次性提出针对同一采购程序环节的质疑；供应商投诉的事项不得超出已质疑事项的范围。②、供应商在国家法律规定的时间内未提出书面疑问，视为对</w:t>
            </w:r>
            <w:r>
              <w:rPr>
                <w:rFonts w:hint="eastAsia" w:ascii="仿宋" w:hAnsi="仿宋" w:eastAsia="仿宋" w:cs="仿宋"/>
                <w:color w:val="auto"/>
                <w:kern w:val="0"/>
                <w:szCs w:val="21"/>
                <w:highlight w:val="none"/>
                <w:shd w:val="clear" w:color="auto" w:fill="FFFFFF" w:themeFill="background1"/>
                <w:lang w:eastAsia="zh-CN"/>
              </w:rPr>
              <w:t>采购文件</w:t>
            </w:r>
            <w:r>
              <w:rPr>
                <w:rFonts w:hint="eastAsia" w:ascii="仿宋" w:hAnsi="仿宋" w:eastAsia="仿宋" w:cs="仿宋"/>
                <w:color w:val="auto"/>
                <w:kern w:val="0"/>
                <w:szCs w:val="21"/>
                <w:highlight w:val="none"/>
                <w:shd w:val="clear" w:color="auto" w:fill="FFFFFF" w:themeFill="background1"/>
              </w:rPr>
              <w:t>的资格条件、评审方法、合同文本、工程量清单等所有内容无异议。</w:t>
            </w:r>
          </w:p>
        </w:tc>
      </w:tr>
      <w:tr w14:paraId="6C847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0331EA0D">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11</w:t>
            </w:r>
          </w:p>
        </w:tc>
        <w:tc>
          <w:tcPr>
            <w:tcW w:w="1795" w:type="dxa"/>
            <w:shd w:val="clear" w:color="auto" w:fill="auto"/>
            <w:vAlign w:val="center"/>
          </w:tcPr>
          <w:p w14:paraId="56572794">
            <w:pPr>
              <w:keepNext/>
              <w:widowControl/>
              <w:spacing w:line="22" w:lineRule="atLeast"/>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响应文件</w:t>
            </w:r>
          </w:p>
        </w:tc>
        <w:tc>
          <w:tcPr>
            <w:tcW w:w="6688" w:type="dxa"/>
            <w:shd w:val="clear" w:color="auto" w:fill="auto"/>
            <w:vAlign w:val="center"/>
          </w:tcPr>
          <w:p w14:paraId="3571CC07">
            <w:pPr>
              <w:keepLines w:val="0"/>
              <w:pageBreakBefore w:val="0"/>
              <w:kinsoku/>
              <w:wordWrap/>
              <w:overflowPunct/>
              <w:topLinePunct w:val="0"/>
              <w:autoSpaceDE/>
              <w:autoSpaceDN/>
              <w:bidi w:val="0"/>
              <w:adjustRightInd/>
              <w:snapToGrid/>
              <w:spacing w:line="22" w:lineRule="atLeast"/>
              <w:ind w:firstLine="210" w:firstLineChars="100"/>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本次采购采用电子交易方式，电子交易平台为“政采云平台（https://www.zcygov.cn/）”。供应商参与本项目电子交易活动前，应注册成为政府采购云平台正式供应商。编制电子响应文件前还需申领CA证书并绑定帐号。供应商应充分考虑完成平台注册、申领CA证书等所需的时间。因未注册入库、未办理CA数字证书等原因造成无法</w:t>
            </w:r>
            <w:r>
              <w:rPr>
                <w:rFonts w:hint="eastAsia" w:ascii="仿宋" w:hAnsi="仿宋" w:eastAsia="仿宋" w:cs="仿宋"/>
                <w:color w:val="auto"/>
                <w:kern w:val="0"/>
                <w:szCs w:val="21"/>
                <w:highlight w:val="none"/>
                <w:shd w:val="clear" w:color="auto" w:fill="FFFFFF" w:themeFill="background1"/>
                <w:lang w:eastAsia="zh-CN"/>
              </w:rPr>
              <w:t>响应</w:t>
            </w:r>
            <w:r>
              <w:rPr>
                <w:rFonts w:hint="eastAsia" w:ascii="仿宋" w:hAnsi="仿宋" w:eastAsia="仿宋" w:cs="仿宋"/>
                <w:color w:val="auto"/>
                <w:kern w:val="0"/>
                <w:szCs w:val="21"/>
                <w:highlight w:val="none"/>
                <w:shd w:val="clear" w:color="auto" w:fill="FFFFFF" w:themeFill="background1"/>
              </w:rPr>
              <w:t>或</w:t>
            </w:r>
            <w:r>
              <w:rPr>
                <w:rFonts w:hint="eastAsia" w:ascii="仿宋" w:hAnsi="仿宋" w:eastAsia="仿宋" w:cs="仿宋"/>
                <w:color w:val="auto"/>
                <w:kern w:val="0"/>
                <w:szCs w:val="21"/>
                <w:highlight w:val="none"/>
                <w:shd w:val="clear" w:color="auto" w:fill="FFFFFF" w:themeFill="background1"/>
                <w:lang w:eastAsia="zh-CN"/>
              </w:rPr>
              <w:t>响应</w:t>
            </w:r>
            <w:r>
              <w:rPr>
                <w:rFonts w:hint="eastAsia" w:ascii="仿宋" w:hAnsi="仿宋" w:eastAsia="仿宋" w:cs="仿宋"/>
                <w:color w:val="auto"/>
                <w:kern w:val="0"/>
                <w:szCs w:val="21"/>
                <w:highlight w:val="none"/>
                <w:shd w:val="clear" w:color="auto" w:fill="FFFFFF" w:themeFill="background1"/>
              </w:rPr>
              <w:t xml:space="preserve">失败等后果由供应商自行承担。 </w:t>
            </w:r>
          </w:p>
          <w:p w14:paraId="27D8B399">
            <w:pPr>
              <w:keepLines w:val="0"/>
              <w:pageBreakBefore w:val="0"/>
              <w:kinsoku/>
              <w:wordWrap/>
              <w:overflowPunct/>
              <w:topLinePunct w:val="0"/>
              <w:autoSpaceDE/>
              <w:autoSpaceDN/>
              <w:bidi w:val="0"/>
              <w:adjustRightInd/>
              <w:snapToGrid/>
              <w:spacing w:line="22" w:lineRule="atLeast"/>
              <w:ind w:firstLine="210" w:firstLineChars="100"/>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2、加密的电子响应文件须在响应文件递交截止时间前通过政采云平台上传完成。逾期上传或者未上传至指定地点的响应文件，不予受理。</w:t>
            </w:r>
          </w:p>
          <w:p w14:paraId="3197EC50">
            <w:pPr>
              <w:keepLines w:val="0"/>
              <w:pageBreakBefore w:val="0"/>
              <w:kinsoku/>
              <w:wordWrap/>
              <w:overflowPunct/>
              <w:topLinePunct w:val="0"/>
              <w:autoSpaceDE/>
              <w:autoSpaceDN/>
              <w:bidi w:val="0"/>
              <w:adjustRightInd/>
              <w:snapToGrid/>
              <w:spacing w:line="22" w:lineRule="atLeast"/>
              <w:ind w:firstLine="210" w:firstLineChars="100"/>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3、供应商在开标前须提前配置好电脑浏览器，开标时请使用制作加密电子响应文件的CA锁进行解密及报价确认。</w:t>
            </w:r>
          </w:p>
          <w:p w14:paraId="0DCB5712">
            <w:pPr>
              <w:keepLines w:val="0"/>
              <w:pageBreakBefore w:val="0"/>
              <w:kinsoku/>
              <w:wordWrap/>
              <w:overflowPunct/>
              <w:topLinePunct w:val="0"/>
              <w:autoSpaceDE/>
              <w:autoSpaceDN/>
              <w:bidi w:val="0"/>
              <w:adjustRightInd/>
              <w:snapToGrid/>
              <w:spacing w:line="22" w:lineRule="atLeast"/>
              <w:ind w:firstLine="210" w:firstLineChars="100"/>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lang w:val="en-US" w:eastAsia="zh-CN"/>
              </w:rPr>
              <w:t>4、不见面开标默认解密时长：30分钟；除因交易平台发生故障导致响应文件无法按时解密外，响应文件未按时解密的，视为未按规定提交响应文件，响应无效。</w:t>
            </w:r>
          </w:p>
          <w:p w14:paraId="00F58A6F">
            <w:pPr>
              <w:keepLines w:val="0"/>
              <w:pageBreakBefore w:val="0"/>
              <w:kinsoku/>
              <w:wordWrap/>
              <w:overflowPunct/>
              <w:topLinePunct w:val="0"/>
              <w:autoSpaceDE/>
              <w:autoSpaceDN/>
              <w:bidi w:val="0"/>
              <w:adjustRightInd/>
              <w:snapToGrid/>
              <w:spacing w:line="22" w:lineRule="atLeast"/>
              <w:ind w:firstLine="210" w:firstLineChars="100"/>
              <w:textAlignment w:val="auto"/>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5</w:t>
            </w:r>
            <w:r>
              <w:rPr>
                <w:rFonts w:hint="eastAsia" w:ascii="仿宋" w:hAnsi="仿宋" w:eastAsia="仿宋" w:cs="仿宋"/>
                <w:color w:val="auto"/>
                <w:kern w:val="0"/>
                <w:szCs w:val="21"/>
                <w:highlight w:val="none"/>
                <w:shd w:val="clear" w:color="auto" w:fill="FFFFFF" w:themeFill="background1"/>
              </w:rPr>
              <w:t>、如遇电子交易平台的交易规则调整，以最新要求为准。</w:t>
            </w:r>
          </w:p>
        </w:tc>
      </w:tr>
      <w:tr w14:paraId="147C0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0ED9E387">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12</w:t>
            </w:r>
          </w:p>
        </w:tc>
        <w:tc>
          <w:tcPr>
            <w:tcW w:w="1795" w:type="dxa"/>
            <w:shd w:val="clear" w:color="auto" w:fill="auto"/>
            <w:vAlign w:val="center"/>
          </w:tcPr>
          <w:p w14:paraId="3A9C3212">
            <w:pPr>
              <w:keepNext/>
              <w:widowControl/>
              <w:spacing w:line="240" w:lineRule="auto"/>
              <w:jc w:val="distribute"/>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响应文件递交</w:t>
            </w:r>
          </w:p>
        </w:tc>
        <w:tc>
          <w:tcPr>
            <w:tcW w:w="6688" w:type="dxa"/>
            <w:shd w:val="clear" w:color="auto" w:fill="auto"/>
            <w:vAlign w:val="center"/>
          </w:tcPr>
          <w:p w14:paraId="3280BFA3">
            <w:pPr>
              <w:keepLines w:val="0"/>
              <w:pageBreakBefore w:val="0"/>
              <w:kinsoku/>
              <w:wordWrap/>
              <w:overflowPunct/>
              <w:topLinePunct w:val="0"/>
              <w:autoSpaceDE/>
              <w:autoSpaceDN/>
              <w:bidi w:val="0"/>
              <w:adjustRightInd/>
              <w:snapToGrid/>
              <w:spacing w:line="22" w:lineRule="atLeast"/>
              <w:ind w:firstLine="0" w:firstLineChars="0"/>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截止时间：</w:t>
            </w:r>
            <w:r>
              <w:rPr>
                <w:rFonts w:hint="eastAsia" w:ascii="仿宋" w:hAnsi="仿宋" w:eastAsia="仿宋" w:cs="仿宋"/>
                <w:color w:val="auto"/>
                <w:kern w:val="0"/>
                <w:szCs w:val="21"/>
                <w:highlight w:val="none"/>
                <w:u w:val="single"/>
                <w:shd w:val="clear" w:color="auto" w:fill="FFFFFF" w:themeFill="background1"/>
                <w:lang w:eastAsia="zh-CN"/>
              </w:rPr>
              <w:t>2026年06月26日16:00</w:t>
            </w:r>
            <w:r>
              <w:rPr>
                <w:rFonts w:hint="eastAsia" w:ascii="仿宋" w:hAnsi="仿宋" w:eastAsia="仿宋" w:cs="仿宋"/>
                <w:color w:val="auto"/>
                <w:kern w:val="0"/>
                <w:szCs w:val="21"/>
                <w:highlight w:val="none"/>
                <w:shd w:val="clear" w:color="auto" w:fill="FFFFFF" w:themeFill="background1"/>
              </w:rPr>
              <w:t>（北京时间）</w:t>
            </w:r>
          </w:p>
          <w:p w14:paraId="58E31445">
            <w:pPr>
              <w:keepNext/>
              <w:keepLines w:val="0"/>
              <w:pageBreakBefore w:val="0"/>
              <w:widowControl/>
              <w:kinsoku/>
              <w:wordWrap/>
              <w:overflowPunct/>
              <w:topLinePunct w:val="0"/>
              <w:autoSpaceDE/>
              <w:autoSpaceDN/>
              <w:bidi w:val="0"/>
              <w:adjustRightInd/>
              <w:snapToGrid/>
              <w:spacing w:line="22" w:lineRule="atLeast"/>
              <w:ind w:firstLine="0" w:firstLineChars="0"/>
              <w:textAlignment w:val="auto"/>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递交地点：政采云平台（https://www.zcygov.cn/）</w:t>
            </w:r>
          </w:p>
        </w:tc>
      </w:tr>
      <w:tr w14:paraId="30465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349174BF">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13</w:t>
            </w:r>
          </w:p>
        </w:tc>
        <w:tc>
          <w:tcPr>
            <w:tcW w:w="1795" w:type="dxa"/>
            <w:shd w:val="clear" w:color="auto" w:fill="auto"/>
            <w:vAlign w:val="center"/>
          </w:tcPr>
          <w:p w14:paraId="2180FA26">
            <w:pPr>
              <w:keepNext/>
              <w:widowControl/>
              <w:spacing w:line="240" w:lineRule="auto"/>
              <w:jc w:val="distribute"/>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lang w:eastAsia="zh-CN"/>
              </w:rPr>
              <w:t>开启</w:t>
            </w:r>
          </w:p>
        </w:tc>
        <w:tc>
          <w:tcPr>
            <w:tcW w:w="6688" w:type="dxa"/>
            <w:shd w:val="clear" w:color="auto" w:fill="auto"/>
            <w:vAlign w:val="center"/>
          </w:tcPr>
          <w:p w14:paraId="14F82FC4">
            <w:pPr>
              <w:keepLines w:val="0"/>
              <w:pageBreakBefore w:val="0"/>
              <w:kinsoku/>
              <w:wordWrap/>
              <w:overflowPunct/>
              <w:topLinePunct w:val="0"/>
              <w:autoSpaceDE/>
              <w:autoSpaceDN/>
              <w:bidi w:val="0"/>
              <w:adjustRightInd/>
              <w:snapToGrid/>
              <w:spacing w:line="22" w:lineRule="atLeast"/>
              <w:ind w:firstLine="0" w:firstLineChars="0"/>
              <w:textAlignment w:val="auto"/>
              <w:rPr>
                <w:rFonts w:hint="eastAsia" w:ascii="仿宋" w:hAnsi="仿宋" w:eastAsia="仿宋" w:cs="仿宋"/>
                <w:color w:val="auto"/>
                <w:kern w:val="0"/>
                <w:szCs w:val="21"/>
                <w:highlight w:val="none"/>
                <w:u w:val="singl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时间：</w:t>
            </w:r>
            <w:r>
              <w:rPr>
                <w:rFonts w:hint="eastAsia" w:ascii="仿宋" w:hAnsi="仿宋" w:eastAsia="仿宋" w:cs="仿宋"/>
                <w:color w:val="auto"/>
                <w:kern w:val="0"/>
                <w:szCs w:val="21"/>
                <w:highlight w:val="none"/>
                <w:u w:val="single"/>
                <w:shd w:val="clear" w:color="auto" w:fill="FFFFFF" w:themeFill="background1"/>
                <w:lang w:eastAsia="zh-CN"/>
              </w:rPr>
              <w:t>2026年06月26日16:00</w:t>
            </w:r>
            <w:r>
              <w:rPr>
                <w:rFonts w:hint="eastAsia" w:ascii="仿宋" w:hAnsi="仿宋" w:eastAsia="仿宋" w:cs="仿宋"/>
                <w:color w:val="auto"/>
                <w:kern w:val="0"/>
                <w:szCs w:val="21"/>
                <w:highlight w:val="none"/>
                <w:shd w:val="clear" w:color="auto" w:fill="FFFFFF" w:themeFill="background1"/>
              </w:rPr>
              <w:t>（北京时间）</w:t>
            </w:r>
          </w:p>
          <w:p w14:paraId="338BC52A">
            <w:pPr>
              <w:keepNext/>
              <w:keepLines w:val="0"/>
              <w:pageBreakBefore w:val="0"/>
              <w:widowControl/>
              <w:kinsoku/>
              <w:wordWrap/>
              <w:overflowPunct/>
              <w:topLinePunct w:val="0"/>
              <w:autoSpaceDE/>
              <w:autoSpaceDN/>
              <w:bidi w:val="0"/>
              <w:adjustRightInd/>
              <w:snapToGrid/>
              <w:spacing w:line="22" w:lineRule="atLeast"/>
              <w:ind w:firstLine="0" w:firstLineChars="0"/>
              <w:textAlignment w:val="auto"/>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地点：政采云平台（https://www.zcygov.cn/）</w:t>
            </w:r>
          </w:p>
        </w:tc>
      </w:tr>
      <w:tr w14:paraId="5AC13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7B607E98">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14</w:t>
            </w:r>
          </w:p>
        </w:tc>
        <w:tc>
          <w:tcPr>
            <w:tcW w:w="1795" w:type="dxa"/>
            <w:shd w:val="clear" w:color="auto" w:fill="auto"/>
            <w:vAlign w:val="center"/>
          </w:tcPr>
          <w:p w14:paraId="111BA6E6">
            <w:pPr>
              <w:keepNext/>
              <w:widowControl/>
              <w:spacing w:line="240" w:lineRule="auto"/>
              <w:jc w:val="distribute"/>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响应有效期</w:t>
            </w:r>
          </w:p>
        </w:tc>
        <w:tc>
          <w:tcPr>
            <w:tcW w:w="6688" w:type="dxa"/>
            <w:shd w:val="clear" w:color="auto" w:fill="auto"/>
            <w:vAlign w:val="center"/>
          </w:tcPr>
          <w:p w14:paraId="75A34085">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自</w:t>
            </w:r>
            <w:r>
              <w:rPr>
                <w:rFonts w:hint="eastAsia" w:ascii="仿宋" w:hAnsi="仿宋" w:eastAsia="仿宋" w:cs="仿宋"/>
                <w:color w:val="auto"/>
                <w:kern w:val="0"/>
                <w:szCs w:val="21"/>
                <w:highlight w:val="none"/>
                <w:shd w:val="clear" w:color="auto" w:fill="FFFFFF" w:themeFill="background1"/>
                <w:lang w:eastAsia="zh-CN"/>
              </w:rPr>
              <w:t>响应</w:t>
            </w:r>
            <w:r>
              <w:rPr>
                <w:rFonts w:hint="eastAsia" w:ascii="仿宋" w:hAnsi="仿宋" w:eastAsia="仿宋" w:cs="仿宋"/>
                <w:color w:val="auto"/>
                <w:kern w:val="0"/>
                <w:szCs w:val="21"/>
                <w:highlight w:val="none"/>
                <w:shd w:val="clear" w:color="auto" w:fill="FFFFFF" w:themeFill="background1"/>
              </w:rPr>
              <w:t>截止之日90日历日</w:t>
            </w:r>
          </w:p>
        </w:tc>
      </w:tr>
      <w:tr w14:paraId="5B4E8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625" w:hRule="atLeast"/>
          <w:jc w:val="center"/>
        </w:trPr>
        <w:tc>
          <w:tcPr>
            <w:tcW w:w="597" w:type="dxa"/>
            <w:shd w:val="clear" w:color="auto" w:fill="auto"/>
            <w:vAlign w:val="center"/>
          </w:tcPr>
          <w:p w14:paraId="530C517C">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15</w:t>
            </w:r>
          </w:p>
        </w:tc>
        <w:tc>
          <w:tcPr>
            <w:tcW w:w="1795" w:type="dxa"/>
            <w:shd w:val="clear" w:color="auto" w:fill="auto"/>
            <w:vAlign w:val="center"/>
          </w:tcPr>
          <w:p w14:paraId="60FD64E6">
            <w:pPr>
              <w:keepNext/>
              <w:widowControl/>
              <w:spacing w:line="240" w:lineRule="auto"/>
              <w:jc w:val="distribute"/>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公告发布媒体</w:t>
            </w:r>
          </w:p>
        </w:tc>
        <w:tc>
          <w:tcPr>
            <w:tcW w:w="6688" w:type="dxa"/>
            <w:shd w:val="clear" w:color="auto" w:fill="auto"/>
            <w:vAlign w:val="center"/>
          </w:tcPr>
          <w:p w14:paraId="7CB53544">
            <w:pPr>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kern w:val="0"/>
                <w:highlight w:val="none"/>
                <w:lang w:eastAsia="zh-CN"/>
              </w:rPr>
              <w:t>新疆政府采购网</w:t>
            </w:r>
          </w:p>
        </w:tc>
      </w:tr>
      <w:tr w14:paraId="26447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68B36E45">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16</w:t>
            </w:r>
          </w:p>
        </w:tc>
        <w:tc>
          <w:tcPr>
            <w:tcW w:w="1795" w:type="dxa"/>
            <w:shd w:val="clear" w:color="auto" w:fill="auto"/>
            <w:vAlign w:val="center"/>
          </w:tcPr>
          <w:p w14:paraId="3557ED28">
            <w:pPr>
              <w:keepNext/>
              <w:widowControl/>
              <w:spacing w:line="240" w:lineRule="auto"/>
              <w:jc w:val="distribute"/>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履约保证金</w:t>
            </w:r>
          </w:p>
        </w:tc>
        <w:tc>
          <w:tcPr>
            <w:tcW w:w="6688" w:type="dxa"/>
            <w:shd w:val="clear" w:color="auto" w:fill="auto"/>
            <w:vAlign w:val="center"/>
          </w:tcPr>
          <w:p w14:paraId="0FE130AB">
            <w:pPr>
              <w:keepNext/>
              <w:keepLines w:val="0"/>
              <w:pageBreakBefore w:val="0"/>
              <w:widowControl/>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1、履约保证金金额：</w:t>
            </w:r>
            <w:r>
              <w:rPr>
                <w:rFonts w:hint="eastAsia" w:ascii="仿宋" w:hAnsi="仿宋" w:eastAsia="仿宋" w:cs="仿宋"/>
                <w:color w:val="auto"/>
                <w:kern w:val="0"/>
                <w:szCs w:val="21"/>
                <w:highlight w:val="none"/>
                <w:lang w:val="en-US" w:eastAsia="zh-CN"/>
              </w:rPr>
              <w:t>/</w:t>
            </w:r>
            <w:r>
              <w:rPr>
                <w:rFonts w:hint="eastAsia" w:ascii="仿宋" w:hAnsi="仿宋" w:eastAsia="仿宋" w:cs="仿宋"/>
                <w:color w:val="auto"/>
                <w:kern w:val="0"/>
                <w:szCs w:val="21"/>
                <w:highlight w:val="none"/>
              </w:rPr>
              <w:t>。</w:t>
            </w:r>
          </w:p>
          <w:p w14:paraId="659F93F3">
            <w:pPr>
              <w:keepNext/>
              <w:keepLines w:val="0"/>
              <w:pageBreakBefore w:val="0"/>
              <w:widowControl/>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rPr>
              <w:t>2、</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应当以支票、汇票、本票或者金融机构、担保机构出具的保函等非现金形式提交履约保证金。</w:t>
            </w:r>
          </w:p>
        </w:tc>
      </w:tr>
      <w:tr w14:paraId="642CF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10749BD6">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17</w:t>
            </w:r>
          </w:p>
        </w:tc>
        <w:tc>
          <w:tcPr>
            <w:tcW w:w="1795" w:type="dxa"/>
            <w:shd w:val="clear" w:color="auto" w:fill="auto"/>
            <w:vAlign w:val="center"/>
          </w:tcPr>
          <w:p w14:paraId="78D97C74">
            <w:pPr>
              <w:keepNext/>
              <w:widowControl/>
              <w:spacing w:line="240" w:lineRule="auto"/>
              <w:jc w:val="distribute"/>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中小企业政策说明</w:t>
            </w:r>
          </w:p>
        </w:tc>
        <w:tc>
          <w:tcPr>
            <w:tcW w:w="6688" w:type="dxa"/>
            <w:shd w:val="clear" w:color="auto" w:fill="auto"/>
            <w:vAlign w:val="center"/>
          </w:tcPr>
          <w:p w14:paraId="74F90705">
            <w:pPr>
              <w:keepLines w:val="0"/>
              <w:pageBreakBefore w:val="0"/>
              <w:numPr>
                <w:ilvl w:val="0"/>
                <w:numId w:val="0"/>
              </w:numPr>
              <w:kinsoku/>
              <w:wordWrap/>
              <w:overflowPunct/>
              <w:topLinePunct w:val="0"/>
              <w:autoSpaceDE/>
              <w:autoSpaceDN/>
              <w:bidi w:val="0"/>
              <w:adjustRightInd/>
              <w:snapToGrid/>
              <w:spacing w:line="276" w:lineRule="auto"/>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1、</w:t>
            </w:r>
            <w:r>
              <w:rPr>
                <w:rFonts w:hint="eastAsia" w:ascii="仿宋" w:hAnsi="仿宋" w:eastAsia="仿宋" w:cs="仿宋"/>
                <w:color w:val="auto"/>
                <w:kern w:val="0"/>
                <w:szCs w:val="21"/>
                <w:highlight w:val="none"/>
              </w:rPr>
              <w:t>中小企业，是指在中华人民共和国境内依法设立，依据国务院批准的中小企业划分标准确定的中型企业、小型企业和微型企业。</w:t>
            </w:r>
          </w:p>
          <w:p w14:paraId="5D34D2C9">
            <w:pPr>
              <w:keepLines w:val="0"/>
              <w:pageBreakBefore w:val="0"/>
              <w:numPr>
                <w:ilvl w:val="0"/>
                <w:numId w:val="0"/>
              </w:numPr>
              <w:kinsoku/>
              <w:wordWrap/>
              <w:overflowPunct/>
              <w:topLinePunct w:val="0"/>
              <w:autoSpaceDE/>
              <w:autoSpaceDN/>
              <w:bidi w:val="0"/>
              <w:adjustRightInd/>
              <w:snapToGrid/>
              <w:spacing w:line="276" w:lineRule="auto"/>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2、</w:t>
            </w:r>
            <w:r>
              <w:rPr>
                <w:rFonts w:hint="eastAsia" w:ascii="仿宋" w:hAnsi="仿宋" w:eastAsia="仿宋" w:cs="仿宋"/>
                <w:color w:val="auto"/>
                <w:kern w:val="0"/>
                <w:szCs w:val="21"/>
                <w:highlight w:val="none"/>
              </w:rPr>
              <w:t>符合中小企业划分标准的个体工商户，在政府采购活动中视同中小企业；残疾人福利性单位和监狱企业视同为小型、微型企业。</w:t>
            </w:r>
          </w:p>
          <w:p w14:paraId="2D09D02A">
            <w:pPr>
              <w:keepNext/>
              <w:keepLines w:val="0"/>
              <w:pageBreakBefore w:val="0"/>
              <w:widowControl/>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lang w:val="en-US" w:eastAsia="zh-CN"/>
              </w:rPr>
              <w:t>3</w:t>
            </w:r>
            <w:r>
              <w:rPr>
                <w:rFonts w:hint="eastAsia" w:ascii="仿宋" w:hAnsi="仿宋" w:eastAsia="仿宋" w:cs="仿宋"/>
                <w:color w:val="auto"/>
                <w:kern w:val="0"/>
                <w:szCs w:val="21"/>
                <w:highlight w:val="none"/>
              </w:rPr>
              <w:t>、根据“关于印发中小企业划型标准规定的通知(工信部联企业〔2011〕300号)”等有关规定，本项目标的所属行业为建筑业。</w:t>
            </w:r>
          </w:p>
        </w:tc>
      </w:tr>
      <w:tr w14:paraId="6E3BE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4427C2A5">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18</w:t>
            </w:r>
          </w:p>
        </w:tc>
        <w:tc>
          <w:tcPr>
            <w:tcW w:w="1795" w:type="dxa"/>
            <w:shd w:val="clear" w:color="auto" w:fill="auto"/>
            <w:vAlign w:val="center"/>
          </w:tcPr>
          <w:p w14:paraId="2FC476FD">
            <w:pPr>
              <w:keepNext/>
              <w:widowControl/>
              <w:jc w:val="center"/>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rPr>
              <w:t>是否允许分包</w:t>
            </w:r>
          </w:p>
        </w:tc>
        <w:tc>
          <w:tcPr>
            <w:tcW w:w="6688" w:type="dxa"/>
            <w:shd w:val="clear" w:color="auto" w:fill="auto"/>
            <w:vAlign w:val="center"/>
          </w:tcPr>
          <w:p w14:paraId="08578999">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不允许分包</w:t>
            </w:r>
          </w:p>
          <w:p w14:paraId="66F1569C">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default"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允许分包,要求：</w:t>
            </w:r>
            <w:r>
              <w:rPr>
                <w:rFonts w:hint="eastAsia" w:ascii="仿宋" w:hAnsi="仿宋" w:eastAsia="仿宋" w:cs="仿宋"/>
                <w:color w:val="auto"/>
                <w:kern w:val="0"/>
                <w:szCs w:val="21"/>
                <w:highlight w:val="none"/>
                <w:u w:val="single"/>
                <w:lang w:val="en-US" w:eastAsia="zh-CN"/>
              </w:rPr>
              <w:t xml:space="preserve">  /  </w:t>
            </w:r>
          </w:p>
        </w:tc>
      </w:tr>
      <w:tr w14:paraId="7EFE76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20E39B4F">
            <w:pPr>
              <w:spacing w:line="24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lang w:val="en-US" w:eastAsia="zh-CN"/>
              </w:rPr>
              <w:t>19</w:t>
            </w:r>
          </w:p>
        </w:tc>
        <w:tc>
          <w:tcPr>
            <w:tcW w:w="1795" w:type="dxa"/>
            <w:shd w:val="clear" w:color="auto" w:fill="auto"/>
            <w:vAlign w:val="center"/>
          </w:tcPr>
          <w:p w14:paraId="5740E554">
            <w:pPr>
              <w:keepNext/>
              <w:widowControl/>
              <w:spacing w:line="240" w:lineRule="auto"/>
              <w:jc w:val="distribute"/>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rPr>
              <w:t>说明</w:t>
            </w:r>
          </w:p>
        </w:tc>
        <w:tc>
          <w:tcPr>
            <w:tcW w:w="6688" w:type="dxa"/>
            <w:shd w:val="clear" w:color="auto" w:fill="auto"/>
            <w:vAlign w:val="center"/>
          </w:tcPr>
          <w:p w14:paraId="3FB115EE">
            <w:pPr>
              <w:keepNext/>
              <w:widowControl/>
              <w:ind w:firstLine="420" w:firstLineChars="2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1、采购文件中所述政策法规、标准规范等文件，如有新文件则按新文件执行，如已废止则仅为参考。</w:t>
            </w:r>
          </w:p>
          <w:p w14:paraId="164FB438">
            <w:pPr>
              <w:keepNext/>
              <w:widowControl/>
              <w:ind w:firstLine="420" w:firstLineChars="2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2、供应商须根据采购文件要求在响应文件中提供评审所需的相应证明材料复印件。</w:t>
            </w:r>
          </w:p>
          <w:p w14:paraId="353C3989">
            <w:pPr>
              <w:keepNext/>
              <w:widowControl/>
              <w:ind w:firstLine="420" w:firstLineChars="2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3、最低报价不能作为中标的保证。</w:t>
            </w:r>
          </w:p>
          <w:p w14:paraId="7F0FC6A4">
            <w:pPr>
              <w:keepNext/>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420" w:firstLineChars="200"/>
              <w:jc w:val="left"/>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lang w:val="en-US" w:eastAsia="zh-CN"/>
              </w:rPr>
              <w:t>4</w:t>
            </w:r>
            <w:r>
              <w:rPr>
                <w:rFonts w:hint="eastAsia" w:ascii="仿宋" w:hAnsi="仿宋" w:eastAsia="仿宋" w:cs="仿宋"/>
                <w:color w:val="auto"/>
                <w:kern w:val="0"/>
                <w:sz w:val="21"/>
                <w:szCs w:val="21"/>
                <w:highlight w:val="none"/>
                <w:lang w:val="en-US" w:eastAsia="zh-CN" w:bidi="ar-SA"/>
              </w:rPr>
              <w:t>、本表内容如与后文内容不一致处，以本表为准。</w:t>
            </w:r>
          </w:p>
        </w:tc>
      </w:tr>
    </w:tbl>
    <w:p w14:paraId="352609C0">
      <w:pPr>
        <w:spacing w:line="360" w:lineRule="auto"/>
        <w:jc w:val="center"/>
        <w:outlineLvl w:val="0"/>
        <w:rPr>
          <w:rFonts w:ascii="仿宋" w:hAnsi="仿宋" w:eastAsia="仿宋" w:cs="仿宋"/>
          <w:b/>
          <w:color w:val="auto"/>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br w:type="page"/>
      </w:r>
      <w:bookmarkStart w:id="5" w:name="_Toc29647"/>
      <w:bookmarkStart w:id="6" w:name="_Toc22827"/>
      <w:r>
        <w:rPr>
          <w:rFonts w:hint="eastAsia" w:ascii="仿宋" w:hAnsi="仿宋" w:eastAsia="仿宋" w:cs="仿宋"/>
          <w:b/>
          <w:color w:val="auto"/>
          <w:sz w:val="24"/>
          <w:szCs w:val="24"/>
          <w:highlight w:val="none"/>
          <w:shd w:val="clear" w:color="auto" w:fill="FFFFFF" w:themeFill="background1"/>
        </w:rPr>
        <w:t>第一章 供应商须知</w:t>
      </w:r>
      <w:bookmarkEnd w:id="5"/>
      <w:bookmarkEnd w:id="6"/>
      <w:bookmarkStart w:id="7" w:name="_BookMark_2"/>
      <w:bookmarkEnd w:id="7"/>
    </w:p>
    <w:p w14:paraId="6FE2025F">
      <w:pPr>
        <w:spacing w:line="360" w:lineRule="auto"/>
        <w:ind w:firstLine="480" w:firstLineChars="200"/>
        <w:outlineLvl w:val="1"/>
        <w:rPr>
          <w:rFonts w:hint="eastAsia" w:ascii="仿宋" w:hAnsi="仿宋" w:eastAsia="仿宋" w:cs="仿宋"/>
          <w:b w:val="0"/>
          <w:bCs w:val="0"/>
          <w:color w:val="auto"/>
          <w:sz w:val="24"/>
          <w:szCs w:val="24"/>
          <w:highlight w:val="none"/>
        </w:rPr>
      </w:pPr>
      <w:bookmarkStart w:id="8" w:name="_Toc27987"/>
      <w:bookmarkStart w:id="9" w:name="_Toc27768"/>
      <w:r>
        <w:rPr>
          <w:rFonts w:hint="eastAsia" w:ascii="仿宋" w:hAnsi="仿宋" w:eastAsia="仿宋" w:cs="仿宋"/>
          <w:b w:val="0"/>
          <w:bCs w:val="0"/>
          <w:color w:val="auto"/>
          <w:sz w:val="24"/>
          <w:szCs w:val="24"/>
          <w:highlight w:val="none"/>
          <w:lang w:val="en-US" w:eastAsia="zh-CN"/>
        </w:rPr>
        <w:t>一、</w:t>
      </w:r>
      <w:r>
        <w:rPr>
          <w:rFonts w:hint="eastAsia" w:ascii="仿宋" w:hAnsi="仿宋" w:eastAsia="仿宋" w:cs="仿宋"/>
          <w:b w:val="0"/>
          <w:bCs w:val="0"/>
          <w:color w:val="auto"/>
          <w:sz w:val="24"/>
          <w:szCs w:val="24"/>
          <w:highlight w:val="none"/>
        </w:rPr>
        <w:t>总则</w:t>
      </w:r>
      <w:bookmarkEnd w:id="8"/>
      <w:bookmarkEnd w:id="9"/>
    </w:p>
    <w:p w14:paraId="491E2A0D">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 采购项目概况</w:t>
      </w:r>
    </w:p>
    <w:p w14:paraId="37B09367">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1.1.1 项目名称：见供应商须知前附表。</w:t>
      </w:r>
    </w:p>
    <w:p w14:paraId="67E089FD">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1.1.2项目编号：见供应商须知前附表。</w:t>
      </w:r>
    </w:p>
    <w:p w14:paraId="117A79F5">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1.1.3采购人：见供应商须知前附表。</w:t>
      </w:r>
    </w:p>
    <w:p w14:paraId="6B82106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1.1.4采购代理机构：见供应商须知前附表。</w:t>
      </w:r>
    </w:p>
    <w:p w14:paraId="3CFC2F81">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1.1.5项目地点：见供应商须知前附表。</w:t>
      </w:r>
    </w:p>
    <w:p w14:paraId="10B5ED6C">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1.1.6资金来源：见供应商须知前附表。</w:t>
      </w:r>
    </w:p>
    <w:p w14:paraId="1717C919">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1.1.7采购预算金额：见供应商须知前附表。</w:t>
      </w:r>
    </w:p>
    <w:p w14:paraId="5654668C">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1.1.8</w:t>
      </w:r>
      <w:r>
        <w:rPr>
          <w:rFonts w:hint="eastAsia" w:ascii="仿宋" w:hAnsi="仿宋" w:eastAsia="仿宋" w:cs="仿宋"/>
          <w:b w:val="0"/>
          <w:bCs w:val="0"/>
          <w:color w:val="auto"/>
          <w:sz w:val="24"/>
          <w:szCs w:val="24"/>
          <w:highlight w:val="none"/>
          <w:lang w:eastAsia="zh-CN"/>
        </w:rPr>
        <w:t>最高限价</w:t>
      </w:r>
      <w:r>
        <w:rPr>
          <w:rFonts w:hint="eastAsia" w:ascii="仿宋" w:hAnsi="仿宋" w:eastAsia="仿宋" w:cs="仿宋"/>
          <w:b w:val="0"/>
          <w:bCs w:val="0"/>
          <w:color w:val="auto"/>
          <w:sz w:val="24"/>
          <w:szCs w:val="24"/>
          <w:highlight w:val="none"/>
        </w:rPr>
        <w:t>：见供应商须知前附表。</w:t>
      </w:r>
    </w:p>
    <w:p w14:paraId="456840F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1.1.9承包方式：见供应商须知前附表。</w:t>
      </w:r>
    </w:p>
    <w:p w14:paraId="06138E6D">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1.1.10质量要求：见供应商须知前附表。</w:t>
      </w:r>
    </w:p>
    <w:p w14:paraId="00805D68">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1.1.11工期：见供应商须知前附表。</w:t>
      </w:r>
    </w:p>
    <w:p w14:paraId="6FFF25B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1.2采购范围：见供应商须知前附表。</w:t>
      </w:r>
    </w:p>
    <w:p w14:paraId="0AC9A7D1">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1.3 采购方式和资格审查方式</w:t>
      </w:r>
    </w:p>
    <w:p w14:paraId="0DD19D0A">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1.3.1 采购方式：见供应商须知前附表。</w:t>
      </w:r>
    </w:p>
    <w:p w14:paraId="7646F64B">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1.3.2 资格审查方式：见供应商须知前附表。</w:t>
      </w:r>
    </w:p>
    <w:p w14:paraId="5BB60421">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1.4 评审办法、计价方式及成交候选人</w:t>
      </w:r>
    </w:p>
    <w:p w14:paraId="263ED9D3">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1.4.1 评审办法：见供应商须知前附表。</w:t>
      </w:r>
    </w:p>
    <w:p w14:paraId="2014A1C8">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1.4.2计价方式：见供应商须知前附表。</w:t>
      </w:r>
    </w:p>
    <w:p w14:paraId="5B7D1488">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1.4.3成交候选人：见供应商须知前附表。</w:t>
      </w:r>
    </w:p>
    <w:p w14:paraId="7914657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 </w:t>
      </w:r>
      <w:r>
        <w:rPr>
          <w:rFonts w:hint="eastAsia" w:ascii="仿宋" w:hAnsi="仿宋" w:eastAsia="仿宋" w:cs="仿宋"/>
          <w:b w:val="0"/>
          <w:bCs w:val="0"/>
          <w:color w:val="auto"/>
          <w:sz w:val="24"/>
          <w:szCs w:val="24"/>
          <w:highlight w:val="none"/>
          <w:lang w:eastAsia="zh-CN"/>
        </w:rPr>
        <w:t>供应商的资格要求</w:t>
      </w:r>
      <w:r>
        <w:rPr>
          <w:rFonts w:hint="eastAsia" w:ascii="仿宋" w:hAnsi="仿宋" w:eastAsia="仿宋" w:cs="仿宋"/>
          <w:b w:val="0"/>
          <w:bCs w:val="0"/>
          <w:color w:val="auto"/>
          <w:sz w:val="24"/>
          <w:szCs w:val="24"/>
          <w:highlight w:val="none"/>
        </w:rPr>
        <w:t>：见供应商须知前附表。</w:t>
      </w:r>
    </w:p>
    <w:p w14:paraId="1E03C13E">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 </w:t>
      </w:r>
      <w:r>
        <w:rPr>
          <w:rFonts w:hint="eastAsia" w:ascii="仿宋" w:hAnsi="仿宋" w:eastAsia="仿宋" w:cs="仿宋"/>
          <w:b w:val="0"/>
          <w:bCs w:val="0"/>
          <w:color w:val="auto"/>
          <w:sz w:val="24"/>
          <w:szCs w:val="24"/>
          <w:highlight w:val="none"/>
          <w:lang w:val="en-US" w:eastAsia="zh-CN"/>
        </w:rPr>
        <w:t>供应商不得存在的情形</w:t>
      </w:r>
      <w:r>
        <w:rPr>
          <w:rFonts w:hint="eastAsia" w:ascii="仿宋" w:hAnsi="仿宋" w:eastAsia="仿宋" w:cs="仿宋"/>
          <w:b w:val="0"/>
          <w:bCs w:val="0"/>
          <w:color w:val="auto"/>
          <w:sz w:val="24"/>
          <w:szCs w:val="24"/>
          <w:highlight w:val="none"/>
        </w:rPr>
        <w:t>：见供应商须知前附表。</w:t>
      </w:r>
    </w:p>
    <w:p w14:paraId="759F00C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1.7费用承担</w:t>
      </w:r>
    </w:p>
    <w:p w14:paraId="19BD936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1.7.1</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费：见供应商须知前附表。</w:t>
      </w:r>
    </w:p>
    <w:p w14:paraId="336AA2F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1.7.2供应商应承担其编制响应文件与递交响应文件所涉及的一切费用，无论响应结果如何，采购人及采购代理机构对上述费用不作任何补偿。采购代理咨询费由成交供应商支付。</w:t>
      </w:r>
    </w:p>
    <w:p w14:paraId="4290021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1.8</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：见供应商须知前附表。</w:t>
      </w:r>
    </w:p>
    <w:p w14:paraId="231760CA">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1.9现场踏勘</w:t>
      </w:r>
    </w:p>
    <w:p w14:paraId="4B0D8B99">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1.9.1 供应商须知前附表规定组织踏勘现场的，采购人或采购代理机构按供应商须知前附表规定的时间、地点组织供应商踏勘项目现场。 </w:t>
      </w:r>
    </w:p>
    <w:p w14:paraId="32586A2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1.9.2 供应商踏勘现场发生的费用自理。</w:t>
      </w:r>
    </w:p>
    <w:p w14:paraId="5F1E4954">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1.9.3 除采购人或采购代理机构的原因外，供应商自行负责在踏勘现场中所发生的人员伤亡和财产损失。</w:t>
      </w:r>
    </w:p>
    <w:p w14:paraId="32BCE44E">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1.9.4 采购人或采购代理机构在踏勘现场中介绍的项目有关情况，供应商在编制响应文件时参考，采购人或采购代理机构不对供应商据此作出的判断和决策负责。</w:t>
      </w:r>
    </w:p>
    <w:p w14:paraId="69FB307E">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1.10 采购答疑</w:t>
      </w:r>
    </w:p>
    <w:p w14:paraId="074D9D1F">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1.10.1 供应商须知前附表规定召开答疑会的，采购人或采购代理机构按照供应商须知前附表规定的时间和地点召开答疑会，澄清供应商提出的问题。</w:t>
      </w:r>
    </w:p>
    <w:p w14:paraId="4913A63B">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1.10.2 供应商若有疑问，应按规定的时间、方式向采购人或采购代理机构提出，要求采购人对</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予以澄清。</w:t>
      </w:r>
    </w:p>
    <w:p w14:paraId="59D039B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1.10.3 采购人或采购代理机构将按规定的时间方式对供应商的疑问作出统一的解答。</w:t>
      </w:r>
    </w:p>
    <w:p w14:paraId="1B611F97">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1.11响应文件：见供应商须知前附表。</w:t>
      </w:r>
    </w:p>
    <w:p w14:paraId="18A68553">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1.12响应文件递交：见供应商须知前附表。</w:t>
      </w:r>
    </w:p>
    <w:p w14:paraId="0FB0BAA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1.13</w:t>
      </w:r>
      <w:r>
        <w:rPr>
          <w:rFonts w:hint="eastAsia" w:ascii="仿宋" w:hAnsi="仿宋" w:eastAsia="仿宋" w:cs="仿宋"/>
          <w:b w:val="0"/>
          <w:bCs w:val="0"/>
          <w:color w:val="auto"/>
          <w:sz w:val="24"/>
          <w:szCs w:val="24"/>
          <w:highlight w:val="none"/>
          <w:lang w:eastAsia="zh-CN"/>
        </w:rPr>
        <w:t>开启</w:t>
      </w:r>
      <w:r>
        <w:rPr>
          <w:rFonts w:hint="eastAsia" w:ascii="仿宋" w:hAnsi="仿宋" w:eastAsia="仿宋" w:cs="仿宋"/>
          <w:b w:val="0"/>
          <w:bCs w:val="0"/>
          <w:color w:val="auto"/>
          <w:sz w:val="24"/>
          <w:szCs w:val="24"/>
          <w:highlight w:val="none"/>
        </w:rPr>
        <w:t>：见供应商须知前附表。</w:t>
      </w:r>
    </w:p>
    <w:p w14:paraId="6736129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1.14响应有效期：见供应商须知前附表。</w:t>
      </w:r>
    </w:p>
    <w:p w14:paraId="3473544B">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1.15公告发布媒体：见供应商须知前附表。</w:t>
      </w:r>
    </w:p>
    <w:p w14:paraId="0F2DF44B">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1.16履约保证金：见供应商须知前附表。</w:t>
      </w:r>
    </w:p>
    <w:p w14:paraId="58AA1617">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1.17中小企业政策说明：见供应商须知前附表。</w:t>
      </w:r>
    </w:p>
    <w:p w14:paraId="323D8368">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1.18分包：见供应商须知前附表。</w:t>
      </w:r>
    </w:p>
    <w:p w14:paraId="685D5CD5">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w:t>
      </w:r>
      <w:r>
        <w:rPr>
          <w:rFonts w:hint="eastAsia"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rPr>
        <w:t>保密</w:t>
      </w:r>
    </w:p>
    <w:p w14:paraId="0E33A715">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参与采购活动的各方应当对</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和响应文件中的商业和技术等秘密保密，否则应当承担相应的法律责任。</w:t>
      </w:r>
    </w:p>
    <w:p w14:paraId="1B3F6598">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w:t>
      </w:r>
      <w:r>
        <w:rPr>
          <w:rFonts w:hint="eastAsia" w:ascii="仿宋" w:hAnsi="仿宋" w:eastAsia="仿宋" w:cs="仿宋"/>
          <w:b w:val="0"/>
          <w:bCs w:val="0"/>
          <w:color w:val="auto"/>
          <w:sz w:val="24"/>
          <w:szCs w:val="24"/>
          <w:highlight w:val="none"/>
          <w:lang w:val="en-US" w:eastAsia="zh-CN"/>
        </w:rPr>
        <w:t>20</w:t>
      </w:r>
      <w:r>
        <w:rPr>
          <w:rFonts w:hint="eastAsia" w:ascii="仿宋" w:hAnsi="仿宋" w:eastAsia="仿宋" w:cs="仿宋"/>
          <w:b w:val="0"/>
          <w:bCs w:val="0"/>
          <w:color w:val="auto"/>
          <w:sz w:val="24"/>
          <w:szCs w:val="24"/>
          <w:highlight w:val="none"/>
        </w:rPr>
        <w:t>语言文字</w:t>
      </w:r>
    </w:p>
    <w:p w14:paraId="136F19FA">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除专用术语外，与</w:t>
      </w:r>
      <w:r>
        <w:rPr>
          <w:rFonts w:hint="eastAsia" w:ascii="仿宋" w:hAnsi="仿宋" w:eastAsia="仿宋" w:cs="仿宋"/>
          <w:b w:val="0"/>
          <w:bCs w:val="0"/>
          <w:color w:val="auto"/>
          <w:sz w:val="24"/>
          <w:szCs w:val="24"/>
          <w:highlight w:val="none"/>
          <w:lang w:val="en-US" w:eastAsia="zh-CN"/>
        </w:rPr>
        <w:t>采购活动</w:t>
      </w:r>
      <w:r>
        <w:rPr>
          <w:rFonts w:hint="eastAsia" w:ascii="仿宋" w:hAnsi="仿宋" w:eastAsia="仿宋" w:cs="仿宋"/>
          <w:b w:val="0"/>
          <w:bCs w:val="0"/>
          <w:color w:val="auto"/>
          <w:sz w:val="24"/>
          <w:szCs w:val="24"/>
          <w:highlight w:val="none"/>
        </w:rPr>
        <w:t>有关的语言均应当使用中文。必要时专用术语应附有中文注释。</w:t>
      </w:r>
    </w:p>
    <w:p w14:paraId="7A1089BD">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1.2</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 xml:space="preserve"> 计量单位</w:t>
      </w:r>
    </w:p>
    <w:p w14:paraId="69F85854">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所有计量均采用中华人民共和国法定计量单位。</w:t>
      </w:r>
    </w:p>
    <w:p w14:paraId="5A2C12C8">
      <w:pPr>
        <w:spacing w:line="360" w:lineRule="auto"/>
        <w:ind w:firstLine="480" w:firstLineChars="200"/>
        <w:outlineLvl w:val="1"/>
        <w:rPr>
          <w:rFonts w:hint="eastAsia" w:ascii="仿宋" w:hAnsi="仿宋" w:eastAsia="仿宋" w:cs="仿宋"/>
          <w:b w:val="0"/>
          <w:bCs w:val="0"/>
          <w:color w:val="auto"/>
          <w:sz w:val="24"/>
          <w:szCs w:val="24"/>
          <w:highlight w:val="none"/>
          <w:lang w:eastAsia="zh-CN"/>
        </w:rPr>
      </w:pPr>
      <w:bookmarkStart w:id="10" w:name="_Toc130"/>
      <w:bookmarkStart w:id="11" w:name="_Toc9762"/>
      <w:r>
        <w:rPr>
          <w:rFonts w:hint="eastAsia" w:ascii="仿宋" w:hAnsi="仿宋" w:eastAsia="仿宋" w:cs="仿宋"/>
          <w:b w:val="0"/>
          <w:bCs w:val="0"/>
          <w:color w:val="auto"/>
          <w:sz w:val="24"/>
          <w:szCs w:val="24"/>
          <w:highlight w:val="none"/>
          <w:lang w:val="en-US" w:eastAsia="zh-CN"/>
        </w:rPr>
        <w:t>二、</w:t>
      </w:r>
      <w:bookmarkEnd w:id="10"/>
      <w:r>
        <w:rPr>
          <w:rFonts w:hint="eastAsia" w:ascii="仿宋" w:hAnsi="仿宋" w:eastAsia="仿宋" w:cs="仿宋"/>
          <w:b w:val="0"/>
          <w:bCs w:val="0"/>
          <w:color w:val="auto"/>
          <w:sz w:val="24"/>
          <w:szCs w:val="24"/>
          <w:highlight w:val="none"/>
          <w:lang w:eastAsia="zh-CN"/>
        </w:rPr>
        <w:t>采购文件</w:t>
      </w:r>
      <w:bookmarkEnd w:id="11"/>
    </w:p>
    <w:p w14:paraId="3B82232C">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 </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的组成</w:t>
      </w:r>
    </w:p>
    <w:p w14:paraId="348E7C42">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（1）</w:t>
      </w:r>
      <w:r>
        <w:rPr>
          <w:rFonts w:hint="eastAsia" w:ascii="仿宋" w:hAnsi="仿宋" w:eastAsia="仿宋" w:cs="仿宋"/>
          <w:b w:val="0"/>
          <w:bCs w:val="0"/>
          <w:color w:val="auto"/>
          <w:kern w:val="0"/>
          <w:sz w:val="24"/>
          <w:szCs w:val="24"/>
          <w:highlight w:val="none"/>
          <w:lang w:val="en-US" w:eastAsia="zh-CN"/>
        </w:rPr>
        <w:t>磋商</w:t>
      </w:r>
      <w:r>
        <w:rPr>
          <w:rFonts w:hint="eastAsia" w:ascii="仿宋" w:hAnsi="仿宋" w:eastAsia="仿宋" w:cs="仿宋"/>
          <w:b w:val="0"/>
          <w:bCs w:val="0"/>
          <w:color w:val="auto"/>
          <w:kern w:val="0"/>
          <w:sz w:val="24"/>
          <w:szCs w:val="24"/>
          <w:highlight w:val="none"/>
        </w:rPr>
        <w:t>公告</w:t>
      </w:r>
    </w:p>
    <w:p w14:paraId="5941CBFD">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（2）</w:t>
      </w:r>
      <w:r>
        <w:rPr>
          <w:rFonts w:hint="eastAsia" w:ascii="仿宋" w:hAnsi="仿宋" w:eastAsia="仿宋" w:cs="仿宋"/>
          <w:b w:val="0"/>
          <w:bCs w:val="0"/>
          <w:color w:val="auto"/>
          <w:kern w:val="0"/>
          <w:sz w:val="24"/>
          <w:szCs w:val="24"/>
          <w:highlight w:val="none"/>
          <w:lang w:val="en-US" w:eastAsia="zh-CN"/>
        </w:rPr>
        <w:t>供应商</w:t>
      </w:r>
      <w:r>
        <w:rPr>
          <w:rFonts w:hint="eastAsia" w:ascii="仿宋" w:hAnsi="仿宋" w:eastAsia="仿宋" w:cs="仿宋"/>
          <w:b w:val="0"/>
          <w:bCs w:val="0"/>
          <w:color w:val="auto"/>
          <w:kern w:val="0"/>
          <w:sz w:val="24"/>
          <w:szCs w:val="24"/>
          <w:highlight w:val="none"/>
        </w:rPr>
        <w:t>须知前附表</w:t>
      </w:r>
    </w:p>
    <w:p w14:paraId="4C3B84D9">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（3）</w:t>
      </w:r>
      <w:r>
        <w:rPr>
          <w:rFonts w:hint="eastAsia" w:ascii="仿宋" w:hAnsi="仿宋" w:eastAsia="仿宋" w:cs="仿宋"/>
          <w:b w:val="0"/>
          <w:bCs w:val="0"/>
          <w:color w:val="auto"/>
          <w:kern w:val="0"/>
          <w:sz w:val="24"/>
          <w:szCs w:val="24"/>
          <w:highlight w:val="none"/>
          <w:lang w:val="en-US" w:eastAsia="zh-CN"/>
        </w:rPr>
        <w:t>供应商</w:t>
      </w:r>
      <w:r>
        <w:rPr>
          <w:rFonts w:hint="eastAsia" w:ascii="仿宋" w:hAnsi="仿宋" w:eastAsia="仿宋" w:cs="仿宋"/>
          <w:b w:val="0"/>
          <w:bCs w:val="0"/>
          <w:color w:val="auto"/>
          <w:kern w:val="0"/>
          <w:sz w:val="24"/>
          <w:szCs w:val="24"/>
          <w:highlight w:val="none"/>
        </w:rPr>
        <w:t>须知</w:t>
      </w:r>
    </w:p>
    <w:p w14:paraId="22644DCE">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（4）</w:t>
      </w:r>
      <w:r>
        <w:rPr>
          <w:rFonts w:hint="eastAsia" w:ascii="仿宋" w:hAnsi="仿宋" w:eastAsia="仿宋" w:cs="仿宋"/>
          <w:b w:val="0"/>
          <w:bCs w:val="0"/>
          <w:color w:val="auto"/>
          <w:kern w:val="0"/>
          <w:sz w:val="24"/>
          <w:szCs w:val="24"/>
          <w:highlight w:val="none"/>
          <w:lang w:val="en-US" w:eastAsia="zh-CN"/>
        </w:rPr>
        <w:t>评审</w:t>
      </w:r>
      <w:r>
        <w:rPr>
          <w:rFonts w:hint="eastAsia" w:ascii="仿宋" w:hAnsi="仿宋" w:eastAsia="仿宋" w:cs="仿宋"/>
          <w:b w:val="0"/>
          <w:bCs w:val="0"/>
          <w:color w:val="auto"/>
          <w:kern w:val="0"/>
          <w:sz w:val="24"/>
          <w:szCs w:val="24"/>
          <w:highlight w:val="none"/>
        </w:rPr>
        <w:t>办法</w:t>
      </w:r>
    </w:p>
    <w:p w14:paraId="7D098A8F">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（5）合同</w:t>
      </w:r>
      <w:r>
        <w:rPr>
          <w:rFonts w:hint="eastAsia" w:ascii="仿宋" w:hAnsi="仿宋" w:eastAsia="仿宋" w:cs="仿宋"/>
          <w:b w:val="0"/>
          <w:bCs w:val="0"/>
          <w:color w:val="auto"/>
          <w:kern w:val="0"/>
          <w:sz w:val="24"/>
          <w:szCs w:val="24"/>
          <w:highlight w:val="none"/>
          <w:lang w:val="en-US" w:eastAsia="zh-CN"/>
        </w:rPr>
        <w:t>文本</w:t>
      </w:r>
      <w:r>
        <w:rPr>
          <w:rFonts w:hint="eastAsia" w:ascii="仿宋" w:hAnsi="仿宋" w:eastAsia="仿宋" w:cs="仿宋"/>
          <w:b w:val="0"/>
          <w:bCs w:val="0"/>
          <w:color w:val="auto"/>
          <w:kern w:val="0"/>
          <w:sz w:val="24"/>
          <w:szCs w:val="24"/>
          <w:highlight w:val="none"/>
        </w:rPr>
        <w:t>；</w:t>
      </w:r>
    </w:p>
    <w:p w14:paraId="72158F06">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（6）</w:t>
      </w:r>
      <w:r>
        <w:rPr>
          <w:rFonts w:hint="eastAsia" w:ascii="仿宋" w:hAnsi="仿宋" w:eastAsia="仿宋" w:cs="仿宋"/>
          <w:b w:val="0"/>
          <w:bCs w:val="0"/>
          <w:color w:val="auto"/>
          <w:sz w:val="24"/>
          <w:szCs w:val="24"/>
          <w:highlight w:val="none"/>
        </w:rPr>
        <w:t>技术标准和要求</w:t>
      </w:r>
      <w:r>
        <w:rPr>
          <w:rFonts w:hint="eastAsia" w:ascii="仿宋" w:hAnsi="仿宋" w:eastAsia="仿宋" w:cs="仿宋"/>
          <w:b w:val="0"/>
          <w:bCs w:val="0"/>
          <w:color w:val="auto"/>
          <w:kern w:val="0"/>
          <w:sz w:val="24"/>
          <w:szCs w:val="24"/>
          <w:highlight w:val="none"/>
        </w:rPr>
        <w:t>；</w:t>
      </w:r>
    </w:p>
    <w:p w14:paraId="401CDBC8">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（7）</w:t>
      </w:r>
      <w:r>
        <w:rPr>
          <w:rFonts w:hint="eastAsia" w:ascii="仿宋" w:hAnsi="仿宋" w:eastAsia="仿宋" w:cs="仿宋"/>
          <w:b w:val="0"/>
          <w:bCs w:val="0"/>
          <w:color w:val="auto"/>
          <w:kern w:val="0"/>
          <w:sz w:val="24"/>
          <w:szCs w:val="24"/>
          <w:highlight w:val="none"/>
          <w:lang w:val="en-US" w:eastAsia="zh-CN"/>
        </w:rPr>
        <w:t>响应</w:t>
      </w:r>
      <w:r>
        <w:rPr>
          <w:rFonts w:hint="eastAsia" w:ascii="仿宋" w:hAnsi="仿宋" w:eastAsia="仿宋" w:cs="仿宋"/>
          <w:b w:val="0"/>
          <w:bCs w:val="0"/>
          <w:color w:val="auto"/>
          <w:kern w:val="0"/>
          <w:sz w:val="24"/>
          <w:szCs w:val="24"/>
          <w:highlight w:val="none"/>
        </w:rPr>
        <w:t>文件格式；</w:t>
      </w:r>
    </w:p>
    <w:p w14:paraId="2E285236">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（8）补充条款。</w:t>
      </w:r>
    </w:p>
    <w:p w14:paraId="579B463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根据本章第2.3款和第2.4款对</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所作的澄清、修改，构成</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的组成部分。</w:t>
      </w:r>
    </w:p>
    <w:p w14:paraId="2DA76055">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 </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的获取</w:t>
      </w:r>
    </w:p>
    <w:p w14:paraId="282050B7">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凡有意参加并符合供应商须知前附表“</w:t>
      </w:r>
      <w:r>
        <w:rPr>
          <w:rFonts w:hint="eastAsia" w:ascii="仿宋" w:hAnsi="仿宋" w:eastAsia="仿宋" w:cs="仿宋"/>
          <w:b w:val="0"/>
          <w:bCs w:val="0"/>
          <w:color w:val="auto"/>
          <w:sz w:val="24"/>
          <w:szCs w:val="24"/>
          <w:highlight w:val="none"/>
          <w:lang w:eastAsia="zh-CN"/>
        </w:rPr>
        <w:t>供应商的资格要求</w:t>
      </w:r>
      <w:r>
        <w:rPr>
          <w:rFonts w:hint="eastAsia" w:ascii="仿宋" w:hAnsi="仿宋" w:eastAsia="仿宋" w:cs="仿宋"/>
          <w:b w:val="0"/>
          <w:bCs w:val="0"/>
          <w:color w:val="auto"/>
          <w:sz w:val="24"/>
          <w:szCs w:val="24"/>
          <w:highlight w:val="none"/>
        </w:rPr>
        <w:t>”的供应商，均可在采购代理机构获取</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w:t>
      </w:r>
    </w:p>
    <w:p w14:paraId="7DE3C40F">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 </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的澄清</w:t>
      </w:r>
    </w:p>
    <w:p w14:paraId="4D847323">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2.3.1 供应商应当仔细阅读和检查</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的全部内容。如发现缺页或附件不全，应当及时向采购人提出，以便补齐。如有疑问，应当在供应商须知前附表规定的时间、方式向采购人提出，要求采购人对</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予以澄清。</w:t>
      </w:r>
    </w:p>
    <w:p w14:paraId="5E5120E7">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2.3.2 </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的澄清将按照供应商须知前附表规定的时间、方式发布，但不指明澄清问题的来源。</w:t>
      </w:r>
    </w:p>
    <w:p w14:paraId="5CB6DB8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2.4</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的修改</w:t>
      </w:r>
    </w:p>
    <w:p w14:paraId="4A47EE3B">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2.4.1 </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的修改将按照供应商须知前附表规定的时间、方式发布，但不指明澄清问题的来源。</w:t>
      </w:r>
    </w:p>
    <w:p w14:paraId="1CA5E257">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2.4.2 在供应商须知前附表规定的截止时间前，无论出于何种原因，采购代理机构和采购人可主动地或在解答潜在供应商提出的澄清问题时对</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进行修改。</w:t>
      </w:r>
    </w:p>
    <w:p w14:paraId="572B32C9">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2.4.3 </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的修改部分是</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的组成部分对供应商具有约束力。</w:t>
      </w:r>
    </w:p>
    <w:p w14:paraId="3246ECB3">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2.4.4 当采购人发放的</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及</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的答疑文件、修改文件、补充文件前后不一致，发生矛盾情况时，以最后发出的为准。</w:t>
      </w:r>
    </w:p>
    <w:p w14:paraId="770C09EB">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2.4.5 如果</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各个组成部分之间出现歧义或相互矛盾，或任何文件中呈现明显的或不符合逻辑等的错误，或在文件编写过程中经常出现的打印错误等，供应商应将需要澄清的内容在供应商须知前附表规定的时间之前提出。根据合同条款中的相关约定，如果供应商在</w:t>
      </w:r>
      <w:r>
        <w:rPr>
          <w:rFonts w:hint="eastAsia" w:ascii="仿宋" w:hAnsi="仿宋" w:eastAsia="仿宋" w:cs="仿宋"/>
          <w:b w:val="0"/>
          <w:bCs w:val="0"/>
          <w:color w:val="auto"/>
          <w:sz w:val="24"/>
          <w:szCs w:val="24"/>
          <w:highlight w:val="none"/>
          <w:lang w:eastAsia="zh-CN"/>
        </w:rPr>
        <w:t>响应过程</w:t>
      </w:r>
      <w:r>
        <w:rPr>
          <w:rFonts w:hint="eastAsia" w:ascii="仿宋" w:hAnsi="仿宋" w:eastAsia="仿宋" w:cs="仿宋"/>
          <w:b w:val="0"/>
          <w:bCs w:val="0"/>
          <w:color w:val="auto"/>
          <w:sz w:val="24"/>
          <w:szCs w:val="24"/>
          <w:highlight w:val="none"/>
        </w:rPr>
        <w:t>中未能发现并对有关歧义、矛盾或错误提出澄清请求，而在成交后发现并提出，成交供应商将必须接受由采购人依据合同有关条款而做出的书面澄清。</w:t>
      </w:r>
    </w:p>
    <w:p w14:paraId="7EE491A0">
      <w:pPr>
        <w:widowControl/>
        <w:shd w:val="clear" w:color="auto" w:fill="FFFFFF"/>
        <w:snapToGrid w:val="0"/>
        <w:spacing w:line="360" w:lineRule="auto"/>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color w:val="auto"/>
          <w:kern w:val="0"/>
          <w:sz w:val="24"/>
          <w:szCs w:val="24"/>
          <w:highlight w:val="none"/>
          <w:lang w:val="en-US" w:eastAsia="zh-CN"/>
        </w:rPr>
        <w:t>2.5由于本项目采用电子招标方式，潜在供应商的名单将在提交响应文件截止时间后才会解密。因此，采购人或采购代理机构无法通过传统的传真或邮件方式，将招标文件的澄清或修改内容逐一通知到每位已获取招标文件的潜在供应商。为确保信息的及时性和准确性，澄清或修改的内容将仅在政采云平台以更正公告的形式发布。潜在供应商需密切关注该网站，及时查看并下载相关更正公告。若因潜在供应商未能及时查看或下载相关更正公告，而导致的一切后果，将由潜在供应商自行承担。</w:t>
      </w:r>
    </w:p>
    <w:p w14:paraId="422AF088">
      <w:pPr>
        <w:spacing w:line="360" w:lineRule="auto"/>
        <w:ind w:firstLine="480" w:firstLineChars="200"/>
        <w:outlineLvl w:val="1"/>
        <w:rPr>
          <w:rFonts w:hint="eastAsia" w:ascii="仿宋" w:hAnsi="仿宋" w:eastAsia="仿宋" w:cs="仿宋"/>
          <w:b w:val="0"/>
          <w:bCs w:val="0"/>
          <w:color w:val="auto"/>
          <w:sz w:val="24"/>
          <w:szCs w:val="24"/>
          <w:highlight w:val="none"/>
        </w:rPr>
      </w:pPr>
      <w:bookmarkStart w:id="12" w:name="_BookMark_6"/>
      <w:bookmarkEnd w:id="12"/>
      <w:bookmarkStart w:id="13" w:name="_Toc18823"/>
      <w:bookmarkStart w:id="14" w:name="_Toc4238"/>
      <w:r>
        <w:rPr>
          <w:rFonts w:hint="eastAsia" w:ascii="仿宋" w:hAnsi="仿宋" w:eastAsia="仿宋" w:cs="仿宋"/>
          <w:b w:val="0"/>
          <w:bCs w:val="0"/>
          <w:color w:val="auto"/>
          <w:sz w:val="24"/>
          <w:szCs w:val="24"/>
          <w:highlight w:val="none"/>
          <w:lang w:val="en-US" w:eastAsia="zh-CN"/>
        </w:rPr>
        <w:t>三、</w:t>
      </w:r>
      <w:r>
        <w:rPr>
          <w:rFonts w:hint="eastAsia" w:ascii="仿宋" w:hAnsi="仿宋" w:eastAsia="仿宋" w:cs="仿宋"/>
          <w:b w:val="0"/>
          <w:bCs w:val="0"/>
          <w:color w:val="auto"/>
          <w:sz w:val="24"/>
          <w:szCs w:val="24"/>
          <w:highlight w:val="none"/>
        </w:rPr>
        <w:t>响应文件</w:t>
      </w:r>
      <w:bookmarkEnd w:id="13"/>
      <w:bookmarkEnd w:id="14"/>
    </w:p>
    <w:p w14:paraId="490EEDA5">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3.1 响应文件的组成</w:t>
      </w:r>
    </w:p>
    <w:p w14:paraId="1F6F635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3.1.1响应文件应包括下列内容：</w:t>
      </w:r>
    </w:p>
    <w:p w14:paraId="1469288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）、开启一览表</w:t>
      </w:r>
    </w:p>
    <w:p w14:paraId="4F37E7BC">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）、响应函</w:t>
      </w:r>
    </w:p>
    <w:p w14:paraId="6E205F57">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）、商务条款偏离表</w:t>
      </w:r>
    </w:p>
    <w:p w14:paraId="23D93D5C">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）、技术条款偏离表</w:t>
      </w:r>
    </w:p>
    <w:p w14:paraId="3FE6CC31">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）、法定代表人身份证明书</w:t>
      </w:r>
    </w:p>
    <w:p w14:paraId="40F399B4">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）、法定代表人授权委托书</w:t>
      </w:r>
    </w:p>
    <w:p w14:paraId="0F9E241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7</w:t>
      </w:r>
      <w:r>
        <w:rPr>
          <w:rFonts w:hint="eastAsia" w:ascii="仿宋" w:hAnsi="仿宋" w:eastAsia="仿宋" w:cs="仿宋"/>
          <w:b w:val="0"/>
          <w:bCs w:val="0"/>
          <w:color w:val="auto"/>
          <w:sz w:val="24"/>
          <w:szCs w:val="24"/>
          <w:highlight w:val="none"/>
        </w:rPr>
        <w:t>）、供应商资格要求证明材料</w:t>
      </w:r>
    </w:p>
    <w:p w14:paraId="1B9CE93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rPr>
        <w:t>）、供应商类似项目业绩表</w:t>
      </w:r>
    </w:p>
    <w:p w14:paraId="7225166C">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rPr>
        <w:t>）、项目负责人简历表</w:t>
      </w:r>
    </w:p>
    <w:p w14:paraId="1A28CC1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b w:val="0"/>
          <w:bCs w:val="0"/>
          <w:color w:val="auto"/>
          <w:sz w:val="24"/>
          <w:szCs w:val="24"/>
          <w:highlight w:val="none"/>
        </w:rPr>
        <w:t>）、主要项目管理人员表</w:t>
      </w:r>
    </w:p>
    <w:p w14:paraId="7021FE9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11</w:t>
      </w:r>
      <w:r>
        <w:rPr>
          <w:rFonts w:hint="eastAsia" w:ascii="仿宋" w:hAnsi="仿宋" w:eastAsia="仿宋" w:cs="仿宋"/>
          <w:b w:val="0"/>
          <w:bCs w:val="0"/>
          <w:color w:val="auto"/>
          <w:sz w:val="24"/>
          <w:szCs w:val="24"/>
          <w:highlight w:val="none"/>
        </w:rPr>
        <w:t>）、施工组织设计</w:t>
      </w:r>
    </w:p>
    <w:p w14:paraId="480A6D5D">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12</w:t>
      </w:r>
      <w:r>
        <w:rPr>
          <w:rFonts w:hint="eastAsia" w:ascii="仿宋" w:hAnsi="仿宋" w:eastAsia="仿宋" w:cs="仿宋"/>
          <w:b w:val="0"/>
          <w:bCs w:val="0"/>
          <w:color w:val="auto"/>
          <w:sz w:val="24"/>
          <w:szCs w:val="24"/>
          <w:highlight w:val="none"/>
        </w:rPr>
        <w:t>）、已标价工程量清单</w:t>
      </w:r>
    </w:p>
    <w:p w14:paraId="07E4798F">
      <w:pPr>
        <w:widowControl/>
        <w:numPr>
          <w:ilvl w:val="0"/>
          <w:numId w:val="0"/>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13</w:t>
      </w:r>
      <w:r>
        <w:rPr>
          <w:rFonts w:hint="eastAsia" w:ascii="仿宋" w:hAnsi="仿宋" w:eastAsia="仿宋" w:cs="仿宋"/>
          <w:b w:val="0"/>
          <w:bCs w:val="0"/>
          <w:color w:val="auto"/>
          <w:sz w:val="24"/>
          <w:szCs w:val="24"/>
          <w:highlight w:val="none"/>
        </w:rPr>
        <w:t>）、</w:t>
      </w:r>
      <w:r>
        <w:rPr>
          <w:rFonts w:hint="eastAsia" w:ascii="仿宋" w:hAnsi="仿宋" w:eastAsia="仿宋" w:cs="仿宋"/>
          <w:color w:val="auto"/>
          <w:kern w:val="0"/>
          <w:sz w:val="24"/>
          <w:szCs w:val="24"/>
          <w:highlight w:val="none"/>
          <w:shd w:val="clear" w:color="auto" w:fill="FFFFFF" w:themeFill="background1"/>
        </w:rPr>
        <w:t>保证金缴纳证明材料</w:t>
      </w:r>
    </w:p>
    <w:p w14:paraId="564FEC66">
      <w:pPr>
        <w:widowControl/>
        <w:numPr>
          <w:ilvl w:val="0"/>
          <w:numId w:val="0"/>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fill="FFFFFF" w:themeFill="background1"/>
          <w:lang w:val="en-US" w:eastAsia="zh-CN" w:bidi="ar-SA"/>
        </w:rPr>
        <w:t>（14）</w:t>
      </w:r>
      <w:r>
        <w:rPr>
          <w:rFonts w:hint="eastAsia" w:ascii="仿宋" w:hAnsi="仿宋" w:eastAsia="仿宋" w:cs="仿宋"/>
          <w:color w:val="auto"/>
          <w:kern w:val="0"/>
          <w:sz w:val="24"/>
          <w:szCs w:val="24"/>
          <w:highlight w:val="none"/>
          <w:shd w:val="clear" w:color="auto" w:fill="FFFFFF" w:themeFill="background1"/>
          <w:lang w:eastAsia="zh-CN"/>
        </w:rPr>
        <w:t>、</w:t>
      </w:r>
      <w:r>
        <w:rPr>
          <w:rFonts w:hint="eastAsia" w:ascii="仿宋" w:hAnsi="仿宋" w:eastAsia="仿宋" w:cs="仿宋"/>
          <w:color w:val="auto"/>
          <w:kern w:val="0"/>
          <w:sz w:val="24"/>
          <w:szCs w:val="24"/>
          <w:highlight w:val="none"/>
          <w:shd w:val="clear" w:color="auto" w:fill="FFFFFF" w:themeFill="background1"/>
        </w:rPr>
        <w:t>其它需要提交的资料</w:t>
      </w:r>
    </w:p>
    <w:p w14:paraId="1F54FFE7">
      <w:pPr>
        <w:spacing w:line="360" w:lineRule="auto"/>
        <w:ind w:firstLine="480" w:firstLineChars="200"/>
        <w:outlineLvl w:val="9"/>
        <w:rPr>
          <w:rFonts w:hint="eastAsia" w:ascii="仿宋" w:hAnsi="仿宋" w:eastAsia="仿宋" w:cs="仿宋"/>
          <w:b w:val="0"/>
          <w:bCs w:val="0"/>
          <w:color w:val="auto"/>
          <w:sz w:val="24"/>
          <w:szCs w:val="24"/>
          <w:highlight w:val="none"/>
        </w:rPr>
      </w:pPr>
    </w:p>
    <w:p w14:paraId="7389986A">
      <w:pPr>
        <w:spacing w:line="360" w:lineRule="auto"/>
        <w:ind w:firstLine="480" w:firstLineChars="200"/>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3.2 </w:t>
      </w:r>
      <w:r>
        <w:rPr>
          <w:rFonts w:hint="eastAsia" w:ascii="仿宋" w:hAnsi="仿宋" w:eastAsia="仿宋" w:cs="仿宋"/>
          <w:b w:val="0"/>
          <w:bCs w:val="0"/>
          <w:color w:val="auto"/>
          <w:sz w:val="24"/>
          <w:szCs w:val="24"/>
          <w:highlight w:val="none"/>
          <w:lang w:eastAsia="zh-CN"/>
        </w:rPr>
        <w:t>响应价格</w:t>
      </w:r>
    </w:p>
    <w:p w14:paraId="5CB49F8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3.2.1 供应商应当按第四章“技术标准和要求”</w:t>
      </w:r>
      <w:r>
        <w:rPr>
          <w:rFonts w:hint="eastAsia" w:ascii="仿宋" w:hAnsi="仿宋" w:eastAsia="仿宋" w:cs="仿宋"/>
          <w:b w:val="0"/>
          <w:bCs w:val="0"/>
          <w:color w:val="auto"/>
          <w:sz w:val="24"/>
          <w:szCs w:val="24"/>
          <w:highlight w:val="none"/>
          <w:lang w:val="en-US" w:eastAsia="zh-CN"/>
        </w:rPr>
        <w:t>和</w:t>
      </w:r>
      <w:r>
        <w:rPr>
          <w:rFonts w:hint="eastAsia" w:ascii="仿宋" w:hAnsi="仿宋" w:eastAsia="仿宋" w:cs="仿宋"/>
          <w:b w:val="0"/>
          <w:bCs w:val="0"/>
          <w:color w:val="auto"/>
          <w:kern w:val="0"/>
          <w:sz w:val="24"/>
          <w:szCs w:val="24"/>
          <w:highlight w:val="none"/>
          <w:lang w:eastAsia="zh-CN"/>
        </w:rPr>
        <w:t>采购文件</w:t>
      </w:r>
      <w:r>
        <w:rPr>
          <w:rFonts w:hint="eastAsia" w:ascii="仿宋" w:hAnsi="仿宋" w:eastAsia="仿宋" w:cs="仿宋"/>
          <w:b w:val="0"/>
          <w:bCs w:val="0"/>
          <w:color w:val="auto"/>
          <w:kern w:val="0"/>
          <w:sz w:val="24"/>
          <w:szCs w:val="24"/>
          <w:highlight w:val="none"/>
        </w:rPr>
        <w:t>附件（工程量清单）</w:t>
      </w:r>
      <w:r>
        <w:rPr>
          <w:rFonts w:hint="eastAsia" w:ascii="仿宋" w:hAnsi="仿宋" w:eastAsia="仿宋" w:cs="仿宋"/>
          <w:b w:val="0"/>
          <w:bCs w:val="0"/>
          <w:color w:val="auto"/>
          <w:sz w:val="24"/>
          <w:szCs w:val="24"/>
          <w:highlight w:val="none"/>
        </w:rPr>
        <w:t>的规定进行报价，并填写第五章“响应文件格式”中的</w:t>
      </w:r>
      <w:r>
        <w:rPr>
          <w:rFonts w:hint="eastAsia" w:ascii="仿宋" w:hAnsi="仿宋" w:eastAsia="仿宋" w:cs="仿宋"/>
          <w:b w:val="0"/>
          <w:bCs w:val="0"/>
          <w:color w:val="auto"/>
          <w:sz w:val="24"/>
          <w:szCs w:val="24"/>
          <w:highlight w:val="none"/>
          <w:lang w:eastAsia="zh-CN"/>
        </w:rPr>
        <w:t>已标价工程量清单</w:t>
      </w:r>
      <w:r>
        <w:rPr>
          <w:rFonts w:hint="eastAsia" w:ascii="仿宋" w:hAnsi="仿宋" w:eastAsia="仿宋" w:cs="仿宋"/>
          <w:b w:val="0"/>
          <w:bCs w:val="0"/>
          <w:color w:val="auto"/>
          <w:sz w:val="24"/>
          <w:szCs w:val="24"/>
          <w:highlight w:val="none"/>
        </w:rPr>
        <w:t>。</w:t>
      </w:r>
    </w:p>
    <w:p w14:paraId="085280F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3.2.2本次磋商采用二轮报价法，第二轮报价时长由磋商小组成员根据现场情况设定，供应商必须在规定时间内报价，超时无效；</w:t>
      </w:r>
      <w:r>
        <w:rPr>
          <w:rFonts w:hint="eastAsia" w:ascii="仿宋" w:hAnsi="仿宋" w:eastAsia="仿宋" w:cs="仿宋"/>
          <w:b w:val="0"/>
          <w:bCs w:val="0"/>
          <w:color w:val="auto"/>
          <w:sz w:val="24"/>
          <w:szCs w:val="24"/>
          <w:highlight w:val="none"/>
          <w:lang w:eastAsia="zh-CN"/>
        </w:rPr>
        <w:t>若供应商未进行第二轮报价，视为放弃响应资格；其响应无效；不在参与后续评审</w:t>
      </w:r>
      <w:r>
        <w:rPr>
          <w:rFonts w:hint="eastAsia" w:ascii="仿宋" w:hAnsi="仿宋" w:eastAsia="仿宋" w:cs="仿宋"/>
          <w:b w:val="0"/>
          <w:bCs w:val="0"/>
          <w:color w:val="auto"/>
          <w:sz w:val="24"/>
          <w:szCs w:val="24"/>
          <w:highlight w:val="none"/>
        </w:rPr>
        <w:t>。</w:t>
      </w:r>
    </w:p>
    <w:p w14:paraId="62A0CB71">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3.2.3供应商递交的响应文件中的报价为第一轮报价，第一轮报价与第二轮报价超出本项目</w:t>
      </w:r>
      <w:r>
        <w:rPr>
          <w:rFonts w:hint="eastAsia" w:ascii="仿宋" w:hAnsi="仿宋" w:eastAsia="仿宋" w:cs="仿宋"/>
          <w:b w:val="0"/>
          <w:bCs w:val="0"/>
          <w:color w:val="auto"/>
          <w:sz w:val="24"/>
          <w:szCs w:val="24"/>
          <w:highlight w:val="none"/>
          <w:lang w:eastAsia="zh-CN"/>
        </w:rPr>
        <w:t>最高限价</w:t>
      </w:r>
      <w:r>
        <w:rPr>
          <w:rFonts w:hint="eastAsia" w:ascii="仿宋" w:hAnsi="仿宋" w:eastAsia="仿宋" w:cs="仿宋"/>
          <w:b w:val="0"/>
          <w:bCs w:val="0"/>
          <w:color w:val="auto"/>
          <w:sz w:val="24"/>
          <w:szCs w:val="24"/>
          <w:highlight w:val="none"/>
        </w:rPr>
        <w:t>的视为无效磋商。</w:t>
      </w:r>
    </w:p>
    <w:p w14:paraId="7EE4E61A">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3.2.4供应商提供的工程一律用人民币报价。</w:t>
      </w:r>
    </w:p>
    <w:p w14:paraId="0488C36D">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3.2.5供应商的工程只允许有一个报价，采购人不接受有任何选择的报价。</w:t>
      </w:r>
      <w:r>
        <w:rPr>
          <w:rFonts w:hint="eastAsia" w:ascii="仿宋" w:hAnsi="仿宋" w:eastAsia="仿宋" w:cs="仿宋"/>
          <w:b w:val="0"/>
          <w:bCs w:val="0"/>
          <w:color w:val="auto"/>
          <w:sz w:val="24"/>
          <w:szCs w:val="24"/>
          <w:highlight w:val="none"/>
          <w:lang w:eastAsia="zh-CN"/>
        </w:rPr>
        <w:t>响应价格</w:t>
      </w:r>
      <w:r>
        <w:rPr>
          <w:rFonts w:hint="eastAsia" w:ascii="仿宋" w:hAnsi="仿宋" w:eastAsia="仿宋" w:cs="仿宋"/>
          <w:b w:val="0"/>
          <w:bCs w:val="0"/>
          <w:color w:val="auto"/>
          <w:sz w:val="24"/>
          <w:szCs w:val="24"/>
          <w:highlight w:val="none"/>
        </w:rPr>
        <w:t>应包括供应商履行本项目合同（如果成交）所必须的所有成本费用和成交供应商应承担的一切费用，包括但不仅限于必要资料、交通、保险、人工费、税费等一切费用。未列和没有填写的项目费用，采购人将视为已包括在</w:t>
      </w:r>
      <w:r>
        <w:rPr>
          <w:rFonts w:hint="eastAsia" w:ascii="仿宋" w:hAnsi="仿宋" w:eastAsia="仿宋" w:cs="仿宋"/>
          <w:b w:val="0"/>
          <w:bCs w:val="0"/>
          <w:color w:val="auto"/>
          <w:sz w:val="24"/>
          <w:szCs w:val="24"/>
          <w:highlight w:val="none"/>
          <w:lang w:eastAsia="zh-CN"/>
        </w:rPr>
        <w:t>响应价格</w:t>
      </w:r>
      <w:r>
        <w:rPr>
          <w:rFonts w:hint="eastAsia" w:ascii="仿宋" w:hAnsi="仿宋" w:eastAsia="仿宋" w:cs="仿宋"/>
          <w:b w:val="0"/>
          <w:bCs w:val="0"/>
          <w:color w:val="auto"/>
          <w:sz w:val="24"/>
          <w:szCs w:val="24"/>
          <w:highlight w:val="none"/>
        </w:rPr>
        <w:t>中。</w:t>
      </w:r>
    </w:p>
    <w:p w14:paraId="3B08DD58">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3.2.6 最低报价不能作为成交的保证。</w:t>
      </w:r>
    </w:p>
    <w:p w14:paraId="2C26D00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3.3 响应有效期</w:t>
      </w:r>
    </w:p>
    <w:p w14:paraId="38C2DE8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3.3.1 在供应商须知前附表规定的响应有效期内，供应商不得要求撤销或修改其响应文件。</w:t>
      </w:r>
    </w:p>
    <w:p w14:paraId="167495F7">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3.3.2 出现特殊情况需要延长响应有效期的，采购人将通知所有供应商延长响应有效期。供应商同意延长的，应当相应延长其</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的有效期，但不得要求或被允许修改或撤销其响应文件；供应商拒绝延长的，其</w:t>
      </w:r>
      <w:r>
        <w:rPr>
          <w:rFonts w:hint="eastAsia" w:ascii="仿宋" w:hAnsi="仿宋" w:eastAsia="仿宋" w:cs="仿宋"/>
          <w:b w:val="0"/>
          <w:bCs w:val="0"/>
          <w:color w:val="auto"/>
          <w:sz w:val="24"/>
          <w:szCs w:val="24"/>
          <w:highlight w:val="none"/>
          <w:lang w:eastAsia="zh-CN"/>
        </w:rPr>
        <w:t>响应</w:t>
      </w:r>
      <w:r>
        <w:rPr>
          <w:rFonts w:hint="eastAsia" w:ascii="仿宋" w:hAnsi="仿宋" w:eastAsia="仿宋" w:cs="仿宋"/>
          <w:b w:val="0"/>
          <w:bCs w:val="0"/>
          <w:color w:val="auto"/>
          <w:sz w:val="24"/>
          <w:szCs w:val="24"/>
          <w:highlight w:val="none"/>
        </w:rPr>
        <w:t>失效，但供应商有权收回其</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 xml:space="preserve">。 </w:t>
      </w:r>
    </w:p>
    <w:p w14:paraId="41D1DCF1">
      <w:pPr>
        <w:spacing w:line="360" w:lineRule="auto"/>
        <w:ind w:firstLine="480" w:firstLineChars="200"/>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3.4 </w:t>
      </w:r>
      <w:r>
        <w:rPr>
          <w:rFonts w:hint="eastAsia" w:ascii="仿宋" w:hAnsi="仿宋" w:eastAsia="仿宋" w:cs="仿宋"/>
          <w:b w:val="0"/>
          <w:bCs w:val="0"/>
          <w:color w:val="auto"/>
          <w:sz w:val="24"/>
          <w:szCs w:val="24"/>
          <w:highlight w:val="none"/>
          <w:lang w:eastAsia="zh-CN"/>
        </w:rPr>
        <w:t>响应保证金</w:t>
      </w:r>
    </w:p>
    <w:p w14:paraId="1165698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3.4.1 供应商应于响应文件递交截止时间前按供应商须知前附表规定数额提交</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。未提交</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的，将被视为非响应性</w:t>
      </w:r>
      <w:r>
        <w:rPr>
          <w:rFonts w:hint="eastAsia" w:ascii="仿宋" w:hAnsi="仿宋" w:eastAsia="仿宋" w:cs="仿宋"/>
          <w:b w:val="0"/>
          <w:bCs w:val="0"/>
          <w:color w:val="auto"/>
          <w:sz w:val="24"/>
          <w:szCs w:val="24"/>
          <w:highlight w:val="none"/>
          <w:lang w:eastAsia="zh-CN"/>
        </w:rPr>
        <w:t>响应</w:t>
      </w:r>
      <w:r>
        <w:rPr>
          <w:rFonts w:hint="eastAsia" w:ascii="仿宋" w:hAnsi="仿宋" w:eastAsia="仿宋" w:cs="仿宋"/>
          <w:b w:val="0"/>
          <w:bCs w:val="0"/>
          <w:color w:val="auto"/>
          <w:sz w:val="24"/>
          <w:szCs w:val="24"/>
          <w:highlight w:val="none"/>
        </w:rPr>
        <w:t>而予以拒绝。联合体磋商</w:t>
      </w:r>
      <w:r>
        <w:rPr>
          <w:rFonts w:hint="eastAsia" w:ascii="仿宋" w:hAnsi="仿宋" w:eastAsia="仿宋" w:cs="仿宋"/>
          <w:b w:val="0"/>
          <w:bCs w:val="0"/>
          <w:color w:val="auto"/>
          <w:sz w:val="24"/>
          <w:szCs w:val="24"/>
          <w:highlight w:val="none"/>
          <w:lang w:eastAsia="zh-CN"/>
        </w:rPr>
        <w:t>响应</w:t>
      </w:r>
      <w:r>
        <w:rPr>
          <w:rFonts w:hint="eastAsia" w:ascii="仿宋" w:hAnsi="仿宋" w:eastAsia="仿宋" w:cs="仿宋"/>
          <w:b w:val="0"/>
          <w:bCs w:val="0"/>
          <w:color w:val="auto"/>
          <w:sz w:val="24"/>
          <w:szCs w:val="24"/>
          <w:highlight w:val="none"/>
        </w:rPr>
        <w:t>的，其</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由牵头人递交，并应符合供应商须知前附表的规定。</w:t>
      </w:r>
    </w:p>
    <w:p w14:paraId="1B33B0C8">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3.4.2</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以支票、汇票、本票或者金融机构、担保机构出具的保函等非现金形式提交至采购代理机构。</w:t>
      </w:r>
    </w:p>
    <w:p w14:paraId="32AEA64C">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3.4.3 </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是为了保护采购人免遭因供应商的行为而蒙受损失。采购人在因供应商的行为受到损害时可根据相关法律规定没收供应商的</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w:t>
      </w:r>
    </w:p>
    <w:p w14:paraId="21652509">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3.4.4 采购人或者采购代理机构应当自成交通知书发出之日起5个工作日内退还未成交供应商的</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，自采购合同签订之日起5个工作日内退还成交供应商的</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w:t>
      </w:r>
    </w:p>
    <w:p w14:paraId="6D92148A">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3.4.5</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有效期与响应有效期一致。</w:t>
      </w:r>
    </w:p>
    <w:p w14:paraId="075FC88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3.4.6有下列情形之一的，</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不予退还：</w:t>
      </w:r>
    </w:p>
    <w:p w14:paraId="799D0ECB">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（1）供应商在规定的响应有效期内撤销或修改其响应文件的；</w:t>
      </w:r>
    </w:p>
    <w:p w14:paraId="39CE15E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（2）成交供应商在收到成交通知书后，无正当理由拒签合同协议书或在签订合同时提出附加条件或者更改合同实质性内容的；</w:t>
      </w:r>
    </w:p>
    <w:p w14:paraId="4293454F">
      <w:pPr>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sz w:val="24"/>
          <w:szCs w:val="24"/>
          <w:highlight w:val="none"/>
        </w:rPr>
        <w:t>（3）未按</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规定提交履约保证金的。</w:t>
      </w:r>
    </w:p>
    <w:p w14:paraId="783CFEB0">
      <w:pPr>
        <w:spacing w:line="360" w:lineRule="auto"/>
        <w:ind w:firstLine="480" w:firstLineChars="200"/>
        <w:outlineLvl w:val="9"/>
        <w:rPr>
          <w:rFonts w:hint="eastAsia" w:ascii="仿宋" w:hAnsi="仿宋" w:eastAsia="仿宋" w:cs="仿宋"/>
          <w:b w:val="0"/>
          <w:bCs w:val="0"/>
          <w:color w:val="auto"/>
          <w:sz w:val="24"/>
          <w:szCs w:val="28"/>
          <w:highlight w:val="none"/>
        </w:rPr>
      </w:pPr>
      <w:bookmarkStart w:id="15" w:name="_BookMark_7"/>
      <w:bookmarkEnd w:id="15"/>
      <w:r>
        <w:rPr>
          <w:rFonts w:hint="eastAsia" w:ascii="仿宋" w:hAnsi="仿宋" w:eastAsia="仿宋" w:cs="仿宋"/>
          <w:b w:val="0"/>
          <w:bCs w:val="0"/>
          <w:color w:val="auto"/>
          <w:sz w:val="24"/>
          <w:szCs w:val="28"/>
          <w:highlight w:val="none"/>
        </w:rPr>
        <w:t>3.5 响应文件的编制</w:t>
      </w:r>
    </w:p>
    <w:p w14:paraId="38624055">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3.5.1响应文件应按第五章“响应文件格式”进行编写，如有必要，可以增加附页，作为响应文件的组成部分。</w:t>
      </w:r>
    </w:p>
    <w:p w14:paraId="0A8C9D91">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3.5.2响应文件应当对</w:t>
      </w:r>
      <w:r>
        <w:rPr>
          <w:rFonts w:hint="eastAsia" w:ascii="仿宋" w:hAnsi="仿宋" w:eastAsia="仿宋" w:cs="仿宋"/>
          <w:b w:val="0"/>
          <w:bCs w:val="0"/>
          <w:color w:val="auto"/>
          <w:sz w:val="24"/>
          <w:szCs w:val="28"/>
          <w:highlight w:val="none"/>
          <w:lang w:eastAsia="zh-CN"/>
        </w:rPr>
        <w:t>采购文件</w:t>
      </w:r>
      <w:r>
        <w:rPr>
          <w:rFonts w:hint="eastAsia" w:ascii="仿宋" w:hAnsi="仿宋" w:eastAsia="仿宋" w:cs="仿宋"/>
          <w:b w:val="0"/>
          <w:bCs w:val="0"/>
          <w:color w:val="auto"/>
          <w:sz w:val="24"/>
          <w:szCs w:val="28"/>
          <w:highlight w:val="none"/>
        </w:rPr>
        <w:t>有关采购范围、技术与服务要求等实质性内容做出响应。</w:t>
      </w:r>
    </w:p>
    <w:p w14:paraId="1965FD5A">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3.5.3电子响应文件使用政采云平台响应文件制作工具以及</w:t>
      </w:r>
      <w:r>
        <w:rPr>
          <w:rFonts w:hint="eastAsia" w:ascii="仿宋" w:hAnsi="仿宋" w:eastAsia="仿宋" w:cs="仿宋"/>
          <w:b w:val="0"/>
          <w:bCs w:val="0"/>
          <w:color w:val="auto"/>
          <w:sz w:val="24"/>
          <w:szCs w:val="28"/>
          <w:highlight w:val="none"/>
          <w:lang w:eastAsia="zh-CN"/>
        </w:rPr>
        <w:t>采购文件</w:t>
      </w:r>
      <w:r>
        <w:rPr>
          <w:rFonts w:hint="eastAsia" w:ascii="仿宋" w:hAnsi="仿宋" w:eastAsia="仿宋" w:cs="仿宋"/>
          <w:b w:val="0"/>
          <w:bCs w:val="0"/>
          <w:color w:val="auto"/>
          <w:sz w:val="24"/>
          <w:szCs w:val="28"/>
          <w:highlight w:val="none"/>
        </w:rPr>
        <w:t>要求进行制作编制。响应文件制作时，按照</w:t>
      </w:r>
      <w:r>
        <w:rPr>
          <w:rFonts w:hint="eastAsia" w:ascii="仿宋" w:hAnsi="仿宋" w:eastAsia="仿宋" w:cs="仿宋"/>
          <w:b w:val="0"/>
          <w:bCs w:val="0"/>
          <w:color w:val="auto"/>
          <w:sz w:val="24"/>
          <w:szCs w:val="28"/>
          <w:highlight w:val="none"/>
          <w:lang w:eastAsia="zh-CN"/>
        </w:rPr>
        <w:t>采购文件</w:t>
      </w:r>
      <w:r>
        <w:rPr>
          <w:rFonts w:hint="eastAsia" w:ascii="仿宋" w:hAnsi="仿宋" w:eastAsia="仿宋" w:cs="仿宋"/>
          <w:b w:val="0"/>
          <w:bCs w:val="0"/>
          <w:color w:val="auto"/>
          <w:sz w:val="24"/>
          <w:szCs w:val="28"/>
          <w:highlight w:val="none"/>
        </w:rPr>
        <w:t>中明确的响应文件目录和格式进行编制，保证目录清晰、内容完整。</w:t>
      </w:r>
    </w:p>
    <w:p w14:paraId="25B2E1E4">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3.5.</w:t>
      </w:r>
      <w:r>
        <w:rPr>
          <w:rFonts w:hint="eastAsia" w:ascii="仿宋" w:hAnsi="仿宋" w:eastAsia="仿宋" w:cs="仿宋"/>
          <w:b w:val="0"/>
          <w:bCs w:val="0"/>
          <w:color w:val="auto"/>
          <w:sz w:val="24"/>
          <w:szCs w:val="28"/>
          <w:highlight w:val="none"/>
          <w:lang w:val="en-US" w:eastAsia="zh-CN"/>
        </w:rPr>
        <w:t>4</w:t>
      </w:r>
      <w:r>
        <w:rPr>
          <w:rFonts w:hint="eastAsia" w:ascii="仿宋" w:hAnsi="仿宋" w:eastAsia="仿宋" w:cs="仿宋"/>
          <w:b w:val="0"/>
          <w:bCs w:val="0"/>
          <w:color w:val="auto"/>
          <w:sz w:val="24"/>
          <w:szCs w:val="28"/>
          <w:highlight w:val="none"/>
        </w:rPr>
        <w:t>电子招</w:t>
      </w:r>
      <w:r>
        <w:rPr>
          <w:rFonts w:hint="eastAsia" w:ascii="仿宋" w:hAnsi="仿宋" w:eastAsia="仿宋" w:cs="仿宋"/>
          <w:b w:val="0"/>
          <w:bCs w:val="0"/>
          <w:color w:val="auto"/>
          <w:sz w:val="24"/>
          <w:szCs w:val="28"/>
          <w:highlight w:val="none"/>
          <w:lang w:eastAsia="zh-CN"/>
        </w:rPr>
        <w:t>响应文件</w:t>
      </w:r>
      <w:r>
        <w:rPr>
          <w:rFonts w:hint="eastAsia" w:ascii="仿宋" w:hAnsi="仿宋" w:eastAsia="仿宋" w:cs="仿宋"/>
          <w:b w:val="0"/>
          <w:bCs w:val="0"/>
          <w:color w:val="auto"/>
          <w:sz w:val="24"/>
          <w:szCs w:val="28"/>
          <w:highlight w:val="none"/>
        </w:rPr>
        <w:t>具有法律效力，与其他形式的响应文件在内容和格式上等同，若响应文件与</w:t>
      </w:r>
      <w:r>
        <w:rPr>
          <w:rFonts w:hint="eastAsia" w:ascii="仿宋" w:hAnsi="仿宋" w:eastAsia="仿宋" w:cs="仿宋"/>
          <w:b w:val="0"/>
          <w:bCs w:val="0"/>
          <w:color w:val="auto"/>
          <w:sz w:val="24"/>
          <w:szCs w:val="28"/>
          <w:highlight w:val="none"/>
          <w:lang w:eastAsia="zh-CN"/>
        </w:rPr>
        <w:t>采购文件</w:t>
      </w:r>
      <w:r>
        <w:rPr>
          <w:rFonts w:hint="eastAsia" w:ascii="仿宋" w:hAnsi="仿宋" w:eastAsia="仿宋" w:cs="仿宋"/>
          <w:b w:val="0"/>
          <w:bCs w:val="0"/>
          <w:color w:val="auto"/>
          <w:sz w:val="24"/>
          <w:szCs w:val="28"/>
          <w:highlight w:val="none"/>
        </w:rPr>
        <w:t>要求不一致，其内容影响成交结果时，责任由供应商自行承担。供应商递交的电子响应文件因供应商自身原因而导致无法导入电子评标系统，该响应文件视为无效响应文件，将导致其</w:t>
      </w:r>
      <w:r>
        <w:rPr>
          <w:rFonts w:hint="eastAsia" w:ascii="仿宋" w:hAnsi="仿宋" w:eastAsia="仿宋" w:cs="仿宋"/>
          <w:b w:val="0"/>
          <w:bCs w:val="0"/>
          <w:color w:val="auto"/>
          <w:sz w:val="24"/>
          <w:szCs w:val="28"/>
          <w:highlight w:val="none"/>
          <w:lang w:eastAsia="zh-CN"/>
        </w:rPr>
        <w:t>响应</w:t>
      </w:r>
      <w:r>
        <w:rPr>
          <w:rFonts w:hint="eastAsia" w:ascii="仿宋" w:hAnsi="仿宋" w:eastAsia="仿宋" w:cs="仿宋"/>
          <w:b w:val="0"/>
          <w:bCs w:val="0"/>
          <w:color w:val="auto"/>
          <w:sz w:val="24"/>
          <w:szCs w:val="28"/>
          <w:highlight w:val="none"/>
        </w:rPr>
        <w:t>被拒绝。</w:t>
      </w:r>
    </w:p>
    <w:p w14:paraId="69961A96">
      <w:pPr>
        <w:tabs>
          <w:tab w:val="center" w:pos="4832"/>
          <w:tab w:val="left" w:pos="7140"/>
        </w:tabs>
        <w:spacing w:line="360" w:lineRule="auto"/>
        <w:ind w:firstLine="470" w:firstLineChars="196"/>
        <w:jc w:val="left"/>
        <w:outlineLvl w:val="1"/>
        <w:rPr>
          <w:rFonts w:hint="eastAsia" w:ascii="仿宋" w:hAnsi="仿宋" w:eastAsia="仿宋" w:cs="仿宋"/>
          <w:b w:val="0"/>
          <w:bCs w:val="0"/>
          <w:color w:val="auto"/>
          <w:sz w:val="24"/>
          <w:szCs w:val="24"/>
          <w:highlight w:val="none"/>
          <w:lang w:eastAsia="zh-CN"/>
        </w:rPr>
      </w:pPr>
      <w:bookmarkStart w:id="16" w:name="_Toc17387"/>
      <w:r>
        <w:rPr>
          <w:rFonts w:hint="eastAsia" w:ascii="仿宋" w:hAnsi="仿宋" w:eastAsia="仿宋" w:cs="仿宋"/>
          <w:b w:val="0"/>
          <w:bCs w:val="0"/>
          <w:color w:val="auto"/>
          <w:sz w:val="24"/>
          <w:szCs w:val="24"/>
          <w:highlight w:val="none"/>
          <w:lang w:val="en-US" w:eastAsia="zh-CN"/>
        </w:rPr>
        <w:t>四、</w:t>
      </w:r>
      <w:r>
        <w:rPr>
          <w:rFonts w:hint="eastAsia" w:ascii="仿宋" w:hAnsi="仿宋" w:eastAsia="仿宋" w:cs="仿宋"/>
          <w:b w:val="0"/>
          <w:bCs w:val="0"/>
          <w:color w:val="auto"/>
          <w:sz w:val="24"/>
          <w:szCs w:val="24"/>
          <w:highlight w:val="none"/>
          <w:lang w:eastAsia="zh-CN"/>
        </w:rPr>
        <w:t>响应</w:t>
      </w:r>
      <w:bookmarkEnd w:id="16"/>
    </w:p>
    <w:p w14:paraId="466FE2BB">
      <w:pPr>
        <w:spacing w:line="360" w:lineRule="auto"/>
        <w:ind w:firstLine="480" w:firstLineChars="200"/>
        <w:outlineLvl w:val="9"/>
        <w:rPr>
          <w:rFonts w:hint="eastAsia" w:ascii="仿宋" w:hAnsi="仿宋" w:eastAsia="仿宋" w:cs="仿宋"/>
          <w:b w:val="0"/>
          <w:bCs w:val="0"/>
          <w:color w:val="auto"/>
          <w:sz w:val="24"/>
          <w:szCs w:val="28"/>
          <w:highlight w:val="none"/>
        </w:rPr>
      </w:pPr>
      <w:bookmarkStart w:id="17" w:name="_BookMark_8"/>
      <w:bookmarkEnd w:id="17"/>
      <w:r>
        <w:rPr>
          <w:rFonts w:hint="eastAsia" w:ascii="仿宋" w:hAnsi="仿宋" w:eastAsia="仿宋" w:cs="仿宋"/>
          <w:b w:val="0"/>
          <w:bCs w:val="0"/>
          <w:color w:val="auto"/>
          <w:sz w:val="24"/>
          <w:szCs w:val="28"/>
          <w:highlight w:val="none"/>
        </w:rPr>
        <w:t>4.1本次采购采用电子交易方式，电子交易平台为“政采云平台（https://www.zcygov.cn/）”。供应商参与本项目电子交易活动前，应注册成为政府采购云平台供应商。编制电子响应文件前还需申领CA证书并绑定帐号。供应商应充分考虑完成平台注册、申领CA证书等所需的时间。因未注册入库、未办理CA数字证书等原因造成无法</w:t>
      </w:r>
      <w:r>
        <w:rPr>
          <w:rFonts w:hint="eastAsia" w:ascii="仿宋" w:hAnsi="仿宋" w:eastAsia="仿宋" w:cs="仿宋"/>
          <w:b w:val="0"/>
          <w:bCs w:val="0"/>
          <w:color w:val="auto"/>
          <w:sz w:val="24"/>
          <w:szCs w:val="28"/>
          <w:highlight w:val="none"/>
          <w:lang w:eastAsia="zh-CN"/>
        </w:rPr>
        <w:t>响应</w:t>
      </w:r>
      <w:r>
        <w:rPr>
          <w:rFonts w:hint="eastAsia" w:ascii="仿宋" w:hAnsi="仿宋" w:eastAsia="仿宋" w:cs="仿宋"/>
          <w:b w:val="0"/>
          <w:bCs w:val="0"/>
          <w:color w:val="auto"/>
          <w:sz w:val="24"/>
          <w:szCs w:val="28"/>
          <w:highlight w:val="none"/>
        </w:rPr>
        <w:t>或</w:t>
      </w:r>
      <w:r>
        <w:rPr>
          <w:rFonts w:hint="eastAsia" w:ascii="仿宋" w:hAnsi="仿宋" w:eastAsia="仿宋" w:cs="仿宋"/>
          <w:b w:val="0"/>
          <w:bCs w:val="0"/>
          <w:color w:val="auto"/>
          <w:sz w:val="24"/>
          <w:szCs w:val="28"/>
          <w:highlight w:val="none"/>
          <w:lang w:eastAsia="zh-CN"/>
        </w:rPr>
        <w:t>响应</w:t>
      </w:r>
      <w:r>
        <w:rPr>
          <w:rFonts w:hint="eastAsia" w:ascii="仿宋" w:hAnsi="仿宋" w:eastAsia="仿宋" w:cs="仿宋"/>
          <w:b w:val="0"/>
          <w:bCs w:val="0"/>
          <w:color w:val="auto"/>
          <w:sz w:val="24"/>
          <w:szCs w:val="28"/>
          <w:highlight w:val="none"/>
        </w:rPr>
        <w:t xml:space="preserve">失败等后果由供应商自行承担。 </w:t>
      </w:r>
    </w:p>
    <w:p w14:paraId="265090DB">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4.2供应商将政采云电子交易客户端下载、安装完成后，可通过账号密码或CA登录客户端进行响应文件制作。在使用政采云投标客户端时，建议使用WIN7及以上操作系统。客户端请至新疆政府采购网（www.ccgp-xinjiang.gov.cn）下载专区查看，如有问题可拨打政采云客户服务热线95763进行咨询。</w:t>
      </w:r>
    </w:p>
    <w:p w14:paraId="1443CF13">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4.3响应文件的递交</w:t>
      </w:r>
    </w:p>
    <w:p w14:paraId="21F5DBA6">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4.3.1加密的电子响应文件应在响应文件递交截止时间前通过政采云平台上传完成。逾期上传或者未上传指定地点的响应文件，采购人不予受理。</w:t>
      </w:r>
    </w:p>
    <w:p w14:paraId="00B05080">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4.3.2采购人事先约定延长响应文件递交截止时间的，采购人与供应商以前的</w:t>
      </w:r>
      <w:r>
        <w:rPr>
          <w:rFonts w:hint="eastAsia" w:ascii="仿宋" w:hAnsi="仿宋" w:eastAsia="仿宋" w:cs="仿宋"/>
          <w:b w:val="0"/>
          <w:bCs w:val="0"/>
          <w:color w:val="auto"/>
          <w:sz w:val="24"/>
          <w:szCs w:val="28"/>
          <w:highlight w:val="none"/>
          <w:lang w:eastAsia="zh-CN"/>
        </w:rPr>
        <w:t>响应</w:t>
      </w:r>
      <w:r>
        <w:rPr>
          <w:rFonts w:hint="eastAsia" w:ascii="仿宋" w:hAnsi="仿宋" w:eastAsia="仿宋" w:cs="仿宋"/>
          <w:b w:val="0"/>
          <w:bCs w:val="0"/>
          <w:color w:val="auto"/>
          <w:sz w:val="24"/>
          <w:szCs w:val="28"/>
          <w:highlight w:val="none"/>
        </w:rPr>
        <w:t>截止期方面的全部权利、责任和义务，将适用延长至新的</w:t>
      </w:r>
      <w:r>
        <w:rPr>
          <w:rFonts w:hint="eastAsia" w:ascii="仿宋" w:hAnsi="仿宋" w:eastAsia="仿宋" w:cs="仿宋"/>
          <w:b w:val="0"/>
          <w:bCs w:val="0"/>
          <w:color w:val="auto"/>
          <w:sz w:val="24"/>
          <w:szCs w:val="28"/>
          <w:highlight w:val="none"/>
          <w:lang w:eastAsia="zh-CN"/>
        </w:rPr>
        <w:t>响应</w:t>
      </w:r>
      <w:r>
        <w:rPr>
          <w:rFonts w:hint="eastAsia" w:ascii="仿宋" w:hAnsi="仿宋" w:eastAsia="仿宋" w:cs="仿宋"/>
          <w:b w:val="0"/>
          <w:bCs w:val="0"/>
          <w:color w:val="auto"/>
          <w:sz w:val="24"/>
          <w:szCs w:val="28"/>
          <w:highlight w:val="none"/>
        </w:rPr>
        <w:t>截止期。</w:t>
      </w:r>
    </w:p>
    <w:p w14:paraId="65B68A64">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4.3.3供应商或其响应文件存在下列情形之一的，采购人对其响应文件不予受理：</w:t>
      </w:r>
    </w:p>
    <w:p w14:paraId="5D973D6F">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（1）逾期上传的响应文件；</w:t>
      </w:r>
    </w:p>
    <w:p w14:paraId="438B4991">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（2）未上传指定地点的响应文件；</w:t>
      </w:r>
    </w:p>
    <w:p w14:paraId="61F821B7">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（3）未按本章要求加密的响应文件。</w:t>
      </w:r>
    </w:p>
    <w:p w14:paraId="55EF84B8">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4.4响应文件的修改与撤回</w:t>
      </w:r>
    </w:p>
    <w:p w14:paraId="65FF1200">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4.4.1供应商应在</w:t>
      </w:r>
      <w:r>
        <w:rPr>
          <w:rFonts w:hint="eastAsia" w:ascii="仿宋" w:hAnsi="仿宋" w:eastAsia="仿宋" w:cs="仿宋"/>
          <w:b w:val="0"/>
          <w:bCs w:val="0"/>
          <w:color w:val="auto"/>
          <w:sz w:val="24"/>
          <w:szCs w:val="28"/>
          <w:highlight w:val="none"/>
          <w:lang w:val="en-US" w:eastAsia="zh-CN"/>
        </w:rPr>
        <w:t>供应商</w:t>
      </w:r>
      <w:r>
        <w:rPr>
          <w:rFonts w:hint="eastAsia" w:ascii="仿宋" w:hAnsi="仿宋" w:eastAsia="仿宋" w:cs="仿宋"/>
          <w:b w:val="0"/>
          <w:bCs w:val="0"/>
          <w:color w:val="auto"/>
          <w:sz w:val="24"/>
          <w:szCs w:val="28"/>
          <w:highlight w:val="none"/>
        </w:rPr>
        <w:t>须知前附表中规定的截止时间前，可以撤回已上传的响应文件。如要修改，必须在撤回并修改后在规定的响应文件递交截止时间之前将修改后的响应文件再重新上传。在响应文件递交截止时间之后，供应商不得对上传的响应文件撤销或修改。</w:t>
      </w:r>
    </w:p>
    <w:p w14:paraId="31FE3C80">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4.5响应文件格式</w:t>
      </w:r>
    </w:p>
    <w:p w14:paraId="2DF11BC5">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4.5.1响应文件格式见第五章。</w:t>
      </w:r>
    </w:p>
    <w:p w14:paraId="61F9E8F5">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4.5.2供应商应使用本</w:t>
      </w:r>
      <w:r>
        <w:rPr>
          <w:rFonts w:hint="eastAsia" w:ascii="仿宋" w:hAnsi="仿宋" w:eastAsia="仿宋" w:cs="仿宋"/>
          <w:b w:val="0"/>
          <w:bCs w:val="0"/>
          <w:color w:val="auto"/>
          <w:sz w:val="24"/>
          <w:szCs w:val="28"/>
          <w:highlight w:val="none"/>
          <w:lang w:eastAsia="zh-CN"/>
        </w:rPr>
        <w:t>采购文件</w:t>
      </w:r>
      <w:r>
        <w:rPr>
          <w:rFonts w:hint="eastAsia" w:ascii="仿宋" w:hAnsi="仿宋" w:eastAsia="仿宋" w:cs="仿宋"/>
          <w:b w:val="0"/>
          <w:bCs w:val="0"/>
          <w:color w:val="auto"/>
          <w:sz w:val="24"/>
          <w:szCs w:val="28"/>
          <w:highlight w:val="none"/>
        </w:rPr>
        <w:t>后面提供的响应文件格式填写，如不够用时，供应商可按同样格式自行编制和填补，如果本</w:t>
      </w:r>
      <w:r>
        <w:rPr>
          <w:rFonts w:hint="eastAsia" w:ascii="仿宋" w:hAnsi="仿宋" w:eastAsia="仿宋" w:cs="仿宋"/>
          <w:b w:val="0"/>
          <w:bCs w:val="0"/>
          <w:color w:val="auto"/>
          <w:sz w:val="24"/>
          <w:szCs w:val="28"/>
          <w:highlight w:val="none"/>
          <w:lang w:eastAsia="zh-CN"/>
        </w:rPr>
        <w:t>采购文件</w:t>
      </w:r>
      <w:r>
        <w:rPr>
          <w:rFonts w:hint="eastAsia" w:ascii="仿宋" w:hAnsi="仿宋" w:eastAsia="仿宋" w:cs="仿宋"/>
          <w:b w:val="0"/>
          <w:bCs w:val="0"/>
          <w:color w:val="auto"/>
          <w:sz w:val="24"/>
          <w:szCs w:val="28"/>
          <w:highlight w:val="none"/>
        </w:rPr>
        <w:t>未提供格式的，供应商可自行编制。</w:t>
      </w:r>
    </w:p>
    <w:p w14:paraId="20FA12C8">
      <w:pPr>
        <w:tabs>
          <w:tab w:val="center" w:pos="4832"/>
          <w:tab w:val="left" w:pos="7140"/>
        </w:tabs>
        <w:spacing w:line="360" w:lineRule="auto"/>
        <w:ind w:firstLine="470" w:firstLineChars="196"/>
        <w:jc w:val="left"/>
        <w:outlineLvl w:val="1"/>
        <w:rPr>
          <w:rFonts w:hint="eastAsia" w:ascii="仿宋" w:hAnsi="仿宋" w:eastAsia="仿宋" w:cs="仿宋"/>
          <w:b w:val="0"/>
          <w:bCs w:val="0"/>
          <w:color w:val="auto"/>
          <w:sz w:val="24"/>
          <w:szCs w:val="24"/>
          <w:highlight w:val="none"/>
          <w:lang w:eastAsia="zh-CN"/>
        </w:rPr>
      </w:pPr>
      <w:bookmarkStart w:id="18" w:name="_Toc32357"/>
      <w:r>
        <w:rPr>
          <w:rFonts w:hint="eastAsia" w:ascii="仿宋" w:hAnsi="仿宋" w:eastAsia="仿宋" w:cs="仿宋"/>
          <w:b w:val="0"/>
          <w:bCs w:val="0"/>
          <w:color w:val="auto"/>
          <w:sz w:val="24"/>
          <w:szCs w:val="24"/>
          <w:highlight w:val="none"/>
          <w:lang w:val="en-US" w:eastAsia="zh-CN"/>
        </w:rPr>
        <w:t>五、</w:t>
      </w:r>
      <w:r>
        <w:rPr>
          <w:rFonts w:hint="eastAsia" w:ascii="仿宋" w:hAnsi="仿宋" w:eastAsia="仿宋" w:cs="仿宋"/>
          <w:b w:val="0"/>
          <w:bCs w:val="0"/>
          <w:color w:val="auto"/>
          <w:sz w:val="24"/>
          <w:szCs w:val="24"/>
          <w:highlight w:val="none"/>
          <w:lang w:eastAsia="zh-CN"/>
        </w:rPr>
        <w:t>开启</w:t>
      </w:r>
      <w:bookmarkEnd w:id="18"/>
    </w:p>
    <w:p w14:paraId="5C361EB5">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 xml:space="preserve">5.1 </w:t>
      </w:r>
      <w:r>
        <w:rPr>
          <w:rFonts w:hint="eastAsia" w:ascii="仿宋" w:hAnsi="仿宋" w:eastAsia="仿宋" w:cs="仿宋"/>
          <w:b w:val="0"/>
          <w:bCs w:val="0"/>
          <w:color w:val="auto"/>
          <w:kern w:val="0"/>
          <w:sz w:val="24"/>
          <w:szCs w:val="24"/>
          <w:highlight w:val="none"/>
          <w:lang w:eastAsia="zh-CN"/>
        </w:rPr>
        <w:t>开启</w:t>
      </w:r>
      <w:r>
        <w:rPr>
          <w:rFonts w:hint="eastAsia" w:ascii="仿宋" w:hAnsi="仿宋" w:eastAsia="仿宋" w:cs="仿宋"/>
          <w:b w:val="0"/>
          <w:bCs w:val="0"/>
          <w:color w:val="auto"/>
          <w:kern w:val="0"/>
          <w:sz w:val="24"/>
          <w:szCs w:val="24"/>
          <w:highlight w:val="none"/>
        </w:rPr>
        <w:t>时间和地点</w:t>
      </w:r>
    </w:p>
    <w:p w14:paraId="51D1DCF4">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采购人在供应商须知前附表规定的时间、地点公开</w:t>
      </w:r>
      <w:r>
        <w:rPr>
          <w:rFonts w:hint="eastAsia" w:ascii="仿宋" w:hAnsi="仿宋" w:eastAsia="仿宋" w:cs="仿宋"/>
          <w:b w:val="0"/>
          <w:bCs w:val="0"/>
          <w:color w:val="auto"/>
          <w:kern w:val="0"/>
          <w:sz w:val="24"/>
          <w:szCs w:val="24"/>
          <w:highlight w:val="none"/>
          <w:lang w:eastAsia="zh-CN"/>
        </w:rPr>
        <w:t>开启</w:t>
      </w:r>
      <w:r>
        <w:rPr>
          <w:rFonts w:hint="eastAsia" w:ascii="仿宋" w:hAnsi="仿宋" w:eastAsia="仿宋" w:cs="仿宋"/>
          <w:b w:val="0"/>
          <w:bCs w:val="0"/>
          <w:color w:val="auto"/>
          <w:kern w:val="0"/>
          <w:sz w:val="24"/>
          <w:szCs w:val="24"/>
          <w:highlight w:val="none"/>
        </w:rPr>
        <w:t>，并邀请所有供应商的法定代表人或其授权委托人参加。</w:t>
      </w:r>
    </w:p>
    <w:p w14:paraId="461D0007">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sz w:val="24"/>
          <w:highlight w:val="none"/>
        </w:rPr>
      </w:pPr>
      <w:r>
        <w:rPr>
          <w:rFonts w:hint="eastAsia" w:ascii="仿宋" w:hAnsi="仿宋" w:eastAsia="仿宋" w:cs="仿宋"/>
          <w:b w:val="0"/>
          <w:bCs w:val="0"/>
          <w:color w:val="auto"/>
          <w:kern w:val="0"/>
          <w:sz w:val="24"/>
          <w:szCs w:val="24"/>
          <w:highlight w:val="none"/>
        </w:rPr>
        <w:t>5.2</w:t>
      </w:r>
      <w:r>
        <w:rPr>
          <w:rFonts w:hint="eastAsia" w:ascii="仿宋" w:hAnsi="仿宋" w:eastAsia="仿宋" w:cs="仿宋"/>
          <w:b w:val="0"/>
          <w:bCs w:val="0"/>
          <w:color w:val="auto"/>
          <w:sz w:val="24"/>
          <w:highlight w:val="none"/>
        </w:rPr>
        <w:t>各供应商应对本单位的加密的电子响应文件网上解密，采购代理机构工作人员在监督人员监督下开启所有响应文件。</w:t>
      </w:r>
    </w:p>
    <w:p w14:paraId="4FD34DD4">
      <w:pPr>
        <w:spacing w:line="360" w:lineRule="auto"/>
        <w:ind w:firstLine="480" w:firstLineChars="200"/>
        <w:outlineLvl w:val="9"/>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注：根据政府采购法及有关政策规定，竞争性磋商采购方式不能公开供应商的技术资料、价格和其他信息，因此对于上述内容不予唱标。</w:t>
      </w:r>
    </w:p>
    <w:p w14:paraId="219C5E34">
      <w:pPr>
        <w:tabs>
          <w:tab w:val="center" w:pos="4832"/>
          <w:tab w:val="left" w:pos="7140"/>
        </w:tabs>
        <w:spacing w:line="360" w:lineRule="auto"/>
        <w:ind w:firstLine="470" w:firstLineChars="196"/>
        <w:jc w:val="left"/>
        <w:outlineLvl w:val="1"/>
        <w:rPr>
          <w:rFonts w:hint="eastAsia" w:ascii="仿宋" w:hAnsi="仿宋" w:eastAsia="仿宋" w:cs="仿宋"/>
          <w:b w:val="0"/>
          <w:bCs w:val="0"/>
          <w:color w:val="auto"/>
          <w:sz w:val="24"/>
          <w:szCs w:val="24"/>
          <w:highlight w:val="none"/>
        </w:rPr>
      </w:pPr>
      <w:bookmarkStart w:id="19" w:name="_BookMark_9"/>
      <w:bookmarkEnd w:id="19"/>
      <w:bookmarkStart w:id="20" w:name="_Toc3065"/>
      <w:r>
        <w:rPr>
          <w:rFonts w:hint="eastAsia" w:ascii="仿宋" w:hAnsi="仿宋" w:eastAsia="仿宋" w:cs="仿宋"/>
          <w:b w:val="0"/>
          <w:bCs w:val="0"/>
          <w:color w:val="auto"/>
          <w:sz w:val="24"/>
          <w:szCs w:val="24"/>
          <w:highlight w:val="none"/>
          <w:lang w:val="en-US" w:eastAsia="zh-CN"/>
        </w:rPr>
        <w:t>六、</w:t>
      </w:r>
      <w:r>
        <w:rPr>
          <w:rFonts w:hint="eastAsia" w:ascii="仿宋" w:hAnsi="仿宋" w:eastAsia="仿宋" w:cs="仿宋"/>
          <w:b w:val="0"/>
          <w:bCs w:val="0"/>
          <w:color w:val="auto"/>
          <w:sz w:val="24"/>
          <w:szCs w:val="24"/>
          <w:highlight w:val="none"/>
        </w:rPr>
        <w:t>评审</w:t>
      </w:r>
      <w:bookmarkEnd w:id="20"/>
    </w:p>
    <w:p w14:paraId="00464636">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6.1 磋商小组</w:t>
      </w:r>
    </w:p>
    <w:p w14:paraId="5AD8759E">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6.1.1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4D50A3D3">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6.1.2 磋商小组成员有下列情形之一的，应当回避：</w:t>
      </w:r>
    </w:p>
    <w:p w14:paraId="61410B3A">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（1）参加采购活动前三年内,与供应商存在劳动关系,或者担任过供应商的董事、监事,或者是供应商的控股股东或实际控制人。</w:t>
      </w:r>
    </w:p>
    <w:p w14:paraId="68C0194B">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（2）与供应商的法定代表人或者负责人有夫妻、直系血亲、三代以内旁系血亲或者近姻亲关系。</w:t>
      </w:r>
    </w:p>
    <w:p w14:paraId="557F94EB">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（3）与供应商有其他可能影响政府采购活动公平、公正进行的关系。</w:t>
      </w:r>
    </w:p>
    <w:p w14:paraId="34C08E73">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 xml:space="preserve">6.2 评审原则 </w:t>
      </w:r>
    </w:p>
    <w:p w14:paraId="5BB52587">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评审活动遵循公平、公正、科学和择优的原则。</w:t>
      </w:r>
    </w:p>
    <w:p w14:paraId="5B77F620">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6.3 评审</w:t>
      </w:r>
    </w:p>
    <w:p w14:paraId="3BAE5BBB">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磋商小组按照</w:t>
      </w:r>
      <w:r>
        <w:rPr>
          <w:rFonts w:hint="eastAsia" w:ascii="仿宋" w:hAnsi="仿宋" w:eastAsia="仿宋" w:cs="仿宋"/>
          <w:b w:val="0"/>
          <w:bCs w:val="0"/>
          <w:color w:val="auto"/>
          <w:kern w:val="0"/>
          <w:sz w:val="24"/>
          <w:szCs w:val="24"/>
          <w:highlight w:val="none"/>
          <w:lang w:eastAsia="zh-CN"/>
        </w:rPr>
        <w:t>采购文件</w:t>
      </w:r>
      <w:r>
        <w:rPr>
          <w:rFonts w:hint="eastAsia" w:ascii="仿宋" w:hAnsi="仿宋" w:eastAsia="仿宋" w:cs="仿宋"/>
          <w:b w:val="0"/>
          <w:bCs w:val="0"/>
          <w:color w:val="auto"/>
          <w:kern w:val="0"/>
          <w:sz w:val="24"/>
          <w:szCs w:val="24"/>
          <w:highlight w:val="none"/>
        </w:rPr>
        <w:t>中规定的方法、评审因素、标准和程序对响应文件进行评审。</w:t>
      </w:r>
    </w:p>
    <w:p w14:paraId="5FA1BFF8">
      <w:pPr>
        <w:tabs>
          <w:tab w:val="center" w:pos="4832"/>
          <w:tab w:val="left" w:pos="7140"/>
        </w:tabs>
        <w:spacing w:line="360" w:lineRule="auto"/>
        <w:ind w:firstLine="470" w:firstLineChars="196"/>
        <w:jc w:val="left"/>
        <w:outlineLvl w:val="1"/>
        <w:rPr>
          <w:rFonts w:hint="eastAsia" w:ascii="仿宋" w:hAnsi="仿宋" w:eastAsia="仿宋" w:cs="仿宋"/>
          <w:b w:val="0"/>
          <w:bCs/>
          <w:color w:val="auto"/>
          <w:sz w:val="24"/>
          <w:szCs w:val="24"/>
          <w:highlight w:val="none"/>
          <w:shd w:val="clear" w:color="auto" w:fill="FFFFFF" w:themeFill="background1"/>
        </w:rPr>
      </w:pPr>
      <w:bookmarkStart w:id="21" w:name="_BookMark_10"/>
      <w:bookmarkEnd w:id="21"/>
      <w:bookmarkStart w:id="22" w:name="_BookMark_11"/>
      <w:bookmarkEnd w:id="22"/>
      <w:bookmarkStart w:id="23" w:name="_Toc113902767"/>
      <w:bookmarkStart w:id="24" w:name="_Toc12239"/>
      <w:bookmarkStart w:id="25" w:name="_Toc15396"/>
      <w:r>
        <w:rPr>
          <w:rFonts w:hint="eastAsia" w:ascii="仿宋" w:hAnsi="仿宋" w:eastAsia="仿宋" w:cs="仿宋"/>
          <w:b w:val="0"/>
          <w:bCs/>
          <w:color w:val="auto"/>
          <w:sz w:val="24"/>
          <w:szCs w:val="24"/>
          <w:highlight w:val="none"/>
          <w:shd w:val="clear" w:color="auto" w:fill="FFFFFF" w:themeFill="background1"/>
        </w:rPr>
        <w:t>七、定标及合同授予</w:t>
      </w:r>
      <w:bookmarkEnd w:id="23"/>
      <w:bookmarkEnd w:id="24"/>
      <w:bookmarkEnd w:id="25"/>
    </w:p>
    <w:p w14:paraId="655145C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7.1 定标方法</w:t>
      </w:r>
    </w:p>
    <w:p w14:paraId="69420EA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 定标方法</w:t>
      </w:r>
    </w:p>
    <w:p w14:paraId="1257700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7.1.1 评标活动遵循公平、公正、科学和择优的原则。</w:t>
      </w:r>
      <w:r>
        <w:rPr>
          <w:rFonts w:hint="eastAsia" w:ascii="仿宋" w:hAnsi="仿宋" w:eastAsia="仿宋" w:cs="仿宋"/>
          <w:color w:val="auto"/>
          <w:kern w:val="0"/>
          <w:sz w:val="24"/>
          <w:szCs w:val="24"/>
          <w:highlight w:val="none"/>
          <w:lang w:eastAsia="zh-CN"/>
        </w:rPr>
        <w:t>磋商小组</w:t>
      </w:r>
      <w:r>
        <w:rPr>
          <w:rFonts w:hint="eastAsia" w:ascii="仿宋" w:hAnsi="仿宋" w:eastAsia="仿宋" w:cs="仿宋"/>
          <w:color w:val="auto"/>
          <w:kern w:val="0"/>
          <w:sz w:val="24"/>
          <w:szCs w:val="24"/>
          <w:highlight w:val="none"/>
        </w:rPr>
        <w:t>按照</w:t>
      </w:r>
      <w:r>
        <w:rPr>
          <w:rFonts w:hint="eastAsia" w:ascii="仿宋" w:hAnsi="仿宋" w:eastAsia="仿宋" w:cs="仿宋"/>
          <w:color w:val="auto"/>
          <w:kern w:val="0"/>
          <w:sz w:val="24"/>
          <w:szCs w:val="24"/>
          <w:highlight w:val="none"/>
          <w:lang w:eastAsia="zh-CN"/>
        </w:rPr>
        <w:t>采购文件</w:t>
      </w:r>
      <w:r>
        <w:rPr>
          <w:rFonts w:hint="eastAsia" w:ascii="仿宋" w:hAnsi="仿宋" w:eastAsia="仿宋" w:cs="仿宋"/>
          <w:color w:val="auto"/>
          <w:kern w:val="0"/>
          <w:sz w:val="24"/>
          <w:szCs w:val="24"/>
          <w:highlight w:val="none"/>
        </w:rPr>
        <w:t>中规定的方法、评标因素、标准和程序对</w:t>
      </w:r>
      <w:r>
        <w:rPr>
          <w:rFonts w:hint="eastAsia" w:ascii="仿宋" w:hAnsi="仿宋" w:eastAsia="仿宋" w:cs="仿宋"/>
          <w:color w:val="auto"/>
          <w:kern w:val="0"/>
          <w:sz w:val="24"/>
          <w:szCs w:val="24"/>
          <w:highlight w:val="none"/>
          <w:lang w:eastAsia="zh-CN"/>
        </w:rPr>
        <w:t>响应文件</w:t>
      </w:r>
      <w:r>
        <w:rPr>
          <w:rFonts w:hint="eastAsia" w:ascii="仿宋" w:hAnsi="仿宋" w:eastAsia="仿宋" w:cs="仿宋"/>
          <w:color w:val="auto"/>
          <w:kern w:val="0"/>
          <w:sz w:val="24"/>
          <w:szCs w:val="24"/>
          <w:highlight w:val="none"/>
        </w:rPr>
        <w:t>进行评标，并按</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须知前附表的规定向采购人推荐</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。采购人依据</w:t>
      </w:r>
      <w:r>
        <w:rPr>
          <w:rFonts w:hint="eastAsia" w:ascii="仿宋" w:hAnsi="仿宋" w:eastAsia="仿宋" w:cs="仿宋"/>
          <w:color w:val="auto"/>
          <w:kern w:val="0"/>
          <w:sz w:val="24"/>
          <w:szCs w:val="24"/>
          <w:highlight w:val="none"/>
          <w:lang w:eastAsia="zh-CN"/>
        </w:rPr>
        <w:t>磋商小组</w:t>
      </w:r>
      <w:r>
        <w:rPr>
          <w:rFonts w:hint="eastAsia" w:ascii="仿宋" w:hAnsi="仿宋" w:eastAsia="仿宋" w:cs="仿宋"/>
          <w:color w:val="auto"/>
          <w:kern w:val="0"/>
          <w:sz w:val="24"/>
          <w:szCs w:val="24"/>
          <w:highlight w:val="none"/>
        </w:rPr>
        <w:t>推荐的</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确定</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w:t>
      </w:r>
    </w:p>
    <w:p w14:paraId="49760A2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7.1.2采购人从</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中确定出</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的原则：采购人应当确定排名第一的</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为</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。排名第一的</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放弃</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、因不可抗力不能履行合同、拒绝与采购人签订合同，不按照</w:t>
      </w:r>
      <w:r>
        <w:rPr>
          <w:rFonts w:hint="eastAsia" w:ascii="仿宋" w:hAnsi="仿宋" w:eastAsia="仿宋" w:cs="仿宋"/>
          <w:color w:val="auto"/>
          <w:kern w:val="0"/>
          <w:sz w:val="24"/>
          <w:szCs w:val="24"/>
          <w:highlight w:val="none"/>
          <w:lang w:eastAsia="zh-CN"/>
        </w:rPr>
        <w:t>采购文件</w:t>
      </w:r>
      <w:r>
        <w:rPr>
          <w:rFonts w:hint="eastAsia" w:ascii="仿宋" w:hAnsi="仿宋" w:eastAsia="仿宋" w:cs="仿宋"/>
          <w:color w:val="auto"/>
          <w:kern w:val="0"/>
          <w:sz w:val="24"/>
          <w:szCs w:val="24"/>
          <w:highlight w:val="none"/>
        </w:rPr>
        <w:t>要求提交履约保证金、或者被查实存在影响</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结果的违法行为等情形，不符合</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条件的，采购人可以按照</w:t>
      </w:r>
      <w:r>
        <w:rPr>
          <w:rFonts w:hint="eastAsia" w:ascii="仿宋" w:hAnsi="仿宋" w:eastAsia="仿宋" w:cs="仿宋"/>
          <w:color w:val="auto"/>
          <w:kern w:val="0"/>
          <w:sz w:val="24"/>
          <w:szCs w:val="24"/>
          <w:highlight w:val="none"/>
          <w:lang w:eastAsia="zh-CN"/>
        </w:rPr>
        <w:t>磋商小组</w:t>
      </w:r>
      <w:r>
        <w:rPr>
          <w:rFonts w:hint="eastAsia" w:ascii="仿宋" w:hAnsi="仿宋" w:eastAsia="仿宋" w:cs="仿宋"/>
          <w:color w:val="auto"/>
          <w:kern w:val="0"/>
          <w:sz w:val="24"/>
          <w:szCs w:val="24"/>
          <w:highlight w:val="none"/>
        </w:rPr>
        <w:t>推荐的</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名单排名依次确定其他</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为</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w:t>
      </w:r>
    </w:p>
    <w:p w14:paraId="0210AFB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7.2</w:t>
      </w:r>
      <w:r>
        <w:rPr>
          <w:rFonts w:hint="eastAsia" w:ascii="仿宋" w:hAnsi="仿宋" w:eastAsia="仿宋" w:cs="仿宋"/>
          <w:color w:val="auto"/>
          <w:kern w:val="0"/>
          <w:sz w:val="24"/>
          <w:szCs w:val="24"/>
          <w:highlight w:val="none"/>
          <w:shd w:val="clear" w:color="auto" w:fill="FFFFFF" w:themeFill="background1"/>
          <w:lang w:eastAsia="zh-CN"/>
        </w:rPr>
        <w:t>成交</w:t>
      </w:r>
      <w:r>
        <w:rPr>
          <w:rFonts w:hint="eastAsia" w:ascii="仿宋" w:hAnsi="仿宋" w:eastAsia="仿宋" w:cs="仿宋"/>
          <w:color w:val="auto"/>
          <w:kern w:val="0"/>
          <w:sz w:val="24"/>
          <w:szCs w:val="24"/>
          <w:highlight w:val="none"/>
          <w:shd w:val="clear" w:color="auto" w:fill="FFFFFF" w:themeFill="background1"/>
        </w:rPr>
        <w:t>结果公告</w:t>
      </w:r>
    </w:p>
    <w:p w14:paraId="2F37BF8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在公告</w:t>
      </w:r>
      <w:r>
        <w:rPr>
          <w:rFonts w:hint="eastAsia" w:ascii="仿宋" w:hAnsi="仿宋" w:eastAsia="仿宋" w:cs="仿宋"/>
          <w:color w:val="auto"/>
          <w:kern w:val="0"/>
          <w:sz w:val="24"/>
          <w:szCs w:val="24"/>
          <w:highlight w:val="none"/>
          <w:shd w:val="clear" w:color="auto" w:fill="FFFFFF" w:themeFill="background1"/>
          <w:lang w:eastAsia="zh-CN"/>
        </w:rPr>
        <w:t>成交</w:t>
      </w:r>
      <w:r>
        <w:rPr>
          <w:rFonts w:hint="eastAsia" w:ascii="仿宋" w:hAnsi="仿宋" w:eastAsia="仿宋" w:cs="仿宋"/>
          <w:color w:val="auto"/>
          <w:kern w:val="0"/>
          <w:sz w:val="24"/>
          <w:szCs w:val="24"/>
          <w:highlight w:val="none"/>
          <w:shd w:val="clear" w:color="auto" w:fill="FFFFFF" w:themeFill="background1"/>
        </w:rPr>
        <w:t>结果的同时，采购人或者采购代理机构向</w:t>
      </w:r>
      <w:r>
        <w:rPr>
          <w:rFonts w:hint="eastAsia" w:ascii="仿宋" w:hAnsi="仿宋" w:eastAsia="仿宋" w:cs="仿宋"/>
          <w:color w:val="auto"/>
          <w:kern w:val="0"/>
          <w:sz w:val="24"/>
          <w:szCs w:val="24"/>
          <w:highlight w:val="none"/>
          <w:shd w:val="clear" w:color="auto" w:fill="FFFFFF" w:themeFill="background1"/>
          <w:lang w:eastAsia="zh-CN"/>
        </w:rPr>
        <w:t>成交供应商</w:t>
      </w:r>
      <w:r>
        <w:rPr>
          <w:rFonts w:hint="eastAsia" w:ascii="仿宋" w:hAnsi="仿宋" w:eastAsia="仿宋" w:cs="仿宋"/>
          <w:color w:val="auto"/>
          <w:kern w:val="0"/>
          <w:sz w:val="24"/>
          <w:szCs w:val="24"/>
          <w:highlight w:val="none"/>
          <w:shd w:val="clear" w:color="auto" w:fill="FFFFFF" w:themeFill="background1"/>
        </w:rPr>
        <w:t>发出</w:t>
      </w:r>
      <w:r>
        <w:rPr>
          <w:rFonts w:hint="eastAsia" w:ascii="仿宋" w:hAnsi="仿宋" w:eastAsia="仿宋" w:cs="仿宋"/>
          <w:color w:val="auto"/>
          <w:kern w:val="0"/>
          <w:sz w:val="24"/>
          <w:szCs w:val="24"/>
          <w:highlight w:val="none"/>
          <w:shd w:val="clear" w:color="auto" w:fill="FFFFFF" w:themeFill="background1"/>
          <w:lang w:eastAsia="zh-CN"/>
        </w:rPr>
        <w:t>成交</w:t>
      </w:r>
      <w:r>
        <w:rPr>
          <w:rFonts w:hint="eastAsia" w:ascii="仿宋" w:hAnsi="仿宋" w:eastAsia="仿宋" w:cs="仿宋"/>
          <w:color w:val="auto"/>
          <w:kern w:val="0"/>
          <w:sz w:val="24"/>
          <w:szCs w:val="24"/>
          <w:highlight w:val="none"/>
          <w:shd w:val="clear" w:color="auto" w:fill="FFFFFF" w:themeFill="background1"/>
        </w:rPr>
        <w:t>通知书；对未通过资格审查的</w:t>
      </w:r>
      <w:r>
        <w:rPr>
          <w:rFonts w:hint="eastAsia" w:ascii="仿宋" w:hAnsi="仿宋" w:eastAsia="仿宋" w:cs="仿宋"/>
          <w:color w:val="auto"/>
          <w:kern w:val="0"/>
          <w:sz w:val="24"/>
          <w:szCs w:val="24"/>
          <w:highlight w:val="none"/>
          <w:shd w:val="clear" w:color="auto" w:fill="FFFFFF" w:themeFill="background1"/>
          <w:lang w:eastAsia="zh-CN"/>
        </w:rPr>
        <w:t>供应商</w:t>
      </w:r>
      <w:r>
        <w:rPr>
          <w:rFonts w:hint="eastAsia" w:ascii="仿宋" w:hAnsi="仿宋" w:eastAsia="仿宋" w:cs="仿宋"/>
          <w:color w:val="auto"/>
          <w:kern w:val="0"/>
          <w:sz w:val="24"/>
          <w:szCs w:val="24"/>
          <w:highlight w:val="none"/>
          <w:shd w:val="clear" w:color="auto" w:fill="FFFFFF" w:themeFill="background1"/>
        </w:rPr>
        <w:t>，应当告知其未通过的原因。</w:t>
      </w:r>
    </w:p>
    <w:p w14:paraId="64D6043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7.3履约保证金</w:t>
      </w:r>
    </w:p>
    <w:p w14:paraId="3CADD19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7.3.1 在签订合同前，</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应按</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须知前附表规定的金额、形式向采购人提交履约保证金。联合体</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的，其履约保证金由牵头人提交，并应符合</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须知前附表的规定。</w:t>
      </w:r>
    </w:p>
    <w:p w14:paraId="3A2D8E6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7.3.2 </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未按要求提交履约保证金的，视为放弃</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，其</w:t>
      </w:r>
      <w:r>
        <w:rPr>
          <w:rFonts w:hint="eastAsia" w:ascii="仿宋" w:hAnsi="仿宋" w:eastAsia="仿宋" w:cs="仿宋"/>
          <w:color w:val="auto"/>
          <w:kern w:val="0"/>
          <w:sz w:val="24"/>
          <w:szCs w:val="24"/>
          <w:highlight w:val="none"/>
          <w:lang w:eastAsia="zh-CN"/>
        </w:rPr>
        <w:t>响应保证金</w:t>
      </w:r>
      <w:r>
        <w:rPr>
          <w:rFonts w:hint="eastAsia" w:ascii="仿宋" w:hAnsi="仿宋" w:eastAsia="仿宋" w:cs="仿宋"/>
          <w:color w:val="auto"/>
          <w:kern w:val="0"/>
          <w:sz w:val="24"/>
          <w:szCs w:val="24"/>
          <w:highlight w:val="none"/>
        </w:rPr>
        <w:t>不予退还；给采购人造成的损失超过</w:t>
      </w:r>
      <w:r>
        <w:rPr>
          <w:rFonts w:hint="eastAsia" w:ascii="仿宋" w:hAnsi="仿宋" w:eastAsia="仿宋" w:cs="仿宋"/>
          <w:color w:val="auto"/>
          <w:kern w:val="0"/>
          <w:sz w:val="24"/>
          <w:szCs w:val="24"/>
          <w:highlight w:val="none"/>
          <w:lang w:eastAsia="zh-CN"/>
        </w:rPr>
        <w:t>响应保证金</w:t>
      </w:r>
      <w:r>
        <w:rPr>
          <w:rFonts w:hint="eastAsia" w:ascii="仿宋" w:hAnsi="仿宋" w:eastAsia="仿宋" w:cs="仿宋"/>
          <w:color w:val="auto"/>
          <w:kern w:val="0"/>
          <w:sz w:val="24"/>
          <w:szCs w:val="24"/>
          <w:highlight w:val="none"/>
        </w:rPr>
        <w:t>数额的，</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还应当对超过部分予以赔偿。</w:t>
      </w:r>
    </w:p>
    <w:p w14:paraId="23919EA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7.4签订合同</w:t>
      </w:r>
    </w:p>
    <w:p w14:paraId="1824877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7.4.1采购人应当自</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通知书发出之日起30日内，按照</w:t>
      </w:r>
      <w:r>
        <w:rPr>
          <w:rFonts w:hint="eastAsia" w:ascii="仿宋" w:hAnsi="仿宋" w:eastAsia="仿宋" w:cs="仿宋"/>
          <w:color w:val="auto"/>
          <w:kern w:val="0"/>
          <w:sz w:val="24"/>
          <w:szCs w:val="24"/>
          <w:highlight w:val="none"/>
          <w:lang w:eastAsia="zh-CN"/>
        </w:rPr>
        <w:t>采购文件</w:t>
      </w:r>
      <w:r>
        <w:rPr>
          <w:rFonts w:hint="eastAsia" w:ascii="仿宋" w:hAnsi="仿宋" w:eastAsia="仿宋" w:cs="仿宋"/>
          <w:color w:val="auto"/>
          <w:kern w:val="0"/>
          <w:sz w:val="24"/>
          <w:szCs w:val="24"/>
          <w:highlight w:val="none"/>
        </w:rPr>
        <w:t>和</w:t>
      </w:r>
      <w:r>
        <w:rPr>
          <w:rFonts w:hint="eastAsia" w:ascii="仿宋" w:hAnsi="仿宋" w:eastAsia="仿宋" w:cs="仿宋"/>
          <w:color w:val="auto"/>
          <w:kern w:val="0"/>
          <w:sz w:val="24"/>
          <w:szCs w:val="24"/>
          <w:highlight w:val="none"/>
          <w:lang w:eastAsia="zh-CN"/>
        </w:rPr>
        <w:t>成交供应商响应文件</w:t>
      </w:r>
      <w:r>
        <w:rPr>
          <w:rFonts w:hint="eastAsia" w:ascii="仿宋" w:hAnsi="仿宋" w:eastAsia="仿宋" w:cs="仿宋"/>
          <w:color w:val="auto"/>
          <w:kern w:val="0"/>
          <w:sz w:val="24"/>
          <w:szCs w:val="24"/>
          <w:highlight w:val="none"/>
        </w:rPr>
        <w:t>的规定，与</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签订书面合同。</w:t>
      </w:r>
    </w:p>
    <w:p w14:paraId="5173051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7.4.2发出</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通知书后，采购人无正当理由拒签合同的，给</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造成损失的，还应当赔偿</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损失。</w:t>
      </w:r>
    </w:p>
    <w:p w14:paraId="0C6C4F3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7.4.3发出</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通知书后，</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无正当理由拒签合同的，采购人将取消其</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资格，其</w:t>
      </w:r>
      <w:r>
        <w:rPr>
          <w:rFonts w:hint="eastAsia" w:ascii="仿宋" w:hAnsi="仿宋" w:eastAsia="仿宋" w:cs="仿宋"/>
          <w:color w:val="auto"/>
          <w:kern w:val="0"/>
          <w:sz w:val="24"/>
          <w:szCs w:val="24"/>
          <w:highlight w:val="none"/>
          <w:lang w:eastAsia="zh-CN"/>
        </w:rPr>
        <w:t>响应保证金</w:t>
      </w:r>
      <w:r>
        <w:rPr>
          <w:rFonts w:hint="eastAsia" w:ascii="仿宋" w:hAnsi="仿宋" w:eastAsia="仿宋" w:cs="仿宋"/>
          <w:color w:val="auto"/>
          <w:kern w:val="0"/>
          <w:sz w:val="24"/>
          <w:szCs w:val="24"/>
          <w:highlight w:val="none"/>
        </w:rPr>
        <w:t>不予退还；给采购人造成的损失超过</w:t>
      </w:r>
      <w:r>
        <w:rPr>
          <w:rFonts w:hint="eastAsia" w:ascii="仿宋" w:hAnsi="仿宋" w:eastAsia="仿宋" w:cs="仿宋"/>
          <w:color w:val="auto"/>
          <w:kern w:val="0"/>
          <w:sz w:val="24"/>
          <w:szCs w:val="24"/>
          <w:highlight w:val="none"/>
          <w:lang w:eastAsia="zh-CN"/>
        </w:rPr>
        <w:t>响应保证金</w:t>
      </w:r>
      <w:r>
        <w:rPr>
          <w:rFonts w:hint="eastAsia" w:ascii="仿宋" w:hAnsi="仿宋" w:eastAsia="仿宋" w:cs="仿宋"/>
          <w:color w:val="auto"/>
          <w:kern w:val="0"/>
          <w:sz w:val="24"/>
          <w:szCs w:val="24"/>
          <w:highlight w:val="none"/>
        </w:rPr>
        <w:t>数额的，</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还应当对超过部分予以赔偿。</w:t>
      </w:r>
    </w:p>
    <w:p w14:paraId="018EF98D">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color w:val="auto"/>
          <w:kern w:val="0"/>
          <w:sz w:val="24"/>
          <w:szCs w:val="24"/>
          <w:highlight w:val="none"/>
          <w:lang w:val="en-US" w:eastAsia="zh-CN"/>
        </w:rPr>
        <w:t>7.4.4</w:t>
      </w: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拒绝与采购人签订合同的，采购人可以按照评标报告推荐的</w:t>
      </w:r>
      <w:r>
        <w:rPr>
          <w:rFonts w:hint="eastAsia" w:ascii="仿宋" w:hAnsi="仿宋" w:eastAsia="仿宋" w:cs="仿宋"/>
          <w:color w:val="auto"/>
          <w:kern w:val="0"/>
          <w:sz w:val="24"/>
          <w:szCs w:val="24"/>
          <w:highlight w:val="none"/>
          <w:lang w:eastAsia="zh-CN"/>
        </w:rPr>
        <w:t>成交候</w:t>
      </w:r>
      <w:r>
        <w:rPr>
          <w:rFonts w:hint="eastAsia" w:ascii="仿宋" w:hAnsi="仿宋" w:eastAsia="仿宋" w:cs="仿宋"/>
          <w:b w:val="0"/>
          <w:bCs w:val="0"/>
          <w:color w:val="auto"/>
          <w:kern w:val="0"/>
          <w:sz w:val="24"/>
          <w:szCs w:val="24"/>
          <w:highlight w:val="none"/>
          <w:lang w:eastAsia="zh-CN"/>
        </w:rPr>
        <w:t>选人</w:t>
      </w:r>
      <w:r>
        <w:rPr>
          <w:rFonts w:hint="eastAsia" w:ascii="仿宋" w:hAnsi="仿宋" w:eastAsia="仿宋" w:cs="仿宋"/>
          <w:b w:val="0"/>
          <w:bCs w:val="0"/>
          <w:color w:val="auto"/>
          <w:kern w:val="0"/>
          <w:sz w:val="24"/>
          <w:szCs w:val="24"/>
          <w:highlight w:val="none"/>
        </w:rPr>
        <w:t>名单排序，确定下一候选人为</w:t>
      </w:r>
      <w:r>
        <w:rPr>
          <w:rFonts w:hint="eastAsia" w:ascii="仿宋" w:hAnsi="仿宋" w:eastAsia="仿宋" w:cs="仿宋"/>
          <w:b w:val="0"/>
          <w:bCs w:val="0"/>
          <w:color w:val="auto"/>
          <w:kern w:val="0"/>
          <w:sz w:val="24"/>
          <w:szCs w:val="24"/>
          <w:highlight w:val="none"/>
          <w:lang w:eastAsia="zh-CN"/>
        </w:rPr>
        <w:t>成交供应商</w:t>
      </w:r>
      <w:r>
        <w:rPr>
          <w:rFonts w:hint="eastAsia" w:ascii="仿宋" w:hAnsi="仿宋" w:eastAsia="仿宋" w:cs="仿宋"/>
          <w:b w:val="0"/>
          <w:bCs w:val="0"/>
          <w:color w:val="auto"/>
          <w:kern w:val="0"/>
          <w:sz w:val="24"/>
          <w:szCs w:val="24"/>
          <w:highlight w:val="none"/>
        </w:rPr>
        <w:t>，也可以重新开展政府采购活动。</w:t>
      </w:r>
    </w:p>
    <w:p w14:paraId="5B0E76ED">
      <w:pPr>
        <w:tabs>
          <w:tab w:val="center" w:pos="4832"/>
          <w:tab w:val="left" w:pos="7140"/>
        </w:tabs>
        <w:spacing w:line="360" w:lineRule="auto"/>
        <w:ind w:firstLine="470" w:firstLineChars="196"/>
        <w:jc w:val="left"/>
        <w:outlineLvl w:val="1"/>
        <w:rPr>
          <w:rFonts w:hint="eastAsia" w:ascii="仿宋" w:hAnsi="仿宋" w:eastAsia="仿宋" w:cs="仿宋"/>
          <w:b w:val="0"/>
          <w:bCs w:val="0"/>
          <w:color w:val="auto"/>
          <w:sz w:val="24"/>
          <w:szCs w:val="24"/>
          <w:highlight w:val="none"/>
          <w:shd w:val="clear" w:color="auto" w:fill="FFFFFF" w:themeFill="background1"/>
        </w:rPr>
      </w:pPr>
      <w:bookmarkStart w:id="26" w:name="_Toc20827"/>
      <w:bookmarkStart w:id="27" w:name="_Toc12575"/>
      <w:r>
        <w:rPr>
          <w:rFonts w:hint="eastAsia" w:ascii="仿宋" w:hAnsi="仿宋" w:eastAsia="仿宋" w:cs="仿宋"/>
          <w:b w:val="0"/>
          <w:bCs w:val="0"/>
          <w:color w:val="auto"/>
          <w:sz w:val="24"/>
          <w:szCs w:val="24"/>
          <w:highlight w:val="none"/>
          <w:shd w:val="clear" w:color="auto" w:fill="FFFFFF" w:themeFill="background1"/>
        </w:rPr>
        <w:t>八、纪律和监督</w:t>
      </w:r>
      <w:bookmarkEnd w:id="26"/>
      <w:bookmarkEnd w:id="27"/>
    </w:p>
    <w:p w14:paraId="3FA20EE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8.1 对采购人的纪律要求</w:t>
      </w:r>
    </w:p>
    <w:p w14:paraId="45A2F9B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采购人不得泄漏</w:t>
      </w:r>
      <w:r>
        <w:rPr>
          <w:rFonts w:hint="eastAsia" w:ascii="仿宋" w:hAnsi="仿宋" w:eastAsia="仿宋" w:cs="仿宋"/>
          <w:color w:val="auto"/>
          <w:kern w:val="0"/>
          <w:sz w:val="24"/>
          <w:szCs w:val="24"/>
          <w:highlight w:val="none"/>
          <w:shd w:val="clear" w:color="auto" w:fill="FFFFFF" w:themeFill="background1"/>
          <w:lang w:eastAsia="zh-CN"/>
        </w:rPr>
        <w:t>采购活动</w:t>
      </w:r>
      <w:r>
        <w:rPr>
          <w:rFonts w:hint="eastAsia" w:ascii="仿宋" w:hAnsi="仿宋" w:eastAsia="仿宋" w:cs="仿宋"/>
          <w:color w:val="auto"/>
          <w:kern w:val="0"/>
          <w:sz w:val="24"/>
          <w:szCs w:val="24"/>
          <w:highlight w:val="none"/>
          <w:shd w:val="clear" w:color="auto" w:fill="FFFFFF" w:themeFill="background1"/>
        </w:rPr>
        <w:t>中应当保密的情况和资料，不得与供应商串通损害国家利益、社会公共利益或者他人合法权益。</w:t>
      </w:r>
    </w:p>
    <w:p w14:paraId="23976E4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8.2 对供应商的纪律要求</w:t>
      </w:r>
    </w:p>
    <w:p w14:paraId="2798BBD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供应商不得相互串通</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或者与采购人串通</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，不得向采购人或者磋商小组成员行贿谋取中标（成交），不得以他人名义</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或者以其他方式弄虚作假骗取中标（成交）；供应商不得以任何方式干扰、影响评审工作。</w:t>
      </w:r>
    </w:p>
    <w:p w14:paraId="671318C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8.3 对磋商小组成员的纪律要求</w:t>
      </w:r>
    </w:p>
    <w:p w14:paraId="7FE0752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磋商小组成员不得收受他人的财物或者其他好处，不得向他人透漏对响应文件的评审和比较、成交候选人的推荐情况以及评审有关的其他情况。在评审活动中，磋商小组成员不得擅离职守，影响评审程序正常进行，不得使用评审办法没有规定的评审因素和标准进行评审。</w:t>
      </w:r>
    </w:p>
    <w:p w14:paraId="7BE306D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8.4 对与评审活动有关的工作人员的纪律要求</w:t>
      </w:r>
    </w:p>
    <w:p w14:paraId="7A066D6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与评审活动有关的工作人员不得收受他人的财物或者其他好处，不得向他人透漏对响应文件的评审和比较、成交候选人的推荐情况以及评审有关的其他情况。在评审活动中，与评审活动有关的工作人员不得擅离职守，影响评审程序正常进行。</w:t>
      </w:r>
    </w:p>
    <w:p w14:paraId="032C8AF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8.5 监督</w:t>
      </w:r>
    </w:p>
    <w:p w14:paraId="49F0B38A">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本项目的</w:t>
      </w:r>
      <w:r>
        <w:rPr>
          <w:rFonts w:hint="eastAsia" w:ascii="仿宋" w:hAnsi="仿宋" w:eastAsia="仿宋" w:cs="仿宋"/>
          <w:color w:val="auto"/>
          <w:kern w:val="0"/>
          <w:sz w:val="24"/>
          <w:szCs w:val="24"/>
          <w:highlight w:val="none"/>
          <w:shd w:val="clear" w:color="auto" w:fill="FFFFFF" w:themeFill="background1"/>
          <w:lang w:eastAsia="zh-CN"/>
        </w:rPr>
        <w:t>采购活动</w:t>
      </w:r>
      <w:r>
        <w:rPr>
          <w:rFonts w:hint="eastAsia" w:ascii="仿宋" w:hAnsi="仿宋" w:eastAsia="仿宋" w:cs="仿宋"/>
          <w:color w:val="auto"/>
          <w:kern w:val="0"/>
          <w:sz w:val="24"/>
          <w:szCs w:val="24"/>
          <w:highlight w:val="none"/>
          <w:shd w:val="clear" w:color="auto" w:fill="FFFFFF" w:themeFill="background1"/>
        </w:rPr>
        <w:t>及其相关当事人应当接受有管辖权的监督部门依法实施的监督。</w:t>
      </w:r>
      <w:bookmarkStart w:id="28" w:name="_BookMark_12"/>
      <w:bookmarkEnd w:id="28"/>
    </w:p>
    <w:p w14:paraId="24B2DBD2">
      <w:pPr>
        <w:spacing w:line="440" w:lineRule="exact"/>
        <w:jc w:val="center"/>
        <w:outlineLvl w:val="0"/>
        <w:rPr>
          <w:rFonts w:hint="eastAsia" w:ascii="仿宋" w:hAnsi="仿宋" w:eastAsia="仿宋" w:cs="仿宋"/>
          <w:b/>
          <w:color w:val="auto"/>
          <w:sz w:val="24"/>
          <w:szCs w:val="24"/>
          <w:highlight w:val="none"/>
        </w:rPr>
      </w:pPr>
      <w:r>
        <w:rPr>
          <w:rFonts w:hint="eastAsia" w:ascii="仿宋" w:hAnsi="仿宋" w:eastAsia="仿宋" w:cs="仿宋"/>
          <w:bCs/>
          <w:color w:val="auto"/>
          <w:kern w:val="0"/>
          <w:sz w:val="24"/>
          <w:szCs w:val="24"/>
          <w:highlight w:val="none"/>
        </w:rPr>
        <w:br w:type="page"/>
      </w:r>
      <w:bookmarkStart w:id="29" w:name="_Toc20777"/>
      <w:r>
        <w:rPr>
          <w:rFonts w:hint="eastAsia" w:ascii="仿宋" w:hAnsi="仿宋" w:eastAsia="仿宋" w:cs="仿宋"/>
          <w:b/>
          <w:color w:val="auto"/>
          <w:sz w:val="24"/>
          <w:szCs w:val="24"/>
          <w:highlight w:val="none"/>
        </w:rPr>
        <w:t>第二章 评审办法</w:t>
      </w:r>
      <w:bookmarkEnd w:id="29"/>
    </w:p>
    <w:p w14:paraId="213D8726">
      <w:pPr>
        <w:tabs>
          <w:tab w:val="center" w:pos="4832"/>
          <w:tab w:val="left" w:pos="7140"/>
        </w:tabs>
        <w:spacing w:line="360" w:lineRule="auto"/>
        <w:jc w:val="center"/>
        <w:outlineLvl w:val="1"/>
        <w:rPr>
          <w:rFonts w:hint="eastAsia" w:ascii="仿宋" w:hAnsi="仿宋" w:eastAsia="仿宋" w:cs="仿宋"/>
          <w:b w:val="0"/>
          <w:bCs/>
          <w:color w:val="auto"/>
          <w:sz w:val="24"/>
          <w:szCs w:val="24"/>
          <w:highlight w:val="none"/>
        </w:rPr>
      </w:pPr>
      <w:bookmarkStart w:id="30" w:name="_BookMark_1"/>
      <w:bookmarkEnd w:id="30"/>
      <w:bookmarkStart w:id="31" w:name="_Toc1488"/>
      <w:r>
        <w:rPr>
          <w:rFonts w:hint="eastAsia" w:ascii="仿宋" w:hAnsi="仿宋" w:eastAsia="仿宋" w:cs="仿宋"/>
          <w:b w:val="0"/>
          <w:bCs/>
          <w:color w:val="auto"/>
          <w:sz w:val="24"/>
          <w:szCs w:val="24"/>
          <w:highlight w:val="none"/>
        </w:rPr>
        <w:t>评审办法前附表</w:t>
      </w:r>
      <w:bookmarkEnd w:id="31"/>
    </w:p>
    <w:tbl>
      <w:tblPr>
        <w:tblStyle w:val="48"/>
        <w:tblpPr w:leftFromText="181" w:rightFromText="181" w:vertAnchor="text" w:horzAnchor="page" w:tblpXSpec="center" w:tblpY="1"/>
        <w:tblOverlap w:val="never"/>
        <w:tblW w:w="9125" w:type="dxa"/>
        <w:jc w:val="center"/>
        <w:tblLayout w:type="fixed"/>
        <w:tblCellMar>
          <w:top w:w="0" w:type="dxa"/>
          <w:left w:w="0" w:type="dxa"/>
          <w:bottom w:w="0" w:type="dxa"/>
          <w:right w:w="0" w:type="dxa"/>
        </w:tblCellMar>
      </w:tblPr>
      <w:tblGrid>
        <w:gridCol w:w="611"/>
        <w:gridCol w:w="2771"/>
        <w:gridCol w:w="5743"/>
      </w:tblGrid>
      <w:tr w14:paraId="292B3C74">
        <w:tblPrEx>
          <w:tblCellMar>
            <w:top w:w="0" w:type="dxa"/>
            <w:left w:w="0" w:type="dxa"/>
            <w:bottom w:w="0" w:type="dxa"/>
            <w:right w:w="0" w:type="dxa"/>
          </w:tblCellMar>
        </w:tblPrEx>
        <w:trPr>
          <w:cantSplit/>
          <w:trHeight w:val="471" w:hRule="atLeast"/>
          <w:jc w:val="center"/>
        </w:trPr>
        <w:tc>
          <w:tcPr>
            <w:tcW w:w="611"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08B8F614">
            <w:pPr>
              <w:spacing w:line="240" w:lineRule="auto"/>
              <w:jc w:val="center"/>
              <w:rPr>
                <w:rFonts w:ascii="仿宋" w:hAnsi="仿宋" w:eastAsia="仿宋" w:cs="仿宋"/>
                <w:b w:val="0"/>
                <w:bCs/>
                <w:color w:val="auto"/>
                <w:szCs w:val="21"/>
                <w:highlight w:val="none"/>
                <w:shd w:val="clear" w:color="auto" w:fill="FFFFFF" w:themeFill="background1"/>
              </w:rPr>
            </w:pPr>
            <w:bookmarkStart w:id="32" w:name="_Toc501719166"/>
            <w:r>
              <w:rPr>
                <w:rFonts w:hint="eastAsia" w:ascii="仿宋" w:hAnsi="仿宋" w:eastAsia="仿宋" w:cs="仿宋"/>
                <w:b w:val="0"/>
                <w:bCs/>
                <w:color w:val="auto"/>
                <w:szCs w:val="21"/>
                <w:highlight w:val="none"/>
                <w:shd w:val="clear" w:color="auto" w:fill="FFFFFF" w:themeFill="background1"/>
              </w:rPr>
              <w:t>序号</w:t>
            </w:r>
          </w:p>
        </w:tc>
        <w:tc>
          <w:tcPr>
            <w:tcW w:w="2771"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68D8712B">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条款内容</w:t>
            </w:r>
          </w:p>
        </w:tc>
        <w:tc>
          <w:tcPr>
            <w:tcW w:w="5743"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1D4D9DA7">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编列内容</w:t>
            </w:r>
          </w:p>
        </w:tc>
      </w:tr>
      <w:tr w14:paraId="6AED922F">
        <w:tblPrEx>
          <w:tblCellMar>
            <w:top w:w="0" w:type="dxa"/>
            <w:left w:w="0" w:type="dxa"/>
            <w:bottom w:w="0" w:type="dxa"/>
            <w:right w:w="0" w:type="dxa"/>
          </w:tblCellMar>
        </w:tblPrEx>
        <w:trPr>
          <w:cantSplit/>
          <w:trHeight w:val="567" w:hRule="atLeast"/>
          <w:jc w:val="center"/>
        </w:trPr>
        <w:tc>
          <w:tcPr>
            <w:tcW w:w="611"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3BD5DC5F">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1</w:t>
            </w:r>
          </w:p>
        </w:tc>
        <w:tc>
          <w:tcPr>
            <w:tcW w:w="2771" w:type="dxa"/>
            <w:tcBorders>
              <w:top w:val="single" w:color="auto" w:sz="8" w:space="0"/>
              <w:left w:val="single" w:color="auto" w:sz="8" w:space="0"/>
              <w:bottom w:val="single" w:color="auto" w:sz="8" w:space="0"/>
              <w:right w:val="single" w:color="auto" w:sz="8" w:space="0"/>
            </w:tcBorders>
            <w:shd w:val="clear" w:color="auto" w:fill="auto"/>
            <w:tcMar>
              <w:top w:w="0" w:type="dxa"/>
              <w:left w:w="28" w:type="dxa"/>
              <w:bottom w:w="0" w:type="dxa"/>
              <w:right w:w="28" w:type="dxa"/>
            </w:tcMar>
            <w:vAlign w:val="center"/>
          </w:tcPr>
          <w:p w14:paraId="7B8359B6">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分值构成及权重</w:t>
            </w:r>
          </w:p>
          <w:p w14:paraId="4E13B639">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(总分100分)</w:t>
            </w:r>
          </w:p>
        </w:tc>
        <w:tc>
          <w:tcPr>
            <w:tcW w:w="5743" w:type="dxa"/>
            <w:tcBorders>
              <w:top w:val="single" w:color="auto" w:sz="8" w:space="0"/>
              <w:left w:val="single" w:color="auto" w:sz="8" w:space="0"/>
              <w:bottom w:val="single" w:color="auto" w:sz="8" w:space="0"/>
              <w:right w:val="single" w:color="auto" w:sz="8" w:space="0"/>
            </w:tcBorders>
            <w:shd w:val="clear" w:color="auto" w:fill="auto"/>
            <w:tcMar>
              <w:top w:w="0" w:type="dxa"/>
              <w:left w:w="28" w:type="dxa"/>
              <w:bottom w:w="0" w:type="dxa"/>
              <w:right w:w="28" w:type="dxa"/>
            </w:tcMar>
            <w:vAlign w:val="center"/>
          </w:tcPr>
          <w:p w14:paraId="1BD0E590">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1.详细评审部分</w:t>
            </w:r>
            <w:r>
              <w:rPr>
                <w:rFonts w:hint="eastAsia" w:ascii="仿宋" w:hAnsi="仿宋" w:eastAsia="仿宋" w:cs="仿宋"/>
                <w:b w:val="0"/>
                <w:bCs/>
                <w:color w:val="auto"/>
                <w:szCs w:val="21"/>
                <w:highlight w:val="none"/>
                <w:shd w:val="clear" w:color="auto" w:fill="FFFFFF" w:themeFill="background1"/>
                <w:lang w:val="en-US" w:eastAsia="zh-CN"/>
              </w:rPr>
              <w:t>70</w:t>
            </w:r>
            <w:r>
              <w:rPr>
                <w:rFonts w:hint="eastAsia" w:ascii="仿宋" w:hAnsi="仿宋" w:eastAsia="仿宋" w:cs="仿宋"/>
                <w:b w:val="0"/>
                <w:bCs/>
                <w:color w:val="auto"/>
                <w:szCs w:val="21"/>
                <w:highlight w:val="none"/>
                <w:shd w:val="clear" w:color="auto" w:fill="FFFFFF" w:themeFill="background1"/>
              </w:rPr>
              <w:t>分</w:t>
            </w:r>
          </w:p>
          <w:p w14:paraId="57870BEE">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2.</w:t>
            </w:r>
            <w:r>
              <w:rPr>
                <w:rFonts w:hint="eastAsia" w:ascii="仿宋" w:hAnsi="仿宋" w:eastAsia="仿宋" w:cs="仿宋"/>
                <w:b w:val="0"/>
                <w:bCs/>
                <w:color w:val="auto"/>
                <w:szCs w:val="21"/>
                <w:highlight w:val="none"/>
                <w:shd w:val="clear" w:color="auto" w:fill="FFFFFF" w:themeFill="background1"/>
                <w:lang w:eastAsia="zh-CN"/>
              </w:rPr>
              <w:t>响应报价</w:t>
            </w:r>
            <w:r>
              <w:rPr>
                <w:rFonts w:hint="eastAsia" w:ascii="仿宋" w:hAnsi="仿宋" w:eastAsia="仿宋" w:cs="仿宋"/>
                <w:b w:val="0"/>
                <w:bCs/>
                <w:color w:val="auto"/>
                <w:szCs w:val="21"/>
                <w:highlight w:val="none"/>
                <w:shd w:val="clear" w:color="auto" w:fill="FFFFFF" w:themeFill="background1"/>
              </w:rPr>
              <w:t>部分</w:t>
            </w:r>
            <w:r>
              <w:rPr>
                <w:rFonts w:hint="eastAsia" w:ascii="仿宋" w:hAnsi="仿宋" w:eastAsia="仿宋" w:cs="仿宋"/>
                <w:b w:val="0"/>
                <w:bCs/>
                <w:color w:val="auto"/>
                <w:szCs w:val="21"/>
                <w:highlight w:val="none"/>
                <w:shd w:val="clear" w:color="auto" w:fill="FFFFFF" w:themeFill="background1"/>
                <w:lang w:val="en-US" w:eastAsia="zh-CN"/>
              </w:rPr>
              <w:t>30</w:t>
            </w:r>
            <w:r>
              <w:rPr>
                <w:rFonts w:hint="eastAsia" w:ascii="仿宋" w:hAnsi="仿宋" w:eastAsia="仿宋" w:cs="仿宋"/>
                <w:b w:val="0"/>
                <w:bCs/>
                <w:color w:val="auto"/>
                <w:szCs w:val="21"/>
                <w:highlight w:val="none"/>
                <w:shd w:val="clear" w:color="auto" w:fill="FFFFFF" w:themeFill="background1"/>
              </w:rPr>
              <w:t>分</w:t>
            </w:r>
          </w:p>
        </w:tc>
      </w:tr>
      <w:tr w14:paraId="58125B2D">
        <w:tblPrEx>
          <w:tblCellMar>
            <w:top w:w="0" w:type="dxa"/>
            <w:left w:w="0" w:type="dxa"/>
            <w:bottom w:w="0" w:type="dxa"/>
            <w:right w:w="0" w:type="dxa"/>
          </w:tblCellMar>
        </w:tblPrEx>
        <w:trPr>
          <w:cantSplit/>
          <w:trHeight w:val="405" w:hRule="atLeast"/>
          <w:jc w:val="center"/>
        </w:trPr>
        <w:tc>
          <w:tcPr>
            <w:tcW w:w="611"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02F8D35A">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2</w:t>
            </w:r>
          </w:p>
        </w:tc>
        <w:tc>
          <w:tcPr>
            <w:tcW w:w="2771"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4DE21171">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资格审查</w:t>
            </w:r>
          </w:p>
        </w:tc>
        <w:tc>
          <w:tcPr>
            <w:tcW w:w="5743"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53E79C77">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详见《资格审查标准》</w:t>
            </w:r>
          </w:p>
        </w:tc>
      </w:tr>
      <w:tr w14:paraId="72C77DCB">
        <w:tblPrEx>
          <w:tblCellMar>
            <w:top w:w="0" w:type="dxa"/>
            <w:left w:w="0" w:type="dxa"/>
            <w:bottom w:w="0" w:type="dxa"/>
            <w:right w:w="0" w:type="dxa"/>
          </w:tblCellMar>
        </w:tblPrEx>
        <w:trPr>
          <w:cantSplit/>
          <w:trHeight w:val="411" w:hRule="atLeast"/>
          <w:jc w:val="center"/>
        </w:trPr>
        <w:tc>
          <w:tcPr>
            <w:tcW w:w="611"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674B53C0">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3</w:t>
            </w:r>
          </w:p>
        </w:tc>
        <w:tc>
          <w:tcPr>
            <w:tcW w:w="2771"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2F17D014">
            <w:pPr>
              <w:spacing w:line="240" w:lineRule="auto"/>
              <w:jc w:val="center"/>
              <w:rPr>
                <w:rFonts w:hint="eastAsia" w:ascii="仿宋" w:hAnsi="仿宋" w:eastAsia="仿宋" w:cs="仿宋"/>
                <w:b w:val="0"/>
                <w:bCs/>
                <w:color w:val="auto"/>
                <w:szCs w:val="21"/>
                <w:highlight w:val="none"/>
                <w:shd w:val="clear" w:color="auto" w:fill="FFFFFF" w:themeFill="background1"/>
                <w:lang w:eastAsia="zh-CN"/>
              </w:rPr>
            </w:pPr>
            <w:r>
              <w:rPr>
                <w:rFonts w:hint="eastAsia" w:ascii="仿宋" w:hAnsi="仿宋" w:eastAsia="仿宋" w:cs="仿宋"/>
                <w:b w:val="0"/>
                <w:bCs/>
                <w:color w:val="auto"/>
                <w:szCs w:val="21"/>
                <w:highlight w:val="none"/>
                <w:shd w:val="clear" w:color="auto" w:fill="FFFFFF" w:themeFill="background1"/>
                <w:lang w:eastAsia="zh-CN"/>
              </w:rPr>
              <w:t>符合性审查</w:t>
            </w:r>
          </w:p>
        </w:tc>
        <w:tc>
          <w:tcPr>
            <w:tcW w:w="5743"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2B9CB093">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详见《</w:t>
            </w:r>
            <w:r>
              <w:rPr>
                <w:rFonts w:hint="eastAsia" w:ascii="仿宋" w:hAnsi="仿宋" w:eastAsia="仿宋" w:cs="仿宋"/>
                <w:b w:val="0"/>
                <w:bCs/>
                <w:color w:val="auto"/>
                <w:szCs w:val="21"/>
                <w:highlight w:val="none"/>
                <w:shd w:val="clear" w:color="auto" w:fill="FFFFFF" w:themeFill="background1"/>
                <w:lang w:eastAsia="zh-CN"/>
              </w:rPr>
              <w:t>符合性审查</w:t>
            </w:r>
            <w:r>
              <w:rPr>
                <w:rFonts w:hint="eastAsia" w:ascii="仿宋" w:hAnsi="仿宋" w:eastAsia="仿宋" w:cs="仿宋"/>
                <w:b w:val="0"/>
                <w:bCs/>
                <w:color w:val="auto"/>
                <w:szCs w:val="21"/>
                <w:highlight w:val="none"/>
                <w:shd w:val="clear" w:color="auto" w:fill="FFFFFF" w:themeFill="background1"/>
              </w:rPr>
              <w:t>标准》</w:t>
            </w:r>
          </w:p>
        </w:tc>
      </w:tr>
      <w:tr w14:paraId="4917DDB1">
        <w:tblPrEx>
          <w:tblCellMar>
            <w:top w:w="0" w:type="dxa"/>
            <w:left w:w="0" w:type="dxa"/>
            <w:bottom w:w="0" w:type="dxa"/>
            <w:right w:w="0" w:type="dxa"/>
          </w:tblCellMar>
        </w:tblPrEx>
        <w:trPr>
          <w:cantSplit/>
          <w:trHeight w:val="402" w:hRule="atLeast"/>
          <w:jc w:val="center"/>
        </w:trPr>
        <w:tc>
          <w:tcPr>
            <w:tcW w:w="611" w:type="dxa"/>
            <w:vMerge w:val="restart"/>
            <w:tcBorders>
              <w:top w:val="single" w:color="auto" w:sz="8" w:space="0"/>
              <w:left w:val="single" w:color="auto" w:sz="8" w:space="0"/>
              <w:right w:val="single" w:color="auto" w:sz="8" w:space="0"/>
            </w:tcBorders>
            <w:tcMar>
              <w:top w:w="0" w:type="dxa"/>
              <w:left w:w="28" w:type="dxa"/>
              <w:bottom w:w="0" w:type="dxa"/>
              <w:right w:w="28" w:type="dxa"/>
            </w:tcMar>
            <w:vAlign w:val="center"/>
          </w:tcPr>
          <w:p w14:paraId="2049865A">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4</w:t>
            </w:r>
          </w:p>
        </w:tc>
        <w:tc>
          <w:tcPr>
            <w:tcW w:w="2771" w:type="dxa"/>
            <w:vMerge w:val="restart"/>
            <w:tcBorders>
              <w:top w:val="single" w:color="auto" w:sz="8" w:space="0"/>
              <w:left w:val="single" w:color="auto" w:sz="8" w:space="0"/>
              <w:right w:val="single" w:color="auto" w:sz="8" w:space="0"/>
            </w:tcBorders>
            <w:tcMar>
              <w:top w:w="0" w:type="dxa"/>
              <w:left w:w="28" w:type="dxa"/>
              <w:bottom w:w="0" w:type="dxa"/>
              <w:right w:w="28" w:type="dxa"/>
            </w:tcMar>
            <w:vAlign w:val="center"/>
          </w:tcPr>
          <w:p w14:paraId="4372B68B">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详细评审</w:t>
            </w:r>
            <w:r>
              <w:rPr>
                <w:rFonts w:hint="eastAsia" w:ascii="仿宋" w:hAnsi="仿宋" w:eastAsia="仿宋" w:cs="仿宋"/>
                <w:color w:val="auto"/>
                <w:szCs w:val="21"/>
                <w:highlight w:val="none"/>
                <w:shd w:val="clear" w:color="auto" w:fill="FFFFFF" w:themeFill="background1"/>
              </w:rPr>
              <w:t>具有独立承担民事责任的能力</w:t>
            </w:r>
            <w:r>
              <w:rPr>
                <w:rFonts w:hint="eastAsia" w:ascii="仿宋" w:hAnsi="仿宋" w:eastAsia="仿宋" w:cs="仿宋"/>
                <w:color w:val="auto"/>
                <w:szCs w:val="21"/>
                <w:highlight w:val="none"/>
                <w:shd w:val="clear" w:color="auto" w:fill="FFFFFF" w:themeFill="background1"/>
                <w:lang w:eastAsia="zh-CN"/>
              </w:rPr>
              <w:t>。</w:t>
            </w:r>
          </w:p>
        </w:tc>
        <w:tc>
          <w:tcPr>
            <w:tcW w:w="5743"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0B4C29BD">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详见《详细评审标准》及本节第3.6款</w:t>
            </w:r>
          </w:p>
        </w:tc>
      </w:tr>
      <w:tr w14:paraId="15B58F28">
        <w:tblPrEx>
          <w:tblCellMar>
            <w:top w:w="0" w:type="dxa"/>
            <w:left w:w="0" w:type="dxa"/>
            <w:bottom w:w="0" w:type="dxa"/>
            <w:right w:w="0" w:type="dxa"/>
          </w:tblCellMar>
        </w:tblPrEx>
        <w:trPr>
          <w:cantSplit/>
          <w:trHeight w:val="3082" w:hRule="atLeast"/>
          <w:jc w:val="center"/>
        </w:trPr>
        <w:tc>
          <w:tcPr>
            <w:tcW w:w="611" w:type="dxa"/>
            <w:vMerge w:val="continue"/>
            <w:tcBorders>
              <w:left w:val="single" w:color="auto" w:sz="8" w:space="0"/>
              <w:bottom w:val="single" w:color="auto" w:sz="8" w:space="0"/>
              <w:right w:val="single" w:color="auto" w:sz="8" w:space="0"/>
            </w:tcBorders>
            <w:tcMar>
              <w:top w:w="0" w:type="dxa"/>
              <w:left w:w="28" w:type="dxa"/>
              <w:bottom w:w="0" w:type="dxa"/>
              <w:right w:w="28" w:type="dxa"/>
            </w:tcMar>
            <w:vAlign w:val="center"/>
          </w:tcPr>
          <w:p w14:paraId="515D710C">
            <w:pPr>
              <w:spacing w:line="240" w:lineRule="auto"/>
              <w:jc w:val="center"/>
              <w:rPr>
                <w:rFonts w:ascii="仿宋" w:hAnsi="仿宋" w:eastAsia="仿宋" w:cs="仿宋"/>
                <w:b w:val="0"/>
                <w:bCs/>
                <w:color w:val="auto"/>
                <w:szCs w:val="21"/>
                <w:highlight w:val="none"/>
                <w:shd w:val="clear" w:color="auto" w:fill="FFFFFF" w:themeFill="background1"/>
              </w:rPr>
            </w:pPr>
          </w:p>
        </w:tc>
        <w:tc>
          <w:tcPr>
            <w:tcW w:w="2771" w:type="dxa"/>
            <w:vMerge w:val="continue"/>
            <w:tcBorders>
              <w:left w:val="single" w:color="auto" w:sz="8" w:space="0"/>
              <w:bottom w:val="single" w:color="auto" w:sz="8" w:space="0"/>
              <w:right w:val="single" w:color="auto" w:sz="8" w:space="0"/>
            </w:tcBorders>
            <w:tcMar>
              <w:top w:w="0" w:type="dxa"/>
              <w:left w:w="28" w:type="dxa"/>
              <w:bottom w:w="0" w:type="dxa"/>
              <w:right w:w="28" w:type="dxa"/>
            </w:tcMar>
            <w:vAlign w:val="center"/>
          </w:tcPr>
          <w:p w14:paraId="7BBAEF86">
            <w:pPr>
              <w:spacing w:line="240" w:lineRule="auto"/>
              <w:jc w:val="center"/>
              <w:rPr>
                <w:rFonts w:ascii="仿宋" w:hAnsi="仿宋" w:eastAsia="仿宋" w:cs="仿宋"/>
                <w:b w:val="0"/>
                <w:bCs/>
                <w:color w:val="auto"/>
                <w:szCs w:val="21"/>
                <w:highlight w:val="none"/>
                <w:shd w:val="clear" w:color="auto" w:fill="FFFFFF" w:themeFill="background1"/>
              </w:rPr>
            </w:pPr>
          </w:p>
        </w:tc>
        <w:tc>
          <w:tcPr>
            <w:tcW w:w="5743"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75CE46FA">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lang w:eastAsia="zh-CN"/>
              </w:rPr>
              <w:t>响应报价</w:t>
            </w:r>
            <w:r>
              <w:rPr>
                <w:rFonts w:hint="eastAsia" w:ascii="仿宋" w:hAnsi="仿宋" w:eastAsia="仿宋" w:cs="仿宋"/>
                <w:b w:val="0"/>
                <w:bCs/>
                <w:color w:val="auto"/>
                <w:szCs w:val="21"/>
                <w:highlight w:val="none"/>
                <w:shd w:val="clear" w:color="auto" w:fill="FFFFFF" w:themeFill="background1"/>
              </w:rPr>
              <w:t>得分计算方法：</w:t>
            </w:r>
          </w:p>
          <w:p w14:paraId="48410519">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1.</w:t>
            </w:r>
            <w:r>
              <w:rPr>
                <w:rFonts w:hint="eastAsia" w:ascii="仿宋" w:hAnsi="仿宋" w:eastAsia="仿宋" w:cs="仿宋"/>
                <w:b w:val="0"/>
                <w:bCs/>
                <w:color w:val="auto"/>
                <w:szCs w:val="21"/>
                <w:highlight w:val="none"/>
                <w:shd w:val="clear" w:color="auto" w:fill="FFFFFF" w:themeFill="background1"/>
                <w:lang w:eastAsia="zh-CN"/>
              </w:rPr>
              <w:t>响应报价</w:t>
            </w:r>
            <w:r>
              <w:rPr>
                <w:rFonts w:hint="eastAsia" w:ascii="仿宋" w:hAnsi="仿宋" w:eastAsia="仿宋" w:cs="仿宋"/>
                <w:b w:val="0"/>
                <w:bCs/>
                <w:color w:val="auto"/>
                <w:szCs w:val="21"/>
                <w:highlight w:val="none"/>
                <w:shd w:val="clear" w:color="auto" w:fill="FFFFFF" w:themeFill="background1"/>
              </w:rPr>
              <w:t>的确定</w:t>
            </w:r>
          </w:p>
          <w:p w14:paraId="113921A2">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b w:val="0"/>
                <w:bCs/>
                <w:color w:val="auto"/>
                <w:szCs w:val="21"/>
                <w:highlight w:val="none"/>
                <w:shd w:val="clear" w:color="auto" w:fill="FFFFFF" w:themeFill="background1"/>
                <w:lang w:eastAsia="zh-CN"/>
              </w:rPr>
            </w:pPr>
            <w:r>
              <w:rPr>
                <w:rFonts w:hint="eastAsia" w:ascii="仿宋" w:hAnsi="仿宋" w:eastAsia="仿宋" w:cs="仿宋"/>
                <w:b w:val="0"/>
                <w:bCs/>
                <w:color w:val="auto"/>
                <w:szCs w:val="21"/>
                <w:highlight w:val="none"/>
                <w:shd w:val="clear" w:color="auto" w:fill="FFFFFF" w:themeFill="background1"/>
                <w:lang w:eastAsia="zh-CN"/>
              </w:rPr>
              <w:t>响应报价</w:t>
            </w:r>
            <w:r>
              <w:rPr>
                <w:rFonts w:hint="eastAsia" w:ascii="仿宋" w:hAnsi="仿宋" w:eastAsia="仿宋" w:cs="仿宋"/>
                <w:b w:val="0"/>
                <w:bCs/>
                <w:color w:val="auto"/>
                <w:szCs w:val="21"/>
                <w:highlight w:val="none"/>
                <w:shd w:val="clear" w:color="auto" w:fill="FFFFFF" w:themeFill="background1"/>
              </w:rPr>
              <w:t>是指经评审的且不超过</w:t>
            </w:r>
            <w:r>
              <w:rPr>
                <w:rFonts w:hint="eastAsia" w:ascii="仿宋" w:hAnsi="仿宋" w:eastAsia="仿宋" w:cs="仿宋"/>
                <w:b w:val="0"/>
                <w:bCs/>
                <w:color w:val="auto"/>
                <w:szCs w:val="21"/>
                <w:highlight w:val="none"/>
                <w:shd w:val="clear" w:color="auto" w:fill="FFFFFF" w:themeFill="background1"/>
                <w:lang w:eastAsia="zh-CN"/>
              </w:rPr>
              <w:t>最高限价</w:t>
            </w:r>
            <w:r>
              <w:rPr>
                <w:rFonts w:hint="eastAsia" w:ascii="仿宋" w:hAnsi="仿宋" w:eastAsia="仿宋" w:cs="仿宋"/>
                <w:b w:val="0"/>
                <w:bCs/>
                <w:color w:val="auto"/>
                <w:szCs w:val="21"/>
                <w:highlight w:val="none"/>
                <w:shd w:val="clear" w:color="auto" w:fill="FFFFFF" w:themeFill="background1"/>
              </w:rPr>
              <w:t>的</w:t>
            </w:r>
            <w:r>
              <w:rPr>
                <w:rFonts w:hint="eastAsia" w:ascii="仿宋" w:hAnsi="仿宋" w:eastAsia="仿宋" w:cs="仿宋"/>
                <w:b w:val="0"/>
                <w:bCs/>
                <w:color w:val="auto"/>
                <w:szCs w:val="21"/>
                <w:highlight w:val="none"/>
                <w:shd w:val="clear" w:color="auto" w:fill="FFFFFF" w:themeFill="background1"/>
                <w:lang w:eastAsia="zh-CN"/>
              </w:rPr>
              <w:t>响应价格</w:t>
            </w:r>
          </w:p>
          <w:p w14:paraId="1A929E7B">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2.</w:t>
            </w:r>
            <w:r>
              <w:rPr>
                <w:rFonts w:hint="eastAsia" w:ascii="仿宋" w:hAnsi="仿宋" w:eastAsia="仿宋" w:cs="仿宋"/>
                <w:b w:val="0"/>
                <w:bCs/>
                <w:color w:val="auto"/>
                <w:szCs w:val="21"/>
                <w:highlight w:val="none"/>
                <w:shd w:val="clear" w:color="auto" w:fill="FFFFFF" w:themeFill="background1"/>
                <w:lang w:eastAsia="zh-CN"/>
              </w:rPr>
              <w:t>基准价</w:t>
            </w:r>
            <w:r>
              <w:rPr>
                <w:rFonts w:hint="eastAsia" w:ascii="仿宋" w:hAnsi="仿宋" w:eastAsia="仿宋" w:cs="仿宋"/>
                <w:b w:val="0"/>
                <w:bCs/>
                <w:color w:val="auto"/>
                <w:szCs w:val="21"/>
                <w:highlight w:val="none"/>
                <w:shd w:val="clear" w:color="auto" w:fill="FFFFFF" w:themeFill="background1"/>
              </w:rPr>
              <w:t>的确定</w:t>
            </w:r>
          </w:p>
          <w:p w14:paraId="0ACD97C7">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b w:val="0"/>
                <w:bCs/>
                <w:color w:val="auto"/>
                <w:szCs w:val="21"/>
                <w:highlight w:val="none"/>
                <w:shd w:val="clear" w:color="auto" w:fill="FFFFFF" w:themeFill="background1"/>
                <w:lang w:eastAsia="zh-CN"/>
              </w:rPr>
            </w:pPr>
            <w:r>
              <w:rPr>
                <w:rFonts w:hint="eastAsia" w:ascii="仿宋" w:hAnsi="仿宋" w:eastAsia="仿宋" w:cs="仿宋"/>
                <w:b w:val="0"/>
                <w:bCs/>
                <w:color w:val="auto"/>
                <w:szCs w:val="21"/>
                <w:highlight w:val="none"/>
                <w:shd w:val="clear" w:color="auto" w:fill="FFFFFF" w:themeFill="background1"/>
              </w:rPr>
              <w:t>满足</w:t>
            </w:r>
            <w:r>
              <w:rPr>
                <w:rFonts w:hint="eastAsia" w:ascii="仿宋" w:hAnsi="仿宋" w:eastAsia="仿宋" w:cs="仿宋"/>
                <w:b w:val="0"/>
                <w:bCs/>
                <w:color w:val="auto"/>
                <w:szCs w:val="21"/>
                <w:highlight w:val="none"/>
                <w:shd w:val="clear" w:color="auto" w:fill="FFFFFF" w:themeFill="background1"/>
                <w:lang w:eastAsia="zh-CN"/>
              </w:rPr>
              <w:t>采购文件</w:t>
            </w:r>
            <w:r>
              <w:rPr>
                <w:rFonts w:hint="eastAsia" w:ascii="仿宋" w:hAnsi="仿宋" w:eastAsia="仿宋" w:cs="仿宋"/>
                <w:b w:val="0"/>
                <w:bCs/>
                <w:color w:val="auto"/>
                <w:szCs w:val="21"/>
                <w:highlight w:val="none"/>
                <w:shd w:val="clear" w:color="auto" w:fill="FFFFFF" w:themeFill="background1"/>
              </w:rPr>
              <w:t>要求且最后</w:t>
            </w:r>
            <w:r>
              <w:rPr>
                <w:rFonts w:hint="eastAsia" w:ascii="仿宋" w:hAnsi="仿宋" w:eastAsia="仿宋" w:cs="仿宋"/>
                <w:b w:val="0"/>
                <w:bCs/>
                <w:color w:val="auto"/>
                <w:szCs w:val="21"/>
                <w:highlight w:val="none"/>
                <w:shd w:val="clear" w:color="auto" w:fill="FFFFFF" w:themeFill="background1"/>
                <w:lang w:eastAsia="zh-CN"/>
              </w:rPr>
              <w:t>响应报价</w:t>
            </w:r>
            <w:r>
              <w:rPr>
                <w:rFonts w:hint="eastAsia" w:ascii="仿宋" w:hAnsi="仿宋" w:eastAsia="仿宋" w:cs="仿宋"/>
                <w:b w:val="0"/>
                <w:bCs/>
                <w:color w:val="auto"/>
                <w:szCs w:val="21"/>
                <w:highlight w:val="none"/>
                <w:shd w:val="clear" w:color="auto" w:fill="FFFFFF" w:themeFill="background1"/>
              </w:rPr>
              <w:t>最低的供应商的价格为</w:t>
            </w:r>
            <w:r>
              <w:rPr>
                <w:rFonts w:hint="eastAsia" w:ascii="仿宋" w:hAnsi="仿宋" w:eastAsia="仿宋" w:cs="仿宋"/>
                <w:b w:val="0"/>
                <w:bCs/>
                <w:color w:val="auto"/>
                <w:szCs w:val="21"/>
                <w:highlight w:val="none"/>
                <w:shd w:val="clear" w:color="auto" w:fill="FFFFFF" w:themeFill="background1"/>
                <w:lang w:eastAsia="zh-CN"/>
              </w:rPr>
              <w:t>基准价</w:t>
            </w:r>
          </w:p>
          <w:p w14:paraId="3BC66201">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default" w:ascii="仿宋" w:hAnsi="仿宋" w:eastAsia="仿宋" w:cs="仿宋"/>
                <w:b w:val="0"/>
                <w:bCs/>
                <w:color w:val="auto"/>
                <w:szCs w:val="21"/>
                <w:highlight w:val="none"/>
                <w:shd w:val="clear" w:color="auto" w:fill="FFFFFF" w:themeFill="background1"/>
                <w:lang w:val="en-US"/>
              </w:rPr>
            </w:pPr>
            <w:r>
              <w:rPr>
                <w:rFonts w:hint="eastAsia" w:ascii="仿宋" w:hAnsi="仿宋" w:eastAsia="仿宋" w:cs="仿宋"/>
                <w:b w:val="0"/>
                <w:bCs/>
                <w:color w:val="auto"/>
                <w:szCs w:val="21"/>
                <w:highlight w:val="none"/>
                <w:shd w:val="clear" w:color="auto" w:fill="FFFFFF" w:themeFill="background1"/>
              </w:rPr>
              <w:t>3.</w:t>
            </w:r>
            <w:r>
              <w:rPr>
                <w:rFonts w:hint="eastAsia" w:ascii="仿宋" w:hAnsi="仿宋" w:eastAsia="仿宋" w:cs="仿宋"/>
                <w:b w:val="0"/>
                <w:bCs/>
                <w:color w:val="auto"/>
                <w:szCs w:val="21"/>
                <w:highlight w:val="none"/>
                <w:shd w:val="clear" w:color="auto" w:fill="FFFFFF" w:themeFill="background1"/>
                <w:lang w:eastAsia="zh-CN"/>
              </w:rPr>
              <w:t>响应报价</w:t>
            </w:r>
            <w:r>
              <w:rPr>
                <w:rFonts w:hint="eastAsia" w:ascii="仿宋" w:hAnsi="仿宋" w:eastAsia="仿宋" w:cs="仿宋"/>
                <w:b w:val="0"/>
                <w:bCs/>
                <w:color w:val="auto"/>
                <w:szCs w:val="21"/>
                <w:highlight w:val="none"/>
                <w:shd w:val="clear" w:color="auto" w:fill="FFFFFF" w:themeFill="background1"/>
              </w:rPr>
              <w:t>得分=(</w:t>
            </w:r>
            <w:r>
              <w:rPr>
                <w:rFonts w:hint="eastAsia" w:ascii="仿宋" w:hAnsi="仿宋" w:eastAsia="仿宋" w:cs="仿宋"/>
                <w:b w:val="0"/>
                <w:bCs/>
                <w:color w:val="auto"/>
                <w:szCs w:val="21"/>
                <w:highlight w:val="none"/>
                <w:shd w:val="clear" w:color="auto" w:fill="FFFFFF" w:themeFill="background1"/>
                <w:lang w:eastAsia="zh-CN"/>
              </w:rPr>
              <w:t>基准价</w:t>
            </w:r>
            <w:r>
              <w:rPr>
                <w:rFonts w:hint="eastAsia" w:ascii="仿宋" w:hAnsi="仿宋" w:eastAsia="仿宋" w:cs="仿宋"/>
                <w:b w:val="0"/>
                <w:bCs/>
                <w:color w:val="auto"/>
                <w:szCs w:val="21"/>
                <w:highlight w:val="none"/>
                <w:shd w:val="clear" w:color="auto" w:fill="FFFFFF" w:themeFill="background1"/>
              </w:rPr>
              <w:t>／</w:t>
            </w:r>
            <w:r>
              <w:rPr>
                <w:rFonts w:hint="eastAsia" w:ascii="仿宋" w:hAnsi="仿宋" w:eastAsia="仿宋" w:cs="仿宋"/>
                <w:b w:val="0"/>
                <w:bCs/>
                <w:color w:val="auto"/>
                <w:szCs w:val="21"/>
                <w:highlight w:val="none"/>
                <w:shd w:val="clear" w:color="auto" w:fill="FFFFFF" w:themeFill="background1"/>
                <w:lang w:eastAsia="zh-CN"/>
              </w:rPr>
              <w:t>响应报价</w:t>
            </w:r>
            <w:r>
              <w:rPr>
                <w:rFonts w:hint="eastAsia" w:ascii="仿宋" w:hAnsi="仿宋" w:eastAsia="仿宋" w:cs="仿宋"/>
                <w:b w:val="0"/>
                <w:bCs/>
                <w:color w:val="auto"/>
                <w:szCs w:val="21"/>
                <w:highlight w:val="none"/>
                <w:shd w:val="clear" w:color="auto" w:fill="FFFFFF" w:themeFill="background1"/>
              </w:rPr>
              <w:t>)×</w:t>
            </w:r>
            <w:r>
              <w:rPr>
                <w:rFonts w:hint="eastAsia" w:ascii="仿宋" w:hAnsi="仿宋" w:eastAsia="仿宋" w:cs="仿宋"/>
                <w:b w:val="0"/>
                <w:bCs/>
                <w:color w:val="auto"/>
                <w:szCs w:val="21"/>
                <w:highlight w:val="none"/>
                <w:shd w:val="clear" w:color="auto" w:fill="FFFFFF" w:themeFill="background1"/>
                <w:lang w:val="en-US" w:eastAsia="zh-CN"/>
              </w:rPr>
              <w:t>30</w:t>
            </w:r>
          </w:p>
          <w:p w14:paraId="01AC17C4">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4.分值计算保留小数点后两位，小数点后三位“四舍五入”。</w:t>
            </w:r>
          </w:p>
        </w:tc>
      </w:tr>
      <w:bookmarkEnd w:id="32"/>
    </w:tbl>
    <w:p w14:paraId="348C0C73">
      <w:pPr>
        <w:widowControl/>
        <w:shd w:val="clear" w:color="auto" w:fill="FFFFFF"/>
        <w:snapToGrid w:val="0"/>
        <w:spacing w:line="360" w:lineRule="auto"/>
        <w:jc w:val="center"/>
        <w:rPr>
          <w:rFonts w:hint="eastAsia" w:ascii="仿宋" w:hAnsi="仿宋" w:eastAsia="仿宋" w:cs="仿宋"/>
          <w:b w:val="0"/>
          <w:bCs/>
          <w:color w:val="auto"/>
          <w:kern w:val="0"/>
          <w:sz w:val="24"/>
          <w:szCs w:val="24"/>
          <w:highlight w:val="none"/>
          <w:shd w:val="clear" w:color="auto" w:fill="FFFFFF" w:themeFill="background1"/>
        </w:rPr>
      </w:pPr>
    </w:p>
    <w:p w14:paraId="37790F4B">
      <w:pPr>
        <w:widowControl/>
        <w:shd w:val="clear" w:color="auto" w:fill="FFFFFF"/>
        <w:snapToGrid w:val="0"/>
        <w:spacing w:line="360" w:lineRule="auto"/>
        <w:jc w:val="center"/>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《资格审查标准》</w:t>
      </w:r>
    </w:p>
    <w:tbl>
      <w:tblPr>
        <w:tblStyle w:val="48"/>
        <w:tblW w:w="92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9"/>
        <w:gridCol w:w="3659"/>
        <w:gridCol w:w="4935"/>
      </w:tblGrid>
      <w:tr w14:paraId="01AC8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vAlign w:val="center"/>
          </w:tcPr>
          <w:p w14:paraId="1E7A3BE4">
            <w:pPr>
              <w:spacing w:line="288" w:lineRule="auto"/>
              <w:jc w:val="center"/>
              <w:rPr>
                <w:rFonts w:ascii="仿宋" w:hAnsi="仿宋" w:eastAsia="仿宋" w:cs="仿宋"/>
                <w:color w:val="auto"/>
                <w:szCs w:val="21"/>
                <w:highlight w:val="none"/>
                <w:shd w:val="clear" w:color="auto" w:fill="FFFFFF" w:themeFill="background1"/>
              </w:rPr>
            </w:pPr>
            <w:bookmarkStart w:id="33" w:name="_Toc501719167"/>
            <w:r>
              <w:rPr>
                <w:rFonts w:hint="eastAsia" w:ascii="仿宋" w:hAnsi="仿宋" w:eastAsia="仿宋" w:cs="仿宋"/>
                <w:color w:val="auto"/>
                <w:szCs w:val="21"/>
                <w:highlight w:val="none"/>
                <w:shd w:val="clear" w:color="auto" w:fill="FFFFFF" w:themeFill="background1"/>
              </w:rPr>
              <w:t>序号</w:t>
            </w:r>
          </w:p>
        </w:tc>
        <w:tc>
          <w:tcPr>
            <w:tcW w:w="3659" w:type="dxa"/>
            <w:vAlign w:val="center"/>
          </w:tcPr>
          <w:p w14:paraId="1D96974B">
            <w:pPr>
              <w:spacing w:line="288"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审查要求</w:t>
            </w:r>
          </w:p>
        </w:tc>
        <w:tc>
          <w:tcPr>
            <w:tcW w:w="4935" w:type="dxa"/>
            <w:vAlign w:val="center"/>
          </w:tcPr>
          <w:p w14:paraId="17100CCD">
            <w:pPr>
              <w:spacing w:line="288"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要求说明</w:t>
            </w:r>
          </w:p>
        </w:tc>
      </w:tr>
      <w:tr w14:paraId="40ED6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73B71EF4">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1</w:t>
            </w:r>
          </w:p>
        </w:tc>
        <w:tc>
          <w:tcPr>
            <w:tcW w:w="3659" w:type="dxa"/>
            <w:shd w:val="clear" w:color="auto" w:fill="auto"/>
            <w:vAlign w:val="center"/>
          </w:tcPr>
          <w:p w14:paraId="2E4644AF">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具有独立承担民事责任的能力</w:t>
            </w:r>
            <w:r>
              <w:rPr>
                <w:rFonts w:hint="eastAsia" w:ascii="仿宋" w:hAnsi="仿宋" w:eastAsia="仿宋" w:cs="仿宋"/>
                <w:color w:val="auto"/>
                <w:szCs w:val="21"/>
                <w:highlight w:val="none"/>
                <w:shd w:val="clear" w:color="auto" w:fill="FFFFFF" w:themeFill="background1"/>
                <w:lang w:eastAsia="zh-CN"/>
              </w:rPr>
              <w:t>。</w:t>
            </w:r>
          </w:p>
        </w:tc>
        <w:tc>
          <w:tcPr>
            <w:tcW w:w="4935" w:type="dxa"/>
            <w:vAlign w:val="center"/>
          </w:tcPr>
          <w:p w14:paraId="4E2EADF6">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1、如</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是企业（包括合伙企业)，应提供在工商部门注册的有效“企业法人营业执照”或“营业执照”;</w:t>
            </w:r>
          </w:p>
          <w:p w14:paraId="478C2500">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2、如</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是事业单位，应提供有效的“事业单位法人证书”;</w:t>
            </w:r>
          </w:p>
          <w:p w14:paraId="032F1704">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是非企业专业服务机构的，应提供执业许可证等证明文件;</w:t>
            </w:r>
          </w:p>
          <w:p w14:paraId="7280C6C9">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4、如</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是个体工商户，应提供有效的“个体工商户营业执照”;</w:t>
            </w:r>
          </w:p>
          <w:p w14:paraId="0FBE132B">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5、如</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是自然人，应提供有效的自然人身份证明。</w:t>
            </w:r>
          </w:p>
        </w:tc>
      </w:tr>
      <w:tr w14:paraId="6F018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3441DE3B">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2</w:t>
            </w:r>
          </w:p>
        </w:tc>
        <w:tc>
          <w:tcPr>
            <w:tcW w:w="3659" w:type="dxa"/>
            <w:shd w:val="clear" w:color="auto" w:fill="auto"/>
            <w:vAlign w:val="center"/>
          </w:tcPr>
          <w:p w14:paraId="20E9F5EC">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具有良好的商业信誉和健全的财务会计制度</w:t>
            </w:r>
            <w:r>
              <w:rPr>
                <w:rFonts w:hint="eastAsia" w:ascii="仿宋" w:hAnsi="仿宋" w:eastAsia="仿宋" w:cs="仿宋"/>
                <w:color w:val="auto"/>
                <w:szCs w:val="21"/>
                <w:highlight w:val="none"/>
                <w:shd w:val="clear" w:color="auto" w:fill="FFFFFF" w:themeFill="background1"/>
                <w:lang w:eastAsia="zh-CN"/>
              </w:rPr>
              <w:t>。</w:t>
            </w:r>
          </w:p>
        </w:tc>
        <w:tc>
          <w:tcPr>
            <w:tcW w:w="4935" w:type="dxa"/>
            <w:vAlign w:val="center"/>
          </w:tcPr>
          <w:p w14:paraId="5D77A81F">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满足下述一条要求即可：</w:t>
            </w:r>
          </w:p>
          <w:p w14:paraId="230ABC94">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要求1、经审计的财务报告（202</w:t>
            </w:r>
            <w:r>
              <w:rPr>
                <w:rFonts w:hint="eastAsia" w:ascii="仿宋" w:hAnsi="仿宋" w:eastAsia="仿宋" w:cs="仿宋"/>
                <w:color w:val="auto"/>
                <w:kern w:val="0"/>
                <w:szCs w:val="21"/>
                <w:highlight w:val="none"/>
                <w:lang w:val="en-US" w:eastAsia="zh-CN"/>
              </w:rPr>
              <w:t>4</w:t>
            </w:r>
            <w:r>
              <w:rPr>
                <w:rFonts w:hint="eastAsia" w:ascii="仿宋" w:hAnsi="仿宋" w:eastAsia="仿宋" w:cs="仿宋"/>
                <w:color w:val="auto"/>
                <w:kern w:val="0"/>
                <w:szCs w:val="21"/>
                <w:highlight w:val="none"/>
              </w:rPr>
              <w:t>年度或202</w:t>
            </w:r>
            <w:r>
              <w:rPr>
                <w:rFonts w:hint="eastAsia" w:ascii="仿宋" w:hAnsi="仿宋" w:eastAsia="仿宋" w:cs="仿宋"/>
                <w:color w:val="auto"/>
                <w:kern w:val="0"/>
                <w:szCs w:val="21"/>
                <w:highlight w:val="none"/>
                <w:lang w:val="en-US" w:eastAsia="zh-CN"/>
              </w:rPr>
              <w:t>5</w:t>
            </w:r>
            <w:r>
              <w:rPr>
                <w:rFonts w:hint="eastAsia" w:ascii="仿宋" w:hAnsi="仿宋" w:eastAsia="仿宋" w:cs="仿宋"/>
                <w:color w:val="auto"/>
                <w:kern w:val="0"/>
                <w:szCs w:val="21"/>
                <w:highlight w:val="none"/>
              </w:rPr>
              <w:t>年度，包括“四表-注”，即资产负债表、利润表、现金流量表、所有者权益变动表及其附注）或银行出具的资信证明（响应文件递交截止之日前六个月内任意一个月）。</w:t>
            </w:r>
          </w:p>
          <w:p w14:paraId="3B0CB665">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要求2、成立不足一个月（以响应文件递交截止之日为期限）的供应商无需提供。</w:t>
            </w:r>
          </w:p>
        </w:tc>
      </w:tr>
      <w:tr w14:paraId="4BF72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6D5F722D">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3</w:t>
            </w:r>
          </w:p>
        </w:tc>
        <w:tc>
          <w:tcPr>
            <w:tcW w:w="3659" w:type="dxa"/>
            <w:shd w:val="clear" w:color="auto" w:fill="auto"/>
            <w:vAlign w:val="center"/>
          </w:tcPr>
          <w:p w14:paraId="7165C657">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具有履行合同所必需的设备和专业技术能力</w:t>
            </w:r>
            <w:r>
              <w:rPr>
                <w:rFonts w:hint="eastAsia" w:ascii="仿宋" w:hAnsi="仿宋" w:eastAsia="仿宋" w:cs="仿宋"/>
                <w:color w:val="auto"/>
                <w:szCs w:val="21"/>
                <w:highlight w:val="none"/>
                <w:shd w:val="clear" w:color="auto" w:fill="FFFFFF" w:themeFill="background1"/>
                <w:lang w:eastAsia="zh-CN"/>
              </w:rPr>
              <w:t>。</w:t>
            </w:r>
          </w:p>
        </w:tc>
        <w:tc>
          <w:tcPr>
            <w:tcW w:w="4935" w:type="dxa"/>
            <w:vAlign w:val="center"/>
          </w:tcPr>
          <w:p w14:paraId="56A9B9F0">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提供《具有履行合同所必需的设备和专业技术能力的承诺函》，加盖</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章。</w:t>
            </w:r>
          </w:p>
        </w:tc>
      </w:tr>
      <w:tr w14:paraId="409CA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5B04AA76">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4</w:t>
            </w:r>
          </w:p>
        </w:tc>
        <w:tc>
          <w:tcPr>
            <w:tcW w:w="3659" w:type="dxa"/>
            <w:shd w:val="clear" w:color="auto" w:fill="auto"/>
            <w:vAlign w:val="center"/>
          </w:tcPr>
          <w:p w14:paraId="365915BE">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有依法缴纳税收和社会保障资金的良好记录</w:t>
            </w:r>
            <w:r>
              <w:rPr>
                <w:rFonts w:hint="eastAsia" w:ascii="仿宋" w:hAnsi="仿宋" w:eastAsia="仿宋" w:cs="仿宋"/>
                <w:color w:val="auto"/>
                <w:szCs w:val="21"/>
                <w:highlight w:val="none"/>
                <w:shd w:val="clear" w:color="auto" w:fill="FFFFFF" w:themeFill="background1"/>
                <w:lang w:eastAsia="zh-CN"/>
              </w:rPr>
              <w:t>。</w:t>
            </w:r>
          </w:p>
        </w:tc>
        <w:tc>
          <w:tcPr>
            <w:tcW w:w="4935" w:type="dxa"/>
            <w:vAlign w:val="center"/>
          </w:tcPr>
          <w:p w14:paraId="4D5562A9">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1、依法缴纳税收的证明材料：</w:t>
            </w:r>
          </w:p>
          <w:p w14:paraId="6DE3CC62">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参加政府采购活动前一段时间（</w:t>
            </w:r>
            <w:r>
              <w:rPr>
                <w:rFonts w:hint="eastAsia" w:ascii="仿宋" w:hAnsi="仿宋" w:eastAsia="仿宋" w:cs="仿宋"/>
                <w:color w:val="auto"/>
                <w:kern w:val="0"/>
                <w:szCs w:val="21"/>
                <w:highlight w:val="none"/>
                <w:lang w:eastAsia="zh-CN"/>
              </w:rPr>
              <w:t>响应文件</w:t>
            </w:r>
            <w:r>
              <w:rPr>
                <w:rFonts w:hint="eastAsia" w:ascii="仿宋" w:hAnsi="仿宋" w:eastAsia="仿宋" w:cs="仿宋"/>
                <w:color w:val="auto"/>
                <w:kern w:val="0"/>
                <w:szCs w:val="21"/>
                <w:highlight w:val="none"/>
              </w:rPr>
              <w:t>递交截止之日前六个月内任一个月）内缴纳税收的完税凭证（指各种完税证、缴款书、印花税票、扣（收）税凭证以及其他完税证明）。</w:t>
            </w:r>
          </w:p>
          <w:p w14:paraId="5B5A1037">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2、依法缴纳社会保障资金的证明材料：</w:t>
            </w:r>
          </w:p>
          <w:p w14:paraId="1627149E">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参加政府采购活动前一段时间（</w:t>
            </w:r>
            <w:r>
              <w:rPr>
                <w:rFonts w:hint="eastAsia" w:ascii="仿宋" w:hAnsi="仿宋" w:eastAsia="仿宋" w:cs="仿宋"/>
                <w:color w:val="auto"/>
                <w:kern w:val="0"/>
                <w:szCs w:val="21"/>
                <w:highlight w:val="none"/>
                <w:lang w:eastAsia="zh-CN"/>
              </w:rPr>
              <w:t>响应文件</w:t>
            </w:r>
            <w:r>
              <w:rPr>
                <w:rFonts w:hint="eastAsia" w:ascii="仿宋" w:hAnsi="仿宋" w:eastAsia="仿宋" w:cs="仿宋"/>
                <w:color w:val="auto"/>
                <w:kern w:val="0"/>
                <w:szCs w:val="21"/>
                <w:highlight w:val="none"/>
              </w:rPr>
              <w:t>递交截止之日前六个月内任一个月）内缴纳社会保险的凭据，其他组织和自然人也需要提供缴纳税收的凭据和缴纳社会保险的凭据。</w:t>
            </w:r>
          </w:p>
          <w:p w14:paraId="4B65DF3F">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3、依法免税或不需要缴纳社会保障资金的</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，应提供相应文件证明其依法免税或不需要缴纳社会保障资金。</w:t>
            </w:r>
          </w:p>
        </w:tc>
      </w:tr>
      <w:tr w14:paraId="65E89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09F79602">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5</w:t>
            </w:r>
          </w:p>
        </w:tc>
        <w:tc>
          <w:tcPr>
            <w:tcW w:w="3659" w:type="dxa"/>
            <w:shd w:val="clear" w:color="auto" w:fill="auto"/>
            <w:vAlign w:val="center"/>
          </w:tcPr>
          <w:p w14:paraId="24CCB3BC">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参加政府采购活动前三年内，在经营活动中没有重大违法记录</w:t>
            </w:r>
            <w:r>
              <w:rPr>
                <w:rFonts w:hint="eastAsia" w:ascii="仿宋" w:hAnsi="仿宋" w:eastAsia="仿宋" w:cs="仿宋"/>
                <w:color w:val="auto"/>
                <w:szCs w:val="21"/>
                <w:highlight w:val="none"/>
                <w:shd w:val="clear" w:color="auto" w:fill="FFFFFF" w:themeFill="background1"/>
                <w:lang w:eastAsia="zh-CN"/>
              </w:rPr>
              <w:t>。</w:t>
            </w:r>
          </w:p>
        </w:tc>
        <w:tc>
          <w:tcPr>
            <w:tcW w:w="4935" w:type="dxa"/>
            <w:vAlign w:val="center"/>
          </w:tcPr>
          <w:p w14:paraId="763C2B3A">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提供《参加政府采购活动前3年内在经营活动中没有重大违法记录的书面声明》，加盖</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章。</w:t>
            </w:r>
          </w:p>
        </w:tc>
      </w:tr>
      <w:tr w14:paraId="37407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34BE008D">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6</w:t>
            </w:r>
          </w:p>
        </w:tc>
        <w:tc>
          <w:tcPr>
            <w:tcW w:w="3659" w:type="dxa"/>
            <w:shd w:val="clear" w:color="auto" w:fill="auto"/>
            <w:vAlign w:val="center"/>
          </w:tcPr>
          <w:p w14:paraId="076756E5">
            <w:pPr>
              <w:spacing w:line="288" w:lineRule="auto"/>
              <w:jc w:val="left"/>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供应商为中小企业。</w:t>
            </w:r>
          </w:p>
        </w:tc>
        <w:tc>
          <w:tcPr>
            <w:tcW w:w="4935" w:type="dxa"/>
            <w:shd w:val="clear" w:color="auto" w:fill="auto"/>
            <w:vAlign w:val="center"/>
          </w:tcPr>
          <w:p w14:paraId="02F6EE47">
            <w:pPr>
              <w:ind w:firstLine="210" w:firstLineChars="100"/>
              <w:jc w:val="left"/>
              <w:rPr>
                <w:rFonts w:hint="default"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按采购文件要求提供声明函，加盖供应商章。</w:t>
            </w:r>
          </w:p>
        </w:tc>
      </w:tr>
      <w:tr w14:paraId="489F0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0F3722F9">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7</w:t>
            </w:r>
          </w:p>
        </w:tc>
        <w:tc>
          <w:tcPr>
            <w:tcW w:w="3659" w:type="dxa"/>
            <w:shd w:val="clear" w:color="auto" w:fill="auto"/>
            <w:vAlign w:val="center"/>
          </w:tcPr>
          <w:p w14:paraId="034FA33B">
            <w:pPr>
              <w:spacing w:line="288" w:lineRule="auto"/>
              <w:jc w:val="left"/>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eastAsia="zh-CN"/>
              </w:rPr>
              <w:t>供应商如在“信用中国”网站（www.creditchina.gov.cn）、中国政府采购网（www.ccgp.gov.cn）等渠道被列入失信被执行人、重大税收违法失信主体、政府采购严重违法失信行为记录名单，尚在处罚期内的将被拒绝参加本次采购活动。</w:t>
            </w:r>
          </w:p>
        </w:tc>
        <w:tc>
          <w:tcPr>
            <w:tcW w:w="4935" w:type="dxa"/>
            <w:shd w:val="clear" w:color="auto" w:fill="auto"/>
            <w:vAlign w:val="center"/>
          </w:tcPr>
          <w:p w14:paraId="01936D70">
            <w:pPr>
              <w:ind w:firstLine="210" w:firstLineChars="1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rPr>
              <w:t>以采购人或者采购代理机构查询记录为准。</w:t>
            </w:r>
          </w:p>
        </w:tc>
      </w:tr>
      <w:tr w14:paraId="74B1A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76285669">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8</w:t>
            </w:r>
          </w:p>
        </w:tc>
        <w:tc>
          <w:tcPr>
            <w:tcW w:w="3659" w:type="dxa"/>
            <w:shd w:val="clear" w:color="auto" w:fill="auto"/>
            <w:vAlign w:val="center"/>
          </w:tcPr>
          <w:p w14:paraId="43082162">
            <w:pPr>
              <w:spacing w:line="288" w:lineRule="auto"/>
              <w:jc w:val="left"/>
              <w:rPr>
                <w:rFonts w:hint="eastAsia" w:ascii="仿宋" w:hAnsi="仿宋" w:eastAsia="仿宋" w:cs="仿宋"/>
                <w:color w:val="auto"/>
                <w:kern w:val="0"/>
                <w:szCs w:val="21"/>
                <w:highlight w:val="none"/>
                <w:shd w:val="clear" w:color="auto" w:fill="FFFFFF" w:themeFill="background1"/>
                <w:lang w:eastAsia="zh-CN"/>
              </w:rPr>
            </w:pPr>
            <w:r>
              <w:rPr>
                <w:rFonts w:hint="eastAsia" w:ascii="仿宋" w:hAnsi="仿宋" w:eastAsia="仿宋" w:cs="仿宋"/>
                <w:color w:val="auto"/>
                <w:kern w:val="0"/>
                <w:szCs w:val="21"/>
                <w:highlight w:val="none"/>
                <w:shd w:val="clear" w:color="auto" w:fill="FFFFFF" w:themeFill="background1"/>
                <w:lang w:eastAsia="zh-CN"/>
              </w:rPr>
              <w:t>供应商须具备：建筑工程（总承包企业资质）三级及以上资质。</w:t>
            </w:r>
          </w:p>
        </w:tc>
        <w:tc>
          <w:tcPr>
            <w:tcW w:w="4935" w:type="dxa"/>
            <w:shd w:val="clear" w:color="auto" w:fill="auto"/>
            <w:vAlign w:val="center"/>
          </w:tcPr>
          <w:p w14:paraId="72696DAD">
            <w:pPr>
              <w:ind w:firstLine="210" w:firstLineChars="100"/>
              <w:jc w:val="left"/>
              <w:rPr>
                <w:rFonts w:hint="default"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资质证书扫描件。</w:t>
            </w:r>
          </w:p>
        </w:tc>
      </w:tr>
      <w:tr w14:paraId="43965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3E0E78E4">
            <w:pPr>
              <w:spacing w:line="288" w:lineRule="auto"/>
              <w:jc w:val="center"/>
              <w:rPr>
                <w:rFonts w:hint="default"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9</w:t>
            </w:r>
          </w:p>
        </w:tc>
        <w:tc>
          <w:tcPr>
            <w:tcW w:w="3659" w:type="dxa"/>
            <w:shd w:val="clear" w:color="auto" w:fill="auto"/>
            <w:vAlign w:val="center"/>
          </w:tcPr>
          <w:p w14:paraId="7D25BA20">
            <w:pPr>
              <w:spacing w:line="288" w:lineRule="auto"/>
              <w:jc w:val="left"/>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rPr>
              <w:t>供应商须具备有效的安全生产许可证。</w:t>
            </w:r>
          </w:p>
        </w:tc>
        <w:tc>
          <w:tcPr>
            <w:tcW w:w="4935" w:type="dxa"/>
            <w:shd w:val="clear" w:color="auto" w:fill="auto"/>
            <w:vAlign w:val="center"/>
          </w:tcPr>
          <w:p w14:paraId="13B4BA43">
            <w:pPr>
              <w:ind w:firstLine="210" w:firstLineChars="1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rPr>
              <w:t>安全生产许可证</w:t>
            </w:r>
            <w:r>
              <w:rPr>
                <w:rFonts w:hint="eastAsia" w:ascii="仿宋" w:hAnsi="仿宋" w:eastAsia="仿宋" w:cs="仿宋"/>
                <w:color w:val="auto"/>
                <w:kern w:val="0"/>
                <w:szCs w:val="21"/>
                <w:highlight w:val="none"/>
                <w:lang w:val="en-US" w:eastAsia="zh-CN"/>
              </w:rPr>
              <w:t>扫描件。</w:t>
            </w:r>
          </w:p>
        </w:tc>
      </w:tr>
      <w:tr w14:paraId="4EE44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3AE511BE">
            <w:pPr>
              <w:spacing w:line="288" w:lineRule="auto"/>
              <w:jc w:val="center"/>
              <w:rPr>
                <w:rFonts w:hint="default"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10</w:t>
            </w:r>
          </w:p>
        </w:tc>
        <w:tc>
          <w:tcPr>
            <w:tcW w:w="3659" w:type="dxa"/>
            <w:shd w:val="clear" w:color="auto" w:fill="auto"/>
            <w:vAlign w:val="center"/>
          </w:tcPr>
          <w:p w14:paraId="119464FD">
            <w:pPr>
              <w:spacing w:line="288" w:lineRule="auto"/>
              <w:jc w:val="left"/>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rPr>
              <w:t>供应商名称必须与营业执照、资质证书、安全生产许可证中的企业名称保持一致。</w:t>
            </w:r>
          </w:p>
        </w:tc>
        <w:tc>
          <w:tcPr>
            <w:tcW w:w="4935" w:type="dxa"/>
            <w:shd w:val="clear" w:color="auto" w:fill="auto"/>
            <w:vAlign w:val="center"/>
          </w:tcPr>
          <w:p w14:paraId="2EC1B7BB">
            <w:pPr>
              <w:ind w:firstLine="210" w:firstLineChars="1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w:t>
            </w:r>
          </w:p>
        </w:tc>
      </w:tr>
      <w:tr w14:paraId="74956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1338E77E">
            <w:pPr>
              <w:spacing w:line="288" w:lineRule="auto"/>
              <w:jc w:val="center"/>
              <w:rPr>
                <w:rFonts w:hint="default"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11</w:t>
            </w:r>
          </w:p>
        </w:tc>
        <w:tc>
          <w:tcPr>
            <w:tcW w:w="3659" w:type="dxa"/>
            <w:shd w:val="clear" w:color="auto" w:fill="auto"/>
            <w:vAlign w:val="center"/>
          </w:tcPr>
          <w:p w14:paraId="33DE0618">
            <w:pPr>
              <w:spacing w:line="288" w:lineRule="auto"/>
              <w:jc w:val="left"/>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项目负责人要求：注册建造师（建筑工程专业）二级及以上，本单位注册；且具备有效的安全生产考核合格证书（B类））。</w:t>
            </w:r>
          </w:p>
        </w:tc>
        <w:tc>
          <w:tcPr>
            <w:tcW w:w="4935" w:type="dxa"/>
            <w:shd w:val="clear" w:color="auto" w:fill="auto"/>
            <w:vAlign w:val="center"/>
          </w:tcPr>
          <w:p w14:paraId="53AC994A">
            <w:pPr>
              <w:ind w:firstLine="210" w:firstLineChars="1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eastAsia="zh-CN"/>
              </w:rPr>
              <w:t>建设行政主管部门核发的注册建造师证书</w:t>
            </w:r>
            <w:r>
              <w:rPr>
                <w:rFonts w:hint="eastAsia" w:ascii="仿宋" w:hAnsi="仿宋" w:eastAsia="仿宋" w:cs="仿宋"/>
                <w:color w:val="auto"/>
                <w:kern w:val="0"/>
                <w:szCs w:val="21"/>
                <w:highlight w:val="none"/>
                <w:lang w:val="en-US" w:eastAsia="zh-CN"/>
              </w:rPr>
              <w:t>扫描件和</w:t>
            </w:r>
            <w:r>
              <w:rPr>
                <w:rFonts w:hint="eastAsia" w:ascii="仿宋" w:hAnsi="仿宋" w:eastAsia="仿宋" w:cs="仿宋"/>
                <w:color w:val="auto"/>
                <w:kern w:val="0"/>
                <w:szCs w:val="21"/>
                <w:highlight w:val="none"/>
                <w:lang w:eastAsia="zh-CN"/>
              </w:rPr>
              <w:t>安全生产考核合格证书（B类）</w:t>
            </w:r>
            <w:r>
              <w:rPr>
                <w:rFonts w:hint="eastAsia" w:ascii="仿宋" w:hAnsi="仿宋" w:eastAsia="仿宋" w:cs="仿宋"/>
                <w:color w:val="auto"/>
                <w:kern w:val="0"/>
                <w:szCs w:val="21"/>
                <w:highlight w:val="none"/>
                <w:lang w:val="en-US" w:eastAsia="zh-CN"/>
              </w:rPr>
              <w:t>扫描件。</w:t>
            </w:r>
          </w:p>
        </w:tc>
      </w:tr>
      <w:tr w14:paraId="58131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0" w:hRule="atLeast"/>
          <w:jc w:val="center"/>
        </w:trPr>
        <w:tc>
          <w:tcPr>
            <w:tcW w:w="9203" w:type="dxa"/>
            <w:gridSpan w:val="3"/>
            <w:vAlign w:val="center"/>
          </w:tcPr>
          <w:p w14:paraId="519BC66F">
            <w:pPr>
              <w:spacing w:line="288" w:lineRule="auto"/>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备注： 如果资格评审中有一项不满足审查标准的，采购人将认定该供应商不通过资格审查，响应文件将被拒绝评审。并且不允许供应商通过修改或撤销其不符合要求的差异或保留，使之成为具有响应性的</w:t>
            </w:r>
            <w:r>
              <w:rPr>
                <w:rFonts w:hint="eastAsia" w:ascii="仿宋" w:hAnsi="仿宋" w:eastAsia="仿宋" w:cs="仿宋"/>
                <w:color w:val="auto"/>
                <w:szCs w:val="21"/>
                <w:highlight w:val="none"/>
                <w:shd w:val="clear" w:color="auto" w:fill="FFFFFF" w:themeFill="background1"/>
                <w:lang w:val="en-US" w:eastAsia="zh-CN"/>
              </w:rPr>
              <w:t>响应文件</w:t>
            </w:r>
            <w:r>
              <w:rPr>
                <w:rFonts w:hint="eastAsia" w:ascii="仿宋" w:hAnsi="仿宋" w:eastAsia="仿宋" w:cs="仿宋"/>
                <w:color w:val="auto"/>
                <w:szCs w:val="21"/>
                <w:highlight w:val="none"/>
                <w:shd w:val="clear" w:color="auto" w:fill="FFFFFF" w:themeFill="background1"/>
              </w:rPr>
              <w:t>。</w:t>
            </w:r>
          </w:p>
        </w:tc>
      </w:tr>
    </w:tbl>
    <w:p w14:paraId="653581CF">
      <w:pPr>
        <w:widowControl/>
        <w:shd w:val="clear" w:color="auto" w:fill="FFFFFF"/>
        <w:snapToGrid w:val="0"/>
        <w:spacing w:line="360" w:lineRule="auto"/>
        <w:jc w:val="center"/>
        <w:rPr>
          <w:rFonts w:hint="eastAsia" w:ascii="仿宋" w:hAnsi="仿宋" w:eastAsia="仿宋" w:cs="仿宋"/>
          <w:b w:val="0"/>
          <w:bCs/>
          <w:color w:val="auto"/>
          <w:kern w:val="0"/>
          <w:sz w:val="24"/>
          <w:szCs w:val="24"/>
          <w:highlight w:val="none"/>
          <w:shd w:val="clear" w:color="auto" w:fill="FFFFFF" w:themeFill="background1"/>
        </w:rPr>
      </w:pPr>
    </w:p>
    <w:p w14:paraId="14117AB0">
      <w:pPr>
        <w:widowControl/>
        <w:shd w:val="clear" w:color="auto" w:fill="FFFFFF"/>
        <w:snapToGrid w:val="0"/>
        <w:spacing w:line="360" w:lineRule="auto"/>
        <w:jc w:val="center"/>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w:t>
      </w:r>
      <w:r>
        <w:rPr>
          <w:rFonts w:hint="eastAsia" w:ascii="仿宋" w:hAnsi="仿宋" w:eastAsia="仿宋" w:cs="仿宋"/>
          <w:b w:val="0"/>
          <w:bCs/>
          <w:color w:val="auto"/>
          <w:kern w:val="0"/>
          <w:sz w:val="24"/>
          <w:szCs w:val="24"/>
          <w:highlight w:val="none"/>
          <w:shd w:val="clear" w:color="auto" w:fill="FFFFFF" w:themeFill="background1"/>
          <w:lang w:eastAsia="zh-CN"/>
        </w:rPr>
        <w:t>符合性审查</w:t>
      </w:r>
      <w:r>
        <w:rPr>
          <w:rFonts w:hint="eastAsia" w:ascii="仿宋" w:hAnsi="仿宋" w:eastAsia="仿宋" w:cs="仿宋"/>
          <w:b w:val="0"/>
          <w:bCs/>
          <w:color w:val="auto"/>
          <w:kern w:val="0"/>
          <w:sz w:val="24"/>
          <w:szCs w:val="24"/>
          <w:highlight w:val="none"/>
          <w:shd w:val="clear" w:color="auto" w:fill="FFFFFF" w:themeFill="background1"/>
        </w:rPr>
        <w:t>标准》</w:t>
      </w:r>
      <w:bookmarkEnd w:id="33"/>
    </w:p>
    <w:tbl>
      <w:tblPr>
        <w:tblStyle w:val="48"/>
        <w:tblW w:w="89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21"/>
        <w:gridCol w:w="5275"/>
        <w:gridCol w:w="3067"/>
      </w:tblGrid>
      <w:tr w14:paraId="166BD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621" w:type="dxa"/>
            <w:vAlign w:val="center"/>
          </w:tcPr>
          <w:p w14:paraId="2FB758F5">
            <w:pPr>
              <w:spacing w:line="360" w:lineRule="auto"/>
              <w:jc w:val="center"/>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序号</w:t>
            </w:r>
          </w:p>
        </w:tc>
        <w:tc>
          <w:tcPr>
            <w:tcW w:w="5275" w:type="dxa"/>
            <w:vAlign w:val="center"/>
          </w:tcPr>
          <w:p w14:paraId="1EE6B923">
            <w:pPr>
              <w:spacing w:line="360" w:lineRule="auto"/>
              <w:jc w:val="center"/>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审查要求</w:t>
            </w:r>
          </w:p>
        </w:tc>
        <w:tc>
          <w:tcPr>
            <w:tcW w:w="3067" w:type="dxa"/>
            <w:vAlign w:val="center"/>
          </w:tcPr>
          <w:p w14:paraId="422100F3">
            <w:pPr>
              <w:spacing w:line="360" w:lineRule="auto"/>
              <w:jc w:val="center"/>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要求说明</w:t>
            </w:r>
          </w:p>
        </w:tc>
      </w:tr>
      <w:tr w14:paraId="43691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621" w:type="dxa"/>
            <w:vAlign w:val="center"/>
          </w:tcPr>
          <w:p w14:paraId="395884CE">
            <w:pPr>
              <w:spacing w:line="360" w:lineRule="auto"/>
              <w:jc w:val="center"/>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1</w:t>
            </w:r>
          </w:p>
        </w:tc>
        <w:tc>
          <w:tcPr>
            <w:tcW w:w="5275" w:type="dxa"/>
            <w:vAlign w:val="center"/>
          </w:tcPr>
          <w:p w14:paraId="102A4E1D">
            <w:pPr>
              <w:spacing w:line="360" w:lineRule="auto"/>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响应文件必须按照</w:t>
            </w:r>
            <w:r>
              <w:rPr>
                <w:rFonts w:hint="eastAsia" w:ascii="仿宋" w:hAnsi="仿宋" w:eastAsia="仿宋" w:cs="仿宋"/>
                <w:b w:val="0"/>
                <w:bCs/>
                <w:color w:val="auto"/>
                <w:szCs w:val="21"/>
                <w:highlight w:val="none"/>
                <w:shd w:val="clear" w:color="auto" w:fill="FFFFFF" w:themeFill="background1"/>
                <w:lang w:eastAsia="zh-CN"/>
              </w:rPr>
              <w:t>采购文件</w:t>
            </w:r>
            <w:r>
              <w:rPr>
                <w:rFonts w:hint="eastAsia" w:ascii="仿宋" w:hAnsi="仿宋" w:eastAsia="仿宋" w:cs="仿宋"/>
                <w:b w:val="0"/>
                <w:bCs/>
                <w:color w:val="auto"/>
                <w:szCs w:val="21"/>
                <w:highlight w:val="none"/>
                <w:shd w:val="clear" w:color="auto" w:fill="FFFFFF" w:themeFill="background1"/>
              </w:rPr>
              <w:t>规定要求加盖供应商章、法定代表人章</w:t>
            </w:r>
            <w:r>
              <w:rPr>
                <w:rFonts w:hint="eastAsia" w:ascii="仿宋" w:hAnsi="仿宋" w:eastAsia="仿宋" w:cs="仿宋"/>
                <w:b w:val="0"/>
                <w:bCs/>
                <w:color w:val="auto"/>
                <w:szCs w:val="21"/>
                <w:highlight w:val="none"/>
                <w:shd w:val="clear" w:color="auto" w:fill="FFFFFF" w:themeFill="background1"/>
                <w:lang w:eastAsia="zh-CN"/>
              </w:rPr>
              <w:t>（</w:t>
            </w:r>
            <w:r>
              <w:rPr>
                <w:rFonts w:hint="eastAsia" w:ascii="仿宋" w:hAnsi="仿宋" w:eastAsia="仿宋" w:cs="仿宋"/>
                <w:b w:val="0"/>
                <w:bCs/>
                <w:color w:val="auto"/>
                <w:szCs w:val="21"/>
                <w:highlight w:val="none"/>
                <w:shd w:val="clear" w:color="auto" w:fill="FFFFFF" w:themeFill="background1"/>
                <w:lang w:val="en-US" w:eastAsia="zh-CN"/>
              </w:rPr>
              <w:t>或签名</w:t>
            </w:r>
            <w:r>
              <w:rPr>
                <w:rFonts w:hint="eastAsia" w:ascii="仿宋" w:hAnsi="仿宋" w:eastAsia="仿宋" w:cs="仿宋"/>
                <w:b w:val="0"/>
                <w:bCs/>
                <w:color w:val="auto"/>
                <w:szCs w:val="21"/>
                <w:highlight w:val="none"/>
                <w:shd w:val="clear" w:color="auto" w:fill="FFFFFF" w:themeFill="background1"/>
                <w:lang w:eastAsia="zh-CN"/>
              </w:rPr>
              <w:t>）</w:t>
            </w:r>
            <w:r>
              <w:rPr>
                <w:rFonts w:hint="eastAsia" w:ascii="仿宋" w:hAnsi="仿宋" w:eastAsia="仿宋" w:cs="仿宋"/>
                <w:b w:val="0"/>
                <w:bCs/>
                <w:color w:val="auto"/>
                <w:szCs w:val="21"/>
                <w:highlight w:val="none"/>
                <w:shd w:val="clear" w:color="auto" w:fill="FFFFFF" w:themeFill="background1"/>
              </w:rPr>
              <w:t>。</w:t>
            </w:r>
          </w:p>
        </w:tc>
        <w:tc>
          <w:tcPr>
            <w:tcW w:w="3067" w:type="dxa"/>
            <w:vAlign w:val="center"/>
          </w:tcPr>
          <w:p w14:paraId="3EDEB480">
            <w:pPr>
              <w:spacing w:line="360" w:lineRule="auto"/>
              <w:jc w:val="center"/>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w:t>
            </w:r>
          </w:p>
        </w:tc>
      </w:tr>
      <w:tr w14:paraId="4C66A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vAlign w:val="center"/>
          </w:tcPr>
          <w:p w14:paraId="25F8E9B6">
            <w:pPr>
              <w:spacing w:line="360" w:lineRule="auto"/>
              <w:jc w:val="center"/>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2</w:t>
            </w:r>
          </w:p>
        </w:tc>
        <w:tc>
          <w:tcPr>
            <w:tcW w:w="5275" w:type="dxa"/>
            <w:vAlign w:val="center"/>
          </w:tcPr>
          <w:p w14:paraId="4F11C47D">
            <w:pPr>
              <w:spacing w:line="360" w:lineRule="auto"/>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供应商所报工期、质量标准必须满足</w:t>
            </w:r>
            <w:r>
              <w:rPr>
                <w:rFonts w:hint="eastAsia" w:ascii="仿宋" w:hAnsi="仿宋" w:eastAsia="仿宋" w:cs="仿宋"/>
                <w:b w:val="0"/>
                <w:bCs/>
                <w:color w:val="auto"/>
                <w:szCs w:val="21"/>
                <w:highlight w:val="none"/>
                <w:shd w:val="clear" w:color="auto" w:fill="FFFFFF" w:themeFill="background1"/>
                <w:lang w:eastAsia="zh-CN"/>
              </w:rPr>
              <w:t>采购文件</w:t>
            </w:r>
            <w:r>
              <w:rPr>
                <w:rFonts w:hint="eastAsia" w:ascii="仿宋" w:hAnsi="仿宋" w:eastAsia="仿宋" w:cs="仿宋"/>
                <w:b w:val="0"/>
                <w:bCs/>
                <w:color w:val="auto"/>
                <w:szCs w:val="21"/>
                <w:highlight w:val="none"/>
                <w:shd w:val="clear" w:color="auto" w:fill="FFFFFF" w:themeFill="background1"/>
              </w:rPr>
              <w:t>要求。</w:t>
            </w:r>
          </w:p>
        </w:tc>
        <w:tc>
          <w:tcPr>
            <w:tcW w:w="3067" w:type="dxa"/>
            <w:vAlign w:val="center"/>
          </w:tcPr>
          <w:p w14:paraId="084BBE18">
            <w:pPr>
              <w:spacing w:line="360" w:lineRule="auto"/>
              <w:jc w:val="center"/>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w:t>
            </w:r>
          </w:p>
        </w:tc>
      </w:tr>
      <w:tr w14:paraId="2EE50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shd w:val="clear" w:color="auto" w:fill="auto"/>
            <w:vAlign w:val="center"/>
          </w:tcPr>
          <w:p w14:paraId="7ED12C5A">
            <w:pPr>
              <w:spacing w:line="360" w:lineRule="auto"/>
              <w:jc w:val="center"/>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rPr>
              <w:t>3</w:t>
            </w:r>
          </w:p>
        </w:tc>
        <w:tc>
          <w:tcPr>
            <w:tcW w:w="5275" w:type="dxa"/>
            <w:shd w:val="clear" w:color="auto" w:fill="auto"/>
            <w:vAlign w:val="center"/>
          </w:tcPr>
          <w:p w14:paraId="326D49BC">
            <w:pPr>
              <w:spacing w:line="360" w:lineRule="auto"/>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rPr>
              <w:t>项目负责人简历表必须提供。</w:t>
            </w:r>
          </w:p>
        </w:tc>
        <w:tc>
          <w:tcPr>
            <w:tcW w:w="3067" w:type="dxa"/>
            <w:shd w:val="clear" w:color="auto" w:fill="auto"/>
            <w:vAlign w:val="center"/>
          </w:tcPr>
          <w:p w14:paraId="171BEBA3">
            <w:pPr>
              <w:spacing w:line="360" w:lineRule="auto"/>
              <w:jc w:val="center"/>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rPr>
              <w:t>/</w:t>
            </w:r>
          </w:p>
        </w:tc>
      </w:tr>
      <w:tr w14:paraId="2F017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shd w:val="clear" w:color="auto" w:fill="auto"/>
            <w:vAlign w:val="center"/>
          </w:tcPr>
          <w:p w14:paraId="3C958A24">
            <w:pPr>
              <w:spacing w:line="360" w:lineRule="auto"/>
              <w:jc w:val="center"/>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rPr>
              <w:t>4</w:t>
            </w:r>
          </w:p>
        </w:tc>
        <w:tc>
          <w:tcPr>
            <w:tcW w:w="5275" w:type="dxa"/>
            <w:shd w:val="clear" w:color="auto" w:fill="auto"/>
            <w:vAlign w:val="center"/>
          </w:tcPr>
          <w:p w14:paraId="3B7BBEEE">
            <w:pPr>
              <w:spacing w:line="360" w:lineRule="auto"/>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highlight w:val="none"/>
              </w:rPr>
              <w:t>主要项目管理人员表必须提供。</w:t>
            </w:r>
          </w:p>
        </w:tc>
        <w:tc>
          <w:tcPr>
            <w:tcW w:w="3067" w:type="dxa"/>
            <w:shd w:val="clear" w:color="auto" w:fill="auto"/>
            <w:vAlign w:val="center"/>
          </w:tcPr>
          <w:p w14:paraId="02BF4603">
            <w:pPr>
              <w:spacing w:line="360" w:lineRule="auto"/>
              <w:jc w:val="center"/>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rPr>
              <w:t>/</w:t>
            </w:r>
          </w:p>
        </w:tc>
      </w:tr>
      <w:tr w14:paraId="38664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shd w:val="clear" w:color="auto" w:fill="auto"/>
            <w:vAlign w:val="center"/>
          </w:tcPr>
          <w:p w14:paraId="5B604CDF">
            <w:pPr>
              <w:spacing w:line="360" w:lineRule="auto"/>
              <w:jc w:val="center"/>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rPr>
              <w:t>5</w:t>
            </w:r>
          </w:p>
        </w:tc>
        <w:tc>
          <w:tcPr>
            <w:tcW w:w="5275" w:type="dxa"/>
            <w:shd w:val="clear" w:color="auto" w:fill="auto"/>
            <w:vAlign w:val="center"/>
          </w:tcPr>
          <w:p w14:paraId="0BEA5D88">
            <w:pPr>
              <w:spacing w:line="288" w:lineRule="auto"/>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eastAsia="zh-CN"/>
              </w:rPr>
              <w:t>响应保证金</w:t>
            </w:r>
            <w:r>
              <w:rPr>
                <w:rFonts w:hint="eastAsia" w:ascii="仿宋" w:hAnsi="仿宋" w:eastAsia="仿宋" w:cs="仿宋"/>
                <w:color w:val="auto"/>
                <w:szCs w:val="21"/>
                <w:highlight w:val="none"/>
                <w:shd w:val="clear" w:color="auto" w:fill="FFFFFF" w:themeFill="background1"/>
              </w:rPr>
              <w:t>必须按照</w:t>
            </w:r>
            <w:r>
              <w:rPr>
                <w:rFonts w:hint="eastAsia" w:ascii="仿宋" w:hAnsi="仿宋" w:eastAsia="仿宋" w:cs="仿宋"/>
                <w:color w:val="auto"/>
                <w:szCs w:val="21"/>
                <w:highlight w:val="none"/>
                <w:shd w:val="clear" w:color="auto" w:fill="FFFFFF" w:themeFill="background1"/>
                <w:lang w:eastAsia="zh-CN"/>
              </w:rPr>
              <w:t>采购文件</w:t>
            </w:r>
            <w:r>
              <w:rPr>
                <w:rFonts w:hint="eastAsia" w:ascii="仿宋" w:hAnsi="仿宋" w:eastAsia="仿宋" w:cs="仿宋"/>
                <w:color w:val="auto"/>
                <w:szCs w:val="21"/>
                <w:highlight w:val="none"/>
                <w:shd w:val="clear" w:color="auto" w:fill="FFFFFF" w:themeFill="background1"/>
              </w:rPr>
              <w:t>要求缴纳。</w:t>
            </w:r>
          </w:p>
        </w:tc>
        <w:tc>
          <w:tcPr>
            <w:tcW w:w="3067" w:type="dxa"/>
            <w:shd w:val="clear" w:color="auto" w:fill="auto"/>
            <w:vAlign w:val="center"/>
          </w:tcPr>
          <w:p w14:paraId="2071C5A5">
            <w:pPr>
              <w:widowControl/>
              <w:numPr>
                <w:ilvl w:val="0"/>
                <w:numId w:val="0"/>
              </w:numPr>
              <w:shd w:val="clear" w:color="auto" w:fill="FFFFFF"/>
              <w:snapToGrid w:val="0"/>
              <w:spacing w:line="360" w:lineRule="auto"/>
              <w:jc w:val="both"/>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保证金缴纳证明材料：汇款凭证或支票或汇票或保函或保证金收据等的扫描件。</w:t>
            </w:r>
          </w:p>
          <w:p w14:paraId="6F5F9405">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kern w:val="0"/>
                <w:szCs w:val="24"/>
                <w:highlight w:val="none"/>
                <w:lang w:val="en-US" w:eastAsia="zh-CN"/>
              </w:rPr>
              <w:t>注：采用电汇方式缴纳的，若供应商未提供上述证明材料，但采购代理机构已查实足额缴纳的，视为已按规定缴纳保证金。</w:t>
            </w:r>
          </w:p>
        </w:tc>
      </w:tr>
      <w:tr w14:paraId="189FA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shd w:val="clear" w:color="auto" w:fill="auto"/>
            <w:vAlign w:val="center"/>
          </w:tcPr>
          <w:p w14:paraId="16D7E05B">
            <w:pPr>
              <w:spacing w:line="360" w:lineRule="auto"/>
              <w:jc w:val="center"/>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lang w:val="en-US" w:eastAsia="zh-CN"/>
              </w:rPr>
              <w:t>6</w:t>
            </w:r>
          </w:p>
        </w:tc>
        <w:tc>
          <w:tcPr>
            <w:tcW w:w="5275" w:type="dxa"/>
            <w:shd w:val="clear" w:color="auto" w:fill="auto"/>
            <w:vAlign w:val="center"/>
          </w:tcPr>
          <w:p w14:paraId="0CF2CE95">
            <w:pPr>
              <w:spacing w:line="360" w:lineRule="auto"/>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lang w:eastAsia="zh-CN"/>
              </w:rPr>
              <w:t>响应价格</w:t>
            </w:r>
            <w:r>
              <w:rPr>
                <w:rFonts w:hint="eastAsia" w:ascii="仿宋" w:hAnsi="仿宋" w:eastAsia="仿宋" w:cs="仿宋"/>
                <w:b w:val="0"/>
                <w:bCs/>
                <w:color w:val="auto"/>
                <w:szCs w:val="21"/>
                <w:highlight w:val="none"/>
                <w:shd w:val="clear" w:color="auto" w:fill="FFFFFF" w:themeFill="background1"/>
              </w:rPr>
              <w:t>不得超过供应商须知前附表中的</w:t>
            </w:r>
            <w:r>
              <w:rPr>
                <w:rFonts w:hint="eastAsia" w:ascii="仿宋" w:hAnsi="仿宋" w:eastAsia="仿宋" w:cs="仿宋"/>
                <w:b w:val="0"/>
                <w:bCs/>
                <w:color w:val="auto"/>
                <w:szCs w:val="21"/>
                <w:highlight w:val="none"/>
                <w:shd w:val="clear" w:color="auto" w:fill="FFFFFF" w:themeFill="background1"/>
                <w:lang w:eastAsia="zh-CN"/>
              </w:rPr>
              <w:t>最高限价</w:t>
            </w:r>
            <w:r>
              <w:rPr>
                <w:rFonts w:hint="eastAsia" w:ascii="仿宋" w:hAnsi="仿宋" w:eastAsia="仿宋" w:cs="仿宋"/>
                <w:b w:val="0"/>
                <w:bCs/>
                <w:color w:val="auto"/>
                <w:szCs w:val="21"/>
                <w:highlight w:val="none"/>
                <w:shd w:val="clear" w:color="auto" w:fill="FFFFFF" w:themeFill="background1"/>
              </w:rPr>
              <w:t>。</w:t>
            </w:r>
          </w:p>
        </w:tc>
        <w:tc>
          <w:tcPr>
            <w:tcW w:w="3067" w:type="dxa"/>
            <w:shd w:val="clear" w:color="auto" w:fill="auto"/>
            <w:vAlign w:val="center"/>
          </w:tcPr>
          <w:p w14:paraId="58B85C53">
            <w:pPr>
              <w:spacing w:line="360" w:lineRule="auto"/>
              <w:jc w:val="center"/>
              <w:rPr>
                <w:rFonts w:hint="default"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kern w:val="2"/>
                <w:sz w:val="21"/>
                <w:szCs w:val="21"/>
                <w:highlight w:val="none"/>
                <w:shd w:val="clear" w:color="auto" w:fill="FFFFFF" w:themeFill="background1"/>
                <w:lang w:val="en-US" w:eastAsia="zh-CN" w:bidi="ar-SA"/>
              </w:rPr>
              <w:t>/</w:t>
            </w:r>
          </w:p>
        </w:tc>
      </w:tr>
      <w:tr w14:paraId="6B2B9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vAlign w:val="center"/>
          </w:tcPr>
          <w:p w14:paraId="3B81D3F9">
            <w:pPr>
              <w:spacing w:line="360" w:lineRule="auto"/>
              <w:jc w:val="center"/>
              <w:rPr>
                <w:rFonts w:hint="eastAsia"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7</w:t>
            </w:r>
          </w:p>
        </w:tc>
        <w:tc>
          <w:tcPr>
            <w:tcW w:w="5275" w:type="dxa"/>
            <w:vAlign w:val="center"/>
          </w:tcPr>
          <w:p w14:paraId="2073F2AF">
            <w:pPr>
              <w:spacing w:line="360" w:lineRule="auto"/>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lang w:val="en-US" w:eastAsia="zh-CN"/>
              </w:rPr>
              <w:t>供应商必须按工程量清单填报价格。项目编码、项目名称、项目特征、</w:t>
            </w:r>
            <w:r>
              <w:rPr>
                <w:rFonts w:hint="default" w:ascii="仿宋" w:hAnsi="仿宋" w:eastAsia="仿宋" w:cs="仿宋"/>
                <w:b w:val="0"/>
                <w:bCs/>
                <w:color w:val="auto"/>
                <w:szCs w:val="21"/>
                <w:highlight w:val="none"/>
                <w:shd w:val="clear" w:color="auto" w:fill="FFFFFF" w:themeFill="background1"/>
                <w:lang w:val="en-US" w:eastAsia="zh-CN"/>
              </w:rPr>
              <w:t>计量单位、工程量必须与工程量清单一致。</w:t>
            </w:r>
          </w:p>
        </w:tc>
        <w:tc>
          <w:tcPr>
            <w:tcW w:w="3067" w:type="dxa"/>
            <w:vAlign w:val="center"/>
          </w:tcPr>
          <w:p w14:paraId="6D7D10E2">
            <w:pPr>
              <w:spacing w:line="360" w:lineRule="auto"/>
              <w:jc w:val="center"/>
              <w:rPr>
                <w:rFonts w:hint="eastAsia"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w:t>
            </w:r>
          </w:p>
        </w:tc>
      </w:tr>
      <w:tr w14:paraId="50059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vAlign w:val="center"/>
          </w:tcPr>
          <w:p w14:paraId="5FF13090">
            <w:pPr>
              <w:spacing w:line="360" w:lineRule="auto"/>
              <w:jc w:val="center"/>
              <w:rPr>
                <w:rFonts w:hint="eastAsia"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8</w:t>
            </w:r>
          </w:p>
        </w:tc>
        <w:tc>
          <w:tcPr>
            <w:tcW w:w="5275" w:type="dxa"/>
            <w:vAlign w:val="center"/>
          </w:tcPr>
          <w:p w14:paraId="719554C6">
            <w:pPr>
              <w:spacing w:line="360" w:lineRule="auto"/>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lang w:val="en-US" w:eastAsia="zh-CN"/>
              </w:rPr>
              <w:t>已标价工程量清单的安全文明施工费、规费和税金必须按国家或省级、行业建设主管部门的规定计算，不</w:t>
            </w:r>
            <w:r>
              <w:rPr>
                <w:rFonts w:hint="default" w:ascii="仿宋" w:hAnsi="仿宋" w:eastAsia="仿宋" w:cs="仿宋"/>
                <w:b w:val="0"/>
                <w:bCs/>
                <w:color w:val="auto"/>
                <w:szCs w:val="21"/>
                <w:highlight w:val="none"/>
                <w:shd w:val="clear" w:color="auto" w:fill="FFFFFF" w:themeFill="background1"/>
                <w:lang w:val="en-US" w:eastAsia="zh-CN"/>
              </w:rPr>
              <w:t>得作为竞争性费用。</w:t>
            </w:r>
          </w:p>
        </w:tc>
        <w:tc>
          <w:tcPr>
            <w:tcW w:w="3067" w:type="dxa"/>
            <w:vAlign w:val="center"/>
          </w:tcPr>
          <w:p w14:paraId="01A50F71">
            <w:pPr>
              <w:spacing w:line="360" w:lineRule="auto"/>
              <w:jc w:val="center"/>
              <w:rPr>
                <w:rFonts w:hint="eastAsia"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w:t>
            </w:r>
          </w:p>
        </w:tc>
      </w:tr>
      <w:tr w14:paraId="121E7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vAlign w:val="center"/>
          </w:tcPr>
          <w:p w14:paraId="17DCD688">
            <w:pPr>
              <w:spacing w:line="360" w:lineRule="auto"/>
              <w:jc w:val="center"/>
              <w:rPr>
                <w:rFonts w:hint="eastAsia"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9</w:t>
            </w:r>
          </w:p>
        </w:tc>
        <w:tc>
          <w:tcPr>
            <w:tcW w:w="5275" w:type="dxa"/>
            <w:vAlign w:val="center"/>
          </w:tcPr>
          <w:p w14:paraId="76337F9C">
            <w:pPr>
              <w:spacing w:line="360" w:lineRule="auto"/>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lang w:val="en-US" w:eastAsia="zh-CN"/>
              </w:rPr>
              <w:t>已标价工程量清单的暂列金额应按工程量清单中列出的金额填写，不得变动。</w:t>
            </w:r>
          </w:p>
        </w:tc>
        <w:tc>
          <w:tcPr>
            <w:tcW w:w="3067" w:type="dxa"/>
            <w:vAlign w:val="center"/>
          </w:tcPr>
          <w:p w14:paraId="391D2008">
            <w:pPr>
              <w:spacing w:line="360" w:lineRule="auto"/>
              <w:jc w:val="center"/>
              <w:rPr>
                <w:rFonts w:hint="eastAsia"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w:t>
            </w:r>
          </w:p>
        </w:tc>
      </w:tr>
      <w:tr w14:paraId="481D0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vAlign w:val="center"/>
          </w:tcPr>
          <w:p w14:paraId="2836792E">
            <w:pPr>
              <w:spacing w:line="360" w:lineRule="auto"/>
              <w:jc w:val="center"/>
              <w:rPr>
                <w:rFonts w:hint="default"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10</w:t>
            </w:r>
          </w:p>
        </w:tc>
        <w:tc>
          <w:tcPr>
            <w:tcW w:w="5275" w:type="dxa"/>
            <w:vAlign w:val="center"/>
          </w:tcPr>
          <w:p w14:paraId="43A300C8">
            <w:pPr>
              <w:spacing w:line="360" w:lineRule="auto"/>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lang w:val="en-US" w:eastAsia="zh-CN"/>
              </w:rPr>
              <w:t>已标价工程量清单的材料、工程设备暂估价必须按工程量清单中列出的暂估单价计入综合单价；专业</w:t>
            </w:r>
            <w:r>
              <w:rPr>
                <w:rFonts w:hint="default" w:ascii="仿宋" w:hAnsi="仿宋" w:eastAsia="仿宋" w:cs="仿宋"/>
                <w:b w:val="0"/>
                <w:bCs/>
                <w:color w:val="auto"/>
                <w:szCs w:val="21"/>
                <w:highlight w:val="none"/>
                <w:shd w:val="clear" w:color="auto" w:fill="FFFFFF" w:themeFill="background1"/>
                <w:lang w:val="en-US" w:eastAsia="zh-CN"/>
              </w:rPr>
              <w:t>工程暂估价必须按工程量清单中列出的金额填写。</w:t>
            </w:r>
          </w:p>
        </w:tc>
        <w:tc>
          <w:tcPr>
            <w:tcW w:w="3067" w:type="dxa"/>
            <w:vAlign w:val="center"/>
          </w:tcPr>
          <w:p w14:paraId="13F46FEE">
            <w:pPr>
              <w:spacing w:line="360" w:lineRule="auto"/>
              <w:jc w:val="center"/>
              <w:rPr>
                <w:rFonts w:hint="eastAsia"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w:t>
            </w:r>
          </w:p>
        </w:tc>
      </w:tr>
      <w:tr w14:paraId="7C235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shd w:val="clear" w:color="auto" w:fill="auto"/>
            <w:vAlign w:val="center"/>
          </w:tcPr>
          <w:p w14:paraId="6F2F6139">
            <w:pPr>
              <w:spacing w:line="360" w:lineRule="auto"/>
              <w:jc w:val="center"/>
              <w:rPr>
                <w:rFonts w:hint="default"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lang w:val="en-US" w:eastAsia="zh-CN"/>
              </w:rPr>
              <w:t>11</w:t>
            </w:r>
          </w:p>
        </w:tc>
        <w:tc>
          <w:tcPr>
            <w:tcW w:w="5275" w:type="dxa"/>
            <w:shd w:val="clear" w:color="auto" w:fill="auto"/>
            <w:vAlign w:val="center"/>
          </w:tcPr>
          <w:p w14:paraId="4884B83F">
            <w:pPr>
              <w:spacing w:line="360" w:lineRule="auto"/>
              <w:rPr>
                <w:rFonts w:hint="eastAsia" w:ascii="仿宋" w:hAnsi="仿宋" w:eastAsia="仿宋" w:cs="仿宋"/>
                <w:b w:val="0"/>
                <w:bCs/>
                <w:color w:val="auto"/>
                <w:kern w:val="2"/>
                <w:sz w:val="21"/>
                <w:szCs w:val="22"/>
                <w:highlight w:val="none"/>
                <w:lang w:val="en-US" w:eastAsia="zh-CN" w:bidi="ar-SA"/>
              </w:rPr>
            </w:pPr>
            <w:r>
              <w:rPr>
                <w:rFonts w:hint="eastAsia" w:ascii="仿宋" w:hAnsi="仿宋" w:eastAsia="仿宋" w:cs="仿宋"/>
                <w:b w:val="0"/>
                <w:bCs/>
                <w:color w:val="auto"/>
                <w:szCs w:val="21"/>
                <w:highlight w:val="none"/>
                <w:shd w:val="clear" w:color="auto" w:fill="FFFFFF" w:themeFill="background1"/>
              </w:rPr>
              <w:t>响应文件符合</w:t>
            </w:r>
            <w:r>
              <w:rPr>
                <w:rFonts w:hint="eastAsia" w:ascii="仿宋" w:hAnsi="仿宋" w:eastAsia="仿宋" w:cs="仿宋"/>
                <w:b w:val="0"/>
                <w:bCs/>
                <w:color w:val="auto"/>
                <w:szCs w:val="21"/>
                <w:highlight w:val="none"/>
                <w:shd w:val="clear" w:color="auto" w:fill="FFFFFF" w:themeFill="background1"/>
                <w:lang w:eastAsia="zh-CN"/>
              </w:rPr>
              <w:t>采购文件</w:t>
            </w:r>
            <w:r>
              <w:rPr>
                <w:rFonts w:hint="eastAsia" w:ascii="仿宋" w:hAnsi="仿宋" w:eastAsia="仿宋" w:cs="仿宋"/>
                <w:b w:val="0"/>
                <w:bCs/>
                <w:color w:val="auto"/>
                <w:szCs w:val="21"/>
                <w:highlight w:val="none"/>
                <w:shd w:val="clear" w:color="auto" w:fill="FFFFFF" w:themeFill="background1"/>
              </w:rPr>
              <w:t>全部实质性要求。</w:t>
            </w:r>
          </w:p>
        </w:tc>
        <w:tc>
          <w:tcPr>
            <w:tcW w:w="3067" w:type="dxa"/>
            <w:vAlign w:val="center"/>
          </w:tcPr>
          <w:p w14:paraId="3E1F7F31">
            <w:pPr>
              <w:spacing w:line="360" w:lineRule="auto"/>
              <w:jc w:val="center"/>
              <w:rPr>
                <w:rFonts w:hint="eastAsia"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w:t>
            </w:r>
          </w:p>
        </w:tc>
      </w:tr>
      <w:tr w14:paraId="04649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8963" w:type="dxa"/>
            <w:gridSpan w:val="3"/>
            <w:vAlign w:val="center"/>
          </w:tcPr>
          <w:p w14:paraId="0A3CA83F">
            <w:pPr>
              <w:spacing w:line="360" w:lineRule="auto"/>
              <w:jc w:val="left"/>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备注：</w:t>
            </w:r>
            <w:r>
              <w:rPr>
                <w:rFonts w:hint="eastAsia" w:ascii="仿宋" w:hAnsi="仿宋" w:eastAsia="仿宋" w:cs="仿宋"/>
                <w:b w:val="0"/>
                <w:bCs/>
                <w:color w:val="auto"/>
                <w:szCs w:val="21"/>
                <w:highlight w:val="none"/>
                <w:shd w:val="clear" w:color="auto" w:fill="FFFFFF" w:themeFill="background1"/>
                <w:lang w:eastAsia="zh-CN"/>
              </w:rPr>
              <w:t>符合性审查</w:t>
            </w:r>
            <w:r>
              <w:rPr>
                <w:rFonts w:hint="eastAsia" w:ascii="仿宋" w:hAnsi="仿宋" w:eastAsia="仿宋" w:cs="仿宋"/>
                <w:b w:val="0"/>
                <w:bCs/>
                <w:color w:val="auto"/>
                <w:szCs w:val="21"/>
                <w:highlight w:val="none"/>
                <w:shd w:val="clear" w:color="auto" w:fill="FFFFFF" w:themeFill="background1"/>
              </w:rPr>
              <w:t>中有一项不满足评审标准的，磋商小组将认定该供应商不通过</w:t>
            </w:r>
            <w:r>
              <w:rPr>
                <w:rFonts w:hint="eastAsia" w:ascii="仿宋" w:hAnsi="仿宋" w:eastAsia="仿宋" w:cs="仿宋"/>
                <w:b w:val="0"/>
                <w:bCs/>
                <w:color w:val="auto"/>
                <w:szCs w:val="21"/>
                <w:highlight w:val="none"/>
                <w:shd w:val="clear" w:color="auto" w:fill="FFFFFF" w:themeFill="background1"/>
                <w:lang w:eastAsia="zh-CN"/>
              </w:rPr>
              <w:t>符合性审查</w:t>
            </w:r>
            <w:r>
              <w:rPr>
                <w:rFonts w:hint="eastAsia" w:ascii="仿宋" w:hAnsi="仿宋" w:eastAsia="仿宋" w:cs="仿宋"/>
                <w:b w:val="0"/>
                <w:bCs/>
                <w:color w:val="auto"/>
                <w:szCs w:val="21"/>
                <w:highlight w:val="none"/>
                <w:shd w:val="clear" w:color="auto" w:fill="FFFFFF" w:themeFill="background1"/>
              </w:rPr>
              <w:t>，不得进入下一阶段评审。并且不允许供应商通过修改或撤销其不符合要求的差异或保留，使之成为具有响应性的投标。</w:t>
            </w:r>
          </w:p>
        </w:tc>
      </w:tr>
    </w:tbl>
    <w:p w14:paraId="570F79F8">
      <w:pPr>
        <w:spacing w:line="360" w:lineRule="auto"/>
        <w:jc w:val="center"/>
        <w:rPr>
          <w:rFonts w:hint="eastAsia" w:ascii="仿宋" w:hAnsi="仿宋" w:eastAsia="仿宋" w:cs="仿宋"/>
          <w:b w:val="0"/>
          <w:bCs/>
          <w:color w:val="auto"/>
          <w:kern w:val="0"/>
          <w:sz w:val="24"/>
          <w:szCs w:val="24"/>
          <w:highlight w:val="none"/>
          <w:shd w:val="clear" w:color="auto" w:fill="FFFFFF" w:themeFill="background1"/>
        </w:rPr>
      </w:pPr>
    </w:p>
    <w:p w14:paraId="7EBD2408">
      <w:pPr>
        <w:rPr>
          <w:rFonts w:hint="eastAsia" w:ascii="仿宋" w:hAnsi="仿宋" w:eastAsia="仿宋" w:cs="仿宋"/>
          <w:b w:val="0"/>
          <w:bCs/>
          <w:color w:val="auto"/>
          <w:kern w:val="0"/>
          <w:sz w:val="24"/>
          <w:szCs w:val="24"/>
          <w:highlight w:val="none"/>
        </w:rPr>
      </w:pPr>
    </w:p>
    <w:p w14:paraId="72F82A26">
      <w:pPr>
        <w:jc w:val="center"/>
        <w:rPr>
          <w:rFonts w:hint="eastAsia" w:ascii="仿宋" w:hAnsi="仿宋" w:eastAsia="仿宋" w:cs="仿宋"/>
          <w:b w:val="0"/>
          <w:bCs/>
          <w:color w:val="auto"/>
          <w:kern w:val="0"/>
          <w:sz w:val="24"/>
          <w:szCs w:val="24"/>
          <w:highlight w:val="none"/>
        </w:rPr>
      </w:pPr>
      <w:r>
        <w:rPr>
          <w:rFonts w:hint="eastAsia" w:ascii="仿宋" w:hAnsi="仿宋" w:eastAsia="仿宋" w:cs="仿宋"/>
          <w:b w:val="0"/>
          <w:bCs/>
          <w:color w:val="auto"/>
          <w:kern w:val="0"/>
          <w:sz w:val="24"/>
          <w:szCs w:val="24"/>
          <w:highlight w:val="none"/>
        </w:rPr>
        <w:t>《详细评审标准》</w:t>
      </w:r>
    </w:p>
    <w:tbl>
      <w:tblPr>
        <w:tblStyle w:val="48"/>
        <w:tblpPr w:leftFromText="181" w:rightFromText="181" w:vertAnchor="text" w:horzAnchor="page" w:tblpXSpec="center" w:tblpY="1"/>
        <w:tblOverlap w:val="never"/>
        <w:tblW w:w="47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6"/>
        <w:gridCol w:w="1330"/>
        <w:gridCol w:w="706"/>
        <w:gridCol w:w="5688"/>
      </w:tblGrid>
      <w:tr w14:paraId="68B54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vAlign w:val="center"/>
          </w:tcPr>
          <w:p w14:paraId="4F5AACD8">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Cs w:val="21"/>
                <w:highlight w:val="none"/>
                <w:shd w:val="clear" w:color="auto" w:fill="FFFFFF" w:themeFill="background1"/>
              </w:rPr>
            </w:pPr>
            <w:bookmarkStart w:id="34" w:name="_Toc25752"/>
            <w:r>
              <w:rPr>
                <w:rFonts w:hint="eastAsia" w:ascii="仿宋" w:hAnsi="仿宋" w:eastAsia="仿宋" w:cs="仿宋"/>
                <w:b w:val="0"/>
                <w:bCs/>
                <w:color w:val="auto"/>
                <w:kern w:val="0"/>
                <w:szCs w:val="21"/>
                <w:highlight w:val="none"/>
                <w:shd w:val="clear" w:color="auto" w:fill="FFFFFF" w:themeFill="background1"/>
              </w:rPr>
              <w:t>序号</w:t>
            </w:r>
          </w:p>
        </w:tc>
        <w:tc>
          <w:tcPr>
            <w:tcW w:w="790" w:type="pct"/>
            <w:vAlign w:val="center"/>
          </w:tcPr>
          <w:p w14:paraId="503E5445">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Cs w:val="21"/>
                <w:highlight w:val="none"/>
                <w:shd w:val="clear" w:color="auto" w:fill="FFFFFF" w:themeFill="background1"/>
              </w:rPr>
            </w:pPr>
            <w:r>
              <w:rPr>
                <w:rFonts w:hint="eastAsia" w:ascii="仿宋" w:hAnsi="仿宋" w:eastAsia="仿宋" w:cs="仿宋"/>
                <w:b w:val="0"/>
                <w:bCs/>
                <w:color w:val="auto"/>
                <w:kern w:val="0"/>
                <w:szCs w:val="21"/>
                <w:highlight w:val="none"/>
                <w:shd w:val="clear" w:color="auto" w:fill="FFFFFF" w:themeFill="background1"/>
              </w:rPr>
              <w:t>评审项目</w:t>
            </w:r>
          </w:p>
        </w:tc>
        <w:tc>
          <w:tcPr>
            <w:tcW w:w="419" w:type="pct"/>
            <w:vAlign w:val="center"/>
          </w:tcPr>
          <w:p w14:paraId="3F7781E5">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Cs w:val="21"/>
                <w:highlight w:val="none"/>
                <w:shd w:val="clear" w:color="auto" w:fill="FFFFFF" w:themeFill="background1"/>
                <w:lang w:val="en-US" w:eastAsia="zh-CN"/>
              </w:rPr>
            </w:pPr>
            <w:r>
              <w:rPr>
                <w:rFonts w:hint="eastAsia" w:ascii="仿宋" w:hAnsi="仿宋" w:eastAsia="仿宋" w:cs="仿宋"/>
                <w:b w:val="0"/>
                <w:bCs/>
                <w:color w:val="auto"/>
                <w:kern w:val="0"/>
                <w:szCs w:val="21"/>
                <w:highlight w:val="none"/>
                <w:shd w:val="clear" w:color="auto" w:fill="FFFFFF" w:themeFill="background1"/>
              </w:rPr>
              <w:t>标准分</w:t>
            </w:r>
          </w:p>
        </w:tc>
        <w:tc>
          <w:tcPr>
            <w:tcW w:w="3381" w:type="pct"/>
            <w:vAlign w:val="center"/>
          </w:tcPr>
          <w:p w14:paraId="23B8C791">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Cs w:val="21"/>
                <w:highlight w:val="none"/>
                <w:shd w:val="clear" w:color="auto" w:fill="FFFFFF" w:themeFill="background1"/>
              </w:rPr>
            </w:pPr>
            <w:r>
              <w:rPr>
                <w:rFonts w:hint="eastAsia" w:ascii="仿宋" w:hAnsi="仿宋" w:eastAsia="仿宋" w:cs="仿宋"/>
                <w:b w:val="0"/>
                <w:bCs/>
                <w:color w:val="auto"/>
                <w:kern w:val="0"/>
                <w:szCs w:val="21"/>
                <w:highlight w:val="none"/>
                <w:shd w:val="clear" w:color="auto" w:fill="FFFFFF" w:themeFill="background1"/>
              </w:rPr>
              <w:t>评审标准</w:t>
            </w:r>
          </w:p>
        </w:tc>
      </w:tr>
      <w:tr w14:paraId="67446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4CF4C69D">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1</w:t>
            </w:r>
          </w:p>
        </w:tc>
        <w:tc>
          <w:tcPr>
            <w:tcW w:w="1330" w:type="dxa"/>
            <w:shd w:val="clear" w:color="auto" w:fill="auto"/>
            <w:vAlign w:val="center"/>
          </w:tcPr>
          <w:p w14:paraId="46EBEBE5">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项目概况及特点</w:t>
            </w:r>
          </w:p>
        </w:tc>
        <w:tc>
          <w:tcPr>
            <w:tcW w:w="706" w:type="dxa"/>
            <w:shd w:val="clear" w:color="auto" w:fill="auto"/>
            <w:vAlign w:val="center"/>
          </w:tcPr>
          <w:p w14:paraId="664515DB">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2</w:t>
            </w:r>
          </w:p>
        </w:tc>
        <w:tc>
          <w:tcPr>
            <w:tcW w:w="5688" w:type="dxa"/>
            <w:shd w:val="clear" w:color="auto" w:fill="auto"/>
            <w:vAlign w:val="center"/>
          </w:tcPr>
          <w:p w14:paraId="737FD4A3">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工程概况及特点包括但不限于：①项目概况、②工程施工特点；2部分要素。</w:t>
            </w:r>
          </w:p>
          <w:p w14:paraId="34C2CBC5">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lang w:val="en-US" w:eastAsia="zh-CN"/>
              </w:rPr>
              <w:t>所有要素齐全且完全满足项目要求得2分，每缺一个要素扣1分，每个要素里每有一处内容缺陷扣0.5分（扣完为止）。</w:t>
            </w:r>
          </w:p>
        </w:tc>
      </w:tr>
      <w:tr w14:paraId="3F24C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53502AB0">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2</w:t>
            </w:r>
          </w:p>
        </w:tc>
        <w:tc>
          <w:tcPr>
            <w:tcW w:w="1330" w:type="dxa"/>
            <w:shd w:val="clear" w:color="auto" w:fill="auto"/>
            <w:vAlign w:val="center"/>
          </w:tcPr>
          <w:p w14:paraId="1A338208">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2"/>
                <w:sz w:val="21"/>
                <w:szCs w:val="21"/>
                <w:highlight w:val="none"/>
                <w:lang w:val="en-US" w:eastAsia="zh-CN" w:bidi="ar-SA"/>
              </w:rPr>
            </w:pPr>
            <w:r>
              <w:rPr>
                <w:rFonts w:hint="eastAsia" w:ascii="仿宋" w:hAnsi="仿宋" w:eastAsia="仿宋" w:cs="仿宋"/>
                <w:b w:val="0"/>
                <w:bCs/>
                <w:color w:val="auto"/>
                <w:szCs w:val="21"/>
                <w:highlight w:val="none"/>
                <w:lang w:val="en-US" w:eastAsia="zh-CN"/>
              </w:rPr>
              <w:t>施工准备计划</w:t>
            </w:r>
          </w:p>
        </w:tc>
        <w:tc>
          <w:tcPr>
            <w:tcW w:w="706" w:type="dxa"/>
            <w:shd w:val="clear" w:color="auto" w:fill="auto"/>
            <w:vAlign w:val="center"/>
          </w:tcPr>
          <w:p w14:paraId="0326BE10">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8</w:t>
            </w:r>
          </w:p>
        </w:tc>
        <w:tc>
          <w:tcPr>
            <w:tcW w:w="5688" w:type="dxa"/>
            <w:shd w:val="clear" w:color="auto" w:fill="auto"/>
            <w:vAlign w:val="center"/>
          </w:tcPr>
          <w:p w14:paraId="36F55125">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Cs w:val="21"/>
                <w:highlight w:val="none"/>
                <w:lang w:val="en-US" w:eastAsia="zh-CN"/>
              </w:rPr>
              <w:t>施工准备计划</w:t>
            </w:r>
            <w:r>
              <w:rPr>
                <w:rFonts w:hint="eastAsia" w:ascii="仿宋" w:hAnsi="仿宋" w:eastAsia="仿宋" w:cs="仿宋"/>
                <w:b w:val="0"/>
                <w:bCs/>
                <w:color w:val="auto"/>
                <w:sz w:val="21"/>
                <w:szCs w:val="21"/>
                <w:highlight w:val="none"/>
              </w:rPr>
              <w:t>包括但不限于</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①施工技术准备、</w:t>
            </w:r>
            <w:r>
              <w:rPr>
                <w:rFonts w:hint="eastAsia" w:ascii="仿宋" w:hAnsi="仿宋" w:eastAsia="仿宋" w:cs="仿宋"/>
                <w:b w:val="0"/>
                <w:bCs/>
                <w:color w:val="auto"/>
                <w:sz w:val="21"/>
                <w:szCs w:val="21"/>
                <w:highlight w:val="none"/>
              </w:rPr>
              <w:t>②</w:t>
            </w:r>
            <w:r>
              <w:rPr>
                <w:rFonts w:hint="eastAsia" w:ascii="仿宋" w:hAnsi="仿宋" w:eastAsia="仿宋" w:cs="仿宋"/>
                <w:b w:val="0"/>
                <w:bCs/>
                <w:color w:val="auto"/>
                <w:sz w:val="21"/>
                <w:szCs w:val="21"/>
                <w:highlight w:val="none"/>
                <w:lang w:val="en-US" w:eastAsia="zh-CN"/>
              </w:rPr>
              <w:t>现场准备、</w:t>
            </w:r>
            <w:r>
              <w:rPr>
                <w:rFonts w:hint="eastAsia" w:ascii="仿宋" w:hAnsi="仿宋" w:eastAsia="仿宋" w:cs="仿宋"/>
                <w:b w:val="0"/>
                <w:bCs/>
                <w:color w:val="auto"/>
                <w:sz w:val="21"/>
                <w:szCs w:val="21"/>
                <w:highlight w:val="none"/>
              </w:rPr>
              <w:t>③</w:t>
            </w:r>
            <w:r>
              <w:rPr>
                <w:rFonts w:hint="eastAsia" w:ascii="仿宋" w:hAnsi="仿宋" w:eastAsia="仿宋" w:cs="仿宋"/>
                <w:b w:val="0"/>
                <w:bCs/>
                <w:color w:val="auto"/>
                <w:sz w:val="21"/>
                <w:szCs w:val="21"/>
                <w:highlight w:val="none"/>
                <w:lang w:val="en-US" w:eastAsia="zh-CN"/>
              </w:rPr>
              <w:t>物资与机械准备、</w:t>
            </w:r>
            <w:r>
              <w:rPr>
                <w:rFonts w:hint="eastAsia" w:ascii="仿宋" w:hAnsi="仿宋" w:eastAsia="仿宋" w:cs="仿宋"/>
                <w:b w:val="0"/>
                <w:bCs/>
                <w:color w:val="auto"/>
                <w:sz w:val="21"/>
                <w:szCs w:val="21"/>
                <w:highlight w:val="none"/>
              </w:rPr>
              <w:t>④</w:t>
            </w:r>
            <w:r>
              <w:rPr>
                <w:rFonts w:hint="eastAsia" w:ascii="仿宋" w:hAnsi="仿宋" w:eastAsia="仿宋" w:cs="仿宋"/>
                <w:b w:val="0"/>
                <w:bCs/>
                <w:color w:val="auto"/>
                <w:sz w:val="21"/>
                <w:szCs w:val="21"/>
                <w:highlight w:val="none"/>
                <w:lang w:val="en-US" w:eastAsia="zh-CN"/>
              </w:rPr>
              <w:t>队伍准备</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4</w:t>
            </w:r>
            <w:r>
              <w:rPr>
                <w:rFonts w:hint="eastAsia" w:ascii="仿宋" w:hAnsi="仿宋" w:eastAsia="仿宋" w:cs="仿宋"/>
                <w:b w:val="0"/>
                <w:bCs/>
                <w:color w:val="auto"/>
                <w:sz w:val="21"/>
                <w:szCs w:val="21"/>
                <w:highlight w:val="none"/>
              </w:rPr>
              <w:t>部分要素。</w:t>
            </w:r>
          </w:p>
          <w:p w14:paraId="31F41897">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b w:val="0"/>
                <w:bCs/>
                <w:color w:val="auto"/>
                <w:kern w:val="2"/>
                <w:sz w:val="21"/>
                <w:szCs w:val="21"/>
                <w:highlight w:val="none"/>
                <w:lang w:val="en-US" w:eastAsia="zh-CN" w:bidi="ar-SA"/>
              </w:rPr>
            </w:pPr>
            <w:r>
              <w:rPr>
                <w:rFonts w:hint="eastAsia" w:ascii="仿宋" w:hAnsi="仿宋" w:eastAsia="仿宋" w:cs="仿宋"/>
                <w:b w:val="0"/>
                <w:bCs/>
                <w:color w:val="auto"/>
                <w:sz w:val="21"/>
                <w:szCs w:val="21"/>
                <w:highlight w:val="none"/>
              </w:rPr>
              <w:t>所有要素齐全且完全满足项目要求得</w:t>
            </w:r>
            <w:r>
              <w:rPr>
                <w:rFonts w:hint="eastAsia" w:ascii="仿宋" w:hAnsi="仿宋" w:eastAsia="仿宋" w:cs="仿宋"/>
                <w:b w:val="0"/>
                <w:bCs/>
                <w:color w:val="auto"/>
                <w:sz w:val="21"/>
                <w:szCs w:val="21"/>
                <w:highlight w:val="none"/>
                <w:lang w:val="en-US" w:eastAsia="zh-CN"/>
              </w:rPr>
              <w:t>8</w:t>
            </w:r>
            <w:r>
              <w:rPr>
                <w:rFonts w:hint="eastAsia" w:ascii="仿宋" w:hAnsi="仿宋" w:eastAsia="仿宋" w:cs="仿宋"/>
                <w:b w:val="0"/>
                <w:bCs/>
                <w:color w:val="auto"/>
                <w:sz w:val="21"/>
                <w:szCs w:val="21"/>
                <w:highlight w:val="none"/>
              </w:rPr>
              <w:t>分，每缺一个要素扣</w:t>
            </w:r>
            <w:r>
              <w:rPr>
                <w:rFonts w:hint="eastAsia" w:ascii="仿宋" w:hAnsi="仿宋" w:eastAsia="仿宋" w:cs="仿宋"/>
                <w:b w:val="0"/>
                <w:bCs/>
                <w:color w:val="auto"/>
                <w:sz w:val="21"/>
                <w:szCs w:val="21"/>
                <w:highlight w:val="none"/>
                <w:lang w:val="en-US" w:eastAsia="zh-CN"/>
              </w:rPr>
              <w:t>2</w:t>
            </w:r>
            <w:r>
              <w:rPr>
                <w:rFonts w:hint="eastAsia" w:ascii="仿宋" w:hAnsi="仿宋" w:eastAsia="仿宋" w:cs="仿宋"/>
                <w:b w:val="0"/>
                <w:bCs/>
                <w:color w:val="auto"/>
                <w:sz w:val="21"/>
                <w:szCs w:val="21"/>
                <w:highlight w:val="none"/>
              </w:rPr>
              <w:t>分，每个要素里每有一处内容缺陷扣</w:t>
            </w:r>
            <w:r>
              <w:rPr>
                <w:rFonts w:hint="eastAsia" w:ascii="仿宋" w:hAnsi="仿宋" w:eastAsia="仿宋" w:cs="仿宋"/>
                <w:b w:val="0"/>
                <w:bCs/>
                <w:color w:val="auto"/>
                <w:sz w:val="21"/>
                <w:szCs w:val="21"/>
                <w:highlight w:val="none"/>
                <w:lang w:val="en-US" w:eastAsia="zh-CN"/>
              </w:rPr>
              <w:t>1</w:t>
            </w:r>
            <w:r>
              <w:rPr>
                <w:rFonts w:hint="eastAsia" w:ascii="仿宋" w:hAnsi="仿宋" w:eastAsia="仿宋" w:cs="仿宋"/>
                <w:b w:val="0"/>
                <w:bCs/>
                <w:color w:val="auto"/>
                <w:sz w:val="21"/>
                <w:szCs w:val="21"/>
                <w:highlight w:val="none"/>
              </w:rPr>
              <w:t>分（扣完为止）。</w:t>
            </w:r>
          </w:p>
        </w:tc>
      </w:tr>
      <w:tr w14:paraId="2CA7B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4CD94D05">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3</w:t>
            </w:r>
          </w:p>
        </w:tc>
        <w:tc>
          <w:tcPr>
            <w:tcW w:w="1330" w:type="dxa"/>
            <w:shd w:val="clear" w:color="auto" w:fill="auto"/>
            <w:vAlign w:val="center"/>
          </w:tcPr>
          <w:p w14:paraId="0F7A443D">
            <w:pPr>
              <w:spacing w:line="240" w:lineRule="auto"/>
              <w:jc w:val="center"/>
              <w:rPr>
                <w:rFonts w:hint="eastAsia" w:ascii="仿宋" w:hAnsi="仿宋" w:eastAsia="仿宋" w:cs="仿宋"/>
                <w:b w:val="0"/>
                <w:bCs/>
                <w:color w:val="auto"/>
                <w:kern w:val="2"/>
                <w:sz w:val="21"/>
                <w:szCs w:val="21"/>
                <w:highlight w:val="none"/>
                <w:lang w:val="en-US" w:eastAsia="zh-CN" w:bidi="ar-SA"/>
              </w:rPr>
            </w:pPr>
            <w:r>
              <w:rPr>
                <w:rFonts w:hint="eastAsia" w:ascii="仿宋" w:hAnsi="仿宋" w:eastAsia="仿宋" w:cs="仿宋"/>
                <w:b w:val="0"/>
                <w:bCs/>
                <w:color w:val="auto"/>
                <w:szCs w:val="21"/>
                <w:highlight w:val="none"/>
              </w:rPr>
              <w:t>施工方案</w:t>
            </w:r>
          </w:p>
        </w:tc>
        <w:tc>
          <w:tcPr>
            <w:tcW w:w="706" w:type="dxa"/>
            <w:shd w:val="clear" w:color="auto" w:fill="auto"/>
            <w:vAlign w:val="center"/>
          </w:tcPr>
          <w:p w14:paraId="3898F6C4">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12</w:t>
            </w:r>
          </w:p>
        </w:tc>
        <w:tc>
          <w:tcPr>
            <w:tcW w:w="5688" w:type="dxa"/>
            <w:shd w:val="clear" w:color="auto" w:fill="auto"/>
            <w:vAlign w:val="center"/>
          </w:tcPr>
          <w:p w14:paraId="7D1ABC9C">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Cs w:val="21"/>
                <w:highlight w:val="none"/>
              </w:rPr>
              <w:t>施工方案</w:t>
            </w:r>
            <w:r>
              <w:rPr>
                <w:rFonts w:hint="eastAsia" w:ascii="仿宋" w:hAnsi="仿宋" w:eastAsia="仿宋" w:cs="仿宋"/>
                <w:b w:val="0"/>
                <w:bCs/>
                <w:color w:val="auto"/>
                <w:sz w:val="21"/>
                <w:szCs w:val="21"/>
                <w:highlight w:val="none"/>
              </w:rPr>
              <w:t>包括但不限于</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①</w:t>
            </w:r>
            <w:r>
              <w:rPr>
                <w:rFonts w:hint="eastAsia" w:ascii="仿宋" w:hAnsi="仿宋" w:eastAsia="仿宋" w:cs="仿宋"/>
                <w:b w:val="0"/>
                <w:bCs/>
                <w:color w:val="auto"/>
                <w:sz w:val="21"/>
                <w:szCs w:val="21"/>
                <w:highlight w:val="none"/>
              </w:rPr>
              <w:t>提高生产率</w:t>
            </w:r>
            <w:r>
              <w:rPr>
                <w:rFonts w:hint="eastAsia" w:ascii="仿宋" w:hAnsi="仿宋" w:eastAsia="仿宋" w:cs="仿宋"/>
                <w:b w:val="0"/>
                <w:bCs/>
                <w:color w:val="auto"/>
                <w:sz w:val="21"/>
                <w:szCs w:val="21"/>
                <w:highlight w:val="none"/>
                <w:lang w:val="en-US" w:eastAsia="zh-CN"/>
              </w:rPr>
              <w:t>措施、</w:t>
            </w:r>
            <w:r>
              <w:rPr>
                <w:rFonts w:hint="eastAsia" w:ascii="仿宋" w:hAnsi="仿宋" w:eastAsia="仿宋" w:cs="仿宋"/>
                <w:b w:val="0"/>
                <w:bCs/>
                <w:color w:val="auto"/>
                <w:sz w:val="21"/>
                <w:szCs w:val="21"/>
                <w:highlight w:val="none"/>
              </w:rPr>
              <w:t>②缩短工期</w:t>
            </w:r>
            <w:r>
              <w:rPr>
                <w:rFonts w:hint="eastAsia" w:ascii="仿宋" w:hAnsi="仿宋" w:eastAsia="仿宋" w:cs="仿宋"/>
                <w:b w:val="0"/>
                <w:bCs/>
                <w:color w:val="auto"/>
                <w:sz w:val="21"/>
                <w:szCs w:val="21"/>
                <w:highlight w:val="none"/>
                <w:lang w:val="en-US" w:eastAsia="zh-CN"/>
              </w:rPr>
              <w:t>措施、</w:t>
            </w:r>
            <w:r>
              <w:rPr>
                <w:rFonts w:hint="eastAsia" w:ascii="仿宋" w:hAnsi="仿宋" w:eastAsia="仿宋" w:cs="仿宋"/>
                <w:b w:val="0"/>
                <w:bCs/>
                <w:color w:val="auto"/>
                <w:sz w:val="21"/>
                <w:szCs w:val="21"/>
                <w:highlight w:val="none"/>
              </w:rPr>
              <w:t>③提高质量</w:t>
            </w:r>
            <w:r>
              <w:rPr>
                <w:rFonts w:hint="eastAsia" w:ascii="仿宋" w:hAnsi="仿宋" w:eastAsia="仿宋" w:cs="仿宋"/>
                <w:b w:val="0"/>
                <w:bCs/>
                <w:color w:val="auto"/>
                <w:sz w:val="21"/>
                <w:szCs w:val="21"/>
                <w:highlight w:val="none"/>
                <w:lang w:val="en-US" w:eastAsia="zh-CN"/>
              </w:rPr>
              <w:t>措施、</w:t>
            </w:r>
            <w:r>
              <w:rPr>
                <w:rFonts w:hint="eastAsia" w:ascii="仿宋" w:hAnsi="仿宋" w:eastAsia="仿宋" w:cs="仿宋"/>
                <w:b w:val="0"/>
                <w:bCs/>
                <w:color w:val="auto"/>
                <w:sz w:val="21"/>
                <w:szCs w:val="21"/>
                <w:highlight w:val="none"/>
              </w:rPr>
              <w:t>④降低消耗</w:t>
            </w:r>
            <w:r>
              <w:rPr>
                <w:rFonts w:hint="eastAsia" w:ascii="仿宋" w:hAnsi="仿宋" w:eastAsia="仿宋" w:cs="仿宋"/>
                <w:b w:val="0"/>
                <w:bCs/>
                <w:color w:val="auto"/>
                <w:sz w:val="21"/>
                <w:szCs w:val="21"/>
                <w:highlight w:val="none"/>
                <w:lang w:val="en-US" w:eastAsia="zh-CN"/>
              </w:rPr>
              <w:t>措施</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4</w:t>
            </w:r>
            <w:r>
              <w:rPr>
                <w:rFonts w:hint="eastAsia" w:ascii="仿宋" w:hAnsi="仿宋" w:eastAsia="仿宋" w:cs="仿宋"/>
                <w:b w:val="0"/>
                <w:bCs/>
                <w:color w:val="auto"/>
                <w:sz w:val="21"/>
                <w:szCs w:val="21"/>
                <w:highlight w:val="none"/>
              </w:rPr>
              <w:t>部分要素。</w:t>
            </w:r>
          </w:p>
          <w:p w14:paraId="61FEBB32">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b w:val="0"/>
                <w:bCs/>
                <w:color w:val="auto"/>
                <w:kern w:val="2"/>
                <w:sz w:val="21"/>
                <w:szCs w:val="21"/>
                <w:highlight w:val="none"/>
                <w:lang w:val="en-US" w:eastAsia="zh-CN" w:bidi="ar-SA"/>
              </w:rPr>
            </w:pPr>
            <w:r>
              <w:rPr>
                <w:rFonts w:hint="eastAsia" w:ascii="仿宋" w:hAnsi="仿宋" w:eastAsia="仿宋" w:cs="仿宋"/>
                <w:b w:val="0"/>
                <w:bCs/>
                <w:color w:val="auto"/>
                <w:sz w:val="21"/>
                <w:szCs w:val="21"/>
                <w:highlight w:val="none"/>
              </w:rPr>
              <w:t>所有要素齐全且完全满足项目要求得</w:t>
            </w:r>
            <w:r>
              <w:rPr>
                <w:rFonts w:hint="eastAsia" w:ascii="仿宋" w:hAnsi="仿宋" w:eastAsia="仿宋" w:cs="仿宋"/>
                <w:b w:val="0"/>
                <w:bCs/>
                <w:color w:val="auto"/>
                <w:sz w:val="21"/>
                <w:szCs w:val="21"/>
                <w:highlight w:val="none"/>
                <w:lang w:val="en-US" w:eastAsia="zh-CN"/>
              </w:rPr>
              <w:t>12</w:t>
            </w:r>
            <w:r>
              <w:rPr>
                <w:rFonts w:hint="eastAsia" w:ascii="仿宋" w:hAnsi="仿宋" w:eastAsia="仿宋" w:cs="仿宋"/>
                <w:b w:val="0"/>
                <w:bCs/>
                <w:color w:val="auto"/>
                <w:sz w:val="21"/>
                <w:szCs w:val="21"/>
                <w:highlight w:val="none"/>
              </w:rPr>
              <w:t>分，每缺一个要素扣</w:t>
            </w:r>
            <w:r>
              <w:rPr>
                <w:rFonts w:hint="eastAsia" w:ascii="仿宋" w:hAnsi="仿宋" w:eastAsia="仿宋" w:cs="仿宋"/>
                <w:b w:val="0"/>
                <w:bCs/>
                <w:color w:val="auto"/>
                <w:sz w:val="21"/>
                <w:szCs w:val="21"/>
                <w:highlight w:val="none"/>
                <w:lang w:val="en-US" w:eastAsia="zh-CN"/>
              </w:rPr>
              <w:t>3</w:t>
            </w:r>
            <w:r>
              <w:rPr>
                <w:rFonts w:hint="eastAsia" w:ascii="仿宋" w:hAnsi="仿宋" w:eastAsia="仿宋" w:cs="仿宋"/>
                <w:b w:val="0"/>
                <w:bCs/>
                <w:color w:val="auto"/>
                <w:sz w:val="21"/>
                <w:szCs w:val="21"/>
                <w:highlight w:val="none"/>
              </w:rPr>
              <w:t>分，每个要素里每有一处内容缺陷扣</w:t>
            </w:r>
            <w:r>
              <w:rPr>
                <w:rFonts w:hint="eastAsia" w:ascii="仿宋" w:hAnsi="仿宋" w:eastAsia="仿宋" w:cs="仿宋"/>
                <w:b w:val="0"/>
                <w:bCs/>
                <w:color w:val="auto"/>
                <w:sz w:val="21"/>
                <w:szCs w:val="21"/>
                <w:highlight w:val="none"/>
                <w:lang w:val="en-US" w:eastAsia="zh-CN"/>
              </w:rPr>
              <w:t>1</w:t>
            </w:r>
            <w:r>
              <w:rPr>
                <w:rFonts w:hint="eastAsia" w:ascii="仿宋" w:hAnsi="仿宋" w:eastAsia="仿宋" w:cs="仿宋"/>
                <w:b w:val="0"/>
                <w:bCs/>
                <w:color w:val="auto"/>
                <w:sz w:val="21"/>
                <w:szCs w:val="21"/>
                <w:highlight w:val="none"/>
              </w:rPr>
              <w:t>分（扣完为止）。</w:t>
            </w:r>
          </w:p>
        </w:tc>
      </w:tr>
      <w:tr w14:paraId="1D4B9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16B70778">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4</w:t>
            </w:r>
          </w:p>
        </w:tc>
        <w:tc>
          <w:tcPr>
            <w:tcW w:w="1330" w:type="dxa"/>
            <w:shd w:val="clear" w:color="auto" w:fill="auto"/>
            <w:vAlign w:val="center"/>
          </w:tcPr>
          <w:p w14:paraId="41DC0AF9">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施工进度计划</w:t>
            </w:r>
          </w:p>
        </w:tc>
        <w:tc>
          <w:tcPr>
            <w:tcW w:w="706" w:type="dxa"/>
            <w:shd w:val="clear" w:color="auto" w:fill="auto"/>
            <w:vAlign w:val="center"/>
          </w:tcPr>
          <w:p w14:paraId="4B812B40">
            <w:pPr>
              <w:spacing w:line="240" w:lineRule="auto"/>
              <w:jc w:val="center"/>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6</w:t>
            </w:r>
          </w:p>
        </w:tc>
        <w:tc>
          <w:tcPr>
            <w:tcW w:w="5688" w:type="dxa"/>
            <w:shd w:val="clear" w:color="auto" w:fill="auto"/>
            <w:vAlign w:val="center"/>
          </w:tcPr>
          <w:p w14:paraId="21564C9A">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Cs w:val="21"/>
                <w:highlight w:val="none"/>
              </w:rPr>
              <w:t>施工进度计划</w:t>
            </w:r>
            <w:r>
              <w:rPr>
                <w:rFonts w:hint="eastAsia" w:ascii="仿宋" w:hAnsi="仿宋" w:eastAsia="仿宋" w:cs="仿宋"/>
                <w:color w:val="auto"/>
                <w:sz w:val="21"/>
                <w:szCs w:val="21"/>
                <w:highlight w:val="none"/>
              </w:rPr>
              <w:t>包括但不限于</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①</w:t>
            </w:r>
            <w:r>
              <w:rPr>
                <w:rFonts w:hint="eastAsia" w:ascii="仿宋" w:hAnsi="仿宋" w:eastAsia="仿宋" w:cs="仿宋"/>
                <w:color w:val="auto"/>
                <w:sz w:val="21"/>
                <w:szCs w:val="21"/>
                <w:highlight w:val="none"/>
              </w:rPr>
              <w:t>空间计划</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②时间计划</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部分要素。</w:t>
            </w:r>
          </w:p>
          <w:p w14:paraId="2DFA5B9A">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所有要素齐全且完全满足项目要求得</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分，每缺一个要素扣</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分，每个要素里每有一处内容缺陷扣</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分（扣完为止）。</w:t>
            </w:r>
          </w:p>
        </w:tc>
      </w:tr>
      <w:tr w14:paraId="5801A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349BB66C">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5</w:t>
            </w:r>
          </w:p>
        </w:tc>
        <w:tc>
          <w:tcPr>
            <w:tcW w:w="1330" w:type="dxa"/>
            <w:shd w:val="clear" w:color="auto" w:fill="auto"/>
            <w:vAlign w:val="center"/>
          </w:tcPr>
          <w:p w14:paraId="1707E422">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需用量计划</w:t>
            </w:r>
          </w:p>
        </w:tc>
        <w:tc>
          <w:tcPr>
            <w:tcW w:w="706" w:type="dxa"/>
            <w:shd w:val="clear" w:color="auto" w:fill="auto"/>
            <w:vAlign w:val="center"/>
          </w:tcPr>
          <w:p w14:paraId="3A30208E">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lang w:val="en-US" w:eastAsia="zh-CN"/>
              </w:rPr>
              <w:t>12</w:t>
            </w:r>
          </w:p>
        </w:tc>
        <w:tc>
          <w:tcPr>
            <w:tcW w:w="5688" w:type="dxa"/>
            <w:shd w:val="clear" w:color="auto" w:fill="auto"/>
            <w:vAlign w:val="center"/>
          </w:tcPr>
          <w:p w14:paraId="5F8B2604">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需用量计划包括但不限于</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①</w:t>
            </w:r>
            <w:r>
              <w:rPr>
                <w:rFonts w:hint="eastAsia" w:ascii="仿宋" w:hAnsi="仿宋" w:eastAsia="仿宋" w:cs="仿宋"/>
                <w:color w:val="auto"/>
                <w:szCs w:val="21"/>
                <w:highlight w:val="none"/>
              </w:rPr>
              <w:t>劳动力需用量计划</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②</w:t>
            </w:r>
            <w:r>
              <w:rPr>
                <w:rFonts w:hint="eastAsia" w:ascii="仿宋" w:hAnsi="仿宋" w:eastAsia="仿宋" w:cs="仿宋"/>
                <w:color w:val="auto"/>
                <w:szCs w:val="21"/>
                <w:highlight w:val="none"/>
              </w:rPr>
              <w:t>材料需用量计划</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③</w:t>
            </w:r>
            <w:r>
              <w:rPr>
                <w:rFonts w:hint="eastAsia" w:ascii="仿宋" w:hAnsi="仿宋" w:eastAsia="仿宋" w:cs="仿宋"/>
                <w:color w:val="auto"/>
                <w:szCs w:val="21"/>
                <w:highlight w:val="none"/>
              </w:rPr>
              <w:t>机械设备需用量计划</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部分要素。</w:t>
            </w:r>
          </w:p>
          <w:p w14:paraId="26A1B68C">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所有要素齐全且完全满足项目要求得</w:t>
            </w:r>
            <w:r>
              <w:rPr>
                <w:rFonts w:hint="eastAsia" w:ascii="仿宋" w:hAnsi="仿宋" w:eastAsia="仿宋" w:cs="仿宋"/>
                <w:color w:val="auto"/>
                <w:sz w:val="21"/>
                <w:szCs w:val="21"/>
                <w:highlight w:val="none"/>
                <w:lang w:val="en-US" w:eastAsia="zh-CN"/>
              </w:rPr>
              <w:t>12</w:t>
            </w:r>
            <w:r>
              <w:rPr>
                <w:rFonts w:hint="eastAsia" w:ascii="仿宋" w:hAnsi="仿宋" w:eastAsia="仿宋" w:cs="仿宋"/>
                <w:color w:val="auto"/>
                <w:sz w:val="21"/>
                <w:szCs w:val="21"/>
                <w:highlight w:val="none"/>
              </w:rPr>
              <w:t>分，每缺一个要素扣</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分，每个要素里每有一处内容缺陷扣</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分（扣完为止）。</w:t>
            </w:r>
          </w:p>
        </w:tc>
      </w:tr>
      <w:tr w14:paraId="7D254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4095645D">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6</w:t>
            </w:r>
          </w:p>
        </w:tc>
        <w:tc>
          <w:tcPr>
            <w:tcW w:w="1330" w:type="dxa"/>
            <w:shd w:val="clear" w:color="auto" w:fill="auto"/>
            <w:vAlign w:val="center"/>
          </w:tcPr>
          <w:p w14:paraId="7C9F2E67">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质量保证措施和体系 </w:t>
            </w:r>
          </w:p>
        </w:tc>
        <w:tc>
          <w:tcPr>
            <w:tcW w:w="706" w:type="dxa"/>
            <w:shd w:val="clear" w:color="auto" w:fill="auto"/>
            <w:vAlign w:val="center"/>
          </w:tcPr>
          <w:p w14:paraId="7B60DE56">
            <w:pPr>
              <w:spacing w:line="240" w:lineRule="auto"/>
              <w:jc w:val="center"/>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8</w:t>
            </w:r>
          </w:p>
        </w:tc>
        <w:tc>
          <w:tcPr>
            <w:tcW w:w="5688" w:type="dxa"/>
            <w:shd w:val="clear" w:color="auto" w:fill="auto"/>
            <w:vAlign w:val="center"/>
          </w:tcPr>
          <w:p w14:paraId="3400C9AB">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质量保证措施和体系包括但不限于：①技术组织措施、②保证体系</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部分要素。</w:t>
            </w:r>
          </w:p>
          <w:p w14:paraId="6604065C">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所有要素齐全且完全满足项目要求得</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分，每缺一个要素扣</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分，每个要素里每有一处内容缺陷扣</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分（扣完为止）。</w:t>
            </w:r>
          </w:p>
        </w:tc>
      </w:tr>
      <w:tr w14:paraId="55815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6DC80D90">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7</w:t>
            </w:r>
          </w:p>
        </w:tc>
        <w:tc>
          <w:tcPr>
            <w:tcW w:w="1330" w:type="dxa"/>
            <w:shd w:val="clear" w:color="auto" w:fill="auto"/>
            <w:vAlign w:val="center"/>
          </w:tcPr>
          <w:p w14:paraId="1A97CE50">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工期保证措施和体系</w:t>
            </w:r>
          </w:p>
        </w:tc>
        <w:tc>
          <w:tcPr>
            <w:tcW w:w="706" w:type="dxa"/>
            <w:shd w:val="clear" w:color="auto" w:fill="auto"/>
            <w:vAlign w:val="center"/>
          </w:tcPr>
          <w:p w14:paraId="68C04250">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8</w:t>
            </w:r>
          </w:p>
        </w:tc>
        <w:tc>
          <w:tcPr>
            <w:tcW w:w="5688" w:type="dxa"/>
            <w:shd w:val="clear" w:color="auto" w:fill="auto"/>
            <w:vAlign w:val="center"/>
          </w:tcPr>
          <w:p w14:paraId="5D2F4C20">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工期保证措施和体系</w:t>
            </w:r>
            <w:r>
              <w:rPr>
                <w:rFonts w:hint="eastAsia" w:ascii="仿宋" w:hAnsi="仿宋" w:eastAsia="仿宋" w:cs="仿宋"/>
                <w:color w:val="auto"/>
                <w:sz w:val="21"/>
                <w:szCs w:val="21"/>
                <w:highlight w:val="none"/>
              </w:rPr>
              <w:t>包括但不限于</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①技术组织措施、②保证体系</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部分要素。</w:t>
            </w:r>
          </w:p>
          <w:p w14:paraId="6FFD01C8">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所有要素齐全且完全满足项目要求得</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分，每缺一个要素扣</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分，每个要素里每有一处内容缺陷扣</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分（扣完为止）。</w:t>
            </w:r>
          </w:p>
        </w:tc>
      </w:tr>
      <w:tr w14:paraId="65514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579C7EA8">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8</w:t>
            </w:r>
          </w:p>
        </w:tc>
        <w:tc>
          <w:tcPr>
            <w:tcW w:w="1330" w:type="dxa"/>
            <w:shd w:val="clear" w:color="auto" w:fill="auto"/>
            <w:vAlign w:val="center"/>
          </w:tcPr>
          <w:p w14:paraId="6642E7EF">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安全</w:t>
            </w:r>
            <w:r>
              <w:rPr>
                <w:rFonts w:hint="eastAsia" w:ascii="仿宋" w:hAnsi="仿宋" w:eastAsia="仿宋" w:cs="仿宋"/>
                <w:color w:val="auto"/>
                <w:sz w:val="21"/>
                <w:szCs w:val="21"/>
                <w:highlight w:val="none"/>
                <w:lang w:val="en-US" w:eastAsia="zh-CN"/>
              </w:rPr>
              <w:t>保证措施和体系</w:t>
            </w:r>
          </w:p>
        </w:tc>
        <w:tc>
          <w:tcPr>
            <w:tcW w:w="706" w:type="dxa"/>
            <w:shd w:val="clear" w:color="auto" w:fill="auto"/>
            <w:vAlign w:val="center"/>
          </w:tcPr>
          <w:p w14:paraId="5BEC2682">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8</w:t>
            </w:r>
          </w:p>
        </w:tc>
        <w:tc>
          <w:tcPr>
            <w:tcW w:w="5688" w:type="dxa"/>
            <w:shd w:val="clear" w:color="auto" w:fill="auto"/>
            <w:vAlign w:val="center"/>
          </w:tcPr>
          <w:p w14:paraId="56094F3D">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安全</w:t>
            </w:r>
            <w:r>
              <w:rPr>
                <w:rFonts w:hint="eastAsia" w:ascii="仿宋" w:hAnsi="仿宋" w:eastAsia="仿宋" w:cs="仿宋"/>
                <w:color w:val="auto"/>
                <w:sz w:val="21"/>
                <w:szCs w:val="21"/>
                <w:highlight w:val="none"/>
                <w:lang w:val="en-US" w:eastAsia="zh-CN"/>
              </w:rPr>
              <w:t>保证措施和体系</w:t>
            </w:r>
            <w:r>
              <w:rPr>
                <w:rFonts w:hint="eastAsia" w:ascii="仿宋" w:hAnsi="仿宋" w:eastAsia="仿宋" w:cs="仿宋"/>
                <w:color w:val="auto"/>
                <w:sz w:val="21"/>
                <w:szCs w:val="21"/>
                <w:highlight w:val="none"/>
              </w:rPr>
              <w:t>包括但不限于</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①技术组织措施、②保证体系</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部分要素。</w:t>
            </w:r>
          </w:p>
          <w:p w14:paraId="25D42A7A">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所有要素齐全且完全满足项目要求得</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分，每缺一个要素扣</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分，每个要素里每有一处内容缺陷扣</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分（扣完为止）。</w:t>
            </w:r>
          </w:p>
        </w:tc>
      </w:tr>
      <w:tr w14:paraId="293AC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32CEF49C">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9</w:t>
            </w:r>
          </w:p>
        </w:tc>
        <w:tc>
          <w:tcPr>
            <w:tcW w:w="1330" w:type="dxa"/>
            <w:shd w:val="clear" w:color="auto" w:fill="auto"/>
            <w:vAlign w:val="center"/>
          </w:tcPr>
          <w:p w14:paraId="025A2ADA">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lang w:val="en-US" w:eastAsia="zh-CN"/>
              </w:rPr>
              <w:t>现场</w:t>
            </w:r>
            <w:r>
              <w:rPr>
                <w:rFonts w:hint="eastAsia" w:ascii="仿宋" w:hAnsi="仿宋" w:eastAsia="仿宋" w:cs="仿宋"/>
                <w:color w:val="auto"/>
                <w:szCs w:val="21"/>
                <w:highlight w:val="none"/>
              </w:rPr>
              <w:t>文明施工措施</w:t>
            </w:r>
          </w:p>
        </w:tc>
        <w:tc>
          <w:tcPr>
            <w:tcW w:w="706" w:type="dxa"/>
            <w:shd w:val="clear" w:color="auto" w:fill="auto"/>
            <w:vAlign w:val="center"/>
          </w:tcPr>
          <w:p w14:paraId="2CCE7B28">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w:t>
            </w:r>
          </w:p>
        </w:tc>
        <w:tc>
          <w:tcPr>
            <w:tcW w:w="5688" w:type="dxa"/>
            <w:shd w:val="clear" w:color="auto" w:fill="auto"/>
            <w:vAlign w:val="center"/>
          </w:tcPr>
          <w:p w14:paraId="52BD005D">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Cs w:val="21"/>
                <w:highlight w:val="none"/>
                <w:lang w:val="en-US" w:eastAsia="zh-CN"/>
              </w:rPr>
              <w:t>现场</w:t>
            </w:r>
            <w:r>
              <w:rPr>
                <w:rFonts w:hint="eastAsia" w:ascii="仿宋" w:hAnsi="仿宋" w:eastAsia="仿宋" w:cs="仿宋"/>
                <w:color w:val="auto"/>
                <w:szCs w:val="21"/>
                <w:highlight w:val="none"/>
              </w:rPr>
              <w:t>文明施工</w:t>
            </w:r>
            <w:r>
              <w:rPr>
                <w:rFonts w:hint="eastAsia" w:ascii="仿宋" w:hAnsi="仿宋" w:eastAsia="仿宋" w:cs="仿宋"/>
                <w:color w:val="auto"/>
                <w:szCs w:val="21"/>
                <w:highlight w:val="none"/>
                <w:lang w:val="en-US" w:eastAsia="zh-CN"/>
              </w:rPr>
              <w:t>措施</w:t>
            </w:r>
            <w:r>
              <w:rPr>
                <w:rFonts w:hint="eastAsia" w:ascii="仿宋" w:hAnsi="仿宋" w:eastAsia="仿宋" w:cs="仿宋"/>
                <w:color w:val="auto"/>
                <w:sz w:val="21"/>
                <w:szCs w:val="21"/>
                <w:highlight w:val="none"/>
              </w:rPr>
              <w:t>包括但不限于</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①</w:t>
            </w:r>
            <w:r>
              <w:rPr>
                <w:rFonts w:hint="eastAsia" w:ascii="仿宋" w:hAnsi="仿宋" w:eastAsia="仿宋" w:cs="仿宋"/>
                <w:color w:val="auto"/>
                <w:szCs w:val="21"/>
                <w:highlight w:val="none"/>
              </w:rPr>
              <w:t>文明施工</w:t>
            </w:r>
            <w:r>
              <w:rPr>
                <w:rFonts w:hint="eastAsia" w:ascii="仿宋" w:hAnsi="仿宋" w:eastAsia="仿宋" w:cs="仿宋"/>
                <w:color w:val="auto"/>
                <w:sz w:val="21"/>
                <w:szCs w:val="21"/>
                <w:highlight w:val="none"/>
              </w:rPr>
              <w:t>目标</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②</w:t>
            </w:r>
            <w:r>
              <w:rPr>
                <w:rFonts w:hint="eastAsia" w:ascii="仿宋" w:hAnsi="仿宋" w:eastAsia="仿宋" w:cs="仿宋"/>
                <w:color w:val="auto"/>
                <w:szCs w:val="21"/>
                <w:highlight w:val="none"/>
              </w:rPr>
              <w:t>文明施工</w:t>
            </w:r>
            <w:r>
              <w:rPr>
                <w:rFonts w:hint="eastAsia" w:ascii="仿宋" w:hAnsi="仿宋" w:eastAsia="仿宋" w:cs="仿宋"/>
                <w:color w:val="auto"/>
                <w:sz w:val="21"/>
                <w:szCs w:val="21"/>
                <w:highlight w:val="none"/>
              </w:rPr>
              <w:t>要点</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部分要素。</w:t>
            </w:r>
          </w:p>
          <w:p w14:paraId="3D0E8F84">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所有要素齐全且完全满足项目要求得</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分，每缺一个要素扣</w:t>
            </w:r>
            <w:r>
              <w:rPr>
                <w:rFonts w:hint="eastAsia" w:ascii="仿宋" w:hAnsi="仿宋" w:eastAsia="仿宋" w:cs="仿宋"/>
                <w:color w:val="auto"/>
                <w:sz w:val="21"/>
                <w:szCs w:val="21"/>
                <w:highlight w:val="none"/>
                <w:lang w:val="en-US" w:eastAsia="zh-CN"/>
              </w:rPr>
              <w:t>1.5</w:t>
            </w:r>
            <w:r>
              <w:rPr>
                <w:rFonts w:hint="eastAsia" w:ascii="仿宋" w:hAnsi="仿宋" w:eastAsia="仿宋" w:cs="仿宋"/>
                <w:color w:val="auto"/>
                <w:sz w:val="21"/>
                <w:szCs w:val="21"/>
                <w:highlight w:val="none"/>
              </w:rPr>
              <w:t>分，每个要素里每有一处内容缺陷扣</w:t>
            </w:r>
            <w:r>
              <w:rPr>
                <w:rFonts w:hint="eastAsia" w:ascii="仿宋" w:hAnsi="仿宋" w:eastAsia="仿宋" w:cs="仿宋"/>
                <w:color w:val="auto"/>
                <w:sz w:val="21"/>
                <w:szCs w:val="21"/>
                <w:highlight w:val="none"/>
                <w:lang w:val="en-US" w:eastAsia="zh-CN"/>
              </w:rPr>
              <w:t>0.5</w:t>
            </w:r>
            <w:r>
              <w:rPr>
                <w:rFonts w:hint="eastAsia" w:ascii="仿宋" w:hAnsi="仿宋" w:eastAsia="仿宋" w:cs="仿宋"/>
                <w:color w:val="auto"/>
                <w:sz w:val="21"/>
                <w:szCs w:val="21"/>
                <w:highlight w:val="none"/>
              </w:rPr>
              <w:t>分（扣完为止）。</w:t>
            </w:r>
          </w:p>
        </w:tc>
      </w:tr>
      <w:tr w14:paraId="76B46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6A7A803C">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 w:val="21"/>
                <w:szCs w:val="21"/>
                <w:highlight w:val="none"/>
                <w:shd w:val="clear" w:color="auto" w:fill="FFFFFF" w:themeFill="background1"/>
                <w:lang w:val="en-US" w:eastAsia="zh-CN" w:bidi="ar-SA"/>
              </w:rPr>
              <w:t>10</w:t>
            </w:r>
          </w:p>
        </w:tc>
        <w:tc>
          <w:tcPr>
            <w:tcW w:w="1330" w:type="dxa"/>
            <w:shd w:val="clear" w:color="auto" w:fill="auto"/>
            <w:vAlign w:val="center"/>
          </w:tcPr>
          <w:p w14:paraId="5E32F95C">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施工现场扬尘防治方案</w:t>
            </w:r>
          </w:p>
        </w:tc>
        <w:tc>
          <w:tcPr>
            <w:tcW w:w="706" w:type="dxa"/>
            <w:shd w:val="clear" w:color="auto" w:fill="auto"/>
            <w:vAlign w:val="center"/>
          </w:tcPr>
          <w:p w14:paraId="4D1FEF13">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3</w:t>
            </w:r>
          </w:p>
        </w:tc>
        <w:tc>
          <w:tcPr>
            <w:tcW w:w="5688" w:type="dxa"/>
            <w:shd w:val="clear" w:color="auto" w:fill="auto"/>
            <w:vAlign w:val="center"/>
          </w:tcPr>
          <w:p w14:paraId="3ACBEE52">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施工现场扬尘防治方案</w:t>
            </w:r>
            <w:r>
              <w:rPr>
                <w:rFonts w:hint="eastAsia" w:ascii="仿宋" w:hAnsi="仿宋" w:eastAsia="仿宋" w:cs="仿宋"/>
                <w:color w:val="auto"/>
                <w:sz w:val="21"/>
                <w:szCs w:val="21"/>
                <w:highlight w:val="none"/>
              </w:rPr>
              <w:t>包括但不限于</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①垃圾存放及运输措施、②材料堆放及覆盖措施、③扬尘监测措施</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部分要素。</w:t>
            </w:r>
          </w:p>
          <w:p w14:paraId="624B2E89">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2"/>
                <w:highlight w:val="none"/>
                <w:lang w:val="en-US" w:eastAsia="zh-CN" w:bidi="ar-SA"/>
              </w:rPr>
            </w:pPr>
            <w:r>
              <w:rPr>
                <w:rFonts w:hint="eastAsia" w:ascii="仿宋" w:hAnsi="仿宋" w:eastAsia="仿宋" w:cs="仿宋"/>
                <w:color w:val="auto"/>
                <w:sz w:val="21"/>
                <w:szCs w:val="21"/>
                <w:highlight w:val="none"/>
              </w:rPr>
              <w:t>所有要素齐全且完全满足项目要求得</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分，每缺一个要素扣</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分，每个要素里每有一处内容缺陷扣</w:t>
            </w:r>
            <w:r>
              <w:rPr>
                <w:rFonts w:hint="eastAsia" w:ascii="仿宋" w:hAnsi="仿宋" w:eastAsia="仿宋" w:cs="仿宋"/>
                <w:color w:val="auto"/>
                <w:sz w:val="21"/>
                <w:szCs w:val="21"/>
                <w:highlight w:val="none"/>
                <w:lang w:val="en-US" w:eastAsia="zh-CN"/>
              </w:rPr>
              <w:t>0.5</w:t>
            </w:r>
            <w:r>
              <w:rPr>
                <w:rFonts w:hint="eastAsia" w:ascii="仿宋" w:hAnsi="仿宋" w:eastAsia="仿宋" w:cs="仿宋"/>
                <w:color w:val="auto"/>
                <w:sz w:val="21"/>
                <w:szCs w:val="21"/>
                <w:highlight w:val="none"/>
              </w:rPr>
              <w:t>分（扣完为止）。</w:t>
            </w:r>
          </w:p>
        </w:tc>
      </w:tr>
      <w:tr w14:paraId="4A7F9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jc w:val="center"/>
        </w:trPr>
        <w:tc>
          <w:tcPr>
            <w:tcW w:w="1198" w:type="pct"/>
            <w:gridSpan w:val="2"/>
            <w:tcMar>
              <w:top w:w="0" w:type="dxa"/>
              <w:left w:w="108" w:type="dxa"/>
              <w:bottom w:w="0" w:type="dxa"/>
              <w:right w:w="108" w:type="dxa"/>
            </w:tcMar>
            <w:vAlign w:val="center"/>
          </w:tcPr>
          <w:p w14:paraId="1B086C92">
            <w:pP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合计</w:t>
            </w:r>
          </w:p>
        </w:tc>
        <w:tc>
          <w:tcPr>
            <w:tcW w:w="419" w:type="pct"/>
            <w:tcMar>
              <w:top w:w="0" w:type="dxa"/>
              <w:left w:w="108" w:type="dxa"/>
              <w:bottom w:w="0" w:type="dxa"/>
              <w:right w:w="108" w:type="dxa"/>
            </w:tcMar>
            <w:vAlign w:val="center"/>
          </w:tcPr>
          <w:p w14:paraId="059651D6">
            <w:pP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0</w:t>
            </w:r>
          </w:p>
        </w:tc>
        <w:tc>
          <w:tcPr>
            <w:tcW w:w="3381" w:type="pct"/>
            <w:tcMar>
              <w:top w:w="0" w:type="dxa"/>
              <w:left w:w="108" w:type="dxa"/>
              <w:bottom w:w="0" w:type="dxa"/>
              <w:right w:w="108" w:type="dxa"/>
            </w:tcMar>
            <w:vAlign w:val="center"/>
          </w:tcPr>
          <w:p w14:paraId="03B86A88">
            <w:pPr>
              <w:spacing w:line="240" w:lineRule="auto"/>
              <w:jc w:val="center"/>
              <w:rPr>
                <w:rFonts w:hint="eastAsia" w:ascii="仿宋" w:hAnsi="仿宋" w:eastAsia="仿宋" w:cs="仿宋"/>
                <w:color w:val="auto"/>
                <w:sz w:val="21"/>
                <w:szCs w:val="21"/>
                <w:highlight w:val="none"/>
              </w:rPr>
            </w:pPr>
          </w:p>
        </w:tc>
      </w:tr>
      <w:tr w14:paraId="23594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jc w:val="center"/>
        </w:trPr>
        <w:tc>
          <w:tcPr>
            <w:tcW w:w="5000" w:type="pct"/>
            <w:gridSpan w:val="4"/>
            <w:tcMar>
              <w:top w:w="0" w:type="dxa"/>
              <w:left w:w="108" w:type="dxa"/>
              <w:bottom w:w="0" w:type="dxa"/>
              <w:right w:w="108" w:type="dxa"/>
            </w:tcMar>
            <w:vAlign w:val="center"/>
          </w:tcPr>
          <w:p w14:paraId="19949E43">
            <w:pPr>
              <w:spacing w:line="24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Cs w:val="21"/>
                <w:highlight w:val="none"/>
              </w:rPr>
              <w:t>说明：本评审内容中“内容缺陷”是指：①内容与实际情况不匹配、②不符合项目特点、③内容不完整或缺少关键节点、④未按采购需求针对描述、⑤存在描述内容过于简略、⑥缺失不全、⑦前后矛盾、⑧表述不清晰、⑨凭空编造、⑩逻辑混淆错误、⑪涉及的规范及标准错误不可能实现的情形等任意一种情形。</w:t>
            </w:r>
          </w:p>
        </w:tc>
      </w:tr>
    </w:tbl>
    <w:p w14:paraId="23C999BC">
      <w:pPr>
        <w:rPr>
          <w:rFonts w:hint="eastAsia" w:ascii="仿宋" w:hAnsi="仿宋" w:eastAsia="仿宋" w:cs="仿宋"/>
          <w:b w:val="0"/>
          <w:bCs/>
          <w:color w:val="auto"/>
          <w:sz w:val="24"/>
          <w:szCs w:val="24"/>
          <w:highlight w:val="none"/>
          <w:shd w:val="clear" w:color="auto" w:fill="FFFFFF" w:themeFill="background1"/>
          <w:lang w:val="en-US" w:eastAsia="zh-CN"/>
        </w:rPr>
      </w:pPr>
    </w:p>
    <w:p w14:paraId="15D8BFEA">
      <w:pPr>
        <w:tabs>
          <w:tab w:val="center" w:pos="4832"/>
          <w:tab w:val="left" w:pos="7140"/>
        </w:tabs>
        <w:spacing w:line="360" w:lineRule="auto"/>
        <w:ind w:firstLine="470" w:firstLineChars="196"/>
        <w:jc w:val="left"/>
        <w:outlineLvl w:val="1"/>
        <w:rPr>
          <w:rFonts w:ascii="仿宋" w:hAnsi="仿宋" w:eastAsia="仿宋" w:cs="仿宋"/>
          <w:b w:val="0"/>
          <w:bCs/>
          <w:color w:val="auto"/>
          <w:sz w:val="24"/>
          <w:szCs w:val="24"/>
          <w:highlight w:val="none"/>
          <w:shd w:val="clear" w:color="auto" w:fill="FFFFFF" w:themeFill="background1"/>
        </w:rPr>
      </w:pPr>
      <w:bookmarkStart w:id="35" w:name="_Toc13432"/>
      <w:r>
        <w:rPr>
          <w:rFonts w:hint="eastAsia" w:ascii="仿宋" w:hAnsi="仿宋" w:eastAsia="仿宋" w:cs="仿宋"/>
          <w:b w:val="0"/>
          <w:bCs/>
          <w:color w:val="auto"/>
          <w:sz w:val="24"/>
          <w:szCs w:val="24"/>
          <w:highlight w:val="none"/>
          <w:shd w:val="clear" w:color="auto" w:fill="FFFFFF" w:themeFill="background1"/>
          <w:lang w:val="en-US" w:eastAsia="zh-CN"/>
        </w:rPr>
        <w:t>一、</w:t>
      </w:r>
      <w:r>
        <w:rPr>
          <w:rFonts w:hint="eastAsia" w:ascii="仿宋" w:hAnsi="仿宋" w:eastAsia="仿宋" w:cs="仿宋"/>
          <w:b w:val="0"/>
          <w:bCs/>
          <w:color w:val="auto"/>
          <w:sz w:val="24"/>
          <w:szCs w:val="24"/>
          <w:highlight w:val="none"/>
          <w:shd w:val="clear" w:color="auto" w:fill="FFFFFF" w:themeFill="background1"/>
        </w:rPr>
        <w:t>评审方法</w:t>
      </w:r>
      <w:bookmarkEnd w:id="34"/>
      <w:bookmarkEnd w:id="35"/>
    </w:p>
    <w:p w14:paraId="043E243A">
      <w:pPr>
        <w:widowControl/>
        <w:shd w:val="clear" w:color="auto" w:fill="FFFFFF"/>
        <w:snapToGrid w:val="0"/>
        <w:spacing w:line="360" w:lineRule="auto"/>
        <w:ind w:firstLine="480" w:firstLineChars="200"/>
        <w:rPr>
          <w:rFonts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本次评审采用综合评分法。磋商小组对满足</w:t>
      </w:r>
      <w:r>
        <w:rPr>
          <w:rFonts w:hint="eastAsia" w:ascii="仿宋" w:hAnsi="仿宋" w:eastAsia="仿宋" w:cs="仿宋"/>
          <w:b w:val="0"/>
          <w:bCs/>
          <w:color w:val="auto"/>
          <w:kern w:val="0"/>
          <w:sz w:val="24"/>
          <w:szCs w:val="24"/>
          <w:highlight w:val="none"/>
          <w:shd w:val="clear" w:color="auto" w:fill="FFFFFF" w:themeFill="background1"/>
          <w:lang w:eastAsia="zh-CN"/>
        </w:rPr>
        <w:t>采购文件</w:t>
      </w:r>
      <w:r>
        <w:rPr>
          <w:rFonts w:hint="eastAsia" w:ascii="仿宋" w:hAnsi="仿宋" w:eastAsia="仿宋" w:cs="仿宋"/>
          <w:b w:val="0"/>
          <w:bCs/>
          <w:color w:val="auto"/>
          <w:kern w:val="0"/>
          <w:sz w:val="24"/>
          <w:szCs w:val="24"/>
          <w:highlight w:val="none"/>
          <w:shd w:val="clear" w:color="auto" w:fill="FFFFFF" w:themeFill="background1"/>
        </w:rPr>
        <w:t>实质性要求的响应文件，按照本节规定的评审标准进行评审。评审中各评审专家若发生意见分歧，以少数服从多数原则确定。</w:t>
      </w:r>
    </w:p>
    <w:p w14:paraId="55443636">
      <w:pPr>
        <w:tabs>
          <w:tab w:val="center" w:pos="4832"/>
          <w:tab w:val="left" w:pos="7140"/>
        </w:tabs>
        <w:spacing w:line="360" w:lineRule="auto"/>
        <w:ind w:firstLine="470" w:firstLineChars="196"/>
        <w:jc w:val="left"/>
        <w:outlineLvl w:val="1"/>
        <w:rPr>
          <w:rFonts w:ascii="仿宋" w:hAnsi="仿宋" w:eastAsia="仿宋" w:cs="仿宋"/>
          <w:b w:val="0"/>
          <w:bCs/>
          <w:color w:val="auto"/>
          <w:sz w:val="24"/>
          <w:szCs w:val="24"/>
          <w:highlight w:val="none"/>
          <w:shd w:val="clear" w:color="auto" w:fill="FFFFFF" w:themeFill="background1"/>
        </w:rPr>
      </w:pPr>
      <w:bookmarkStart w:id="36" w:name="_Toc25048"/>
      <w:bookmarkStart w:id="37" w:name="_Toc20127"/>
      <w:r>
        <w:rPr>
          <w:rFonts w:hint="eastAsia" w:ascii="仿宋" w:hAnsi="仿宋" w:eastAsia="仿宋" w:cs="仿宋"/>
          <w:b w:val="0"/>
          <w:bCs/>
          <w:color w:val="auto"/>
          <w:sz w:val="24"/>
          <w:szCs w:val="24"/>
          <w:highlight w:val="none"/>
          <w:shd w:val="clear" w:color="auto" w:fill="FFFFFF" w:themeFill="background1"/>
          <w:lang w:val="en-US" w:eastAsia="zh-CN"/>
        </w:rPr>
        <w:t>二、</w:t>
      </w:r>
      <w:r>
        <w:rPr>
          <w:rFonts w:hint="eastAsia" w:ascii="仿宋" w:hAnsi="仿宋" w:eastAsia="仿宋" w:cs="仿宋"/>
          <w:b w:val="0"/>
          <w:bCs/>
          <w:color w:val="auto"/>
          <w:sz w:val="24"/>
          <w:szCs w:val="24"/>
          <w:highlight w:val="none"/>
          <w:shd w:val="clear" w:color="auto" w:fill="FFFFFF" w:themeFill="background1"/>
        </w:rPr>
        <w:t>评审标准</w:t>
      </w:r>
      <w:bookmarkEnd w:id="36"/>
      <w:bookmarkEnd w:id="37"/>
    </w:p>
    <w:p w14:paraId="20FFAD23">
      <w:pPr>
        <w:widowControl/>
        <w:shd w:val="clear" w:color="auto" w:fill="FFFFFF"/>
        <w:snapToGrid w:val="0"/>
        <w:spacing w:line="360" w:lineRule="auto"/>
        <w:ind w:firstLine="480" w:firstLineChars="200"/>
        <w:rPr>
          <w:rFonts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2.1 资格审查：评审因素和评审标准见《资格审查标准》。</w:t>
      </w:r>
    </w:p>
    <w:p w14:paraId="15C5E6FB">
      <w:pPr>
        <w:widowControl/>
        <w:shd w:val="clear" w:color="auto" w:fill="FFFFFF"/>
        <w:snapToGrid w:val="0"/>
        <w:spacing w:line="360" w:lineRule="auto"/>
        <w:ind w:firstLine="480" w:firstLineChars="200"/>
        <w:rPr>
          <w:rFonts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 xml:space="preserve">2.2 </w:t>
      </w:r>
      <w:r>
        <w:rPr>
          <w:rFonts w:hint="eastAsia" w:ascii="仿宋" w:hAnsi="仿宋" w:eastAsia="仿宋" w:cs="仿宋"/>
          <w:b w:val="0"/>
          <w:bCs/>
          <w:color w:val="auto"/>
          <w:kern w:val="0"/>
          <w:sz w:val="24"/>
          <w:szCs w:val="24"/>
          <w:highlight w:val="none"/>
          <w:shd w:val="clear" w:color="auto" w:fill="FFFFFF" w:themeFill="background1"/>
          <w:lang w:eastAsia="zh-CN"/>
        </w:rPr>
        <w:t>符合性审查</w:t>
      </w:r>
      <w:r>
        <w:rPr>
          <w:rFonts w:hint="eastAsia" w:ascii="仿宋" w:hAnsi="仿宋" w:eastAsia="仿宋" w:cs="仿宋"/>
          <w:b w:val="0"/>
          <w:bCs/>
          <w:color w:val="auto"/>
          <w:kern w:val="0"/>
          <w:sz w:val="24"/>
          <w:szCs w:val="24"/>
          <w:highlight w:val="none"/>
          <w:shd w:val="clear" w:color="auto" w:fill="FFFFFF" w:themeFill="background1"/>
        </w:rPr>
        <w:t>：评审因素和评审标准见《</w:t>
      </w:r>
      <w:r>
        <w:rPr>
          <w:rFonts w:hint="eastAsia" w:ascii="仿宋" w:hAnsi="仿宋" w:eastAsia="仿宋" w:cs="仿宋"/>
          <w:b w:val="0"/>
          <w:bCs/>
          <w:color w:val="auto"/>
          <w:kern w:val="0"/>
          <w:sz w:val="24"/>
          <w:szCs w:val="24"/>
          <w:highlight w:val="none"/>
          <w:shd w:val="clear" w:color="auto" w:fill="FFFFFF" w:themeFill="background1"/>
          <w:lang w:eastAsia="zh-CN"/>
        </w:rPr>
        <w:t>符合性审查</w:t>
      </w:r>
      <w:r>
        <w:rPr>
          <w:rFonts w:hint="eastAsia" w:ascii="仿宋" w:hAnsi="仿宋" w:eastAsia="仿宋" w:cs="仿宋"/>
          <w:b w:val="0"/>
          <w:bCs/>
          <w:color w:val="auto"/>
          <w:kern w:val="0"/>
          <w:sz w:val="24"/>
          <w:szCs w:val="24"/>
          <w:highlight w:val="none"/>
          <w:shd w:val="clear" w:color="auto" w:fill="FFFFFF" w:themeFill="background1"/>
        </w:rPr>
        <w:t>标准》。</w:t>
      </w:r>
    </w:p>
    <w:p w14:paraId="70A85E1D">
      <w:pPr>
        <w:widowControl/>
        <w:shd w:val="clear" w:color="auto" w:fill="FFFFFF"/>
        <w:snapToGrid w:val="0"/>
        <w:spacing w:line="360" w:lineRule="auto"/>
        <w:ind w:firstLine="480" w:firstLineChars="200"/>
        <w:rPr>
          <w:rFonts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2.3详细评审：</w:t>
      </w:r>
    </w:p>
    <w:p w14:paraId="108B2949">
      <w:pPr>
        <w:widowControl/>
        <w:shd w:val="clear" w:color="auto" w:fill="FFFFFF"/>
        <w:snapToGrid w:val="0"/>
        <w:spacing w:line="360" w:lineRule="auto"/>
        <w:ind w:firstLine="480" w:firstLineChars="200"/>
        <w:rPr>
          <w:rFonts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2.3.1详细评审：评审因素和评审标准见《详细评审标准》及本节第3.6款。</w:t>
      </w:r>
    </w:p>
    <w:p w14:paraId="3F1C8CA7">
      <w:pPr>
        <w:widowControl/>
        <w:shd w:val="clear" w:color="auto" w:fill="FFFFFF"/>
        <w:snapToGrid w:val="0"/>
        <w:spacing w:line="360" w:lineRule="auto"/>
        <w:ind w:firstLine="480" w:firstLineChars="200"/>
        <w:rPr>
          <w:rFonts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 xml:space="preserve">2.3.2 </w:t>
      </w:r>
      <w:r>
        <w:rPr>
          <w:rFonts w:hint="eastAsia" w:ascii="仿宋" w:hAnsi="仿宋" w:eastAsia="仿宋" w:cs="仿宋"/>
          <w:b w:val="0"/>
          <w:bCs/>
          <w:color w:val="auto"/>
          <w:kern w:val="0"/>
          <w:sz w:val="24"/>
          <w:szCs w:val="24"/>
          <w:highlight w:val="none"/>
          <w:shd w:val="clear" w:color="auto" w:fill="FFFFFF" w:themeFill="background1"/>
          <w:lang w:eastAsia="zh-CN"/>
        </w:rPr>
        <w:t>响应报价</w:t>
      </w:r>
      <w:r>
        <w:rPr>
          <w:rFonts w:hint="eastAsia" w:ascii="仿宋" w:hAnsi="仿宋" w:eastAsia="仿宋" w:cs="仿宋"/>
          <w:b w:val="0"/>
          <w:bCs/>
          <w:color w:val="auto"/>
          <w:kern w:val="0"/>
          <w:sz w:val="24"/>
          <w:szCs w:val="24"/>
          <w:highlight w:val="none"/>
          <w:shd w:val="clear" w:color="auto" w:fill="FFFFFF" w:themeFill="background1"/>
        </w:rPr>
        <w:t>评分标准：</w:t>
      </w:r>
    </w:p>
    <w:p w14:paraId="0C755802">
      <w:pPr>
        <w:widowControl/>
        <w:shd w:val="clear" w:color="auto" w:fill="FFFFFF"/>
        <w:snapToGrid w:val="0"/>
        <w:spacing w:line="360" w:lineRule="auto"/>
        <w:ind w:firstLine="480" w:firstLineChars="200"/>
        <w:rPr>
          <w:rFonts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（1）分值构成及权重：见评审办法前附表。</w:t>
      </w:r>
    </w:p>
    <w:p w14:paraId="335FF123">
      <w:pPr>
        <w:widowControl/>
        <w:shd w:val="clear" w:color="auto" w:fill="FFFFFF"/>
        <w:snapToGrid w:val="0"/>
        <w:spacing w:line="360" w:lineRule="auto"/>
        <w:ind w:firstLine="480" w:firstLineChars="200"/>
        <w:rPr>
          <w:rFonts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（2）</w:t>
      </w:r>
      <w:r>
        <w:rPr>
          <w:rFonts w:hint="eastAsia" w:ascii="仿宋" w:hAnsi="仿宋" w:eastAsia="仿宋" w:cs="仿宋"/>
          <w:b w:val="0"/>
          <w:bCs/>
          <w:color w:val="auto"/>
          <w:kern w:val="0"/>
          <w:sz w:val="24"/>
          <w:szCs w:val="24"/>
          <w:highlight w:val="none"/>
          <w:shd w:val="clear" w:color="auto" w:fill="FFFFFF" w:themeFill="background1"/>
          <w:lang w:eastAsia="zh-CN"/>
        </w:rPr>
        <w:t>基准价</w:t>
      </w:r>
      <w:r>
        <w:rPr>
          <w:rFonts w:hint="eastAsia" w:ascii="仿宋" w:hAnsi="仿宋" w:eastAsia="仿宋" w:cs="仿宋"/>
          <w:b w:val="0"/>
          <w:bCs/>
          <w:color w:val="auto"/>
          <w:kern w:val="0"/>
          <w:sz w:val="24"/>
          <w:szCs w:val="24"/>
          <w:highlight w:val="none"/>
          <w:shd w:val="clear" w:color="auto" w:fill="FFFFFF" w:themeFill="background1"/>
        </w:rPr>
        <w:t>计算：见评审办法前附表。</w:t>
      </w:r>
    </w:p>
    <w:p w14:paraId="1C16EE62">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（3）</w:t>
      </w:r>
      <w:r>
        <w:rPr>
          <w:rFonts w:hint="eastAsia" w:ascii="仿宋" w:hAnsi="仿宋" w:eastAsia="仿宋" w:cs="仿宋"/>
          <w:b w:val="0"/>
          <w:bCs/>
          <w:color w:val="auto"/>
          <w:kern w:val="0"/>
          <w:sz w:val="24"/>
          <w:szCs w:val="24"/>
          <w:highlight w:val="none"/>
          <w:shd w:val="clear" w:color="auto" w:fill="FFFFFF" w:themeFill="background1"/>
          <w:lang w:eastAsia="zh-CN"/>
        </w:rPr>
        <w:t>响应报价</w:t>
      </w:r>
      <w:r>
        <w:rPr>
          <w:rFonts w:hint="eastAsia" w:ascii="仿宋" w:hAnsi="仿宋" w:eastAsia="仿宋" w:cs="仿宋"/>
          <w:b w:val="0"/>
          <w:bCs/>
          <w:color w:val="auto"/>
          <w:kern w:val="0"/>
          <w:sz w:val="24"/>
          <w:szCs w:val="24"/>
          <w:highlight w:val="none"/>
          <w:shd w:val="clear" w:color="auto" w:fill="FFFFFF" w:themeFill="background1"/>
        </w:rPr>
        <w:t>得分的计算：见评审办法前附表。</w:t>
      </w:r>
    </w:p>
    <w:p w14:paraId="7CD0EC33">
      <w:pPr>
        <w:widowControl/>
        <w:shd w:val="clear" w:color="auto" w:fill="FFFFFF"/>
        <w:snapToGrid w:val="0"/>
        <w:spacing w:line="360" w:lineRule="auto"/>
        <w:ind w:firstLine="480" w:firstLineChars="200"/>
        <w:outlineLvl w:val="1"/>
        <w:rPr>
          <w:rFonts w:hint="eastAsia" w:ascii="仿宋" w:hAnsi="仿宋" w:eastAsia="仿宋" w:cs="仿宋"/>
          <w:b w:val="0"/>
          <w:bCs/>
          <w:color w:val="auto"/>
          <w:kern w:val="0"/>
          <w:sz w:val="24"/>
          <w:szCs w:val="24"/>
          <w:highlight w:val="none"/>
          <w:shd w:val="clear" w:color="auto" w:fill="FFFFFF" w:themeFill="background1"/>
        </w:rPr>
      </w:pPr>
      <w:bookmarkStart w:id="38" w:name="_Toc19925"/>
      <w:bookmarkStart w:id="39" w:name="_Toc4134"/>
      <w:r>
        <w:rPr>
          <w:rFonts w:hint="eastAsia" w:ascii="仿宋" w:hAnsi="仿宋" w:eastAsia="仿宋" w:cs="仿宋"/>
          <w:b w:val="0"/>
          <w:bCs/>
          <w:color w:val="auto"/>
          <w:kern w:val="0"/>
          <w:sz w:val="24"/>
          <w:szCs w:val="24"/>
          <w:highlight w:val="none"/>
          <w:shd w:val="clear" w:color="auto" w:fill="FFFFFF" w:themeFill="background1"/>
          <w:lang w:val="en-US" w:eastAsia="zh-CN"/>
        </w:rPr>
        <w:t>三、</w:t>
      </w:r>
      <w:r>
        <w:rPr>
          <w:rFonts w:hint="eastAsia" w:ascii="仿宋" w:hAnsi="仿宋" w:eastAsia="仿宋" w:cs="仿宋"/>
          <w:b w:val="0"/>
          <w:bCs/>
          <w:color w:val="auto"/>
          <w:kern w:val="0"/>
          <w:sz w:val="24"/>
          <w:szCs w:val="24"/>
          <w:highlight w:val="none"/>
          <w:shd w:val="clear" w:color="auto" w:fill="FFFFFF" w:themeFill="background1"/>
        </w:rPr>
        <w:t>评审程序</w:t>
      </w:r>
      <w:bookmarkEnd w:id="38"/>
      <w:bookmarkEnd w:id="39"/>
    </w:p>
    <w:p w14:paraId="3ED8D669">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3.1 基本程序</w:t>
      </w:r>
    </w:p>
    <w:p w14:paraId="73BB7DFE">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评审活动将按以下步骤进行：</w:t>
      </w:r>
    </w:p>
    <w:p w14:paraId="2D299D8E">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w:t>
      </w:r>
      <w:r>
        <w:rPr>
          <w:rFonts w:hint="eastAsia" w:ascii="仿宋" w:hAnsi="仿宋" w:eastAsia="仿宋" w:cs="仿宋"/>
          <w:b w:val="0"/>
          <w:bCs/>
          <w:color w:val="auto"/>
          <w:kern w:val="0"/>
          <w:sz w:val="24"/>
          <w:szCs w:val="24"/>
          <w:highlight w:val="none"/>
          <w:shd w:val="clear" w:color="auto" w:fill="FFFFFF" w:themeFill="background1"/>
          <w:lang w:val="en-US" w:eastAsia="zh-CN"/>
        </w:rPr>
        <w:t>1</w:t>
      </w:r>
      <w:r>
        <w:rPr>
          <w:rFonts w:hint="eastAsia" w:ascii="仿宋" w:hAnsi="仿宋" w:eastAsia="仿宋" w:cs="仿宋"/>
          <w:b w:val="0"/>
          <w:bCs/>
          <w:color w:val="auto"/>
          <w:kern w:val="0"/>
          <w:sz w:val="24"/>
          <w:szCs w:val="24"/>
          <w:highlight w:val="none"/>
          <w:shd w:val="clear" w:color="auto" w:fill="FFFFFF" w:themeFill="background1"/>
        </w:rPr>
        <w:t>） 评审准备</w:t>
      </w:r>
    </w:p>
    <w:p w14:paraId="64E294B9">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（2） 资格审查</w:t>
      </w:r>
    </w:p>
    <w:p w14:paraId="60608B6B">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lang w:eastAsia="zh-CN"/>
        </w:rPr>
      </w:pPr>
      <w:r>
        <w:rPr>
          <w:rFonts w:hint="eastAsia" w:ascii="仿宋" w:hAnsi="仿宋" w:eastAsia="仿宋" w:cs="仿宋"/>
          <w:b w:val="0"/>
          <w:bCs/>
          <w:color w:val="auto"/>
          <w:kern w:val="0"/>
          <w:sz w:val="24"/>
          <w:szCs w:val="24"/>
          <w:highlight w:val="none"/>
          <w:shd w:val="clear" w:color="auto" w:fill="FFFFFF" w:themeFill="background1"/>
        </w:rPr>
        <w:t xml:space="preserve">（3） </w:t>
      </w:r>
      <w:r>
        <w:rPr>
          <w:rFonts w:hint="eastAsia" w:ascii="仿宋" w:hAnsi="仿宋" w:eastAsia="仿宋" w:cs="仿宋"/>
          <w:b w:val="0"/>
          <w:bCs/>
          <w:color w:val="auto"/>
          <w:kern w:val="0"/>
          <w:sz w:val="24"/>
          <w:szCs w:val="24"/>
          <w:highlight w:val="none"/>
          <w:shd w:val="clear" w:color="auto" w:fill="FFFFFF" w:themeFill="background1"/>
          <w:lang w:eastAsia="zh-CN"/>
        </w:rPr>
        <w:t>符合性审查</w:t>
      </w:r>
    </w:p>
    <w:p w14:paraId="2C03CD87">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（4） 第二轮报价</w:t>
      </w:r>
    </w:p>
    <w:p w14:paraId="16AAC1AD">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（5） 详细评审</w:t>
      </w:r>
    </w:p>
    <w:p w14:paraId="3D8D413F">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（6） 澄清、说明或补正</w:t>
      </w:r>
    </w:p>
    <w:p w14:paraId="271EC76F">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（7） 推荐成交候选人及提交评审报告</w:t>
      </w:r>
    </w:p>
    <w:p w14:paraId="5C3B53B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bookmarkStart w:id="40" w:name="_Toc485312286"/>
      <w:r>
        <w:rPr>
          <w:rFonts w:hint="eastAsia" w:ascii="仿宋" w:hAnsi="仿宋" w:eastAsia="仿宋" w:cs="仿宋"/>
          <w:color w:val="auto"/>
          <w:kern w:val="0"/>
          <w:sz w:val="24"/>
          <w:szCs w:val="24"/>
          <w:highlight w:val="none"/>
          <w:shd w:val="clear" w:color="auto" w:fill="FFFFFF" w:themeFill="background1"/>
        </w:rPr>
        <w:t>3.2 评审准备</w:t>
      </w:r>
    </w:p>
    <w:p w14:paraId="2164CE0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3.2.1磋商小组成员签到</w:t>
      </w:r>
    </w:p>
    <w:p w14:paraId="0884864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磋商小组成员到达评审现场时应当在签到表上签到以证明其出席。</w:t>
      </w:r>
    </w:p>
    <w:p w14:paraId="6998D78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3.2.2 磋商小组的分工</w:t>
      </w:r>
    </w:p>
    <w:p w14:paraId="31C64CE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3.2.2.1磋商小组首先推选一名磋商小组组长。磋商小组组长负责评审活动的组织领导工作。磋商小组组长与磋商小组其他成员具有同等的评审权力。</w:t>
      </w:r>
    </w:p>
    <w:p w14:paraId="31ED699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3.2.2.2 磋商小组组长除履行自己作为磋商小组成员独立评审的职责外，主要负责以下工作： </w:t>
      </w:r>
    </w:p>
    <w:p w14:paraId="7B9B9D5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（1）组织磋商小组成员学习</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w:t>
      </w:r>
    </w:p>
    <w:p w14:paraId="572BF51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（2）汇总各磋商小组成员认为需要供应商澄清、说明或者补正的问题；</w:t>
      </w:r>
    </w:p>
    <w:p w14:paraId="636FB4E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（3）组织磋商小组对供应商质询并对供应商的答复进行评审；</w:t>
      </w:r>
    </w:p>
    <w:p w14:paraId="3348F55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（4）对出现较大争议的事项进行书面记录；</w:t>
      </w:r>
    </w:p>
    <w:p w14:paraId="28FA915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（5）组织收回评审过程中使用的文件、表格和评审记录以及其他资料，并查验评审记录的完整性及有效性；</w:t>
      </w:r>
    </w:p>
    <w:p w14:paraId="06FA8E0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（6）组织对评审结论进行复核确认；</w:t>
      </w:r>
    </w:p>
    <w:p w14:paraId="5F60C8D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（7）组织编写评审报告。</w:t>
      </w:r>
    </w:p>
    <w:p w14:paraId="6149CE7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3.2.3 熟悉文件资料</w:t>
      </w:r>
    </w:p>
    <w:p w14:paraId="678117F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3.2.3.1 磋商小组组长应当组织磋商小组成员认真研究</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，了解和熟悉</w:t>
      </w:r>
      <w:r>
        <w:rPr>
          <w:rFonts w:hint="eastAsia" w:ascii="仿宋" w:hAnsi="仿宋" w:eastAsia="仿宋" w:cs="仿宋"/>
          <w:color w:val="auto"/>
          <w:kern w:val="0"/>
          <w:sz w:val="24"/>
          <w:szCs w:val="24"/>
          <w:highlight w:val="none"/>
          <w:shd w:val="clear" w:color="auto" w:fill="FFFFFF" w:themeFill="background1"/>
          <w:lang w:eastAsia="zh-CN"/>
        </w:rPr>
        <w:t>采购</w:t>
      </w:r>
      <w:r>
        <w:rPr>
          <w:rFonts w:hint="eastAsia" w:ascii="仿宋" w:hAnsi="仿宋" w:eastAsia="仿宋" w:cs="仿宋"/>
          <w:color w:val="auto"/>
          <w:kern w:val="0"/>
          <w:sz w:val="24"/>
          <w:szCs w:val="24"/>
          <w:highlight w:val="none"/>
          <w:shd w:val="clear" w:color="auto" w:fill="FFFFFF" w:themeFill="background1"/>
        </w:rPr>
        <w:t>目的、采购范围、主要合同条件、技术标准、质量标准和要求，掌握评审标准和方法，熟悉本章及附件中包括的评审表格的使用，如果本章及附件所附的表格不能满足评审所需时，磋商小组应当补充编制评审所需的表格。</w:t>
      </w:r>
    </w:p>
    <w:p w14:paraId="70F4F29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3.2.3.2 采购人或采购代理机构应当向磋商小组提供评审所需的信息和数据，包括：</w:t>
      </w:r>
    </w:p>
    <w:p w14:paraId="570310B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及其澄清修改等</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补充；</w:t>
      </w:r>
    </w:p>
    <w:p w14:paraId="7CE72EF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（2）未在</w:t>
      </w:r>
      <w:r>
        <w:rPr>
          <w:rFonts w:hint="eastAsia" w:ascii="仿宋" w:hAnsi="仿宋" w:eastAsia="仿宋" w:cs="仿宋"/>
          <w:color w:val="auto"/>
          <w:kern w:val="0"/>
          <w:sz w:val="24"/>
          <w:szCs w:val="24"/>
          <w:highlight w:val="none"/>
          <w:shd w:val="clear" w:color="auto" w:fill="FFFFFF" w:themeFill="background1"/>
          <w:lang w:eastAsia="zh-CN"/>
        </w:rPr>
        <w:t>开启</w:t>
      </w:r>
      <w:r>
        <w:rPr>
          <w:rFonts w:hint="eastAsia" w:ascii="仿宋" w:hAnsi="仿宋" w:eastAsia="仿宋" w:cs="仿宋"/>
          <w:color w:val="auto"/>
          <w:kern w:val="0"/>
          <w:sz w:val="24"/>
          <w:szCs w:val="24"/>
          <w:highlight w:val="none"/>
          <w:shd w:val="clear" w:color="auto" w:fill="FFFFFF" w:themeFill="background1"/>
        </w:rPr>
        <w:t>会上当场拒绝的各响应文件；</w:t>
      </w:r>
    </w:p>
    <w:p w14:paraId="09D6CD1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eastAsia="zh-CN"/>
        </w:rPr>
        <w:t>开启</w:t>
      </w:r>
      <w:r>
        <w:rPr>
          <w:rFonts w:hint="eastAsia" w:ascii="仿宋" w:hAnsi="仿宋" w:eastAsia="仿宋" w:cs="仿宋"/>
          <w:color w:val="auto"/>
          <w:kern w:val="0"/>
          <w:sz w:val="24"/>
          <w:szCs w:val="24"/>
          <w:highlight w:val="none"/>
          <w:shd w:val="clear" w:color="auto" w:fill="FFFFFF" w:themeFill="background1"/>
        </w:rPr>
        <w:t>会记录；</w:t>
      </w:r>
    </w:p>
    <w:p w14:paraId="33D9046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（4）评审表格；</w:t>
      </w:r>
    </w:p>
    <w:p w14:paraId="71557C6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（5）其他信息和数据。</w:t>
      </w:r>
    </w:p>
    <w:p w14:paraId="2D4461D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3.3资格审查（适用于资格后审）</w:t>
      </w:r>
    </w:p>
    <w:p w14:paraId="13A2645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采购人依据本章规定的评审因素和审查标准，对供应商的资格审查资料进行资格审查。资格审查有一项未通过审查标准，采购人将认定整个响应文件不响应</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而否决其</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，并且不允许供应商通过修改或撤销其不符合要求的差异或保留，使之成为具有响应性的</w:t>
      </w:r>
      <w:r>
        <w:rPr>
          <w:rFonts w:hint="eastAsia" w:ascii="仿宋" w:hAnsi="仿宋" w:eastAsia="仿宋" w:cs="仿宋"/>
          <w:color w:val="auto"/>
          <w:kern w:val="0"/>
          <w:sz w:val="24"/>
          <w:szCs w:val="24"/>
          <w:highlight w:val="none"/>
          <w:shd w:val="clear" w:color="auto" w:fill="FFFFFF" w:themeFill="background1"/>
          <w:lang w:val="en-US" w:eastAsia="zh-CN"/>
        </w:rPr>
        <w:t>文件</w:t>
      </w:r>
      <w:r>
        <w:rPr>
          <w:rFonts w:hint="eastAsia" w:ascii="仿宋" w:hAnsi="仿宋" w:eastAsia="仿宋" w:cs="仿宋"/>
          <w:color w:val="auto"/>
          <w:kern w:val="0"/>
          <w:sz w:val="24"/>
          <w:szCs w:val="24"/>
          <w:highlight w:val="none"/>
          <w:shd w:val="clear" w:color="auto" w:fill="FFFFFF" w:themeFill="background1"/>
        </w:rPr>
        <w:t>。</w:t>
      </w:r>
    </w:p>
    <w:p w14:paraId="28E6ECE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3.4</w:t>
      </w:r>
      <w:r>
        <w:rPr>
          <w:rFonts w:hint="eastAsia" w:ascii="仿宋" w:hAnsi="仿宋" w:eastAsia="仿宋" w:cs="仿宋"/>
          <w:color w:val="auto"/>
          <w:kern w:val="0"/>
          <w:sz w:val="24"/>
          <w:szCs w:val="24"/>
          <w:highlight w:val="none"/>
          <w:shd w:val="clear" w:color="auto" w:fill="FFFFFF" w:themeFill="background1"/>
          <w:lang w:eastAsia="zh-CN"/>
        </w:rPr>
        <w:t>符合性审查</w:t>
      </w:r>
    </w:p>
    <w:p w14:paraId="478B1A0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磋商小组依据本章规定的评审因素和评审标准，对供应商的响应文件进行</w:t>
      </w:r>
      <w:r>
        <w:rPr>
          <w:rFonts w:hint="eastAsia" w:ascii="仿宋" w:hAnsi="仿宋" w:eastAsia="仿宋" w:cs="仿宋"/>
          <w:color w:val="auto"/>
          <w:kern w:val="0"/>
          <w:sz w:val="24"/>
          <w:szCs w:val="24"/>
          <w:highlight w:val="none"/>
          <w:shd w:val="clear" w:color="auto" w:fill="FFFFFF" w:themeFill="background1"/>
          <w:lang w:eastAsia="zh-CN"/>
        </w:rPr>
        <w:t>符合性审查</w:t>
      </w:r>
      <w:r>
        <w:rPr>
          <w:rFonts w:hint="eastAsia" w:ascii="仿宋" w:hAnsi="仿宋" w:eastAsia="仿宋" w:cs="仿宋"/>
          <w:color w:val="auto"/>
          <w:kern w:val="0"/>
          <w:sz w:val="24"/>
          <w:szCs w:val="24"/>
          <w:highlight w:val="none"/>
          <w:shd w:val="clear" w:color="auto" w:fill="FFFFFF" w:themeFill="background1"/>
        </w:rPr>
        <w:t>。</w:t>
      </w:r>
      <w:r>
        <w:rPr>
          <w:rFonts w:hint="eastAsia" w:ascii="仿宋" w:hAnsi="仿宋" w:eastAsia="仿宋" w:cs="仿宋"/>
          <w:color w:val="auto"/>
          <w:kern w:val="0"/>
          <w:sz w:val="24"/>
          <w:szCs w:val="24"/>
          <w:highlight w:val="none"/>
          <w:shd w:val="clear" w:color="auto" w:fill="FFFFFF" w:themeFill="background1"/>
          <w:lang w:eastAsia="zh-CN"/>
        </w:rPr>
        <w:t>符合性审查</w:t>
      </w:r>
      <w:r>
        <w:rPr>
          <w:rFonts w:hint="eastAsia" w:ascii="仿宋" w:hAnsi="仿宋" w:eastAsia="仿宋" w:cs="仿宋"/>
          <w:color w:val="auto"/>
          <w:kern w:val="0"/>
          <w:sz w:val="24"/>
          <w:szCs w:val="24"/>
          <w:highlight w:val="none"/>
          <w:shd w:val="clear" w:color="auto" w:fill="FFFFFF" w:themeFill="background1"/>
        </w:rPr>
        <w:t>有一项未通过评审标准，磋商小组将认定整个响应文件不响应</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而否决其</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，并且不允许供应商通过修改或撤销其不符合要求的差异或保留，使之成为具有响应性的</w:t>
      </w:r>
      <w:r>
        <w:rPr>
          <w:rFonts w:hint="eastAsia" w:ascii="仿宋" w:hAnsi="仿宋" w:eastAsia="仿宋" w:cs="仿宋"/>
          <w:color w:val="auto"/>
          <w:kern w:val="0"/>
          <w:sz w:val="24"/>
          <w:szCs w:val="24"/>
          <w:highlight w:val="none"/>
          <w:shd w:val="clear" w:color="auto" w:fill="FFFFFF" w:themeFill="background1"/>
          <w:lang w:val="en-US" w:eastAsia="zh-CN"/>
        </w:rPr>
        <w:t>文件</w:t>
      </w:r>
      <w:r>
        <w:rPr>
          <w:rFonts w:hint="eastAsia" w:ascii="仿宋" w:hAnsi="仿宋" w:eastAsia="仿宋" w:cs="仿宋"/>
          <w:color w:val="auto"/>
          <w:kern w:val="0"/>
          <w:sz w:val="24"/>
          <w:szCs w:val="24"/>
          <w:highlight w:val="none"/>
          <w:shd w:val="clear" w:color="auto" w:fill="FFFFFF" w:themeFill="background1"/>
        </w:rPr>
        <w:t>。</w:t>
      </w:r>
    </w:p>
    <w:p w14:paraId="4934CAB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3.5第二轮报价</w:t>
      </w:r>
    </w:p>
    <w:p w14:paraId="365F383E">
      <w:pPr>
        <w:keepLines w:val="0"/>
        <w:pageBreakBefore w:val="0"/>
        <w:widowControl/>
        <w:shd w:val="clear" w:color="auto" w:fill="FFFFFF"/>
        <w:kinsoku/>
        <w:overflowPunct/>
        <w:topLinePunct w:val="0"/>
        <w:bidi w:val="0"/>
        <w:snapToGrid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3.5.1、按照供应商递交响应文件的逆顺序，由磋商小组与</w:t>
      </w:r>
      <w:r>
        <w:rPr>
          <w:rFonts w:hint="eastAsia" w:ascii="仿宋" w:hAnsi="仿宋" w:eastAsia="仿宋" w:cs="仿宋"/>
          <w:color w:val="auto"/>
          <w:kern w:val="0"/>
          <w:sz w:val="24"/>
          <w:szCs w:val="24"/>
          <w:highlight w:val="none"/>
          <w:shd w:val="clear" w:color="auto" w:fill="FFFFFF" w:themeFill="background1"/>
          <w:lang w:val="en-US" w:eastAsia="zh-CN"/>
        </w:rPr>
        <w:t>各供应商</w:t>
      </w:r>
      <w:r>
        <w:rPr>
          <w:rFonts w:hint="eastAsia" w:ascii="仿宋" w:hAnsi="仿宋" w:eastAsia="仿宋" w:cs="仿宋"/>
          <w:color w:val="auto"/>
          <w:kern w:val="0"/>
          <w:sz w:val="24"/>
          <w:szCs w:val="24"/>
          <w:highlight w:val="none"/>
          <w:shd w:val="clear" w:color="auto" w:fill="FFFFFF" w:themeFill="background1"/>
        </w:rPr>
        <w:t>进行磋商</w:t>
      </w:r>
      <w:r>
        <w:rPr>
          <w:rFonts w:hint="eastAsia" w:ascii="仿宋" w:hAnsi="仿宋" w:eastAsia="仿宋" w:cs="仿宋"/>
          <w:color w:val="auto"/>
          <w:kern w:val="0"/>
          <w:sz w:val="24"/>
          <w:szCs w:val="24"/>
          <w:highlight w:val="none"/>
          <w:shd w:val="clear" w:color="auto" w:fill="FFFFFF" w:themeFill="background1"/>
          <w:lang w:eastAsia="zh-CN"/>
        </w:rPr>
        <w:t>（</w:t>
      </w:r>
      <w:r>
        <w:rPr>
          <w:rFonts w:hint="eastAsia" w:ascii="仿宋" w:hAnsi="仿宋" w:eastAsia="仿宋" w:cs="仿宋"/>
          <w:color w:val="auto"/>
          <w:kern w:val="0"/>
          <w:sz w:val="24"/>
          <w:szCs w:val="24"/>
          <w:highlight w:val="none"/>
          <w:shd w:val="clear" w:color="auto" w:fill="FFFFFF" w:themeFill="background1"/>
          <w:lang w:val="en-US" w:eastAsia="zh-CN"/>
        </w:rPr>
        <w:t>如需要</w:t>
      </w:r>
      <w:r>
        <w:rPr>
          <w:rFonts w:hint="eastAsia" w:ascii="仿宋" w:hAnsi="仿宋" w:eastAsia="仿宋" w:cs="仿宋"/>
          <w:color w:val="auto"/>
          <w:kern w:val="0"/>
          <w:sz w:val="24"/>
          <w:szCs w:val="24"/>
          <w:highlight w:val="none"/>
          <w:shd w:val="clear" w:color="auto" w:fill="FFFFFF" w:themeFill="background1"/>
          <w:lang w:eastAsia="zh-CN"/>
        </w:rPr>
        <w:t>）</w:t>
      </w:r>
      <w:r>
        <w:rPr>
          <w:rFonts w:hint="eastAsia" w:ascii="仿宋" w:hAnsi="仿宋" w:eastAsia="仿宋" w:cs="仿宋"/>
          <w:color w:val="auto"/>
          <w:kern w:val="0"/>
          <w:sz w:val="24"/>
          <w:szCs w:val="24"/>
          <w:highlight w:val="none"/>
          <w:shd w:val="clear" w:color="auto" w:fill="FFFFFF" w:themeFill="background1"/>
        </w:rPr>
        <w:t>，对响应文件中的漏项、错误等问题进行统一补充和修正并告知供应商，在此基础上进行第二轮</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w:t>
      </w:r>
    </w:p>
    <w:p w14:paraId="1AEBB2C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shd w:val="clear" w:color="auto" w:fill="FFFFFF" w:themeFill="background1"/>
        </w:rPr>
        <w:t>3.5.2、供应商分别进行各自第二轮</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，作为最终</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的依据。</w:t>
      </w:r>
      <w:r>
        <w:rPr>
          <w:rFonts w:hint="eastAsia" w:ascii="仿宋" w:hAnsi="仿宋" w:eastAsia="仿宋" w:cs="仿宋"/>
          <w:color w:val="auto"/>
          <w:kern w:val="0"/>
          <w:sz w:val="24"/>
          <w:szCs w:val="24"/>
          <w:highlight w:val="none"/>
          <w:shd w:val="clear" w:color="auto" w:fill="FFFFFF" w:themeFill="background1"/>
          <w:lang w:eastAsia="zh-CN"/>
        </w:rPr>
        <w:t>若供应商未进行第二轮报价，视为放弃响应资格；其响应无效；不在参与后续评审</w:t>
      </w:r>
      <w:r>
        <w:rPr>
          <w:rFonts w:hint="eastAsia" w:ascii="仿宋" w:hAnsi="仿宋" w:eastAsia="仿宋" w:cs="仿宋"/>
          <w:color w:val="auto"/>
          <w:kern w:val="0"/>
          <w:sz w:val="24"/>
          <w:szCs w:val="24"/>
          <w:highlight w:val="none"/>
          <w:shd w:val="clear" w:color="auto" w:fill="FFFFFF" w:themeFill="background1"/>
          <w:lang w:val="en-US" w:eastAsia="zh-CN"/>
        </w:rPr>
        <w:t>进行修正</w:t>
      </w:r>
      <w:r>
        <w:rPr>
          <w:rFonts w:hint="eastAsia" w:ascii="仿宋" w:hAnsi="仿宋" w:eastAsia="仿宋" w:cs="仿宋"/>
          <w:color w:val="auto"/>
          <w:kern w:val="0"/>
          <w:sz w:val="24"/>
          <w:szCs w:val="24"/>
          <w:highlight w:val="none"/>
          <w:shd w:val="clear" w:color="auto" w:fill="FFFFFF" w:themeFill="background1"/>
        </w:rPr>
        <w:t>。</w:t>
      </w:r>
    </w:p>
    <w:p w14:paraId="76A79C1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3.6、详细评审</w:t>
      </w:r>
    </w:p>
    <w:p w14:paraId="20F8588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3.6.1.澄清、说明和补正</w:t>
      </w:r>
    </w:p>
    <w:p w14:paraId="6641B47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3.6.1.1在不改变供应商响应文件实质性内容的前提下，磋商小组应当对响应文件进行基础性数据分析和整理，从而发现并提取其中可能存在的对采购范围理解的偏差、技术响应偏离、</w:t>
      </w:r>
      <w:r>
        <w:rPr>
          <w:rFonts w:hint="eastAsia" w:ascii="仿宋" w:hAnsi="仿宋" w:eastAsia="仿宋" w:cs="仿宋"/>
          <w:color w:val="auto"/>
          <w:kern w:val="0"/>
          <w:sz w:val="24"/>
          <w:szCs w:val="24"/>
          <w:highlight w:val="none"/>
          <w:shd w:val="clear" w:color="auto" w:fill="FFFFFF" w:themeFill="background1"/>
          <w:lang w:eastAsia="zh-CN"/>
        </w:rPr>
        <w:t>响应价格</w:t>
      </w:r>
      <w:r>
        <w:rPr>
          <w:rFonts w:hint="eastAsia" w:ascii="仿宋" w:hAnsi="仿宋" w:eastAsia="仿宋" w:cs="仿宋"/>
          <w:color w:val="auto"/>
          <w:kern w:val="0"/>
          <w:sz w:val="24"/>
          <w:szCs w:val="24"/>
          <w:highlight w:val="none"/>
          <w:shd w:val="clear" w:color="auto" w:fill="FFFFFF" w:themeFill="background1"/>
        </w:rPr>
        <w:t>的算术性错误、错漏项、</w:t>
      </w:r>
      <w:r>
        <w:rPr>
          <w:rFonts w:hint="eastAsia" w:ascii="仿宋" w:hAnsi="仿宋" w:eastAsia="仿宋" w:cs="仿宋"/>
          <w:color w:val="auto"/>
          <w:kern w:val="0"/>
          <w:sz w:val="24"/>
          <w:szCs w:val="24"/>
          <w:highlight w:val="none"/>
          <w:shd w:val="clear" w:color="auto" w:fill="FFFFFF" w:themeFill="background1"/>
          <w:lang w:eastAsia="zh-CN"/>
        </w:rPr>
        <w:t>响应价格</w:t>
      </w:r>
      <w:r>
        <w:rPr>
          <w:rFonts w:hint="eastAsia" w:ascii="仿宋" w:hAnsi="仿宋" w:eastAsia="仿宋" w:cs="仿宋"/>
          <w:color w:val="auto"/>
          <w:kern w:val="0"/>
          <w:sz w:val="24"/>
          <w:szCs w:val="24"/>
          <w:highlight w:val="none"/>
          <w:shd w:val="clear" w:color="auto" w:fill="FFFFFF" w:themeFill="background1"/>
        </w:rPr>
        <w:t>构成不合理、不平衡报价等存在明显异常的问题。</w:t>
      </w:r>
    </w:p>
    <w:p w14:paraId="543AF6B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3.6.1.2澄清、说明和补正内容不得改变响应文件的实质性内容（算术性错误修正的除外）。供应商的书面澄清、说明和补正属于响应文件的组成部分。</w:t>
      </w:r>
    </w:p>
    <w:p w14:paraId="1122430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3.6.1.3磋商小组针对需要供应商对所提交响应文件中不明确的内容进行书面澄清、说明或补正。澄清通知不得向供应商提出带有暗示性或诱导性问题，或向其明确响应文件中的遗漏和错误。供应商接到磋商小组发出的书面澄清通知后，应按磋商小组的要求提供书面澄清资料，并在规定的时间递交到指定地点。磋商小组不接受供应商主动提出的澄清、说明或补正。</w:t>
      </w:r>
    </w:p>
    <w:p w14:paraId="3D3CA4B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3.6.1.4磋商小组对供应商提交的澄清、说明或补正有疑问的，可以要求供应商进一步澄清、说明或补正，直至满足磋商小组的要求。</w:t>
      </w:r>
    </w:p>
    <w:p w14:paraId="23FD142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3.6.2评审专家评分：评审专家按照《详细评审标准》评分，供应商详细评审得分等于全部评审专家评分的算术平均值。</w:t>
      </w:r>
    </w:p>
    <w:p w14:paraId="1A50F5E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 xml:space="preserve"> 算术错误修正：</w:t>
      </w:r>
      <w:r>
        <w:rPr>
          <w:rFonts w:hint="eastAsia" w:ascii="仿宋" w:hAnsi="仿宋" w:eastAsia="仿宋" w:cs="仿宋"/>
          <w:color w:val="auto"/>
          <w:kern w:val="0"/>
          <w:sz w:val="24"/>
          <w:szCs w:val="24"/>
          <w:highlight w:val="none"/>
          <w:shd w:val="clear" w:color="auto" w:fill="FFFFFF" w:themeFill="background1"/>
          <w:lang w:eastAsia="zh-CN"/>
        </w:rPr>
        <w:t>响应价格</w:t>
      </w:r>
      <w:r>
        <w:rPr>
          <w:rFonts w:hint="eastAsia" w:ascii="仿宋" w:hAnsi="仿宋" w:eastAsia="仿宋" w:cs="仿宋"/>
          <w:color w:val="auto"/>
          <w:kern w:val="0"/>
          <w:sz w:val="24"/>
          <w:szCs w:val="24"/>
          <w:highlight w:val="none"/>
        </w:rPr>
        <w:t>有算术错误或前后不一致的，</w:t>
      </w:r>
      <w:r>
        <w:rPr>
          <w:rFonts w:hint="eastAsia" w:ascii="仿宋" w:hAnsi="仿宋" w:eastAsia="仿宋" w:cs="仿宋"/>
          <w:color w:val="auto"/>
          <w:kern w:val="0"/>
          <w:sz w:val="24"/>
          <w:szCs w:val="24"/>
          <w:highlight w:val="none"/>
          <w:shd w:val="clear" w:color="auto" w:fill="FFFFFF" w:themeFill="background1"/>
        </w:rPr>
        <w:t>磋商小组</w:t>
      </w:r>
      <w:r>
        <w:rPr>
          <w:rFonts w:hint="eastAsia" w:ascii="仿宋" w:hAnsi="仿宋" w:eastAsia="仿宋" w:cs="仿宋"/>
          <w:color w:val="auto"/>
          <w:kern w:val="0"/>
          <w:sz w:val="24"/>
          <w:szCs w:val="24"/>
          <w:highlight w:val="none"/>
        </w:rPr>
        <w:t>按以下原则对</w:t>
      </w:r>
      <w:r>
        <w:rPr>
          <w:rFonts w:hint="eastAsia" w:ascii="仿宋" w:hAnsi="仿宋" w:eastAsia="仿宋" w:cs="仿宋"/>
          <w:color w:val="auto"/>
          <w:kern w:val="0"/>
          <w:sz w:val="24"/>
          <w:szCs w:val="24"/>
          <w:highlight w:val="none"/>
          <w:shd w:val="clear" w:color="auto" w:fill="FFFFFF" w:themeFill="background1"/>
          <w:lang w:eastAsia="zh-CN"/>
        </w:rPr>
        <w:t>响应价格</w:t>
      </w:r>
      <w:r>
        <w:rPr>
          <w:rFonts w:hint="eastAsia" w:ascii="仿宋" w:hAnsi="仿宋" w:eastAsia="仿宋" w:cs="仿宋"/>
          <w:color w:val="auto"/>
          <w:kern w:val="0"/>
          <w:sz w:val="24"/>
          <w:szCs w:val="24"/>
          <w:highlight w:val="none"/>
        </w:rPr>
        <w:t>进行修正：</w:t>
      </w:r>
    </w:p>
    <w:p w14:paraId="169F649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（1）电子交易平台中报价与响应文件相应内容不一致的，以响应文件为准；</w:t>
      </w:r>
    </w:p>
    <w:p w14:paraId="1DA36C7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eastAsia="zh-CN"/>
        </w:rPr>
        <w:t>开启一览表</w:t>
      </w:r>
      <w:r>
        <w:rPr>
          <w:rFonts w:hint="eastAsia" w:ascii="仿宋" w:hAnsi="仿宋" w:eastAsia="仿宋" w:cs="仿宋"/>
          <w:color w:val="auto"/>
          <w:kern w:val="0"/>
          <w:sz w:val="24"/>
          <w:szCs w:val="24"/>
          <w:highlight w:val="none"/>
        </w:rPr>
        <w:t>与响应文件中相应内容不一致的，以</w:t>
      </w:r>
      <w:r>
        <w:rPr>
          <w:rFonts w:hint="eastAsia" w:ascii="仿宋" w:hAnsi="仿宋" w:eastAsia="仿宋" w:cs="仿宋"/>
          <w:color w:val="auto"/>
          <w:kern w:val="0"/>
          <w:sz w:val="24"/>
          <w:szCs w:val="24"/>
          <w:highlight w:val="none"/>
          <w:lang w:eastAsia="zh-CN"/>
        </w:rPr>
        <w:t>开启一览表</w:t>
      </w:r>
      <w:r>
        <w:rPr>
          <w:rFonts w:hint="eastAsia" w:ascii="仿宋" w:hAnsi="仿宋" w:eastAsia="仿宋" w:cs="仿宋"/>
          <w:color w:val="auto"/>
          <w:kern w:val="0"/>
          <w:sz w:val="24"/>
          <w:szCs w:val="24"/>
          <w:highlight w:val="none"/>
        </w:rPr>
        <w:t>为准；</w:t>
      </w:r>
    </w:p>
    <w:p w14:paraId="44BDCCF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（3）大写金额和小写金额不一致的，以大写金额为准；</w:t>
      </w:r>
    </w:p>
    <w:p w14:paraId="688CADD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（4）单价金额小数点或者百分比有明显错位的，以</w:t>
      </w:r>
      <w:r>
        <w:rPr>
          <w:rFonts w:hint="eastAsia" w:ascii="仿宋" w:hAnsi="仿宋" w:eastAsia="仿宋" w:cs="仿宋"/>
          <w:color w:val="auto"/>
          <w:kern w:val="0"/>
          <w:sz w:val="24"/>
          <w:szCs w:val="24"/>
          <w:highlight w:val="none"/>
          <w:lang w:eastAsia="zh-CN"/>
        </w:rPr>
        <w:t>响应函</w:t>
      </w:r>
      <w:r>
        <w:rPr>
          <w:rFonts w:hint="eastAsia" w:ascii="仿宋" w:hAnsi="仿宋" w:eastAsia="仿宋" w:cs="仿宋"/>
          <w:color w:val="auto"/>
          <w:kern w:val="0"/>
          <w:sz w:val="24"/>
          <w:szCs w:val="24"/>
          <w:highlight w:val="none"/>
        </w:rPr>
        <w:t>的总价为准，并修改单价；</w:t>
      </w:r>
    </w:p>
    <w:p w14:paraId="70264A6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（5）总价金额与按单价汇总金额不一致的，以单价金额计算结果为准。</w:t>
      </w:r>
    </w:p>
    <w:p w14:paraId="6CD5B73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修正后的报价经</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确认后产生约束力，</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不确认或不接受的，其</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无效。</w:t>
      </w:r>
    </w:p>
    <w:p w14:paraId="706F60C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政府采购评审中出现下列情形之一的，评审委员会应当启动异常低价</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审查程序：</w:t>
      </w:r>
    </w:p>
    <w:p w14:paraId="353B729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报价低于全部通过符合性审查供应商</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报价平均值50%的，即</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报价&lt;全部通过符合性审查供应商</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报价平均值×50%；</w:t>
      </w:r>
    </w:p>
    <w:p w14:paraId="3980C62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报价低于通过符合性审查的次低报价供应商</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报价50%的，即</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报价&lt;通过符合性审查的次低报价供应商</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报价×50%；</w:t>
      </w:r>
    </w:p>
    <w:p w14:paraId="080958D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报价低于采购项目最高限价45%的，即</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报价&lt;采购项目最高限价×45%；</w:t>
      </w:r>
    </w:p>
    <w:p w14:paraId="7F09DE7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（4）评审委员会基于专业判断，认为供应商报价过低，有可能影响产品质量或者不能诚信履约的其他情形。</w:t>
      </w:r>
    </w:p>
    <w:p w14:paraId="3EAC53C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3.6.5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36D5319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rPr>
        <w:t>3.6.</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 xml:space="preserve"> 磋商小组认为供应商的报价明显低于其他</w:t>
      </w:r>
      <w:r>
        <w:rPr>
          <w:rFonts w:hint="eastAsia" w:ascii="仿宋" w:hAnsi="仿宋" w:eastAsia="仿宋" w:cs="仿宋"/>
          <w:color w:val="auto"/>
          <w:kern w:val="0"/>
          <w:sz w:val="24"/>
          <w:szCs w:val="24"/>
          <w:highlight w:val="none"/>
          <w:shd w:val="clear" w:color="auto" w:fill="FFFFFF" w:themeFill="background1"/>
        </w:rPr>
        <w:t>通过符合性审查供应商的报价，有可能影响产品质量或者不能诚信履约的，应当要求其在</w:t>
      </w:r>
      <w:r>
        <w:rPr>
          <w:rFonts w:hint="eastAsia" w:ascii="仿宋" w:hAnsi="仿宋" w:eastAsia="仿宋" w:cs="仿宋"/>
          <w:color w:val="auto"/>
          <w:kern w:val="0"/>
          <w:sz w:val="24"/>
          <w:szCs w:val="24"/>
          <w:highlight w:val="none"/>
          <w:shd w:val="clear" w:color="auto" w:fill="FFFFFF" w:themeFill="background1"/>
          <w:lang w:eastAsia="zh-CN"/>
        </w:rPr>
        <w:t>评审现场</w:t>
      </w:r>
      <w:r>
        <w:rPr>
          <w:rFonts w:hint="eastAsia" w:ascii="仿宋" w:hAnsi="仿宋" w:eastAsia="仿宋" w:cs="仿宋"/>
          <w:color w:val="auto"/>
          <w:kern w:val="0"/>
          <w:sz w:val="24"/>
          <w:szCs w:val="24"/>
          <w:highlight w:val="none"/>
          <w:shd w:val="clear" w:color="auto" w:fill="FFFFFF" w:themeFill="background1"/>
        </w:rPr>
        <w:t>合理的时间内提供书面说明，必要时提交相关证明材料；供应商不能证明其报价合理性的，磋商小组应当将其作为无效</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处理。</w:t>
      </w:r>
    </w:p>
    <w:p w14:paraId="51FC52D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w:t>
      </w:r>
      <w:r>
        <w:rPr>
          <w:rFonts w:hint="eastAsia" w:ascii="仿宋" w:hAnsi="仿宋" w:eastAsia="仿宋" w:cs="仿宋"/>
          <w:color w:val="auto"/>
          <w:kern w:val="0"/>
          <w:sz w:val="24"/>
          <w:szCs w:val="24"/>
          <w:highlight w:val="none"/>
          <w:shd w:val="clear" w:color="auto" w:fill="FFFFFF" w:themeFill="background1"/>
          <w:lang w:val="en-US" w:eastAsia="zh-CN"/>
        </w:rPr>
        <w:t>7</w:t>
      </w:r>
      <w:r>
        <w:rPr>
          <w:rFonts w:hint="eastAsia" w:ascii="仿宋" w:hAnsi="仿宋" w:eastAsia="仿宋" w:cs="仿宋"/>
          <w:color w:val="auto"/>
          <w:kern w:val="0"/>
          <w:sz w:val="24"/>
          <w:szCs w:val="24"/>
          <w:highlight w:val="non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评分：对</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进行</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得分计算，计算方法详见评审办法前附表。</w:t>
      </w:r>
    </w:p>
    <w:p w14:paraId="35D5CCA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w:t>
      </w:r>
      <w:r>
        <w:rPr>
          <w:rFonts w:hint="eastAsia" w:ascii="仿宋" w:hAnsi="仿宋" w:eastAsia="仿宋" w:cs="仿宋"/>
          <w:color w:val="auto"/>
          <w:kern w:val="0"/>
          <w:sz w:val="24"/>
          <w:szCs w:val="24"/>
          <w:highlight w:val="none"/>
          <w:shd w:val="clear" w:color="auto" w:fill="FFFFFF" w:themeFill="background1"/>
          <w:lang w:val="en-US" w:eastAsia="zh-CN"/>
        </w:rPr>
        <w:t xml:space="preserve">8 </w:t>
      </w:r>
      <w:r>
        <w:rPr>
          <w:rFonts w:hint="eastAsia" w:ascii="仿宋" w:hAnsi="仿宋" w:eastAsia="仿宋" w:cs="仿宋"/>
          <w:color w:val="auto"/>
          <w:kern w:val="0"/>
          <w:sz w:val="24"/>
          <w:szCs w:val="24"/>
          <w:highlight w:val="none"/>
          <w:shd w:val="clear" w:color="auto" w:fill="FFFFFF" w:themeFill="background1"/>
        </w:rPr>
        <w:t>汇总评分结果，评分分值计算保留小数点后两位，小数点后第三位“四舍五入”。</w:t>
      </w:r>
    </w:p>
    <w:p w14:paraId="03D4FBA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w:t>
      </w:r>
      <w:r>
        <w:rPr>
          <w:rFonts w:hint="eastAsia" w:ascii="仿宋" w:hAnsi="仿宋" w:eastAsia="仿宋" w:cs="仿宋"/>
          <w:color w:val="auto"/>
          <w:kern w:val="0"/>
          <w:sz w:val="24"/>
          <w:szCs w:val="24"/>
          <w:highlight w:val="none"/>
          <w:shd w:val="clear" w:color="auto" w:fill="FFFFFF" w:themeFill="background1"/>
          <w:lang w:val="en-US" w:eastAsia="zh-CN"/>
        </w:rPr>
        <w:t>9</w:t>
      </w:r>
      <w:r>
        <w:rPr>
          <w:rFonts w:hint="eastAsia" w:ascii="仿宋" w:hAnsi="仿宋" w:eastAsia="仿宋" w:cs="仿宋"/>
          <w:color w:val="auto"/>
          <w:kern w:val="0"/>
          <w:sz w:val="24"/>
          <w:szCs w:val="24"/>
          <w:highlight w:val="none"/>
          <w:shd w:val="clear" w:color="auto" w:fill="FFFFFF" w:themeFill="background1"/>
        </w:rPr>
        <w:t xml:space="preserve"> 详细评审工作全部结束后，供应商总得分排序按照以下原则进行。</w:t>
      </w:r>
    </w:p>
    <w:p w14:paraId="127B9E4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w:t>
      </w:r>
      <w:r>
        <w:rPr>
          <w:rFonts w:hint="eastAsia" w:ascii="仿宋" w:hAnsi="仿宋" w:eastAsia="仿宋" w:cs="仿宋"/>
          <w:color w:val="auto"/>
          <w:kern w:val="0"/>
          <w:sz w:val="24"/>
          <w:szCs w:val="24"/>
          <w:highlight w:val="none"/>
          <w:shd w:val="clear" w:color="auto" w:fill="FFFFFF" w:themeFill="background1"/>
          <w:lang w:val="en-US" w:eastAsia="zh-CN"/>
        </w:rPr>
        <w:t>9</w:t>
      </w:r>
      <w:r>
        <w:rPr>
          <w:rFonts w:hint="eastAsia" w:ascii="仿宋" w:hAnsi="仿宋" w:eastAsia="仿宋" w:cs="仿宋"/>
          <w:color w:val="auto"/>
          <w:kern w:val="0"/>
          <w:sz w:val="24"/>
          <w:szCs w:val="24"/>
          <w:highlight w:val="none"/>
          <w:shd w:val="clear" w:color="auto" w:fill="FFFFFF" w:themeFill="background1"/>
        </w:rPr>
        <w:t>.1按照总得分由高到低顺序对供应商进行排序；</w:t>
      </w:r>
    </w:p>
    <w:p w14:paraId="20766CE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w:t>
      </w:r>
      <w:r>
        <w:rPr>
          <w:rFonts w:hint="eastAsia" w:ascii="仿宋" w:hAnsi="仿宋" w:eastAsia="仿宋" w:cs="仿宋"/>
          <w:color w:val="auto"/>
          <w:kern w:val="0"/>
          <w:sz w:val="24"/>
          <w:szCs w:val="24"/>
          <w:highlight w:val="none"/>
          <w:shd w:val="clear" w:color="auto" w:fill="FFFFFF" w:themeFill="background1"/>
          <w:lang w:val="en-US" w:eastAsia="zh-CN"/>
        </w:rPr>
        <w:t>9</w:t>
      </w:r>
      <w:r>
        <w:rPr>
          <w:rFonts w:hint="eastAsia" w:ascii="仿宋" w:hAnsi="仿宋" w:eastAsia="仿宋" w:cs="仿宋"/>
          <w:color w:val="auto"/>
          <w:kern w:val="0"/>
          <w:sz w:val="24"/>
          <w:szCs w:val="24"/>
          <w:highlight w:val="none"/>
          <w:shd w:val="clear" w:color="auto" w:fill="FFFFFF" w:themeFill="background1"/>
        </w:rPr>
        <w:t>.2总得分相同时报价低的供应商排序靠前；</w:t>
      </w:r>
    </w:p>
    <w:p w14:paraId="2994DFA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w:t>
      </w:r>
      <w:r>
        <w:rPr>
          <w:rFonts w:hint="eastAsia" w:ascii="仿宋" w:hAnsi="仿宋" w:eastAsia="仿宋" w:cs="仿宋"/>
          <w:color w:val="auto"/>
          <w:kern w:val="0"/>
          <w:sz w:val="24"/>
          <w:szCs w:val="24"/>
          <w:highlight w:val="none"/>
          <w:shd w:val="clear" w:color="auto" w:fill="FFFFFF" w:themeFill="background1"/>
          <w:lang w:val="en-US" w:eastAsia="zh-CN"/>
        </w:rPr>
        <w:t>9</w:t>
      </w:r>
      <w:r>
        <w:rPr>
          <w:rFonts w:hint="eastAsia" w:ascii="仿宋" w:hAnsi="仿宋" w:eastAsia="仿宋" w:cs="仿宋"/>
          <w:color w:val="auto"/>
          <w:kern w:val="0"/>
          <w:sz w:val="24"/>
          <w:szCs w:val="24"/>
          <w:highlight w:val="none"/>
          <w:shd w:val="clear" w:color="auto" w:fill="FFFFFF" w:themeFill="background1"/>
        </w:rPr>
        <w:t>.</w:t>
      </w:r>
      <w:r>
        <w:rPr>
          <w:rFonts w:hint="eastAsia" w:ascii="仿宋" w:hAnsi="仿宋" w:eastAsia="仿宋" w:cs="仿宋"/>
          <w:color w:val="auto"/>
          <w:kern w:val="0"/>
          <w:sz w:val="24"/>
          <w:szCs w:val="24"/>
          <w:highlight w:val="none"/>
          <w:shd w:val="clear" w:color="auto" w:fill="FFFFFF" w:themeFill="background1"/>
          <w:lang w:val="en-US" w:eastAsia="zh-CN"/>
        </w:rPr>
        <w:t>3</w:t>
      </w:r>
      <w:r>
        <w:rPr>
          <w:rFonts w:hint="eastAsia" w:ascii="仿宋" w:hAnsi="仿宋" w:eastAsia="仿宋" w:cs="仿宋"/>
          <w:color w:val="auto"/>
          <w:kern w:val="0"/>
          <w:sz w:val="24"/>
          <w:szCs w:val="24"/>
          <w:highlight w:val="none"/>
          <w:shd w:val="clear" w:color="auto" w:fill="FFFFFF" w:themeFill="background1"/>
        </w:rPr>
        <w:t>总得分相同</w:t>
      </w:r>
      <w:r>
        <w:rPr>
          <w:rFonts w:hint="eastAsia" w:ascii="仿宋" w:hAnsi="仿宋" w:eastAsia="仿宋" w:cs="仿宋"/>
          <w:color w:val="auto"/>
          <w:kern w:val="0"/>
          <w:sz w:val="24"/>
          <w:szCs w:val="24"/>
          <w:highlight w:val="none"/>
          <w:shd w:val="clear" w:color="auto" w:fill="FFFFFF" w:themeFill="background1"/>
          <w:lang w:val="en-US" w:eastAsia="zh-CN"/>
        </w:rPr>
        <w:t>且</w:t>
      </w:r>
      <w:r>
        <w:rPr>
          <w:rFonts w:hint="eastAsia" w:ascii="仿宋" w:hAnsi="仿宋" w:eastAsia="仿宋" w:cs="仿宋"/>
          <w:color w:val="auto"/>
          <w:kern w:val="0"/>
          <w:sz w:val="24"/>
          <w:szCs w:val="24"/>
          <w:highlight w:val="none"/>
          <w:shd w:val="clear" w:color="auto" w:fill="FFFFFF" w:themeFill="background1"/>
        </w:rPr>
        <w:t>报价相同</w:t>
      </w:r>
      <w:r>
        <w:rPr>
          <w:rFonts w:hint="eastAsia" w:ascii="仿宋" w:hAnsi="仿宋" w:eastAsia="仿宋" w:cs="仿宋"/>
          <w:color w:val="auto"/>
          <w:kern w:val="0"/>
          <w:sz w:val="24"/>
          <w:szCs w:val="24"/>
          <w:highlight w:val="none"/>
          <w:shd w:val="clear" w:color="auto" w:fill="FFFFFF" w:themeFill="background1"/>
          <w:lang w:val="en-US" w:eastAsia="zh-CN"/>
        </w:rPr>
        <w:t>时，由采购人确定</w:t>
      </w:r>
      <w:r>
        <w:rPr>
          <w:rFonts w:hint="eastAsia" w:ascii="仿宋" w:hAnsi="仿宋" w:eastAsia="仿宋" w:cs="仿宋"/>
          <w:color w:val="auto"/>
          <w:kern w:val="0"/>
          <w:sz w:val="24"/>
          <w:szCs w:val="24"/>
          <w:highlight w:val="none"/>
          <w:shd w:val="clear" w:color="auto" w:fill="FFFFFF" w:themeFill="background1"/>
        </w:rPr>
        <w:t>供应商排序；</w:t>
      </w:r>
    </w:p>
    <w:p w14:paraId="07F5983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10</w:t>
      </w:r>
      <w:r>
        <w:rPr>
          <w:rFonts w:hint="eastAsia" w:ascii="仿宋" w:hAnsi="仿宋" w:eastAsia="仿宋" w:cs="仿宋"/>
          <w:color w:val="auto"/>
          <w:kern w:val="0"/>
          <w:sz w:val="24"/>
          <w:szCs w:val="24"/>
          <w:highlight w:val="none"/>
          <w:shd w:val="clear" w:color="auto" w:fill="FFFFFF" w:themeFill="background1"/>
        </w:rPr>
        <w:t xml:space="preserve"> 推荐成交候选人及提交评审报告</w:t>
      </w:r>
    </w:p>
    <w:p w14:paraId="1A57588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10</w:t>
      </w:r>
      <w:r>
        <w:rPr>
          <w:rFonts w:hint="eastAsia" w:ascii="仿宋" w:hAnsi="仿宋" w:eastAsia="仿宋" w:cs="仿宋"/>
          <w:color w:val="auto"/>
          <w:kern w:val="0"/>
          <w:sz w:val="24"/>
          <w:szCs w:val="24"/>
          <w:highlight w:val="none"/>
          <w:shd w:val="clear" w:color="auto" w:fill="FFFFFF" w:themeFill="background1"/>
        </w:rPr>
        <w:t>.1磋商小组推荐成交候选人，总得分排序第一的供应商将被确定为第一成交候选人，以此类推确定出规定数量的的成交候选人。</w:t>
      </w:r>
    </w:p>
    <w:p w14:paraId="4FC1365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10</w:t>
      </w:r>
      <w:r>
        <w:rPr>
          <w:rFonts w:hint="eastAsia" w:ascii="仿宋" w:hAnsi="仿宋" w:eastAsia="仿宋" w:cs="仿宋"/>
          <w:color w:val="auto"/>
          <w:kern w:val="0"/>
          <w:sz w:val="24"/>
          <w:szCs w:val="24"/>
          <w:highlight w:val="none"/>
          <w:shd w:val="clear" w:color="auto" w:fill="FFFFFF" w:themeFill="background1"/>
        </w:rPr>
        <w:t>.2当通过了资格审查、</w:t>
      </w:r>
      <w:r>
        <w:rPr>
          <w:rFonts w:hint="eastAsia" w:ascii="仿宋" w:hAnsi="仿宋" w:eastAsia="仿宋" w:cs="仿宋"/>
          <w:color w:val="auto"/>
          <w:kern w:val="0"/>
          <w:sz w:val="24"/>
          <w:szCs w:val="24"/>
          <w:highlight w:val="none"/>
          <w:shd w:val="clear" w:color="auto" w:fill="FFFFFF" w:themeFill="background1"/>
          <w:lang w:eastAsia="zh-CN"/>
        </w:rPr>
        <w:t>符合性审查</w:t>
      </w:r>
      <w:r>
        <w:rPr>
          <w:rFonts w:hint="eastAsia" w:ascii="仿宋" w:hAnsi="仿宋" w:eastAsia="仿宋" w:cs="仿宋"/>
          <w:color w:val="auto"/>
          <w:kern w:val="0"/>
          <w:sz w:val="24"/>
          <w:szCs w:val="24"/>
          <w:highlight w:val="none"/>
          <w:shd w:val="clear" w:color="auto" w:fill="FFFFFF" w:themeFill="background1"/>
        </w:rPr>
        <w:t>后，供应商少于3个时，采购人应当依法重新</w:t>
      </w:r>
      <w:r>
        <w:rPr>
          <w:rFonts w:hint="eastAsia" w:ascii="仿宋" w:hAnsi="仿宋" w:eastAsia="仿宋" w:cs="仿宋"/>
          <w:color w:val="auto"/>
          <w:kern w:val="0"/>
          <w:sz w:val="24"/>
          <w:szCs w:val="24"/>
          <w:highlight w:val="none"/>
          <w:shd w:val="clear" w:color="auto" w:fill="FFFFFF" w:themeFill="background1"/>
          <w:lang w:eastAsia="zh-CN"/>
        </w:rPr>
        <w:t>采购</w:t>
      </w:r>
      <w:r>
        <w:rPr>
          <w:rFonts w:hint="eastAsia" w:ascii="仿宋" w:hAnsi="仿宋" w:eastAsia="仿宋" w:cs="仿宋"/>
          <w:color w:val="auto"/>
          <w:kern w:val="0"/>
          <w:sz w:val="24"/>
          <w:szCs w:val="24"/>
          <w:highlight w:val="none"/>
          <w:shd w:val="clear" w:color="auto" w:fill="FFFFFF" w:themeFill="background1"/>
        </w:rPr>
        <w:t>。</w:t>
      </w:r>
    </w:p>
    <w:p w14:paraId="45E97D9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10</w:t>
      </w:r>
      <w:r>
        <w:rPr>
          <w:rFonts w:hint="eastAsia" w:ascii="仿宋" w:hAnsi="仿宋" w:eastAsia="仿宋" w:cs="仿宋"/>
          <w:color w:val="auto"/>
          <w:kern w:val="0"/>
          <w:sz w:val="24"/>
          <w:szCs w:val="24"/>
          <w:highlight w:val="none"/>
          <w:shd w:val="clear" w:color="auto" w:fill="FFFFFF" w:themeFill="background1"/>
        </w:rPr>
        <w:t>.3 磋商小组完成评审后，应当向采购人提交书面评审报告。</w:t>
      </w:r>
    </w:p>
    <w:p w14:paraId="64CA52B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11</w:t>
      </w:r>
      <w:r>
        <w:rPr>
          <w:rFonts w:hint="eastAsia" w:ascii="仿宋" w:hAnsi="仿宋" w:eastAsia="仿宋" w:cs="仿宋"/>
          <w:color w:val="auto"/>
          <w:kern w:val="0"/>
          <w:sz w:val="24"/>
          <w:szCs w:val="24"/>
          <w:highlight w:val="none"/>
          <w:shd w:val="clear" w:color="auto" w:fill="FFFFFF" w:themeFill="background1"/>
        </w:rPr>
        <w:t xml:space="preserve"> 特殊情况的处置程序</w:t>
      </w:r>
    </w:p>
    <w:p w14:paraId="4B4011A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11</w:t>
      </w:r>
      <w:r>
        <w:rPr>
          <w:rFonts w:hint="eastAsia" w:ascii="仿宋" w:hAnsi="仿宋" w:eastAsia="仿宋" w:cs="仿宋"/>
          <w:color w:val="auto"/>
          <w:kern w:val="0"/>
          <w:sz w:val="24"/>
          <w:szCs w:val="24"/>
          <w:highlight w:val="none"/>
          <w:shd w:val="clear" w:color="auto" w:fill="FFFFFF" w:themeFill="background1"/>
        </w:rPr>
        <w:t>.1 关于评审活动暂停</w:t>
      </w:r>
    </w:p>
    <w:p w14:paraId="14973F0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磋商小组应当执行连续评审的原则，按评审办法中规定的程序、内容、方法、标准完成全部评审工作。只有发生不可抗力导致评审工作无法继续时，评审活动方可暂停。发生评审暂停情况时，应当封存全部响应文件和评审记录，待不可抗力的影响结束且具备继续评审的条件时，由原磋商小组继续评审。</w:t>
      </w:r>
    </w:p>
    <w:p w14:paraId="680113B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11</w:t>
      </w:r>
      <w:r>
        <w:rPr>
          <w:rFonts w:hint="eastAsia" w:ascii="仿宋" w:hAnsi="仿宋" w:eastAsia="仿宋" w:cs="仿宋"/>
          <w:color w:val="auto"/>
          <w:kern w:val="0"/>
          <w:sz w:val="24"/>
          <w:szCs w:val="24"/>
          <w:highlight w:val="none"/>
          <w:shd w:val="clear" w:color="auto" w:fill="FFFFFF" w:themeFill="background1"/>
        </w:rPr>
        <w:t>.2关于评审中途更换评审专家</w:t>
      </w:r>
    </w:p>
    <w:p w14:paraId="0E3B452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11</w:t>
      </w:r>
      <w:r>
        <w:rPr>
          <w:rFonts w:hint="eastAsia" w:ascii="仿宋" w:hAnsi="仿宋" w:eastAsia="仿宋" w:cs="仿宋"/>
          <w:color w:val="auto"/>
          <w:kern w:val="0"/>
          <w:sz w:val="24"/>
          <w:szCs w:val="24"/>
          <w:highlight w:val="none"/>
          <w:shd w:val="clear" w:color="auto" w:fill="FFFFFF" w:themeFill="background1"/>
        </w:rPr>
        <w:t>.2.1 除非发生下列情况之一，磋商小组成员不得在评审中途更换：</w:t>
      </w:r>
    </w:p>
    <w:p w14:paraId="20FB5BE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（1）因不可抗拒的客观原因，不能到场或需在评审中途退出评审活动。</w:t>
      </w:r>
    </w:p>
    <w:p w14:paraId="39FA62E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（2）根据法律法规规定，某个或某几个磋商小组成员需要回避。</w:t>
      </w:r>
    </w:p>
    <w:p w14:paraId="79AC3D0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11</w:t>
      </w:r>
      <w:r>
        <w:rPr>
          <w:rFonts w:hint="eastAsia" w:ascii="仿宋" w:hAnsi="仿宋" w:eastAsia="仿宋" w:cs="仿宋"/>
          <w:color w:val="auto"/>
          <w:kern w:val="0"/>
          <w:sz w:val="24"/>
          <w:szCs w:val="24"/>
          <w:highlight w:val="none"/>
          <w:shd w:val="clear" w:color="auto" w:fill="FFFFFF" w:themeFill="background1"/>
        </w:rPr>
        <w:t>.2.2 退出评审的磋商小组成员，其已完成的评审行为无效，由更换的评审专家进行评审。</w:t>
      </w:r>
    </w:p>
    <w:p w14:paraId="54C513A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11</w:t>
      </w:r>
      <w:r>
        <w:rPr>
          <w:rFonts w:hint="eastAsia" w:ascii="仿宋" w:hAnsi="仿宋" w:eastAsia="仿宋" w:cs="仿宋"/>
          <w:color w:val="auto"/>
          <w:kern w:val="0"/>
          <w:sz w:val="24"/>
          <w:szCs w:val="24"/>
          <w:highlight w:val="none"/>
          <w:shd w:val="clear" w:color="auto" w:fill="FFFFFF" w:themeFill="background1"/>
        </w:rPr>
        <w:t>.3 在评审环节中，需磋商小组就某项定性的评审结论做出表决的，由磋商小组全体成员按照少数服从多数的原则确定。</w:t>
      </w:r>
    </w:p>
    <w:p w14:paraId="18B6AC96">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1B3FC676">
      <w:pPr>
        <w:widowControl/>
        <w:shd w:val="clear" w:color="auto" w:fill="FFFFFF"/>
        <w:snapToGrid w:val="0"/>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问题澄清通知</w:t>
      </w:r>
    </w:p>
    <w:p w14:paraId="5F59280E">
      <w:pPr>
        <w:rPr>
          <w:rFonts w:hint="eastAsia" w:ascii="仿宋" w:hAnsi="仿宋" w:eastAsia="仿宋" w:cs="仿宋"/>
          <w:color w:val="auto"/>
          <w:sz w:val="24"/>
          <w:szCs w:val="24"/>
          <w:highlight w:val="none"/>
        </w:rPr>
      </w:pPr>
    </w:p>
    <w:p w14:paraId="2209054D">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（供应商名称）：</w:t>
      </w:r>
    </w:p>
    <w:p w14:paraId="6B0A8BE1">
      <w:pPr>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（采购项目名称）的磋商小组，对你方的响应文件进行了仔细的审查，现需你方对本通知所附质疑问卷中的问题以书面形式予以澄清、说明或者补正。</w:t>
      </w:r>
    </w:p>
    <w:p w14:paraId="58034C65">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质疑问题：</w:t>
      </w:r>
    </w:p>
    <w:p w14:paraId="29164FE4">
      <w:pPr>
        <w:rPr>
          <w:rFonts w:hint="eastAsia" w:ascii="仿宋" w:hAnsi="仿宋" w:eastAsia="仿宋" w:cs="仿宋"/>
          <w:color w:val="auto"/>
          <w:kern w:val="0"/>
          <w:sz w:val="24"/>
          <w:szCs w:val="24"/>
          <w:highlight w:val="none"/>
        </w:rPr>
      </w:pPr>
    </w:p>
    <w:p w14:paraId="41FCF210">
      <w:pPr>
        <w:rPr>
          <w:rFonts w:hint="eastAsia" w:ascii="仿宋" w:hAnsi="仿宋" w:eastAsia="仿宋" w:cs="仿宋"/>
          <w:color w:val="auto"/>
          <w:kern w:val="0"/>
          <w:sz w:val="24"/>
          <w:szCs w:val="24"/>
          <w:highlight w:val="none"/>
        </w:rPr>
      </w:pPr>
    </w:p>
    <w:p w14:paraId="3C8E4F4B">
      <w:pPr>
        <w:rPr>
          <w:rFonts w:hint="eastAsia" w:ascii="仿宋" w:hAnsi="仿宋" w:eastAsia="仿宋" w:cs="仿宋"/>
          <w:color w:val="auto"/>
          <w:kern w:val="0"/>
          <w:sz w:val="24"/>
          <w:szCs w:val="24"/>
          <w:highlight w:val="none"/>
        </w:rPr>
      </w:pPr>
    </w:p>
    <w:p w14:paraId="7360E54D">
      <w:pPr>
        <w:rPr>
          <w:rFonts w:hint="eastAsia" w:ascii="仿宋" w:hAnsi="仿宋" w:eastAsia="仿宋" w:cs="仿宋"/>
          <w:color w:val="auto"/>
          <w:kern w:val="0"/>
          <w:sz w:val="24"/>
          <w:szCs w:val="24"/>
          <w:highlight w:val="none"/>
        </w:rPr>
      </w:pPr>
    </w:p>
    <w:p w14:paraId="5D0C6BDD">
      <w:pPr>
        <w:rPr>
          <w:rFonts w:hint="eastAsia" w:ascii="仿宋" w:hAnsi="仿宋" w:eastAsia="仿宋" w:cs="仿宋"/>
          <w:color w:val="auto"/>
          <w:kern w:val="0"/>
          <w:sz w:val="24"/>
          <w:szCs w:val="24"/>
          <w:highlight w:val="none"/>
        </w:rPr>
      </w:pPr>
    </w:p>
    <w:p w14:paraId="2D18CA79">
      <w:pPr>
        <w:rPr>
          <w:rFonts w:hint="eastAsia" w:ascii="仿宋" w:hAnsi="仿宋" w:eastAsia="仿宋" w:cs="仿宋"/>
          <w:color w:val="auto"/>
          <w:kern w:val="0"/>
          <w:sz w:val="24"/>
          <w:szCs w:val="24"/>
          <w:highlight w:val="none"/>
        </w:rPr>
      </w:pPr>
    </w:p>
    <w:p w14:paraId="3B4BC083">
      <w:pPr>
        <w:rPr>
          <w:rFonts w:hint="eastAsia" w:ascii="仿宋" w:hAnsi="仿宋" w:eastAsia="仿宋" w:cs="仿宋"/>
          <w:color w:val="auto"/>
          <w:kern w:val="0"/>
          <w:sz w:val="24"/>
          <w:szCs w:val="24"/>
          <w:highlight w:val="none"/>
        </w:rPr>
      </w:pPr>
    </w:p>
    <w:p w14:paraId="5463772B">
      <w:pPr>
        <w:rPr>
          <w:rFonts w:hint="eastAsia" w:ascii="仿宋" w:hAnsi="仿宋" w:eastAsia="仿宋" w:cs="仿宋"/>
          <w:color w:val="auto"/>
          <w:kern w:val="0"/>
          <w:sz w:val="24"/>
          <w:szCs w:val="24"/>
          <w:highlight w:val="none"/>
        </w:rPr>
      </w:pPr>
    </w:p>
    <w:p w14:paraId="740288CD">
      <w:pPr>
        <w:rPr>
          <w:rFonts w:hint="eastAsia" w:ascii="仿宋" w:hAnsi="仿宋" w:eastAsia="仿宋" w:cs="仿宋"/>
          <w:color w:val="auto"/>
          <w:kern w:val="0"/>
          <w:sz w:val="24"/>
          <w:szCs w:val="24"/>
          <w:highlight w:val="none"/>
        </w:rPr>
      </w:pPr>
    </w:p>
    <w:p w14:paraId="69E01ACA">
      <w:pPr>
        <w:rPr>
          <w:rFonts w:hint="eastAsia" w:ascii="仿宋" w:hAnsi="仿宋" w:eastAsia="仿宋" w:cs="仿宋"/>
          <w:color w:val="auto"/>
          <w:kern w:val="0"/>
          <w:sz w:val="24"/>
          <w:szCs w:val="24"/>
          <w:highlight w:val="none"/>
        </w:rPr>
      </w:pPr>
    </w:p>
    <w:p w14:paraId="13CD7222">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磋商小组成员：</w:t>
      </w:r>
    </w:p>
    <w:p w14:paraId="1B503C68">
      <w:pPr>
        <w:rPr>
          <w:rFonts w:hint="eastAsia" w:ascii="仿宋" w:hAnsi="仿宋" w:eastAsia="仿宋" w:cs="仿宋"/>
          <w:color w:val="auto"/>
          <w:kern w:val="0"/>
          <w:sz w:val="24"/>
          <w:szCs w:val="24"/>
          <w:highlight w:val="none"/>
        </w:rPr>
      </w:pPr>
    </w:p>
    <w:p w14:paraId="3C847089">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786C6D9B">
      <w:pPr>
        <w:jc w:val="center"/>
        <w:rPr>
          <w:rFonts w:hint="eastAsia" w:ascii="仿宋" w:hAnsi="仿宋" w:eastAsia="仿宋" w:cs="仿宋"/>
          <w:b/>
          <w:color w:val="auto"/>
          <w:sz w:val="24"/>
          <w:szCs w:val="24"/>
          <w:highlight w:val="none"/>
        </w:rPr>
      </w:pPr>
      <w:r>
        <w:rPr>
          <w:rFonts w:hint="eastAsia" w:ascii="仿宋" w:hAnsi="仿宋" w:eastAsia="仿宋" w:cs="仿宋"/>
          <w:color w:val="auto"/>
          <w:kern w:val="0"/>
          <w:sz w:val="24"/>
          <w:szCs w:val="24"/>
          <w:highlight w:val="none"/>
        </w:rPr>
        <w:br w:type="page"/>
      </w:r>
      <w:r>
        <w:rPr>
          <w:rFonts w:hint="eastAsia" w:ascii="仿宋" w:hAnsi="仿宋" w:eastAsia="仿宋" w:cs="仿宋"/>
          <w:b/>
          <w:color w:val="auto"/>
          <w:sz w:val="24"/>
          <w:szCs w:val="24"/>
          <w:highlight w:val="none"/>
        </w:rPr>
        <w:t>问题的澄清、说明或补正</w:t>
      </w:r>
    </w:p>
    <w:p w14:paraId="2F009587">
      <w:pPr>
        <w:rPr>
          <w:rFonts w:hint="eastAsia" w:ascii="仿宋" w:hAnsi="仿宋" w:eastAsia="仿宋" w:cs="仿宋"/>
          <w:color w:val="auto"/>
          <w:kern w:val="0"/>
          <w:sz w:val="24"/>
          <w:szCs w:val="24"/>
          <w:highlight w:val="none"/>
        </w:rPr>
      </w:pPr>
    </w:p>
    <w:p w14:paraId="1CA98E3C">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磋商小组：</w:t>
      </w:r>
    </w:p>
    <w:p w14:paraId="509842E8">
      <w:pPr>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（采购项目名称）的问题澄清通知已收悉，现澄清、说明或者补正如下：</w:t>
      </w:r>
    </w:p>
    <w:p w14:paraId="45D9E46F">
      <w:pPr>
        <w:rPr>
          <w:rFonts w:hint="eastAsia" w:ascii="仿宋" w:hAnsi="仿宋" w:eastAsia="仿宋" w:cs="仿宋"/>
          <w:color w:val="auto"/>
          <w:kern w:val="0"/>
          <w:sz w:val="24"/>
          <w:szCs w:val="24"/>
          <w:highlight w:val="none"/>
        </w:rPr>
      </w:pPr>
    </w:p>
    <w:p w14:paraId="0BBBA70F">
      <w:pPr>
        <w:rPr>
          <w:rFonts w:hint="eastAsia" w:ascii="仿宋" w:hAnsi="仿宋" w:eastAsia="仿宋" w:cs="仿宋"/>
          <w:color w:val="auto"/>
          <w:kern w:val="0"/>
          <w:sz w:val="24"/>
          <w:szCs w:val="24"/>
          <w:highlight w:val="none"/>
        </w:rPr>
      </w:pPr>
    </w:p>
    <w:p w14:paraId="568190B6">
      <w:pPr>
        <w:rPr>
          <w:rFonts w:hint="eastAsia" w:ascii="仿宋" w:hAnsi="仿宋" w:eastAsia="仿宋" w:cs="仿宋"/>
          <w:color w:val="auto"/>
          <w:kern w:val="0"/>
          <w:sz w:val="24"/>
          <w:szCs w:val="24"/>
          <w:highlight w:val="none"/>
        </w:rPr>
      </w:pPr>
    </w:p>
    <w:p w14:paraId="6EC07BF8">
      <w:pPr>
        <w:rPr>
          <w:rFonts w:hint="eastAsia" w:ascii="仿宋" w:hAnsi="仿宋" w:eastAsia="仿宋" w:cs="仿宋"/>
          <w:color w:val="auto"/>
          <w:kern w:val="0"/>
          <w:sz w:val="24"/>
          <w:szCs w:val="24"/>
          <w:highlight w:val="none"/>
        </w:rPr>
      </w:pPr>
    </w:p>
    <w:p w14:paraId="3945377F">
      <w:pPr>
        <w:rPr>
          <w:rFonts w:hint="eastAsia" w:ascii="仿宋" w:hAnsi="仿宋" w:eastAsia="仿宋" w:cs="仿宋"/>
          <w:color w:val="auto"/>
          <w:kern w:val="0"/>
          <w:sz w:val="24"/>
          <w:szCs w:val="24"/>
          <w:highlight w:val="none"/>
        </w:rPr>
      </w:pPr>
    </w:p>
    <w:p w14:paraId="7DE246F2">
      <w:pPr>
        <w:rPr>
          <w:rFonts w:hint="eastAsia" w:ascii="仿宋" w:hAnsi="仿宋" w:eastAsia="仿宋" w:cs="仿宋"/>
          <w:color w:val="auto"/>
          <w:kern w:val="0"/>
          <w:sz w:val="24"/>
          <w:szCs w:val="24"/>
          <w:highlight w:val="none"/>
        </w:rPr>
      </w:pPr>
    </w:p>
    <w:p w14:paraId="245D2113">
      <w:pPr>
        <w:rPr>
          <w:rFonts w:hint="eastAsia" w:ascii="仿宋" w:hAnsi="仿宋" w:eastAsia="仿宋" w:cs="仿宋"/>
          <w:color w:val="auto"/>
          <w:kern w:val="0"/>
          <w:sz w:val="24"/>
          <w:szCs w:val="24"/>
          <w:highlight w:val="none"/>
        </w:rPr>
      </w:pPr>
    </w:p>
    <w:p w14:paraId="69D5B153">
      <w:pPr>
        <w:rPr>
          <w:rFonts w:hint="eastAsia" w:ascii="仿宋" w:hAnsi="仿宋" w:eastAsia="仿宋" w:cs="仿宋"/>
          <w:color w:val="auto"/>
          <w:kern w:val="0"/>
          <w:sz w:val="24"/>
          <w:szCs w:val="24"/>
          <w:highlight w:val="none"/>
        </w:rPr>
      </w:pPr>
    </w:p>
    <w:p w14:paraId="57520206">
      <w:pPr>
        <w:rPr>
          <w:rFonts w:hint="eastAsia" w:ascii="仿宋" w:hAnsi="仿宋" w:eastAsia="仿宋" w:cs="仿宋"/>
          <w:color w:val="auto"/>
          <w:kern w:val="0"/>
          <w:sz w:val="24"/>
          <w:szCs w:val="24"/>
          <w:highlight w:val="none"/>
        </w:rPr>
      </w:pPr>
    </w:p>
    <w:p w14:paraId="0FAB9F17">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法定代表人或其授权委托人（签字）：</w:t>
      </w:r>
    </w:p>
    <w:p w14:paraId="20B387B2">
      <w:pPr>
        <w:rPr>
          <w:rFonts w:hint="eastAsia" w:ascii="仿宋" w:hAnsi="仿宋" w:eastAsia="仿宋" w:cs="仿宋"/>
          <w:color w:val="auto"/>
          <w:kern w:val="0"/>
          <w:sz w:val="24"/>
          <w:szCs w:val="24"/>
          <w:highlight w:val="none"/>
        </w:rPr>
      </w:pPr>
    </w:p>
    <w:p w14:paraId="1D00BA78">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7D36FD51">
      <w:pPr>
        <w:widowControl/>
        <w:jc w:val="center"/>
        <w:outlineLvl w:val="0"/>
        <w:rPr>
          <w:rFonts w:hint="eastAsia" w:ascii="仿宋" w:hAnsi="仿宋" w:eastAsia="仿宋" w:cs="仿宋"/>
          <w:b/>
          <w:color w:val="auto"/>
          <w:sz w:val="24"/>
          <w:szCs w:val="24"/>
          <w:highlight w:val="none"/>
          <w:lang w:eastAsia="zh-CN"/>
        </w:rPr>
      </w:pPr>
      <w:r>
        <w:rPr>
          <w:rFonts w:hint="eastAsia" w:ascii="仿宋" w:hAnsi="仿宋" w:eastAsia="仿宋" w:cs="仿宋"/>
          <w:color w:val="auto"/>
          <w:kern w:val="0"/>
          <w:sz w:val="24"/>
          <w:szCs w:val="24"/>
          <w:highlight w:val="none"/>
        </w:rPr>
        <w:br w:type="page"/>
      </w:r>
      <w:bookmarkEnd w:id="40"/>
      <w:bookmarkStart w:id="41" w:name="_Toc507586162"/>
      <w:bookmarkStart w:id="42" w:name="_Toc38446459"/>
      <w:bookmarkStart w:id="43" w:name="_Toc31392"/>
      <w:r>
        <w:rPr>
          <w:rFonts w:hint="eastAsia" w:ascii="仿宋" w:hAnsi="仿宋" w:eastAsia="仿宋" w:cs="仿宋"/>
          <w:b/>
          <w:color w:val="auto"/>
          <w:sz w:val="24"/>
          <w:szCs w:val="24"/>
          <w:highlight w:val="none"/>
        </w:rPr>
        <w:t xml:space="preserve">第三章 </w:t>
      </w:r>
      <w:bookmarkEnd w:id="41"/>
      <w:bookmarkEnd w:id="42"/>
      <w:r>
        <w:rPr>
          <w:rFonts w:hint="eastAsia" w:ascii="仿宋" w:hAnsi="仿宋" w:eastAsia="仿宋" w:cs="仿宋"/>
          <w:b/>
          <w:color w:val="auto"/>
          <w:sz w:val="24"/>
          <w:szCs w:val="24"/>
          <w:highlight w:val="none"/>
          <w:lang w:eastAsia="zh-CN"/>
        </w:rPr>
        <w:t>合同文本</w:t>
      </w:r>
      <w:bookmarkEnd w:id="43"/>
    </w:p>
    <w:p w14:paraId="29FACB2A">
      <w:pPr>
        <w:pageBreakBefore w:val="0"/>
        <w:kinsoku/>
        <w:wordWrap/>
        <w:overflowPunct/>
        <w:topLinePunct w:val="0"/>
        <w:autoSpaceDE w:val="0"/>
        <w:autoSpaceDN w:val="0"/>
        <w:bidi w:val="0"/>
        <w:jc w:val="center"/>
        <w:textAlignment w:val="auto"/>
        <w:outlineLvl w:val="9"/>
        <w:rPr>
          <w:rFonts w:hint="eastAsia" w:ascii="仿宋" w:hAnsi="仿宋" w:eastAsia="仿宋" w:cs="仿宋"/>
          <w:b/>
          <w:color w:val="auto"/>
          <w:sz w:val="24"/>
          <w:szCs w:val="24"/>
          <w:highlight w:val="none"/>
        </w:rPr>
      </w:pPr>
      <w:r>
        <w:rPr>
          <w:rFonts w:hint="eastAsia" w:ascii="仿宋" w:hAnsi="仿宋" w:eastAsia="仿宋" w:cs="仿宋"/>
          <w:color w:val="auto"/>
          <w:highlight w:val="none"/>
        </w:rPr>
        <w:t>注：本合同文本供参考，具体内容以双方签订的为准。</w:t>
      </w:r>
    </w:p>
    <w:p w14:paraId="46336DDE">
      <w:pPr>
        <w:pageBreakBefore w:val="0"/>
        <w:kinsoku/>
        <w:wordWrap/>
        <w:overflowPunct/>
        <w:topLinePunct w:val="0"/>
        <w:autoSpaceDE w:val="0"/>
        <w:autoSpaceDN w:val="0"/>
        <w:bidi w:val="0"/>
        <w:snapToGrid/>
        <w:textAlignment w:val="auto"/>
        <w:outlineLvl w:val="9"/>
        <w:rPr>
          <w:rFonts w:hint="eastAsia" w:ascii="仿宋" w:hAnsi="仿宋" w:eastAsia="仿宋" w:cs="仿宋"/>
          <w:color w:val="auto"/>
          <w:sz w:val="24"/>
          <w:szCs w:val="24"/>
          <w:highlight w:val="none"/>
        </w:rPr>
      </w:pPr>
    </w:p>
    <w:p w14:paraId="482DF792">
      <w:pPr>
        <w:pageBreakBefore w:val="0"/>
        <w:kinsoku/>
        <w:wordWrap/>
        <w:overflowPunct/>
        <w:topLinePunct w:val="0"/>
        <w:bidi w:val="0"/>
        <w:snapToGrid/>
        <w:outlineLvl w:val="9"/>
        <w:rPr>
          <w:rFonts w:hint="eastAsia" w:ascii="仿宋" w:hAnsi="仿宋" w:eastAsia="仿宋" w:cs="仿宋"/>
          <w:color w:val="auto"/>
          <w:sz w:val="24"/>
          <w:szCs w:val="24"/>
          <w:highlight w:val="none"/>
        </w:rPr>
      </w:pPr>
    </w:p>
    <w:p w14:paraId="47A46191">
      <w:pPr>
        <w:pStyle w:val="2"/>
        <w:spacing w:line="413" w:lineRule="auto"/>
        <w:jc w:val="center"/>
        <w:rPr>
          <w:rFonts w:hint="eastAsia" w:ascii="仿宋" w:hAnsi="仿宋" w:eastAsia="仿宋" w:cs="仿宋"/>
          <w:b w:val="0"/>
          <w:color w:val="auto"/>
          <w:sz w:val="28"/>
          <w:szCs w:val="28"/>
          <w:highlight w:val="none"/>
        </w:rPr>
      </w:pPr>
      <w:bookmarkStart w:id="44" w:name="_Toc2496"/>
      <w:r>
        <w:rPr>
          <w:rFonts w:hint="eastAsia" w:ascii="仿宋" w:hAnsi="仿宋" w:eastAsia="仿宋" w:cs="仿宋"/>
          <w:color w:val="auto"/>
          <w:sz w:val="28"/>
          <w:szCs w:val="28"/>
          <w:highlight w:val="none"/>
        </w:rPr>
        <w:t>第一部分 合同协议书</w:t>
      </w:r>
      <w:bookmarkEnd w:id="44"/>
    </w:p>
    <w:p w14:paraId="1B74FBBD">
      <w:pPr>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发包人（全称）：</w:t>
      </w:r>
      <w:r>
        <w:rPr>
          <w:rFonts w:hint="eastAsia" w:ascii="仿宋" w:hAnsi="仿宋" w:eastAsia="仿宋" w:cs="仿宋"/>
          <w:b/>
          <w:color w:val="auto"/>
          <w:sz w:val="24"/>
          <w:szCs w:val="24"/>
          <w:highlight w:val="none"/>
          <w:u w:val="single"/>
        </w:rPr>
        <w:t xml:space="preserve">           新疆农业大学                 </w:t>
      </w:r>
    </w:p>
    <w:p w14:paraId="25E0D737">
      <w:pPr>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承包人（全称）：</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u w:val="single"/>
          <w:lang w:eastAsia="zh-CN"/>
        </w:rPr>
        <w:t xml:space="preserve">    </w:t>
      </w:r>
      <w:r>
        <w:rPr>
          <w:rFonts w:hint="eastAsia" w:ascii="仿宋" w:hAnsi="仿宋" w:eastAsia="仿宋" w:cs="仿宋"/>
          <w:b/>
          <w:color w:val="auto"/>
          <w:sz w:val="24"/>
          <w:szCs w:val="24"/>
          <w:highlight w:val="none"/>
          <w:u w:val="single"/>
        </w:rPr>
        <w:t xml:space="preserve">         </w:t>
      </w:r>
    </w:p>
    <w:p w14:paraId="4F6E47BE">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根据《中华人民共和国民法典》、《中华人民共和国建筑法》及有关法律规定，遵循平等、自愿、公平和诚实信用的原则，双方就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工程施工及有关事项协商一致，共同达成如下协议：</w:t>
      </w:r>
    </w:p>
    <w:p w14:paraId="049DB21B">
      <w:pPr>
        <w:pStyle w:val="5"/>
        <w:spacing w:before="0" w:after="0"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45" w:name="_Toc19207"/>
      <w:r>
        <w:rPr>
          <w:rFonts w:hint="eastAsia" w:ascii="仿宋" w:hAnsi="仿宋" w:eastAsia="仿宋" w:cs="仿宋"/>
          <w:b w:val="0"/>
          <w:color w:val="auto"/>
          <w:sz w:val="24"/>
          <w:szCs w:val="24"/>
          <w:highlight w:val="none"/>
        </w:rPr>
        <w:t>一、工程概况</w:t>
      </w:r>
      <w:bookmarkEnd w:id="45"/>
    </w:p>
    <w:p w14:paraId="591DD59B">
      <w:pPr>
        <w:spacing w:line="440" w:lineRule="exact"/>
        <w:ind w:firstLine="470" w:firstLineChars="196"/>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1.工程名称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A8AB3AA">
      <w:pPr>
        <w:spacing w:line="440" w:lineRule="exact"/>
        <w:ind w:firstLine="470" w:firstLineChars="196"/>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2.工程地点：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A086031">
      <w:pPr>
        <w:spacing w:line="440" w:lineRule="exact"/>
        <w:ind w:firstLine="470" w:firstLineChars="196"/>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3.工程立项批准文号：</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rPr>
        <w:t>。</w:t>
      </w:r>
    </w:p>
    <w:p w14:paraId="0E13566B">
      <w:pPr>
        <w:tabs>
          <w:tab w:val="left" w:pos="7340"/>
        </w:tabs>
        <w:spacing w:line="440" w:lineRule="exact"/>
        <w:ind w:firstLine="470" w:firstLineChars="196"/>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4.资金来源：</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rPr>
        <w:tab/>
      </w:r>
    </w:p>
    <w:p w14:paraId="59209373">
      <w:pPr>
        <w:spacing w:line="440" w:lineRule="exact"/>
        <w:ind w:firstLine="470" w:firstLineChars="196"/>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5.工程内容：</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rPr>
        <w:t>。</w:t>
      </w:r>
    </w:p>
    <w:p w14:paraId="5A99786E">
      <w:pPr>
        <w:spacing w:line="440" w:lineRule="exact"/>
        <w:ind w:firstLine="470" w:firstLineChars="196"/>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群体工程应附《承包人承揽工程项目一览表》（附件1）。</w:t>
      </w:r>
    </w:p>
    <w:p w14:paraId="125414E2">
      <w:pPr>
        <w:spacing w:line="440" w:lineRule="exact"/>
        <w:ind w:firstLine="470" w:firstLineChars="196"/>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6.工程承包范围：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p>
    <w:p w14:paraId="46DC9F74">
      <w:pPr>
        <w:pStyle w:val="5"/>
        <w:spacing w:before="0" w:after="0" w:line="440" w:lineRule="exact"/>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   </w:t>
      </w:r>
      <w:bookmarkStart w:id="46" w:name="_Toc16720"/>
      <w:r>
        <w:rPr>
          <w:rFonts w:hint="eastAsia" w:ascii="仿宋" w:hAnsi="仿宋" w:eastAsia="仿宋" w:cs="仿宋"/>
          <w:b w:val="0"/>
          <w:color w:val="auto"/>
          <w:sz w:val="24"/>
          <w:szCs w:val="24"/>
          <w:highlight w:val="none"/>
        </w:rPr>
        <w:t>二、合同工期</w:t>
      </w:r>
      <w:bookmarkEnd w:id="46"/>
    </w:p>
    <w:p w14:paraId="05946911">
      <w:pPr>
        <w:spacing w:line="440" w:lineRule="exact"/>
        <w:ind w:firstLine="45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计划开工日期：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312233EA">
      <w:pPr>
        <w:spacing w:line="440" w:lineRule="exact"/>
        <w:ind w:firstLine="45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计划竣工日期：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1975B6F0">
      <w:pPr>
        <w:spacing w:line="440" w:lineRule="exact"/>
        <w:ind w:firstLine="45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工期总日历天数：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天。工期总日历天数与根据前述计划开竣工日期计算的工期天数不一致的，以工期总日历天数为准。</w:t>
      </w:r>
    </w:p>
    <w:p w14:paraId="68C564F0">
      <w:pPr>
        <w:pStyle w:val="5"/>
        <w:spacing w:before="0" w:after="0"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bookmarkStart w:id="47" w:name="_Toc27014"/>
      <w:r>
        <w:rPr>
          <w:rFonts w:hint="eastAsia" w:ascii="仿宋" w:hAnsi="仿宋" w:eastAsia="仿宋" w:cs="仿宋"/>
          <w:b w:val="0"/>
          <w:color w:val="auto"/>
          <w:sz w:val="24"/>
          <w:szCs w:val="24"/>
          <w:highlight w:val="none"/>
        </w:rPr>
        <w:t>三、质量标准</w:t>
      </w:r>
      <w:bookmarkEnd w:id="47"/>
    </w:p>
    <w:p w14:paraId="7E868835">
      <w:pPr>
        <w:spacing w:line="440" w:lineRule="exact"/>
        <w:ind w:firstLine="45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工程质量符合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标准。必须满足一次性交验合格，如达不到交验标准，产生的费用由承包人自行承担。</w:t>
      </w:r>
    </w:p>
    <w:p w14:paraId="493EC657">
      <w:pPr>
        <w:pStyle w:val="5"/>
        <w:spacing w:before="0" w:after="0"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48" w:name="_Toc25443"/>
      <w:r>
        <w:rPr>
          <w:rFonts w:hint="eastAsia" w:ascii="仿宋" w:hAnsi="仿宋" w:eastAsia="仿宋" w:cs="仿宋"/>
          <w:b w:val="0"/>
          <w:color w:val="auto"/>
          <w:sz w:val="24"/>
          <w:szCs w:val="24"/>
          <w:highlight w:val="none"/>
        </w:rPr>
        <w:t>四、签约合同价与合同价格形式</w:t>
      </w:r>
      <w:bookmarkEnd w:id="48"/>
      <w:r>
        <w:rPr>
          <w:rFonts w:hint="eastAsia" w:ascii="仿宋" w:hAnsi="仿宋" w:eastAsia="仿宋" w:cs="仿宋"/>
          <w:b w:val="0"/>
          <w:color w:val="auto"/>
          <w:sz w:val="24"/>
          <w:szCs w:val="24"/>
          <w:highlight w:val="none"/>
        </w:rPr>
        <w:tab/>
      </w:r>
    </w:p>
    <w:p w14:paraId="176792ED">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1.签约合同价为：</w:t>
      </w:r>
    </w:p>
    <w:p w14:paraId="09E0EB4B">
      <w:pPr>
        <w:spacing w:line="440" w:lineRule="exact"/>
        <w:ind w:firstLine="600" w:firstLineChars="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元)；</w:t>
      </w:r>
    </w:p>
    <w:p w14:paraId="6383E2A3">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其中：</w:t>
      </w:r>
    </w:p>
    <w:p w14:paraId="1C25AA06">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（1）安全文明施工费：</w:t>
      </w:r>
    </w:p>
    <w:p w14:paraId="41832BBF">
      <w:pPr>
        <w:spacing w:line="440" w:lineRule="exact"/>
        <w:ind w:firstLine="1080" w:firstLineChars="4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03CF34A2">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（2）材料和工程设备暂估价金额：</w:t>
      </w:r>
    </w:p>
    <w:p w14:paraId="7EECD602">
      <w:pPr>
        <w:spacing w:line="440" w:lineRule="exact"/>
        <w:ind w:firstLine="1080" w:firstLineChars="4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3E3672B7">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（3）专业工程暂估价金额：</w:t>
      </w:r>
    </w:p>
    <w:p w14:paraId="574E5EEB">
      <w:pPr>
        <w:spacing w:line="440" w:lineRule="exact"/>
        <w:ind w:firstLine="1080" w:firstLineChars="4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64DEE791">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（4）暂列金额：</w:t>
      </w:r>
    </w:p>
    <w:p w14:paraId="471071DD">
      <w:pPr>
        <w:spacing w:line="440" w:lineRule="exact"/>
        <w:ind w:firstLine="1080" w:firstLineChars="4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21A92CC6">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2.合同价格形式：</w:t>
      </w:r>
      <w:r>
        <w:rPr>
          <w:rFonts w:hint="eastAsia" w:ascii="仿宋" w:hAnsi="仿宋" w:eastAsia="仿宋" w:cs="仿宋"/>
          <w:color w:val="auto"/>
          <w:sz w:val="24"/>
          <w:szCs w:val="24"/>
          <w:highlight w:val="none"/>
          <w:u w:val="single"/>
        </w:rPr>
        <w:t xml:space="preserve">     单价合同        </w:t>
      </w:r>
      <w:r>
        <w:rPr>
          <w:rFonts w:hint="eastAsia" w:ascii="仿宋" w:hAnsi="仿宋" w:eastAsia="仿宋" w:cs="仿宋"/>
          <w:color w:val="auto"/>
          <w:sz w:val="24"/>
          <w:szCs w:val="24"/>
          <w:highlight w:val="none"/>
        </w:rPr>
        <w:t>。</w:t>
      </w:r>
    </w:p>
    <w:p w14:paraId="6D95E60F">
      <w:pPr>
        <w:pStyle w:val="5"/>
        <w:spacing w:before="0" w:after="0" w:line="440" w:lineRule="exact"/>
        <w:rPr>
          <w:rFonts w:hint="eastAsia" w:ascii="仿宋" w:hAnsi="仿宋" w:eastAsia="仿宋" w:cs="仿宋"/>
          <w:b w:val="0"/>
          <w:color w:val="auto"/>
          <w:sz w:val="24"/>
          <w:szCs w:val="24"/>
          <w:highlight w:val="none"/>
        </w:rPr>
      </w:pPr>
      <w:r>
        <w:rPr>
          <w:rFonts w:hint="eastAsia" w:ascii="仿宋" w:hAnsi="仿宋" w:eastAsia="仿宋" w:cs="仿宋"/>
          <w:bCs w:val="0"/>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49" w:name="_Toc9030"/>
      <w:r>
        <w:rPr>
          <w:rFonts w:hint="eastAsia" w:ascii="仿宋" w:hAnsi="仿宋" w:eastAsia="仿宋" w:cs="仿宋"/>
          <w:b w:val="0"/>
          <w:color w:val="auto"/>
          <w:sz w:val="24"/>
          <w:szCs w:val="24"/>
          <w:highlight w:val="none"/>
        </w:rPr>
        <w:t>五、项目经理</w:t>
      </w:r>
      <w:bookmarkEnd w:id="49"/>
    </w:p>
    <w:p w14:paraId="26DDA3F9">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C922106">
      <w:pPr>
        <w:pStyle w:val="5"/>
        <w:spacing w:before="0" w:after="0"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50" w:name="_Toc3165"/>
      <w:r>
        <w:rPr>
          <w:rFonts w:hint="eastAsia" w:ascii="仿宋" w:hAnsi="仿宋" w:eastAsia="仿宋" w:cs="仿宋"/>
          <w:b w:val="0"/>
          <w:color w:val="auto"/>
          <w:sz w:val="24"/>
          <w:szCs w:val="24"/>
          <w:highlight w:val="none"/>
        </w:rPr>
        <w:t>六、合同文件构成</w:t>
      </w:r>
      <w:bookmarkEnd w:id="50"/>
    </w:p>
    <w:p w14:paraId="41AEAE70">
      <w:pPr>
        <w:spacing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本协议书与下列文件一起构成合同文件：</w:t>
      </w:r>
    </w:p>
    <w:p w14:paraId="2A3F98DA">
      <w:pPr>
        <w:autoSpaceDE w:val="0"/>
        <w:autoSpaceDN w:val="0"/>
        <w:adjustRightInd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（1）中标通知书（如果有）；</w:t>
      </w:r>
    </w:p>
    <w:p w14:paraId="5DB3359D">
      <w:pPr>
        <w:autoSpaceDE w:val="0"/>
        <w:autoSpaceDN w:val="0"/>
        <w:adjustRightInd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p>
    <w:p w14:paraId="2ED13099">
      <w:pPr>
        <w:autoSpaceDE w:val="0"/>
        <w:autoSpaceDN w:val="0"/>
        <w:adjustRightInd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（3）专用合同条款及其附件；</w:t>
      </w:r>
    </w:p>
    <w:p w14:paraId="59AD568A">
      <w:pPr>
        <w:autoSpaceDE w:val="0"/>
        <w:autoSpaceDN w:val="0"/>
        <w:adjustRightInd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（4）通用合同条款；</w:t>
      </w:r>
    </w:p>
    <w:p w14:paraId="3194C402">
      <w:pPr>
        <w:autoSpaceDE w:val="0"/>
        <w:autoSpaceDN w:val="0"/>
        <w:adjustRightInd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（5）技术标准和要求；</w:t>
      </w:r>
    </w:p>
    <w:p w14:paraId="01294BB2">
      <w:pPr>
        <w:autoSpaceDE w:val="0"/>
        <w:autoSpaceDN w:val="0"/>
        <w:adjustRightInd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（6）图纸；</w:t>
      </w:r>
    </w:p>
    <w:p w14:paraId="4047A80F">
      <w:pPr>
        <w:autoSpaceDE w:val="0"/>
        <w:autoSpaceDN w:val="0"/>
        <w:adjustRightInd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（7）已标价工程量清单或预算书；</w:t>
      </w:r>
    </w:p>
    <w:p w14:paraId="13B5E0BC">
      <w:pPr>
        <w:autoSpaceDE w:val="0"/>
        <w:autoSpaceDN w:val="0"/>
        <w:adjustRightInd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（8）其他合同文件。</w:t>
      </w:r>
    </w:p>
    <w:p w14:paraId="7348E7B8">
      <w:pPr>
        <w:autoSpaceDE w:val="0"/>
        <w:autoSpaceDN w:val="0"/>
        <w:adjustRightInd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在合同订立及履行过程中形成的与合同有关的文件均构成合同文件组成部分。</w:t>
      </w:r>
    </w:p>
    <w:p w14:paraId="2952ECB4">
      <w:pPr>
        <w:autoSpaceDE w:val="0"/>
        <w:autoSpaceDN w:val="0"/>
        <w:adjustRightInd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388CC758">
      <w:pPr>
        <w:pStyle w:val="5"/>
        <w:spacing w:before="0" w:after="0" w:line="44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51" w:name="_Toc839"/>
      <w:r>
        <w:rPr>
          <w:rFonts w:hint="eastAsia" w:ascii="仿宋" w:hAnsi="仿宋" w:eastAsia="仿宋" w:cs="仿宋"/>
          <w:b w:val="0"/>
          <w:color w:val="auto"/>
          <w:sz w:val="24"/>
          <w:szCs w:val="24"/>
          <w:highlight w:val="none"/>
        </w:rPr>
        <w:t>七、承诺</w:t>
      </w:r>
      <w:bookmarkEnd w:id="51"/>
    </w:p>
    <w:p w14:paraId="702AB811">
      <w:pPr>
        <w:spacing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1.发包人承诺按照法律规定履行项目审批手续、筹集工程建设资金并按照合同约定的期限和方式支付合同价款。</w:t>
      </w:r>
    </w:p>
    <w:p w14:paraId="40096F66">
      <w:pPr>
        <w:spacing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48C9FD5B">
      <w:pPr>
        <w:spacing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3.发包人和承包人通过招投标形式签订合同的，双方理解并承诺不再就同一工程另行签订与合同实质性内容相背离的协议。</w:t>
      </w:r>
    </w:p>
    <w:p w14:paraId="37E8E86A">
      <w:pPr>
        <w:spacing w:line="440" w:lineRule="exact"/>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    八、词语含义</w:t>
      </w:r>
    </w:p>
    <w:p w14:paraId="762703D7">
      <w:pPr>
        <w:spacing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本协议书中词语含义与第二部分通用合同条款中赋予的含义相同。</w:t>
      </w:r>
    </w:p>
    <w:p w14:paraId="54214977">
      <w:pPr>
        <w:pStyle w:val="5"/>
        <w:spacing w:before="0" w:after="0"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52" w:name="_Toc17068"/>
      <w:r>
        <w:rPr>
          <w:rFonts w:hint="eastAsia" w:ascii="仿宋" w:hAnsi="仿宋" w:eastAsia="仿宋" w:cs="仿宋"/>
          <w:b w:val="0"/>
          <w:color w:val="auto"/>
          <w:sz w:val="24"/>
          <w:szCs w:val="24"/>
          <w:highlight w:val="none"/>
        </w:rPr>
        <w:t>九、签订时间</w:t>
      </w:r>
      <w:bookmarkEnd w:id="52"/>
    </w:p>
    <w:p w14:paraId="6A709854">
      <w:pPr>
        <w:spacing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本合同于</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日签订。</w:t>
      </w:r>
    </w:p>
    <w:p w14:paraId="6F6CE55D">
      <w:pPr>
        <w:pStyle w:val="5"/>
        <w:spacing w:before="0" w:after="0"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bookmarkStart w:id="53" w:name="_Toc10242"/>
      <w:r>
        <w:rPr>
          <w:rFonts w:hint="eastAsia" w:ascii="仿宋" w:hAnsi="仿宋" w:eastAsia="仿宋" w:cs="仿宋"/>
          <w:b w:val="0"/>
          <w:color w:val="auto"/>
          <w:sz w:val="24"/>
          <w:szCs w:val="24"/>
          <w:highlight w:val="none"/>
        </w:rPr>
        <w:t>十、签订地点</w:t>
      </w:r>
      <w:bookmarkEnd w:id="53"/>
    </w:p>
    <w:p w14:paraId="5394E870">
      <w:pPr>
        <w:spacing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本合同在</w:t>
      </w:r>
      <w:r>
        <w:rPr>
          <w:rFonts w:hint="eastAsia" w:ascii="仿宋" w:hAnsi="仿宋" w:eastAsia="仿宋" w:cs="仿宋"/>
          <w:bCs/>
          <w:color w:val="auto"/>
          <w:sz w:val="24"/>
          <w:szCs w:val="24"/>
          <w:highlight w:val="none"/>
          <w:u w:val="single"/>
        </w:rPr>
        <w:t xml:space="preserve">   新疆农业大学     </w:t>
      </w:r>
      <w:r>
        <w:rPr>
          <w:rFonts w:hint="eastAsia" w:ascii="仿宋" w:hAnsi="仿宋" w:eastAsia="仿宋" w:cs="仿宋"/>
          <w:bCs/>
          <w:color w:val="auto"/>
          <w:sz w:val="24"/>
          <w:szCs w:val="24"/>
          <w:highlight w:val="none"/>
        </w:rPr>
        <w:t>签订。</w:t>
      </w:r>
    </w:p>
    <w:p w14:paraId="487CD864">
      <w:pPr>
        <w:pStyle w:val="5"/>
        <w:spacing w:before="0" w:after="0"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bookmarkStart w:id="54" w:name="_Toc7583"/>
      <w:r>
        <w:rPr>
          <w:rFonts w:hint="eastAsia" w:ascii="仿宋" w:hAnsi="仿宋" w:eastAsia="仿宋" w:cs="仿宋"/>
          <w:b w:val="0"/>
          <w:color w:val="auto"/>
          <w:sz w:val="24"/>
          <w:szCs w:val="24"/>
          <w:highlight w:val="none"/>
        </w:rPr>
        <w:t>十一、补充协议</w:t>
      </w:r>
      <w:bookmarkEnd w:id="54"/>
    </w:p>
    <w:p w14:paraId="1880161D">
      <w:pPr>
        <w:spacing w:line="440" w:lineRule="exact"/>
        <w:ind w:firstLine="480" w:firstLineChars="200"/>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合同未尽事宜，合同当事人另行签订补充协议，补充协议是合同的组成部分。</w:t>
      </w:r>
    </w:p>
    <w:p w14:paraId="6816EFFA">
      <w:pPr>
        <w:pStyle w:val="5"/>
        <w:spacing w:before="0" w:after="0"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bookmarkStart w:id="55" w:name="_Toc23391"/>
      <w:r>
        <w:rPr>
          <w:rFonts w:hint="eastAsia" w:ascii="仿宋" w:hAnsi="仿宋" w:eastAsia="仿宋" w:cs="仿宋"/>
          <w:b w:val="0"/>
          <w:color w:val="auto"/>
          <w:sz w:val="24"/>
          <w:szCs w:val="24"/>
          <w:highlight w:val="none"/>
        </w:rPr>
        <w:t>十二、合同生效</w:t>
      </w:r>
      <w:bookmarkEnd w:id="55"/>
    </w:p>
    <w:p w14:paraId="558B3031">
      <w:pPr>
        <w:spacing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本合同自</w:t>
      </w:r>
      <w:r>
        <w:rPr>
          <w:rFonts w:hint="eastAsia" w:ascii="仿宋" w:hAnsi="仿宋" w:eastAsia="仿宋" w:cs="仿宋"/>
          <w:bCs/>
          <w:color w:val="auto"/>
          <w:sz w:val="24"/>
          <w:szCs w:val="24"/>
          <w:highlight w:val="none"/>
          <w:u w:val="single"/>
        </w:rPr>
        <w:t xml:space="preserve">  双方法定代表人或其授权代理人签字（盖章）并加盖本单位公章（合同专用章） </w:t>
      </w:r>
      <w:r>
        <w:rPr>
          <w:rFonts w:hint="eastAsia" w:ascii="仿宋" w:hAnsi="仿宋" w:eastAsia="仿宋" w:cs="仿宋"/>
          <w:bCs/>
          <w:color w:val="auto"/>
          <w:sz w:val="24"/>
          <w:szCs w:val="24"/>
          <w:highlight w:val="none"/>
        </w:rPr>
        <w:t>生效。</w:t>
      </w:r>
    </w:p>
    <w:p w14:paraId="630A3323">
      <w:pPr>
        <w:pStyle w:val="5"/>
        <w:spacing w:before="0" w:after="0"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bookmarkStart w:id="56" w:name="_Toc22533"/>
      <w:r>
        <w:rPr>
          <w:rFonts w:hint="eastAsia" w:ascii="仿宋" w:hAnsi="仿宋" w:eastAsia="仿宋" w:cs="仿宋"/>
          <w:b w:val="0"/>
          <w:color w:val="auto"/>
          <w:sz w:val="24"/>
          <w:szCs w:val="24"/>
          <w:highlight w:val="none"/>
        </w:rPr>
        <w:t>十三、合同份数</w:t>
      </w:r>
      <w:bookmarkEnd w:id="56"/>
    </w:p>
    <w:p w14:paraId="726B0BB2">
      <w:pPr>
        <w:spacing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本合同一式</w:t>
      </w:r>
      <w:r>
        <w:rPr>
          <w:rFonts w:hint="eastAsia" w:ascii="仿宋" w:hAnsi="仿宋" w:eastAsia="仿宋" w:cs="仿宋"/>
          <w:bCs/>
          <w:color w:val="auto"/>
          <w:sz w:val="24"/>
          <w:szCs w:val="24"/>
          <w:highlight w:val="none"/>
          <w:u w:val="single"/>
        </w:rPr>
        <w:t xml:space="preserve">  捌  </w:t>
      </w:r>
      <w:r>
        <w:rPr>
          <w:rFonts w:hint="eastAsia" w:ascii="仿宋" w:hAnsi="仿宋" w:eastAsia="仿宋" w:cs="仿宋"/>
          <w:bCs/>
          <w:color w:val="auto"/>
          <w:sz w:val="24"/>
          <w:szCs w:val="24"/>
          <w:highlight w:val="none"/>
        </w:rPr>
        <w:t>份，均具有同等法律效力，发包人执</w:t>
      </w:r>
      <w:r>
        <w:rPr>
          <w:rFonts w:hint="eastAsia" w:ascii="仿宋" w:hAnsi="仿宋" w:eastAsia="仿宋" w:cs="仿宋"/>
          <w:bCs/>
          <w:color w:val="auto"/>
          <w:sz w:val="24"/>
          <w:szCs w:val="24"/>
          <w:highlight w:val="none"/>
          <w:u w:val="single"/>
        </w:rPr>
        <w:t xml:space="preserve"> 肆  </w:t>
      </w:r>
      <w:r>
        <w:rPr>
          <w:rFonts w:hint="eastAsia" w:ascii="仿宋" w:hAnsi="仿宋" w:eastAsia="仿宋" w:cs="仿宋"/>
          <w:bCs/>
          <w:color w:val="auto"/>
          <w:sz w:val="24"/>
          <w:szCs w:val="24"/>
          <w:highlight w:val="none"/>
        </w:rPr>
        <w:t>份，承包人执</w:t>
      </w:r>
      <w:r>
        <w:rPr>
          <w:rFonts w:hint="eastAsia" w:ascii="仿宋" w:hAnsi="仿宋" w:eastAsia="仿宋" w:cs="仿宋"/>
          <w:bCs/>
          <w:color w:val="auto"/>
          <w:sz w:val="24"/>
          <w:szCs w:val="24"/>
          <w:highlight w:val="none"/>
          <w:u w:val="single"/>
        </w:rPr>
        <w:t xml:space="preserve"> 肆   </w:t>
      </w:r>
      <w:r>
        <w:rPr>
          <w:rFonts w:hint="eastAsia" w:ascii="仿宋" w:hAnsi="仿宋" w:eastAsia="仿宋" w:cs="仿宋"/>
          <w:bCs/>
          <w:color w:val="auto"/>
          <w:sz w:val="24"/>
          <w:szCs w:val="24"/>
          <w:highlight w:val="none"/>
        </w:rPr>
        <w:t>份。</w:t>
      </w:r>
    </w:p>
    <w:tbl>
      <w:tblPr>
        <w:tblStyle w:val="48"/>
        <w:tblpPr w:leftFromText="180" w:rightFromText="180" w:vertAnchor="text" w:tblpY="1"/>
        <w:tblOverlap w:val="never"/>
        <w:tblW w:w="9060" w:type="dxa"/>
        <w:tblInd w:w="0" w:type="dxa"/>
        <w:tblLayout w:type="fixed"/>
        <w:tblCellMar>
          <w:top w:w="0" w:type="dxa"/>
          <w:left w:w="108" w:type="dxa"/>
          <w:bottom w:w="0" w:type="dxa"/>
          <w:right w:w="108" w:type="dxa"/>
        </w:tblCellMar>
      </w:tblPr>
      <w:tblGrid>
        <w:gridCol w:w="4530"/>
        <w:gridCol w:w="4530"/>
      </w:tblGrid>
      <w:tr w14:paraId="61F170CD">
        <w:tblPrEx>
          <w:tblCellMar>
            <w:top w:w="0" w:type="dxa"/>
            <w:left w:w="108" w:type="dxa"/>
            <w:bottom w:w="0" w:type="dxa"/>
            <w:right w:w="108" w:type="dxa"/>
          </w:tblCellMar>
        </w:tblPrEx>
        <w:trPr>
          <w:trHeight w:val="1013" w:hRule="exact"/>
        </w:trPr>
        <w:tc>
          <w:tcPr>
            <w:tcW w:w="4530" w:type="dxa"/>
            <w:noWrap w:val="0"/>
            <w:vAlign w:val="top"/>
          </w:tcPr>
          <w:p w14:paraId="1A40A245">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发包人：（公章）</w:t>
            </w:r>
          </w:p>
        </w:tc>
        <w:tc>
          <w:tcPr>
            <w:tcW w:w="4530" w:type="dxa"/>
            <w:noWrap w:val="0"/>
            <w:vAlign w:val="top"/>
          </w:tcPr>
          <w:p w14:paraId="69F0709C">
            <w:pPr>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w:t>
            </w:r>
            <w:r>
              <w:rPr>
                <w:rFonts w:hint="eastAsia" w:ascii="仿宋" w:hAnsi="仿宋" w:eastAsia="仿宋" w:cs="仿宋"/>
                <w:color w:val="auto"/>
                <w:spacing w:val="-2"/>
                <w:sz w:val="24"/>
                <w:szCs w:val="24"/>
                <w:highlight w:val="none"/>
                <w:lang w:eastAsia="zh-CN"/>
              </w:rPr>
              <w:t xml:space="preserve">    </w:t>
            </w:r>
            <w:r>
              <w:rPr>
                <w:rFonts w:hint="eastAsia" w:ascii="仿宋" w:hAnsi="仿宋" w:eastAsia="仿宋" w:cs="仿宋"/>
                <w:color w:val="auto"/>
                <w:sz w:val="24"/>
                <w:szCs w:val="24"/>
                <w:highlight w:val="none"/>
              </w:rPr>
              <w:t>（公章）</w:t>
            </w:r>
          </w:p>
        </w:tc>
      </w:tr>
      <w:tr w14:paraId="0ACB2DA2">
        <w:tblPrEx>
          <w:tblCellMar>
            <w:top w:w="0" w:type="dxa"/>
            <w:left w:w="108" w:type="dxa"/>
            <w:bottom w:w="0" w:type="dxa"/>
            <w:right w:w="108" w:type="dxa"/>
          </w:tblCellMar>
        </w:tblPrEx>
        <w:trPr>
          <w:trHeight w:val="473" w:hRule="exact"/>
        </w:trPr>
        <w:tc>
          <w:tcPr>
            <w:tcW w:w="4530" w:type="dxa"/>
            <w:noWrap w:val="0"/>
            <w:vAlign w:val="top"/>
          </w:tcPr>
          <w:p w14:paraId="614BC29E">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p>
        </w:tc>
        <w:tc>
          <w:tcPr>
            <w:tcW w:w="4530" w:type="dxa"/>
            <w:noWrap w:val="0"/>
            <w:vAlign w:val="top"/>
          </w:tcPr>
          <w:p w14:paraId="0801E69E">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p>
        </w:tc>
      </w:tr>
      <w:tr w14:paraId="2AF63003">
        <w:tblPrEx>
          <w:tblCellMar>
            <w:top w:w="0" w:type="dxa"/>
            <w:left w:w="108" w:type="dxa"/>
            <w:bottom w:w="0" w:type="dxa"/>
            <w:right w:w="108" w:type="dxa"/>
          </w:tblCellMar>
        </w:tblPrEx>
        <w:trPr>
          <w:trHeight w:val="524" w:hRule="exact"/>
        </w:trPr>
        <w:tc>
          <w:tcPr>
            <w:tcW w:w="4530" w:type="dxa"/>
            <w:noWrap w:val="0"/>
            <w:vAlign w:val="top"/>
          </w:tcPr>
          <w:p w14:paraId="25296243">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w:t>
            </w:r>
          </w:p>
        </w:tc>
        <w:tc>
          <w:tcPr>
            <w:tcW w:w="4530" w:type="dxa"/>
            <w:noWrap w:val="0"/>
            <w:vAlign w:val="top"/>
          </w:tcPr>
          <w:p w14:paraId="7F16C879">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w:t>
            </w:r>
          </w:p>
        </w:tc>
      </w:tr>
      <w:tr w14:paraId="07D58C88">
        <w:tblPrEx>
          <w:tblCellMar>
            <w:top w:w="0" w:type="dxa"/>
            <w:left w:w="108" w:type="dxa"/>
            <w:bottom w:w="0" w:type="dxa"/>
            <w:right w:w="108" w:type="dxa"/>
          </w:tblCellMar>
        </w:tblPrEx>
        <w:trPr>
          <w:trHeight w:val="654" w:hRule="exact"/>
        </w:trPr>
        <w:tc>
          <w:tcPr>
            <w:tcW w:w="4530" w:type="dxa"/>
            <w:noWrap w:val="0"/>
            <w:vAlign w:val="top"/>
          </w:tcPr>
          <w:p w14:paraId="32A52BEE">
            <w:pPr>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rPr>
              <w:t xml:space="preserve">                   </w:t>
            </w:r>
          </w:p>
        </w:tc>
        <w:tc>
          <w:tcPr>
            <w:tcW w:w="4530" w:type="dxa"/>
            <w:noWrap w:val="0"/>
            <w:vAlign w:val="top"/>
          </w:tcPr>
          <w:p w14:paraId="0B12A853">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r>
      <w:tr w14:paraId="6AB8A533">
        <w:tblPrEx>
          <w:tblCellMar>
            <w:top w:w="0" w:type="dxa"/>
            <w:left w:w="108" w:type="dxa"/>
            <w:bottom w:w="0" w:type="dxa"/>
            <w:right w:w="108" w:type="dxa"/>
          </w:tblCellMar>
        </w:tblPrEx>
        <w:trPr>
          <w:trHeight w:val="1070" w:hRule="exact"/>
        </w:trPr>
        <w:tc>
          <w:tcPr>
            <w:tcW w:w="4530" w:type="dxa"/>
            <w:noWrap w:val="0"/>
            <w:vAlign w:val="top"/>
          </w:tcPr>
          <w:p w14:paraId="5931A49D">
            <w:pPr>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tc>
        <w:tc>
          <w:tcPr>
            <w:tcW w:w="4530" w:type="dxa"/>
            <w:noWrap w:val="0"/>
            <w:vAlign w:val="top"/>
          </w:tcPr>
          <w:p w14:paraId="5B220EDA">
            <w:pPr>
              <w:adjustRightInd w:val="0"/>
              <w:snapToGrid w:val="0"/>
              <w:ind w:left="600" w:hanging="600" w:hangingChars="250"/>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t xml:space="preserve">  </w:t>
            </w:r>
          </w:p>
        </w:tc>
      </w:tr>
      <w:tr w14:paraId="5719E190">
        <w:tblPrEx>
          <w:tblCellMar>
            <w:top w:w="0" w:type="dxa"/>
            <w:left w:w="108" w:type="dxa"/>
            <w:bottom w:w="0" w:type="dxa"/>
            <w:right w:w="108" w:type="dxa"/>
          </w:tblCellMar>
        </w:tblPrEx>
        <w:trPr>
          <w:trHeight w:val="542" w:hRule="exact"/>
        </w:trPr>
        <w:tc>
          <w:tcPr>
            <w:tcW w:w="4530" w:type="dxa"/>
            <w:noWrap w:val="0"/>
            <w:vAlign w:val="top"/>
          </w:tcPr>
          <w:p w14:paraId="41151F23">
            <w:pPr>
              <w:spacing w:before="100" w:beforeAutospacing="1" w:after="100" w:afterAutospacing="1"/>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邮政编码</w:t>
            </w: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c>
          <w:tcPr>
            <w:tcW w:w="4530" w:type="dxa"/>
            <w:noWrap w:val="0"/>
            <w:vAlign w:val="top"/>
          </w:tcPr>
          <w:p w14:paraId="6B817CD2">
            <w:pPr>
              <w:spacing w:before="100" w:beforeAutospacing="1" w:after="100" w:afterAutospacing="1"/>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r>
      <w:tr w14:paraId="18BECF85">
        <w:tblPrEx>
          <w:tblCellMar>
            <w:top w:w="0" w:type="dxa"/>
            <w:left w:w="108" w:type="dxa"/>
            <w:bottom w:w="0" w:type="dxa"/>
            <w:right w:w="108" w:type="dxa"/>
          </w:tblCellMar>
        </w:tblPrEx>
        <w:trPr>
          <w:trHeight w:val="1128" w:hRule="exact"/>
        </w:trPr>
        <w:tc>
          <w:tcPr>
            <w:tcW w:w="4530" w:type="dxa"/>
            <w:noWrap w:val="0"/>
            <w:vAlign w:val="top"/>
          </w:tcPr>
          <w:p w14:paraId="726E2743">
            <w:pPr>
              <w:adjustRightInd w:val="0"/>
              <w:snapToGrid w:val="0"/>
              <w:spacing w:before="100" w:beforeAutospacing="1" w:after="100" w:afterAutospacing="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w:t>
            </w:r>
          </w:p>
          <w:p w14:paraId="3BA71458">
            <w:pPr>
              <w:adjustRightInd w:val="0"/>
              <w:snapToGrid w:val="0"/>
              <w:spacing w:before="100" w:beforeAutospacing="1" w:after="100" w:afterAutospacing="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1BCCA6C8">
            <w:pPr>
              <w:adjustRightInd w:val="0"/>
              <w:snapToGrid w:val="0"/>
              <w:spacing w:before="100" w:beforeAutospacing="1" w:after="100" w:afterAutospacing="1"/>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tc>
        <w:tc>
          <w:tcPr>
            <w:tcW w:w="4530" w:type="dxa"/>
            <w:noWrap w:val="0"/>
            <w:vAlign w:val="top"/>
          </w:tcPr>
          <w:p w14:paraId="63D9F834">
            <w:pPr>
              <w:adjustRightInd w:val="0"/>
              <w:snapToGrid w:val="0"/>
              <w:spacing w:before="100" w:beforeAutospacing="1" w:after="100" w:afterAutospacing="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w:t>
            </w:r>
          </w:p>
          <w:p w14:paraId="522C23D9">
            <w:pPr>
              <w:adjustRightInd w:val="0"/>
              <w:snapToGrid w:val="0"/>
              <w:spacing w:before="100" w:beforeAutospacing="1" w:after="100" w:afterAutospacing="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0439107D">
            <w:pPr>
              <w:adjustRightInd w:val="0"/>
              <w:snapToGrid w:val="0"/>
              <w:spacing w:before="100" w:beforeAutospacing="1" w:after="100" w:afterAutospacing="1"/>
              <w:rPr>
                <w:rFonts w:hint="eastAsia" w:ascii="仿宋" w:hAnsi="仿宋" w:eastAsia="仿宋" w:cs="仿宋"/>
                <w:b/>
                <w:bCs/>
                <w:color w:val="auto"/>
                <w:sz w:val="24"/>
                <w:szCs w:val="24"/>
                <w:highlight w:val="none"/>
                <w:u w:val="single"/>
              </w:rPr>
            </w:pPr>
          </w:p>
          <w:p w14:paraId="1D77C265">
            <w:pPr>
              <w:adjustRightInd w:val="0"/>
              <w:snapToGrid w:val="0"/>
              <w:spacing w:before="100" w:beforeAutospacing="1" w:after="100" w:afterAutospacing="1"/>
              <w:rPr>
                <w:rFonts w:hint="eastAsia" w:ascii="仿宋" w:hAnsi="仿宋" w:eastAsia="仿宋" w:cs="仿宋"/>
                <w:b/>
                <w:bCs/>
                <w:color w:val="auto"/>
                <w:sz w:val="24"/>
                <w:szCs w:val="24"/>
                <w:highlight w:val="none"/>
                <w:u w:val="single"/>
              </w:rPr>
            </w:pPr>
          </w:p>
        </w:tc>
      </w:tr>
      <w:tr w14:paraId="007BFD6B">
        <w:tblPrEx>
          <w:tblCellMar>
            <w:top w:w="0" w:type="dxa"/>
            <w:left w:w="108" w:type="dxa"/>
            <w:bottom w:w="0" w:type="dxa"/>
            <w:right w:w="108" w:type="dxa"/>
          </w:tblCellMar>
        </w:tblPrEx>
        <w:trPr>
          <w:trHeight w:val="564" w:hRule="exact"/>
        </w:trPr>
        <w:tc>
          <w:tcPr>
            <w:tcW w:w="4530" w:type="dxa"/>
            <w:noWrap w:val="0"/>
            <w:vAlign w:val="top"/>
          </w:tcPr>
          <w:p w14:paraId="29FF33AD">
            <w:pPr>
              <w:spacing w:before="100" w:beforeAutospacing="1" w:after="100" w:afterAutospacing="1"/>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p>
        </w:tc>
        <w:tc>
          <w:tcPr>
            <w:tcW w:w="4530" w:type="dxa"/>
            <w:noWrap w:val="0"/>
            <w:vAlign w:val="top"/>
          </w:tcPr>
          <w:p w14:paraId="5E71B370">
            <w:pPr>
              <w:spacing w:before="100" w:beforeAutospacing="1" w:after="100" w:afterAutospacing="1"/>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r>
      <w:tr w14:paraId="69D68209">
        <w:tblPrEx>
          <w:tblCellMar>
            <w:top w:w="0" w:type="dxa"/>
            <w:left w:w="108" w:type="dxa"/>
            <w:bottom w:w="0" w:type="dxa"/>
            <w:right w:w="108" w:type="dxa"/>
          </w:tblCellMar>
        </w:tblPrEx>
        <w:trPr>
          <w:trHeight w:val="595" w:hRule="exact"/>
        </w:trPr>
        <w:tc>
          <w:tcPr>
            <w:tcW w:w="4530" w:type="dxa"/>
            <w:noWrap w:val="0"/>
            <w:vAlign w:val="top"/>
          </w:tcPr>
          <w:p w14:paraId="38F6B0C2">
            <w:pPr>
              <w:spacing w:before="100" w:beforeAutospacing="1" w:after="100" w:afterAutospacing="1"/>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41376C19">
            <w:pPr>
              <w:spacing w:before="100" w:beforeAutospacing="1" w:after="100" w:afterAutospacing="1"/>
              <w:rPr>
                <w:rFonts w:hint="eastAsia" w:ascii="仿宋" w:hAnsi="仿宋" w:eastAsia="仿宋" w:cs="仿宋"/>
                <w:color w:val="auto"/>
                <w:sz w:val="24"/>
                <w:szCs w:val="24"/>
                <w:highlight w:val="none"/>
                <w:u w:val="single"/>
              </w:rPr>
            </w:pPr>
          </w:p>
        </w:tc>
        <w:tc>
          <w:tcPr>
            <w:tcW w:w="4530" w:type="dxa"/>
            <w:noWrap w:val="0"/>
            <w:vAlign w:val="top"/>
          </w:tcPr>
          <w:p w14:paraId="1E301BC4">
            <w:pPr>
              <w:spacing w:before="100" w:beforeAutospacing="1" w:after="100" w:afterAutospacing="1"/>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single"/>
              </w:rPr>
              <w:t xml:space="preserve">                            </w:t>
            </w:r>
          </w:p>
        </w:tc>
      </w:tr>
      <w:tr w14:paraId="2A8B258D">
        <w:tblPrEx>
          <w:tblCellMar>
            <w:top w:w="0" w:type="dxa"/>
            <w:left w:w="108" w:type="dxa"/>
            <w:bottom w:w="0" w:type="dxa"/>
            <w:right w:w="108" w:type="dxa"/>
          </w:tblCellMar>
        </w:tblPrEx>
        <w:trPr>
          <w:trHeight w:val="549" w:hRule="exact"/>
        </w:trPr>
        <w:tc>
          <w:tcPr>
            <w:tcW w:w="4530" w:type="dxa"/>
            <w:noWrap w:val="0"/>
            <w:vAlign w:val="top"/>
          </w:tcPr>
          <w:p w14:paraId="286C27E4">
            <w:pPr>
              <w:spacing w:before="100" w:beforeAutospacing="1" w:after="100" w:afterAutospacing="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p>
        </w:tc>
        <w:tc>
          <w:tcPr>
            <w:tcW w:w="4530" w:type="dxa"/>
            <w:noWrap w:val="0"/>
            <w:vAlign w:val="top"/>
          </w:tcPr>
          <w:p w14:paraId="3AA50325">
            <w:pPr>
              <w:spacing w:before="100" w:beforeAutospacing="1" w:after="100" w:afterAutospacing="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p>
        </w:tc>
      </w:tr>
      <w:tr w14:paraId="315447DF">
        <w:tblPrEx>
          <w:tblCellMar>
            <w:top w:w="0" w:type="dxa"/>
            <w:left w:w="108" w:type="dxa"/>
            <w:bottom w:w="0" w:type="dxa"/>
            <w:right w:w="108" w:type="dxa"/>
          </w:tblCellMar>
        </w:tblPrEx>
        <w:trPr>
          <w:trHeight w:val="741" w:hRule="exact"/>
        </w:trPr>
        <w:tc>
          <w:tcPr>
            <w:tcW w:w="4530" w:type="dxa"/>
            <w:noWrap w:val="0"/>
            <w:vAlign w:val="top"/>
          </w:tcPr>
          <w:p w14:paraId="41A88548">
            <w:pPr>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p>
        </w:tc>
        <w:tc>
          <w:tcPr>
            <w:tcW w:w="4530" w:type="dxa"/>
            <w:noWrap w:val="0"/>
            <w:vAlign w:val="top"/>
          </w:tcPr>
          <w:p w14:paraId="13D319F5">
            <w:pPr>
              <w:adjustRightInd w:val="0"/>
              <w:snapToGrid w:val="0"/>
              <w:ind w:left="1080" w:hanging="1080" w:hangingChars="450"/>
              <w:rPr>
                <w:rFonts w:hint="eastAsia" w:ascii="仿宋" w:hAnsi="仿宋" w:eastAsia="仿宋" w:cs="仿宋"/>
                <w:b/>
                <w:bCs/>
                <w:color w:val="auto"/>
                <w:kern w:val="0"/>
                <w:sz w:val="24"/>
                <w:szCs w:val="24"/>
                <w:highlight w:val="none"/>
                <w:u w:val="singl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p>
        </w:tc>
      </w:tr>
      <w:tr w14:paraId="3BF90310">
        <w:tblPrEx>
          <w:tblCellMar>
            <w:top w:w="0" w:type="dxa"/>
            <w:left w:w="108" w:type="dxa"/>
            <w:bottom w:w="0" w:type="dxa"/>
            <w:right w:w="108" w:type="dxa"/>
          </w:tblCellMar>
        </w:tblPrEx>
        <w:trPr>
          <w:trHeight w:val="611" w:hRule="exact"/>
        </w:trPr>
        <w:tc>
          <w:tcPr>
            <w:tcW w:w="4530" w:type="dxa"/>
            <w:noWrap w:val="0"/>
            <w:vAlign w:val="top"/>
          </w:tcPr>
          <w:p w14:paraId="29B1B198">
            <w:pPr>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tc>
        <w:tc>
          <w:tcPr>
            <w:tcW w:w="4530" w:type="dxa"/>
            <w:noWrap w:val="0"/>
            <w:vAlign w:val="top"/>
          </w:tcPr>
          <w:p w14:paraId="56D234D5">
            <w:pPr>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账号：</w:t>
            </w:r>
            <w:r>
              <w:rPr>
                <w:rFonts w:hint="eastAsia" w:ascii="仿宋" w:hAnsi="仿宋" w:eastAsia="仿宋" w:cs="仿宋"/>
                <w:color w:val="auto"/>
                <w:sz w:val="24"/>
                <w:szCs w:val="24"/>
                <w:highlight w:val="none"/>
                <w:u w:val="single"/>
              </w:rPr>
              <w:t xml:space="preserve">         </w:t>
            </w:r>
          </w:p>
        </w:tc>
      </w:tr>
    </w:tbl>
    <w:p w14:paraId="736DC0DD">
      <w:pPr>
        <w:rPr>
          <w:rFonts w:hint="eastAsia" w:ascii="仿宋" w:hAnsi="仿宋" w:eastAsia="仿宋" w:cs="仿宋"/>
          <w:color w:val="auto"/>
          <w:sz w:val="24"/>
          <w:szCs w:val="24"/>
          <w:highlight w:val="none"/>
        </w:rPr>
        <w:sectPr>
          <w:footerReference r:id="rId6" w:type="first"/>
          <w:footerReference r:id="rId5" w:type="default"/>
          <w:pgSz w:w="11906" w:h="16838"/>
          <w:pgMar w:top="1418" w:right="1555" w:bottom="1418" w:left="1531" w:header="851" w:footer="992" w:gutter="0"/>
          <w:pgNumType w:fmt="decimal" w:start="1"/>
          <w:cols w:space="720" w:num="1"/>
          <w:titlePg/>
          <w:docGrid w:type="lines" w:linePitch="312" w:charSpace="0"/>
        </w:sectPr>
      </w:pPr>
      <w:bookmarkStart w:id="57" w:name="_Toc19281"/>
    </w:p>
    <w:bookmarkEnd w:id="57"/>
    <w:p w14:paraId="63A185C3">
      <w:pPr>
        <w:pStyle w:val="2"/>
        <w:spacing w:line="413"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第二部分 通用合同条款</w:t>
      </w:r>
      <w:bookmarkStart w:id="58" w:name="_Toc337558727"/>
    </w:p>
    <w:bookmarkEnd w:id="58"/>
    <w:p w14:paraId="7D358BEB">
      <w:pPr>
        <w:spacing w:line="40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执行《建设工程施工合同（示范文本）》（GF-2017-0201）通用合同条款，此处略。</w:t>
      </w:r>
    </w:p>
    <w:p w14:paraId="1E97A66D">
      <w:pPr>
        <w:pStyle w:val="2"/>
        <w:spacing w:line="413" w:lineRule="auto"/>
        <w:jc w:val="center"/>
        <w:rPr>
          <w:rFonts w:hint="eastAsia" w:ascii="仿宋" w:hAnsi="仿宋" w:eastAsia="仿宋" w:cs="仿宋"/>
          <w:color w:val="auto"/>
          <w:sz w:val="28"/>
          <w:szCs w:val="28"/>
          <w:highlight w:val="none"/>
        </w:rPr>
      </w:pPr>
      <w:bookmarkStart w:id="59" w:name="_Toc7008"/>
      <w:r>
        <w:rPr>
          <w:rFonts w:hint="eastAsia" w:ascii="仿宋" w:hAnsi="仿宋" w:eastAsia="仿宋" w:cs="仿宋"/>
          <w:color w:val="auto"/>
          <w:sz w:val="28"/>
          <w:szCs w:val="28"/>
          <w:highlight w:val="none"/>
        </w:rPr>
        <w:br w:type="page"/>
      </w:r>
      <w:r>
        <w:rPr>
          <w:rFonts w:hint="eastAsia" w:ascii="仿宋" w:hAnsi="仿宋" w:eastAsia="仿宋" w:cs="仿宋"/>
          <w:color w:val="auto"/>
          <w:sz w:val="28"/>
          <w:szCs w:val="28"/>
          <w:highlight w:val="none"/>
        </w:rPr>
        <w:t>第三部分 专用合同条款</w:t>
      </w:r>
      <w:bookmarkEnd w:id="59"/>
    </w:p>
    <w:p w14:paraId="1E972B88">
      <w:pPr>
        <w:pStyle w:val="5"/>
        <w:spacing w:before="0" w:after="0" w:line="440" w:lineRule="exact"/>
        <w:rPr>
          <w:rFonts w:hint="eastAsia" w:ascii="仿宋" w:hAnsi="仿宋" w:eastAsia="仿宋" w:cs="仿宋"/>
          <w:b w:val="0"/>
          <w:color w:val="auto"/>
          <w:sz w:val="24"/>
          <w:szCs w:val="24"/>
          <w:highlight w:val="none"/>
        </w:rPr>
      </w:pPr>
      <w:bookmarkStart w:id="60" w:name="_Toc18040"/>
      <w:r>
        <w:rPr>
          <w:rFonts w:hint="eastAsia" w:ascii="仿宋" w:hAnsi="仿宋" w:eastAsia="仿宋" w:cs="仿宋"/>
          <w:b w:val="0"/>
          <w:color w:val="auto"/>
          <w:sz w:val="24"/>
          <w:szCs w:val="24"/>
          <w:highlight w:val="none"/>
        </w:rPr>
        <w:t>1</w:t>
      </w:r>
      <w:bookmarkStart w:id="61" w:name="_Toc292559866"/>
      <w:bookmarkStart w:id="62" w:name="_Toc296503156"/>
      <w:bookmarkStart w:id="63" w:name="_Toc296944495"/>
      <w:bookmarkStart w:id="64" w:name="_Toc297048342"/>
      <w:bookmarkStart w:id="65" w:name="_Toc297120456"/>
      <w:bookmarkStart w:id="66" w:name="_Toc296891196"/>
      <w:bookmarkStart w:id="67" w:name="_Toc292559361"/>
      <w:bookmarkStart w:id="68" w:name="_Toc296890984"/>
      <w:bookmarkStart w:id="69" w:name="_Toc296347155"/>
      <w:bookmarkStart w:id="70" w:name="_Toc296346657"/>
      <w:r>
        <w:rPr>
          <w:rFonts w:hint="eastAsia" w:ascii="仿宋" w:hAnsi="仿宋" w:eastAsia="仿宋" w:cs="仿宋"/>
          <w:b w:val="0"/>
          <w:color w:val="auto"/>
          <w:sz w:val="24"/>
          <w:szCs w:val="24"/>
          <w:highlight w:val="none"/>
        </w:rPr>
        <w:t>. 一般约定</w:t>
      </w:r>
      <w:bookmarkEnd w:id="60"/>
    </w:p>
    <w:bookmarkEnd w:id="61"/>
    <w:bookmarkEnd w:id="62"/>
    <w:bookmarkEnd w:id="63"/>
    <w:bookmarkEnd w:id="64"/>
    <w:bookmarkEnd w:id="65"/>
    <w:bookmarkEnd w:id="66"/>
    <w:bookmarkEnd w:id="67"/>
    <w:bookmarkEnd w:id="68"/>
    <w:bookmarkEnd w:id="69"/>
    <w:bookmarkEnd w:id="70"/>
    <w:p w14:paraId="68D9FBDD">
      <w:pPr>
        <w:spacing w:line="440" w:lineRule="exact"/>
        <w:ind w:firstLine="480" w:firstLineChars="200"/>
        <w:outlineLvl w:val="4"/>
        <w:rPr>
          <w:rFonts w:hint="eastAsia" w:ascii="仿宋" w:hAnsi="仿宋" w:eastAsia="仿宋" w:cs="仿宋"/>
          <w:color w:val="auto"/>
          <w:sz w:val="24"/>
          <w:szCs w:val="24"/>
          <w:highlight w:val="none"/>
        </w:rPr>
      </w:pPr>
      <w:bookmarkStart w:id="71" w:name="_Toc26967"/>
      <w:r>
        <w:rPr>
          <w:rFonts w:hint="eastAsia" w:ascii="仿宋" w:hAnsi="仿宋" w:eastAsia="仿宋" w:cs="仿宋"/>
          <w:color w:val="auto"/>
          <w:sz w:val="24"/>
          <w:szCs w:val="24"/>
          <w:highlight w:val="none"/>
        </w:rPr>
        <w:t>1.1 词语定义</w:t>
      </w:r>
      <w:bookmarkEnd w:id="71"/>
    </w:p>
    <w:p w14:paraId="7802DECA">
      <w:pPr>
        <w:spacing w:line="44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1.1.1合同</w:t>
      </w:r>
    </w:p>
    <w:p w14:paraId="053F4B22">
      <w:pPr>
        <w:spacing w:line="44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1.1.1.10其他合同文件包括：</w:t>
      </w:r>
      <w:r>
        <w:rPr>
          <w:rFonts w:hint="eastAsia" w:ascii="仿宋" w:hAnsi="仿宋" w:eastAsia="仿宋" w:cs="仿宋"/>
          <w:color w:val="auto"/>
          <w:sz w:val="24"/>
          <w:szCs w:val="24"/>
          <w:highlight w:val="none"/>
          <w:u w:val="single"/>
        </w:rPr>
        <w:t xml:space="preserve">施工组织设计、招标文件（含澄清文件、暂列金、暂估价）、洽谈记录、图纸会审记录、发包人相关制度、廉政协议等文件 </w:t>
      </w:r>
      <w:r>
        <w:rPr>
          <w:rFonts w:hint="eastAsia" w:ascii="仿宋" w:hAnsi="仿宋" w:eastAsia="仿宋" w:cs="仿宋"/>
          <w:color w:val="auto"/>
          <w:sz w:val="24"/>
          <w:szCs w:val="24"/>
          <w:highlight w:val="none"/>
        </w:rPr>
        <w:t>。</w:t>
      </w:r>
    </w:p>
    <w:p w14:paraId="6BA192F3">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 合同当事人及其他相关方</w:t>
      </w:r>
    </w:p>
    <w:p w14:paraId="28AA8EB4">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1.1.2.4监理人：</w:t>
      </w:r>
    </w:p>
    <w:p w14:paraId="3652869B">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17A1580">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资质类别和等级：</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37D3056">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BCA1E64">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D68F017">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84A946D">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1.1.2.5 设计人：</w:t>
      </w:r>
    </w:p>
    <w:p w14:paraId="12A7B95E">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64025CA7">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资质类别和等级：</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76461AD">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CC0674A">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81E8FFF">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D3AED4A">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 工程和设备</w:t>
      </w:r>
    </w:p>
    <w:p w14:paraId="3009D252">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1.1.3.7 作为施工现场组成部分的其他场所包括：</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574C32E7">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1.1.3.9 永久占地包括：</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404A853F">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1.1.3.10 临时占地包括：</w:t>
      </w:r>
      <w:r>
        <w:rPr>
          <w:rFonts w:hint="eastAsia" w:ascii="仿宋" w:hAnsi="仿宋" w:eastAsia="仿宋" w:cs="仿宋"/>
          <w:color w:val="auto"/>
          <w:sz w:val="24"/>
          <w:szCs w:val="24"/>
          <w:highlight w:val="none"/>
          <w:u w:val="single"/>
        </w:rPr>
        <w:t xml:space="preserve">为实施合同工程而需要的一切临时占用的土地，包括施工所用的临时便道等的临时出入道，以及材料加工堆放、生产（办公）、生活等临时设施用地等。专业分承包单位的临时占地，应按照总承包单位的管理和要求实施。临时用地手续由承包人办理，费用包含在签约合同价 </w:t>
      </w:r>
      <w:r>
        <w:rPr>
          <w:rFonts w:hint="eastAsia" w:ascii="仿宋" w:hAnsi="仿宋" w:eastAsia="仿宋" w:cs="仿宋"/>
          <w:color w:val="auto"/>
          <w:kern w:val="0"/>
          <w:sz w:val="24"/>
          <w:szCs w:val="24"/>
          <w:highlight w:val="none"/>
        </w:rPr>
        <w:t>。</w:t>
      </w:r>
    </w:p>
    <w:p w14:paraId="25CB45C0">
      <w:pPr>
        <w:spacing w:line="440" w:lineRule="exact"/>
        <w:ind w:firstLine="480" w:firstLineChars="200"/>
        <w:outlineLvl w:val="4"/>
        <w:rPr>
          <w:rFonts w:hint="eastAsia" w:ascii="仿宋" w:hAnsi="仿宋" w:eastAsia="仿宋" w:cs="仿宋"/>
          <w:color w:val="auto"/>
          <w:sz w:val="24"/>
          <w:szCs w:val="24"/>
          <w:highlight w:val="none"/>
        </w:rPr>
      </w:pPr>
      <w:bookmarkStart w:id="72" w:name="_Toc24697"/>
      <w:r>
        <w:rPr>
          <w:rFonts w:hint="eastAsia" w:ascii="仿宋" w:hAnsi="仿宋" w:eastAsia="仿宋" w:cs="仿宋"/>
          <w:color w:val="auto"/>
          <w:sz w:val="24"/>
          <w:szCs w:val="24"/>
          <w:highlight w:val="none"/>
        </w:rPr>
        <w:t>1.3法律</w:t>
      </w:r>
      <w:bookmarkEnd w:id="72"/>
      <w:r>
        <w:rPr>
          <w:rFonts w:hint="eastAsia" w:ascii="仿宋" w:hAnsi="仿宋" w:eastAsia="仿宋" w:cs="仿宋"/>
          <w:color w:val="auto"/>
          <w:sz w:val="24"/>
          <w:szCs w:val="24"/>
          <w:highlight w:val="none"/>
        </w:rPr>
        <w:t xml:space="preserve"> </w:t>
      </w:r>
    </w:p>
    <w:p w14:paraId="457BD194">
      <w:pPr>
        <w:autoSpaceDE w:val="0"/>
        <w:autoSpaceDN w:val="0"/>
        <w:adjustRightInd w:val="0"/>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适用于合同的其他规范性文件：</w:t>
      </w:r>
      <w:r>
        <w:rPr>
          <w:rFonts w:hint="eastAsia" w:ascii="仿宋" w:hAnsi="仿宋" w:eastAsia="仿宋" w:cs="仿宋"/>
          <w:color w:val="auto"/>
          <w:sz w:val="24"/>
          <w:szCs w:val="24"/>
          <w:highlight w:val="none"/>
          <w:u w:val="single"/>
        </w:rPr>
        <w:t xml:space="preserve">《中华人民共和国民法典》、《中华人民共和国建筑法》、《人防工程质量管理规定》、《安全生产法》、《建筑工程质量管理体系》、《建筑工程安全生产管理条例》等国家现行法律及新疆维吾尔自治区现行地方法规及适用于合同的其他规范性文件：《建设工程工程量 清单计价规范》GB50500-2013 、《建筑工程文件归档规范》（GB/T50328-2014）、国家重大建设项目文件归档要求与档案整理规范（DA/T28-2002），国家施工质量验收规范、规程、施工技术标准、设计图纸及其他设计文件；现行的施工规范和技术标准等 </w:t>
      </w:r>
      <w:r>
        <w:rPr>
          <w:rFonts w:hint="eastAsia" w:ascii="仿宋" w:hAnsi="仿宋" w:eastAsia="仿宋" w:cs="仿宋"/>
          <w:color w:val="auto"/>
          <w:sz w:val="24"/>
          <w:szCs w:val="24"/>
          <w:highlight w:val="none"/>
        </w:rPr>
        <w:t>。</w:t>
      </w:r>
    </w:p>
    <w:p w14:paraId="730957BF">
      <w:pPr>
        <w:spacing w:line="440" w:lineRule="exact"/>
        <w:ind w:firstLine="480" w:firstLineChars="200"/>
        <w:outlineLvl w:val="4"/>
        <w:rPr>
          <w:rFonts w:hint="eastAsia" w:ascii="仿宋" w:hAnsi="仿宋" w:eastAsia="仿宋" w:cs="仿宋"/>
          <w:color w:val="auto"/>
          <w:sz w:val="24"/>
          <w:szCs w:val="24"/>
          <w:highlight w:val="none"/>
        </w:rPr>
      </w:pPr>
      <w:bookmarkStart w:id="73" w:name="_Toc14147"/>
      <w:r>
        <w:rPr>
          <w:rFonts w:hint="eastAsia" w:ascii="仿宋" w:hAnsi="仿宋" w:eastAsia="仿宋" w:cs="仿宋"/>
          <w:color w:val="auto"/>
          <w:sz w:val="24"/>
          <w:szCs w:val="24"/>
          <w:highlight w:val="none"/>
        </w:rPr>
        <w:t>1.4 标准和规范</w:t>
      </w:r>
      <w:bookmarkEnd w:id="73"/>
    </w:p>
    <w:p w14:paraId="74CD999F">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1.4.1适用于工程的标准规范包括：</w:t>
      </w:r>
      <w:r>
        <w:rPr>
          <w:rFonts w:hint="eastAsia" w:ascii="仿宋" w:hAnsi="仿宋" w:eastAsia="仿宋" w:cs="仿宋"/>
          <w:color w:val="auto"/>
          <w:sz w:val="24"/>
          <w:szCs w:val="24"/>
          <w:highlight w:val="none"/>
          <w:u w:val="single"/>
        </w:rPr>
        <w:t>执行施工图内明确的各项技术标准，按国家现行的《建筑工程质量验收统一标准》，以及国家现行有效施工验收规范、质量标准及操作规定等相关要求验收、《建设工程工程量清单计价规范》 GB50500-2013及相关设计规范、施工规范</w:t>
      </w:r>
      <w:r>
        <w:rPr>
          <w:rFonts w:hint="eastAsia" w:ascii="仿宋" w:hAnsi="仿宋" w:eastAsia="仿宋" w:cs="仿宋"/>
          <w:color w:val="auto"/>
          <w:sz w:val="24"/>
          <w:szCs w:val="24"/>
          <w:highlight w:val="none"/>
        </w:rPr>
        <w:t>。</w:t>
      </w:r>
    </w:p>
    <w:p w14:paraId="2A40A631">
      <w:pPr>
        <w:spacing w:line="440" w:lineRule="exact"/>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1.4.2 发包人提供国外标准、规范的名称：</w:t>
      </w:r>
      <w:r>
        <w:rPr>
          <w:rFonts w:hint="eastAsia" w:ascii="仿宋" w:hAnsi="仿宋" w:eastAsia="仿宋" w:cs="仿宋"/>
          <w:color w:val="auto"/>
          <w:kern w:val="0"/>
          <w:sz w:val="24"/>
          <w:szCs w:val="24"/>
          <w:highlight w:val="none"/>
          <w:u w:val="single"/>
        </w:rPr>
        <w:t xml:space="preserve">     /          </w:t>
      </w:r>
      <w:r>
        <w:rPr>
          <w:rFonts w:hint="eastAsia" w:ascii="仿宋" w:hAnsi="仿宋" w:eastAsia="仿宋" w:cs="仿宋"/>
          <w:color w:val="auto"/>
          <w:kern w:val="0"/>
          <w:sz w:val="24"/>
          <w:szCs w:val="24"/>
          <w:highlight w:val="none"/>
        </w:rPr>
        <w:t>；</w:t>
      </w:r>
    </w:p>
    <w:p w14:paraId="0E7B84CF">
      <w:pPr>
        <w:spacing w:line="44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发包人提供国外标准、规范的份数：</w:t>
      </w:r>
      <w:r>
        <w:rPr>
          <w:rFonts w:hint="eastAsia" w:ascii="仿宋" w:hAnsi="仿宋" w:eastAsia="仿宋" w:cs="仿宋"/>
          <w:color w:val="auto"/>
          <w:kern w:val="0"/>
          <w:sz w:val="24"/>
          <w:szCs w:val="24"/>
          <w:highlight w:val="none"/>
          <w:u w:val="single"/>
        </w:rPr>
        <w:t xml:space="preserve">         /            </w:t>
      </w:r>
      <w:r>
        <w:rPr>
          <w:rFonts w:hint="eastAsia" w:ascii="仿宋" w:hAnsi="仿宋" w:eastAsia="仿宋" w:cs="仿宋"/>
          <w:color w:val="auto"/>
          <w:kern w:val="0"/>
          <w:sz w:val="24"/>
          <w:szCs w:val="24"/>
          <w:highlight w:val="none"/>
        </w:rPr>
        <w:t>；</w:t>
      </w:r>
    </w:p>
    <w:p w14:paraId="7F8B6B50">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发包人提供国外标准、规范的名称：</w:t>
      </w:r>
      <w:r>
        <w:rPr>
          <w:rFonts w:hint="eastAsia" w:ascii="仿宋" w:hAnsi="仿宋" w:eastAsia="仿宋" w:cs="仿宋"/>
          <w:color w:val="auto"/>
          <w:kern w:val="0"/>
          <w:sz w:val="24"/>
          <w:szCs w:val="24"/>
          <w:highlight w:val="none"/>
          <w:u w:val="single"/>
        </w:rPr>
        <w:t xml:space="preserve">         /            </w:t>
      </w:r>
      <w:r>
        <w:rPr>
          <w:rFonts w:hint="eastAsia" w:ascii="仿宋" w:hAnsi="仿宋" w:eastAsia="仿宋" w:cs="仿宋"/>
          <w:color w:val="auto"/>
          <w:kern w:val="0"/>
          <w:sz w:val="24"/>
          <w:szCs w:val="24"/>
          <w:highlight w:val="none"/>
        </w:rPr>
        <w:t>。</w:t>
      </w:r>
    </w:p>
    <w:p w14:paraId="2D03ADDD">
      <w:pPr>
        <w:spacing w:line="440" w:lineRule="exact"/>
        <w:ind w:left="596" w:leftChars="28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1.4.3发包人对工程的技术标准和功能要求的特殊要求：</w:t>
      </w:r>
    </w:p>
    <w:p w14:paraId="5BC08F92">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详见图纸                                   </w:t>
      </w:r>
      <w:r>
        <w:rPr>
          <w:rFonts w:hint="eastAsia" w:ascii="仿宋" w:hAnsi="仿宋" w:eastAsia="仿宋" w:cs="仿宋"/>
          <w:color w:val="auto"/>
          <w:sz w:val="24"/>
          <w:szCs w:val="24"/>
          <w:highlight w:val="none"/>
        </w:rPr>
        <w:t>。</w:t>
      </w:r>
    </w:p>
    <w:p w14:paraId="40F69745">
      <w:pPr>
        <w:spacing w:line="440" w:lineRule="exact"/>
        <w:ind w:firstLine="480" w:firstLineChars="200"/>
        <w:outlineLvl w:val="4"/>
        <w:rPr>
          <w:rFonts w:hint="eastAsia" w:ascii="仿宋" w:hAnsi="仿宋" w:eastAsia="仿宋" w:cs="仿宋"/>
          <w:color w:val="auto"/>
          <w:sz w:val="24"/>
          <w:szCs w:val="24"/>
          <w:highlight w:val="none"/>
        </w:rPr>
      </w:pPr>
      <w:bookmarkStart w:id="74" w:name="_Toc11271"/>
      <w:r>
        <w:rPr>
          <w:rFonts w:hint="eastAsia" w:ascii="仿宋" w:hAnsi="仿宋" w:eastAsia="仿宋" w:cs="仿宋"/>
          <w:color w:val="auto"/>
          <w:sz w:val="24"/>
          <w:szCs w:val="24"/>
          <w:highlight w:val="none"/>
        </w:rPr>
        <w:t>1.5 合同文件的优先顺序</w:t>
      </w:r>
      <w:bookmarkEnd w:id="74"/>
    </w:p>
    <w:p w14:paraId="72F07BD3">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合同文件组成及优先顺序为：</w:t>
      </w:r>
      <w:r>
        <w:rPr>
          <w:rFonts w:hint="eastAsia" w:ascii="仿宋" w:hAnsi="仿宋" w:eastAsia="仿宋" w:cs="仿宋"/>
          <w:color w:val="auto"/>
          <w:sz w:val="24"/>
          <w:szCs w:val="24"/>
          <w:highlight w:val="none"/>
          <w:u w:val="single"/>
        </w:rPr>
        <w:t xml:space="preserve">（l）合同协议书（2）中标通知书（3）投标函及投标函附录（4）专用合同条款及其附件（5）招标文件、通用合同条款以《建设工程施工合同（示范文本）》（GF-2017-0201）为准（6）技术标准和要求（7）图纸（8）中标价及工程量清单（9）其他合同文件 </w:t>
      </w:r>
      <w:r>
        <w:rPr>
          <w:rFonts w:hint="eastAsia" w:ascii="仿宋" w:hAnsi="仿宋" w:eastAsia="仿宋" w:cs="仿宋"/>
          <w:color w:val="auto"/>
          <w:sz w:val="24"/>
          <w:szCs w:val="24"/>
          <w:highlight w:val="none"/>
        </w:rPr>
        <w:t>。</w:t>
      </w:r>
    </w:p>
    <w:p w14:paraId="66F50D64">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双方有关工程的洽谈、变更等书面协议或文件均视为本合同的组成部分。图纸与技术标准、要求有矛盾或不一致时，以其中要求较严格的标准为准。</w:t>
      </w:r>
    </w:p>
    <w:p w14:paraId="70B901E5">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合同双方在合同履行过程中，签订的补充协议亦构成合同文件的组成部分，其解释顺序视其内容与其他合同文件的相互关系而定。</w:t>
      </w:r>
    </w:p>
    <w:p w14:paraId="4D688D3D">
      <w:pPr>
        <w:spacing w:line="440" w:lineRule="exact"/>
        <w:ind w:firstLine="480" w:firstLineChars="200"/>
        <w:outlineLvl w:val="4"/>
        <w:rPr>
          <w:rFonts w:hint="eastAsia" w:ascii="仿宋" w:hAnsi="仿宋" w:eastAsia="仿宋" w:cs="仿宋"/>
          <w:color w:val="auto"/>
          <w:sz w:val="24"/>
          <w:szCs w:val="24"/>
          <w:highlight w:val="none"/>
        </w:rPr>
      </w:pPr>
      <w:bookmarkStart w:id="75" w:name="_Toc6470"/>
      <w:r>
        <w:rPr>
          <w:rFonts w:hint="eastAsia" w:ascii="仿宋" w:hAnsi="仿宋" w:eastAsia="仿宋" w:cs="仿宋"/>
          <w:color w:val="auto"/>
          <w:sz w:val="24"/>
          <w:szCs w:val="24"/>
          <w:highlight w:val="none"/>
        </w:rPr>
        <w:t>1.6 图纸和承包人文件</w:t>
      </w:r>
      <w:bookmarkEnd w:id="75"/>
      <w:r>
        <w:rPr>
          <w:rFonts w:hint="eastAsia" w:ascii="仿宋" w:hAnsi="仿宋" w:eastAsia="仿宋" w:cs="仿宋"/>
          <w:color w:val="auto"/>
          <w:sz w:val="24"/>
          <w:szCs w:val="24"/>
          <w:highlight w:val="none"/>
        </w:rPr>
        <w:tab/>
      </w:r>
    </w:p>
    <w:p w14:paraId="421808F2">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 图纸的提供</w:t>
      </w:r>
    </w:p>
    <w:p w14:paraId="3E3C24DC">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4D3990F">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发包人向承包人提供图纸的数量：</w:t>
      </w:r>
      <w:r>
        <w:rPr>
          <w:rFonts w:hint="eastAsia" w:ascii="仿宋" w:hAnsi="仿宋" w:eastAsia="仿宋" w:cs="仿宋"/>
          <w:color w:val="auto"/>
          <w:sz w:val="24"/>
          <w:szCs w:val="24"/>
          <w:highlight w:val="none"/>
          <w:u w:val="single"/>
        </w:rPr>
        <w:t xml:space="preserve">叁套         </w:t>
      </w:r>
      <w:r>
        <w:rPr>
          <w:rFonts w:hint="eastAsia" w:ascii="仿宋" w:hAnsi="仿宋" w:eastAsia="仿宋" w:cs="仿宋"/>
          <w:color w:val="auto"/>
          <w:sz w:val="24"/>
          <w:szCs w:val="24"/>
          <w:highlight w:val="none"/>
        </w:rPr>
        <w:t>；</w:t>
      </w:r>
    </w:p>
    <w:p w14:paraId="4B659D67">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发包人向承包人提供图纸的内容：</w:t>
      </w:r>
      <w:r>
        <w:rPr>
          <w:rFonts w:hint="eastAsia" w:ascii="仿宋" w:hAnsi="仿宋" w:eastAsia="仿宋" w:cs="仿宋"/>
          <w:color w:val="auto"/>
          <w:sz w:val="24"/>
          <w:szCs w:val="24"/>
          <w:highlight w:val="none"/>
          <w:u w:val="single"/>
        </w:rPr>
        <w:t xml:space="preserve">全套施工图   </w:t>
      </w:r>
      <w:r>
        <w:rPr>
          <w:rFonts w:hint="eastAsia" w:ascii="仿宋" w:hAnsi="仿宋" w:eastAsia="仿宋" w:cs="仿宋"/>
          <w:color w:val="auto"/>
          <w:sz w:val="24"/>
          <w:szCs w:val="24"/>
          <w:highlight w:val="none"/>
        </w:rPr>
        <w:t>。</w:t>
      </w:r>
    </w:p>
    <w:p w14:paraId="4A648504">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1.6.4 承包人文件</w:t>
      </w:r>
    </w:p>
    <w:p w14:paraId="6257C61F">
      <w:pPr>
        <w:spacing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需要由承包人提供的文件，包括：</w:t>
      </w:r>
      <w:r>
        <w:rPr>
          <w:rFonts w:hint="eastAsia" w:ascii="仿宋" w:hAnsi="仿宋" w:eastAsia="仿宋" w:cs="仿宋"/>
          <w:color w:val="auto"/>
          <w:sz w:val="24"/>
          <w:szCs w:val="24"/>
          <w:highlight w:val="none"/>
          <w:u w:val="single"/>
        </w:rPr>
        <w:t xml:space="preserve">开工前 7 日内应提供完善的施工组织设计和安全专项方案，项目专用账户资料及资金总体使用计划。具体施工工序的施工方案，应当具体施工实施前 3 天完成内部审核和上报，以及竣工资料、质量保证资料和安全资料。每月 25 日前提供下月拟计划完成工程量报表、本月工程进度报表、当月资金支付计划报表等 </w:t>
      </w:r>
      <w:r>
        <w:rPr>
          <w:rFonts w:hint="eastAsia" w:ascii="仿宋" w:hAnsi="仿宋" w:eastAsia="仿宋" w:cs="仿宋"/>
          <w:color w:val="auto"/>
          <w:sz w:val="24"/>
          <w:szCs w:val="24"/>
          <w:highlight w:val="none"/>
        </w:rPr>
        <w:t>。</w:t>
      </w:r>
    </w:p>
    <w:p w14:paraId="1C889764">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承包人提供的文件的期限为：</w:t>
      </w:r>
      <w:r>
        <w:rPr>
          <w:rFonts w:hint="eastAsia" w:ascii="仿宋" w:hAnsi="仿宋" w:eastAsia="仿宋" w:cs="仿宋"/>
          <w:color w:val="auto"/>
          <w:sz w:val="24"/>
          <w:szCs w:val="24"/>
          <w:highlight w:val="none"/>
          <w:u w:val="single"/>
        </w:rPr>
        <w:t xml:space="preserve">开工前 7 日内，向监理人、发包人提交经优化完善的施工组织设计和工程总体进度计划及当年年度施工进度计划。进度计划安排必须符合发包人对本工程总体进度计划的安排。专项施工方案应在专项施工3日前通过审查（含专家论证）。施工组织设计和专项施工方案经监理人审批同意后执行。承包人应接受监理人、发包人对其提交的施工组织设计和专项施工方案中不合理的工期安排及技术措施、方案的修改意见，并修改完善后重新报批，直至获得批准。承包人提供工程项目专用账户即为发包人支付工程款账户（代付除外）。进度申报资料在每月25日-28日 </w:t>
      </w:r>
      <w:r>
        <w:rPr>
          <w:rFonts w:hint="eastAsia" w:ascii="仿宋" w:hAnsi="仿宋" w:eastAsia="仿宋" w:cs="仿宋"/>
          <w:color w:val="auto"/>
          <w:sz w:val="24"/>
          <w:szCs w:val="24"/>
          <w:highlight w:val="none"/>
        </w:rPr>
        <w:t>；</w:t>
      </w:r>
    </w:p>
    <w:p w14:paraId="19503EC2">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承包人提供的文件的数量为：</w:t>
      </w:r>
      <w:r>
        <w:rPr>
          <w:rFonts w:hint="eastAsia" w:ascii="仿宋" w:hAnsi="仿宋" w:eastAsia="仿宋" w:cs="仿宋"/>
          <w:color w:val="auto"/>
          <w:sz w:val="24"/>
          <w:szCs w:val="24"/>
          <w:highlight w:val="none"/>
          <w:u w:val="single"/>
        </w:rPr>
        <w:t xml:space="preserve">按甲方要求执行   </w:t>
      </w:r>
      <w:r>
        <w:rPr>
          <w:rFonts w:hint="eastAsia" w:ascii="仿宋" w:hAnsi="仿宋" w:eastAsia="仿宋" w:cs="仿宋"/>
          <w:color w:val="auto"/>
          <w:sz w:val="24"/>
          <w:szCs w:val="24"/>
          <w:highlight w:val="none"/>
        </w:rPr>
        <w:t>；</w:t>
      </w:r>
    </w:p>
    <w:p w14:paraId="43619BBD">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承包人提供的文件的形式为：</w:t>
      </w:r>
      <w:r>
        <w:rPr>
          <w:rFonts w:hint="eastAsia" w:ascii="仿宋" w:hAnsi="仿宋" w:eastAsia="仿宋" w:cs="仿宋"/>
          <w:color w:val="auto"/>
          <w:sz w:val="24"/>
          <w:szCs w:val="24"/>
          <w:highlight w:val="none"/>
          <w:u w:val="single"/>
        </w:rPr>
        <w:t xml:space="preserve">纸质版及电子版   </w:t>
      </w:r>
      <w:r>
        <w:rPr>
          <w:rFonts w:hint="eastAsia" w:ascii="仿宋" w:hAnsi="仿宋" w:eastAsia="仿宋" w:cs="仿宋"/>
          <w:color w:val="auto"/>
          <w:sz w:val="24"/>
          <w:szCs w:val="24"/>
          <w:highlight w:val="none"/>
        </w:rPr>
        <w:t>；</w:t>
      </w:r>
    </w:p>
    <w:p w14:paraId="149EA2EE">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发包人审批承包人文件的期限：</w:t>
      </w:r>
      <w:r>
        <w:rPr>
          <w:rFonts w:hint="eastAsia" w:ascii="仿宋" w:hAnsi="仿宋" w:eastAsia="仿宋" w:cs="仿宋"/>
          <w:color w:val="auto"/>
          <w:sz w:val="24"/>
          <w:szCs w:val="24"/>
          <w:highlight w:val="none"/>
          <w:u w:val="single"/>
        </w:rPr>
        <w:t>收到承包人文件 7 日内审查完毕</w:t>
      </w:r>
      <w:r>
        <w:rPr>
          <w:rFonts w:hint="eastAsia" w:ascii="仿宋" w:hAnsi="仿宋" w:eastAsia="仿宋" w:cs="仿宋"/>
          <w:color w:val="auto"/>
          <w:sz w:val="24"/>
          <w:szCs w:val="24"/>
          <w:highlight w:val="none"/>
        </w:rPr>
        <w:t>。</w:t>
      </w:r>
    </w:p>
    <w:p w14:paraId="2EBCD811">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1.6.5 现场图纸准备</w:t>
      </w:r>
    </w:p>
    <w:p w14:paraId="656D980C">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关于现场图纸准备的约定：</w:t>
      </w:r>
      <w:r>
        <w:rPr>
          <w:rFonts w:hint="eastAsia" w:ascii="仿宋" w:hAnsi="仿宋" w:eastAsia="仿宋" w:cs="仿宋"/>
          <w:color w:val="auto"/>
          <w:sz w:val="24"/>
          <w:szCs w:val="24"/>
          <w:highlight w:val="none"/>
          <w:u w:val="single"/>
        </w:rPr>
        <w:t xml:space="preserve">商定于开工后三日内进行图纸会审、施工现场保留一套完整图纸、合同、承包人文件、变更以及其他根据合同收发的往来信函。发包人和监理人有权在任何合理的时间查阅和使用上述所有文件 </w:t>
      </w:r>
      <w:r>
        <w:rPr>
          <w:rFonts w:hint="eastAsia" w:ascii="仿宋" w:hAnsi="仿宋" w:eastAsia="仿宋" w:cs="仿宋"/>
          <w:color w:val="auto"/>
          <w:sz w:val="24"/>
          <w:szCs w:val="24"/>
          <w:highlight w:val="none"/>
        </w:rPr>
        <w:t>。</w:t>
      </w:r>
    </w:p>
    <w:p w14:paraId="66231B28">
      <w:pPr>
        <w:spacing w:line="440" w:lineRule="exact"/>
        <w:ind w:firstLine="480" w:firstLineChars="200"/>
        <w:outlineLvl w:val="4"/>
        <w:rPr>
          <w:rFonts w:hint="eastAsia" w:ascii="仿宋" w:hAnsi="仿宋" w:eastAsia="仿宋" w:cs="仿宋"/>
          <w:color w:val="auto"/>
          <w:sz w:val="24"/>
          <w:szCs w:val="24"/>
          <w:highlight w:val="none"/>
        </w:rPr>
      </w:pPr>
      <w:bookmarkStart w:id="76" w:name="_Toc2577"/>
      <w:r>
        <w:rPr>
          <w:rFonts w:hint="eastAsia" w:ascii="仿宋" w:hAnsi="仿宋" w:eastAsia="仿宋" w:cs="仿宋"/>
          <w:color w:val="auto"/>
          <w:sz w:val="24"/>
          <w:szCs w:val="24"/>
          <w:highlight w:val="none"/>
        </w:rPr>
        <w:t>1.7 联络</w:t>
      </w:r>
      <w:bookmarkEnd w:id="76"/>
    </w:p>
    <w:p w14:paraId="51BCCFC7">
      <w:pPr>
        <w:spacing w:line="44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1.7.1发包人和承包人应当在</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kern w:val="0"/>
          <w:sz w:val="24"/>
          <w:szCs w:val="24"/>
          <w:highlight w:val="none"/>
        </w:rPr>
        <w:t>天内将与合同有关的通知、批准、证明、证书、指示、指令、要求、请求、同意、意见、确定和决定等书面函件送达对方当事人。</w:t>
      </w:r>
    </w:p>
    <w:p w14:paraId="2B50B759">
      <w:pPr>
        <w:spacing w:line="44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1.7.2 发包人接收文件的地点：</w:t>
      </w:r>
      <w:r>
        <w:rPr>
          <w:rFonts w:hint="eastAsia" w:ascii="仿宋" w:hAnsi="仿宋" w:eastAsia="仿宋" w:cs="仿宋"/>
          <w:color w:val="auto"/>
          <w:sz w:val="24"/>
          <w:szCs w:val="24"/>
          <w:highlight w:val="none"/>
          <w:u w:val="single"/>
        </w:rPr>
        <w:t xml:space="preserve">项目所在地发包人办公室              </w:t>
      </w:r>
      <w:r>
        <w:rPr>
          <w:rFonts w:hint="eastAsia" w:ascii="仿宋" w:hAnsi="仿宋" w:eastAsia="仿宋" w:cs="仿宋"/>
          <w:color w:val="auto"/>
          <w:kern w:val="0"/>
          <w:sz w:val="24"/>
          <w:szCs w:val="24"/>
          <w:highlight w:val="none"/>
        </w:rPr>
        <w:t>；</w:t>
      </w:r>
    </w:p>
    <w:p w14:paraId="4CBD9B83">
      <w:pPr>
        <w:spacing w:line="44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发包人指定的接收人为：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kern w:val="0"/>
          <w:sz w:val="24"/>
          <w:szCs w:val="24"/>
          <w:highlight w:val="none"/>
        </w:rPr>
        <w:t>。</w:t>
      </w:r>
    </w:p>
    <w:p w14:paraId="6500C32F">
      <w:pPr>
        <w:spacing w:line="44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承包人接收文件的地点：</w:t>
      </w:r>
      <w:r>
        <w:rPr>
          <w:rFonts w:hint="eastAsia" w:ascii="仿宋" w:hAnsi="仿宋" w:eastAsia="仿宋" w:cs="仿宋"/>
          <w:color w:val="auto"/>
          <w:sz w:val="24"/>
          <w:szCs w:val="24"/>
          <w:highlight w:val="none"/>
          <w:u w:val="single"/>
        </w:rPr>
        <w:t xml:space="preserve">施工现场       </w:t>
      </w:r>
      <w:r>
        <w:rPr>
          <w:rFonts w:hint="eastAsia" w:ascii="仿宋" w:hAnsi="仿宋" w:eastAsia="仿宋" w:cs="仿宋"/>
          <w:color w:val="auto"/>
          <w:kern w:val="0"/>
          <w:sz w:val="24"/>
          <w:szCs w:val="24"/>
          <w:highlight w:val="none"/>
        </w:rPr>
        <w:t>；</w:t>
      </w:r>
    </w:p>
    <w:p w14:paraId="626EFDBA">
      <w:pPr>
        <w:spacing w:line="44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承包人指定的接收人为：</w:t>
      </w:r>
      <w:r>
        <w:rPr>
          <w:rFonts w:hint="eastAsia" w:ascii="仿宋" w:hAnsi="仿宋" w:eastAsia="仿宋" w:cs="仿宋"/>
          <w:color w:val="auto"/>
          <w:sz w:val="24"/>
          <w:szCs w:val="24"/>
          <w:highlight w:val="none"/>
          <w:u w:val="single"/>
        </w:rPr>
        <w:t xml:space="preserve">项目负责人     </w:t>
      </w:r>
      <w:r>
        <w:rPr>
          <w:rFonts w:hint="eastAsia" w:ascii="仿宋" w:hAnsi="仿宋" w:eastAsia="仿宋" w:cs="仿宋"/>
          <w:color w:val="auto"/>
          <w:kern w:val="0"/>
          <w:sz w:val="24"/>
          <w:szCs w:val="24"/>
          <w:highlight w:val="none"/>
        </w:rPr>
        <w:t>。</w:t>
      </w:r>
    </w:p>
    <w:p w14:paraId="1F4C4663">
      <w:pPr>
        <w:spacing w:line="44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监理人接收文件的地点：</w:t>
      </w:r>
      <w:r>
        <w:rPr>
          <w:rFonts w:hint="eastAsia" w:ascii="仿宋" w:hAnsi="仿宋" w:eastAsia="仿宋" w:cs="仿宋"/>
          <w:color w:val="auto"/>
          <w:sz w:val="24"/>
          <w:szCs w:val="24"/>
          <w:highlight w:val="none"/>
          <w:u w:val="single"/>
        </w:rPr>
        <w:t xml:space="preserve">  施工现场     </w:t>
      </w:r>
      <w:r>
        <w:rPr>
          <w:rFonts w:hint="eastAsia" w:ascii="仿宋" w:hAnsi="仿宋" w:eastAsia="仿宋" w:cs="仿宋"/>
          <w:color w:val="auto"/>
          <w:kern w:val="0"/>
          <w:sz w:val="24"/>
          <w:szCs w:val="24"/>
          <w:highlight w:val="none"/>
        </w:rPr>
        <w:t>；</w:t>
      </w:r>
    </w:p>
    <w:p w14:paraId="1BE31B45">
      <w:pPr>
        <w:spacing w:line="44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监理人指定的接收人为：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kern w:val="0"/>
          <w:sz w:val="24"/>
          <w:szCs w:val="24"/>
          <w:highlight w:val="none"/>
        </w:rPr>
        <w:t>。</w:t>
      </w:r>
    </w:p>
    <w:p w14:paraId="08204F11">
      <w:pPr>
        <w:spacing w:line="440" w:lineRule="exact"/>
        <w:ind w:firstLine="480" w:firstLineChars="200"/>
        <w:outlineLvl w:val="4"/>
        <w:rPr>
          <w:rFonts w:hint="eastAsia" w:ascii="仿宋" w:hAnsi="仿宋" w:eastAsia="仿宋" w:cs="仿宋"/>
          <w:color w:val="auto"/>
          <w:sz w:val="24"/>
          <w:szCs w:val="24"/>
          <w:highlight w:val="none"/>
        </w:rPr>
      </w:pPr>
      <w:bookmarkStart w:id="77" w:name="_Toc31879"/>
      <w:r>
        <w:rPr>
          <w:rFonts w:hint="eastAsia" w:ascii="仿宋" w:hAnsi="仿宋" w:eastAsia="仿宋" w:cs="仿宋"/>
          <w:color w:val="auto"/>
          <w:sz w:val="24"/>
          <w:szCs w:val="24"/>
          <w:highlight w:val="none"/>
        </w:rPr>
        <w:t>1.10 交通运输</w:t>
      </w:r>
      <w:bookmarkEnd w:id="77"/>
    </w:p>
    <w:p w14:paraId="6664AD6D">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Start w:id="78" w:name="_Toc300934943"/>
      <w:bookmarkStart w:id="79" w:name="_Toc304295521"/>
      <w:bookmarkStart w:id="80" w:name="_Toc303539100"/>
      <w:bookmarkStart w:id="81" w:name="_Toc312677986"/>
      <w:bookmarkStart w:id="82" w:name="_Toc318581155"/>
      <w:r>
        <w:rPr>
          <w:rFonts w:hint="eastAsia" w:ascii="仿宋" w:hAnsi="仿宋" w:eastAsia="仿宋" w:cs="仿宋"/>
          <w:color w:val="auto"/>
          <w:sz w:val="24"/>
          <w:szCs w:val="24"/>
          <w:highlight w:val="none"/>
        </w:rPr>
        <w:t>.10.1 出入现场的权利</w:t>
      </w:r>
    </w:p>
    <w:p w14:paraId="4D707F0F">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关于出入现场的权利的约定：</w:t>
      </w:r>
      <w:r>
        <w:rPr>
          <w:rFonts w:hint="eastAsia" w:ascii="仿宋" w:hAnsi="仿宋" w:eastAsia="仿宋" w:cs="仿宋"/>
          <w:color w:val="auto"/>
          <w:sz w:val="24"/>
          <w:szCs w:val="24"/>
          <w:highlight w:val="none"/>
          <w:u w:val="single"/>
        </w:rPr>
        <w:t>由承包人按发包人需要，取得出入施工现场所需的批准手续和全部权利，以及取得因施工所需修建道路、桥梁以及其他基础设施的权利，并承担相关手续费用和建设费用。该项费用由承包人承担</w:t>
      </w:r>
      <w:r>
        <w:rPr>
          <w:rFonts w:hint="eastAsia" w:ascii="仿宋" w:hAnsi="仿宋" w:eastAsia="仿宋" w:cs="仿宋"/>
          <w:color w:val="auto"/>
          <w:sz w:val="24"/>
          <w:szCs w:val="24"/>
          <w:highlight w:val="none"/>
        </w:rPr>
        <w:t>。</w:t>
      </w:r>
    </w:p>
    <w:bookmarkEnd w:id="78"/>
    <w:bookmarkEnd w:id="79"/>
    <w:bookmarkEnd w:id="80"/>
    <w:bookmarkEnd w:id="81"/>
    <w:bookmarkEnd w:id="82"/>
    <w:p w14:paraId="75998D6B">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Start w:id="83" w:name="_Toc300934944"/>
      <w:bookmarkStart w:id="84" w:name="_Toc312677987"/>
      <w:bookmarkStart w:id="85" w:name="_Toc318581156"/>
      <w:bookmarkStart w:id="86" w:name="_Toc304295522"/>
      <w:bookmarkStart w:id="87" w:name="_Toc303539101"/>
      <w:r>
        <w:rPr>
          <w:rFonts w:hint="eastAsia" w:ascii="仿宋" w:hAnsi="仿宋" w:eastAsia="仿宋" w:cs="仿宋"/>
          <w:color w:val="auto"/>
          <w:sz w:val="24"/>
          <w:szCs w:val="24"/>
          <w:highlight w:val="none"/>
        </w:rPr>
        <w:t>.10.3 场内交通</w:t>
      </w:r>
    </w:p>
    <w:p w14:paraId="3AB435C3">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关于场外交通和场内交通的边界的约定：</w:t>
      </w:r>
      <w:r>
        <w:rPr>
          <w:rFonts w:hint="eastAsia" w:ascii="仿宋" w:hAnsi="仿宋" w:eastAsia="仿宋" w:cs="仿宋"/>
          <w:color w:val="auto"/>
          <w:sz w:val="24"/>
          <w:szCs w:val="24"/>
          <w:highlight w:val="none"/>
          <w:u w:val="single"/>
        </w:rPr>
        <w:t>发包人协助，承包人负责办理施工通道的相关手续；负责建设为满足施工需求的施工便道和临时设施，并承担相关所有费用，以满足施工的运输要求</w:t>
      </w:r>
      <w:r>
        <w:rPr>
          <w:rFonts w:hint="eastAsia" w:ascii="仿宋" w:hAnsi="仿宋" w:eastAsia="仿宋" w:cs="仿宋"/>
          <w:color w:val="auto"/>
          <w:sz w:val="24"/>
          <w:szCs w:val="24"/>
          <w:highlight w:val="none"/>
        </w:rPr>
        <w:t>。</w:t>
      </w:r>
    </w:p>
    <w:p w14:paraId="5F630F47">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发包方协助，承包方办理并承担所有费用 </w:t>
      </w:r>
      <w:r>
        <w:rPr>
          <w:rFonts w:hint="eastAsia" w:ascii="仿宋" w:hAnsi="仿宋" w:eastAsia="仿宋" w:cs="仿宋"/>
          <w:color w:val="auto"/>
          <w:sz w:val="24"/>
          <w:szCs w:val="24"/>
          <w:highlight w:val="none"/>
        </w:rPr>
        <w:t>。</w:t>
      </w:r>
      <w:bookmarkEnd w:id="83"/>
      <w:bookmarkEnd w:id="84"/>
      <w:bookmarkEnd w:id="85"/>
      <w:bookmarkEnd w:id="86"/>
      <w:bookmarkEnd w:id="87"/>
      <w:r>
        <w:rPr>
          <w:rFonts w:hint="eastAsia" w:ascii="仿宋" w:hAnsi="仿宋" w:eastAsia="仿宋" w:cs="仿宋"/>
          <w:color w:val="auto"/>
          <w:sz w:val="24"/>
          <w:szCs w:val="24"/>
          <w:highlight w:val="none"/>
        </w:rPr>
        <w:t xml:space="preserve">  </w:t>
      </w:r>
      <w:bookmarkStart w:id="88" w:name="_Toc318581157"/>
    </w:p>
    <w:p w14:paraId="17BB24F4">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1.10.4超大件和超重件的运输</w:t>
      </w:r>
    </w:p>
    <w:p w14:paraId="28BAE9F3">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 承包人   </w:t>
      </w:r>
      <w:r>
        <w:rPr>
          <w:rFonts w:hint="eastAsia" w:ascii="仿宋" w:hAnsi="仿宋" w:eastAsia="仿宋" w:cs="仿宋"/>
          <w:color w:val="auto"/>
          <w:sz w:val="24"/>
          <w:szCs w:val="24"/>
          <w:highlight w:val="none"/>
        </w:rPr>
        <w:t>承担。</w:t>
      </w:r>
    </w:p>
    <w:bookmarkEnd w:id="88"/>
    <w:p w14:paraId="55C54F16">
      <w:pPr>
        <w:spacing w:line="440" w:lineRule="exact"/>
        <w:ind w:firstLine="480" w:firstLineChars="200"/>
        <w:outlineLvl w:val="4"/>
        <w:rPr>
          <w:rFonts w:hint="eastAsia" w:ascii="仿宋" w:hAnsi="仿宋" w:eastAsia="仿宋" w:cs="仿宋"/>
          <w:color w:val="auto"/>
          <w:sz w:val="24"/>
          <w:szCs w:val="24"/>
          <w:highlight w:val="none"/>
        </w:rPr>
      </w:pPr>
      <w:bookmarkStart w:id="89" w:name="_Toc19285"/>
      <w:r>
        <w:rPr>
          <w:rFonts w:hint="eastAsia" w:ascii="仿宋" w:hAnsi="仿宋" w:eastAsia="仿宋" w:cs="仿宋"/>
          <w:color w:val="auto"/>
          <w:sz w:val="24"/>
          <w:szCs w:val="24"/>
          <w:highlight w:val="none"/>
        </w:rPr>
        <w:t>1.11 知识产权</w:t>
      </w:r>
      <w:bookmarkEnd w:id="89"/>
    </w:p>
    <w:p w14:paraId="2A362084">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发包人       </w:t>
      </w:r>
      <w:r>
        <w:rPr>
          <w:rFonts w:hint="eastAsia" w:ascii="仿宋" w:hAnsi="仿宋" w:eastAsia="仿宋" w:cs="仿宋"/>
          <w:color w:val="auto"/>
          <w:sz w:val="24"/>
          <w:szCs w:val="24"/>
          <w:highlight w:val="none"/>
        </w:rPr>
        <w:t>。</w:t>
      </w:r>
    </w:p>
    <w:p w14:paraId="0087C5DC">
      <w:pPr>
        <w:spacing w:line="440" w:lineRule="exact"/>
        <w:ind w:left="596" w:leftChars="284"/>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关于发包人提供的上述文件的使用限制的要求：</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35041367">
      <w:pPr>
        <w:spacing w:line="440" w:lineRule="exact"/>
        <w:ind w:left="596" w:leftChars="28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1.11.2 关于承包人为实施工程所编制文件的著作权的归属：</w:t>
      </w:r>
      <w:r>
        <w:rPr>
          <w:rFonts w:hint="eastAsia" w:ascii="仿宋" w:hAnsi="仿宋" w:eastAsia="仿宋" w:cs="仿宋"/>
          <w:color w:val="auto"/>
          <w:sz w:val="24"/>
          <w:szCs w:val="24"/>
          <w:highlight w:val="none"/>
          <w:u w:val="single"/>
        </w:rPr>
        <w:t xml:space="preserve">  发包人  </w:t>
      </w:r>
      <w:r>
        <w:rPr>
          <w:rFonts w:hint="eastAsia" w:ascii="仿宋" w:hAnsi="仿宋" w:eastAsia="仿宋" w:cs="仿宋"/>
          <w:color w:val="auto"/>
          <w:sz w:val="24"/>
          <w:szCs w:val="24"/>
          <w:highlight w:val="none"/>
        </w:rPr>
        <w:t>。</w:t>
      </w:r>
    </w:p>
    <w:p w14:paraId="7AD64411">
      <w:pPr>
        <w:spacing w:line="440" w:lineRule="exact"/>
        <w:ind w:left="660" w:leftChars="200" w:hanging="240" w:hanging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关于承包人提供的上述文件的使用限制的要求：</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702BDCFA">
      <w:pPr>
        <w:spacing w:line="44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1.11.4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包含在签约合同价中       </w:t>
      </w:r>
      <w:r>
        <w:rPr>
          <w:rFonts w:hint="eastAsia" w:ascii="仿宋" w:hAnsi="仿宋" w:eastAsia="仿宋" w:cs="仿宋"/>
          <w:color w:val="auto"/>
          <w:kern w:val="0"/>
          <w:sz w:val="24"/>
          <w:szCs w:val="24"/>
          <w:highlight w:val="none"/>
        </w:rPr>
        <w:t>。</w:t>
      </w:r>
    </w:p>
    <w:p w14:paraId="77E59E59">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1.13工程量清单错误的修正</w:t>
      </w:r>
    </w:p>
    <w:p w14:paraId="75EC2564">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出现工程量清单错误时，是否调整合同价格：</w:t>
      </w:r>
      <w:r>
        <w:rPr>
          <w:rFonts w:hint="eastAsia" w:ascii="仿宋" w:hAnsi="仿宋" w:eastAsia="仿宋" w:cs="仿宋"/>
          <w:color w:val="auto"/>
          <w:sz w:val="24"/>
          <w:szCs w:val="24"/>
          <w:highlight w:val="none"/>
          <w:u w:val="single"/>
        </w:rPr>
        <w:t xml:space="preserve">    是     </w:t>
      </w:r>
      <w:r>
        <w:rPr>
          <w:rFonts w:hint="eastAsia" w:ascii="仿宋" w:hAnsi="仿宋" w:eastAsia="仿宋" w:cs="仿宋"/>
          <w:color w:val="auto"/>
          <w:kern w:val="0"/>
          <w:sz w:val="24"/>
          <w:szCs w:val="24"/>
          <w:highlight w:val="none"/>
        </w:rPr>
        <w:t>。</w:t>
      </w:r>
    </w:p>
    <w:p w14:paraId="7E47E77A">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允许调整合同价格的工程量偏差范围：</w:t>
      </w:r>
      <w:r>
        <w:rPr>
          <w:rFonts w:hint="eastAsia" w:ascii="仿宋" w:hAnsi="仿宋" w:eastAsia="仿宋" w:cs="仿宋"/>
          <w:color w:val="auto"/>
          <w:sz w:val="24"/>
          <w:szCs w:val="24"/>
          <w:highlight w:val="none"/>
          <w:u w:val="single"/>
        </w:rPr>
        <w:t xml:space="preserve"> 当工程量清单项目工程量的变化幅度在±15%（含15%）以内时，其综合单价不做调整；当工程量清单项目工程量的变化幅度在±15%以外时，其综合单价进行调整。调整方法为：超出+15%时，超出部分原综合单价下浮10%进行结算；超出-15%时，剩余部分原综合单价上浮10%进行结算。</w:t>
      </w:r>
    </w:p>
    <w:p w14:paraId="6421645C">
      <w:pPr>
        <w:spacing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当清单出现漏项时，漏项部分以经济签证的形式确认，与工程量清单中有相同项目的，按照相同项目单价认定；与工程量清单中无相同项目，但有类似项目的，参照类似项目的单价认定；对于没有类似项目的，由承包人根据工程资料、套用现行定额和估价表、费率中管理费及利润按照相应工程类别下限计取、工程造价管理机构发布的工程实施当期信息（参考）价格，综合以上因素计取。</w:t>
      </w:r>
    </w:p>
    <w:p w14:paraId="5A441565">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当确认变更的费用发生争议时，施工方不得以该争议作为怠工、停工等的理由，必须正常施工 </w:t>
      </w:r>
      <w:r>
        <w:rPr>
          <w:rFonts w:hint="eastAsia" w:ascii="仿宋" w:hAnsi="仿宋" w:eastAsia="仿宋" w:cs="仿宋"/>
          <w:color w:val="auto"/>
          <w:sz w:val="24"/>
          <w:szCs w:val="24"/>
          <w:highlight w:val="none"/>
        </w:rPr>
        <w:t>。</w:t>
      </w:r>
    </w:p>
    <w:p w14:paraId="3F26CE15">
      <w:pPr>
        <w:spacing w:line="440" w:lineRule="exact"/>
        <w:ind w:firstLine="482" w:firstLineChars="200"/>
        <w:outlineLvl w:val="3"/>
        <w:rPr>
          <w:rFonts w:hint="eastAsia" w:ascii="仿宋" w:hAnsi="仿宋" w:eastAsia="仿宋" w:cs="仿宋"/>
          <w:b/>
          <w:color w:val="auto"/>
          <w:sz w:val="24"/>
          <w:szCs w:val="24"/>
          <w:highlight w:val="none"/>
        </w:rPr>
      </w:pPr>
      <w:bookmarkStart w:id="90" w:name="_Toc20044"/>
      <w:r>
        <w:rPr>
          <w:rFonts w:hint="eastAsia" w:ascii="仿宋" w:hAnsi="仿宋" w:eastAsia="仿宋" w:cs="仿宋"/>
          <w:b/>
          <w:color w:val="auto"/>
          <w:sz w:val="24"/>
          <w:szCs w:val="24"/>
          <w:highlight w:val="none"/>
        </w:rPr>
        <w:t>2</w:t>
      </w:r>
      <w:bookmarkStart w:id="91" w:name="_Toc296503157"/>
      <w:bookmarkStart w:id="92" w:name="_Toc296891197"/>
      <w:bookmarkStart w:id="93" w:name="_Toc296346658"/>
      <w:bookmarkStart w:id="94" w:name="_Toc297120457"/>
      <w:bookmarkStart w:id="95" w:name="_Toc297048343"/>
      <w:bookmarkStart w:id="96" w:name="_Toc296347156"/>
      <w:bookmarkStart w:id="97" w:name="_Toc292559362"/>
      <w:bookmarkStart w:id="98" w:name="_Toc292559867"/>
      <w:bookmarkStart w:id="99" w:name="_Toc296890985"/>
      <w:bookmarkStart w:id="100" w:name="_Toc296944496"/>
      <w:r>
        <w:rPr>
          <w:rFonts w:hint="eastAsia" w:ascii="仿宋" w:hAnsi="仿宋" w:eastAsia="仿宋" w:cs="仿宋"/>
          <w:b/>
          <w:color w:val="auto"/>
          <w:sz w:val="24"/>
          <w:szCs w:val="24"/>
          <w:highlight w:val="none"/>
        </w:rPr>
        <w:t>. 发包人</w:t>
      </w:r>
      <w:bookmarkEnd w:id="90"/>
    </w:p>
    <w:bookmarkEnd w:id="91"/>
    <w:bookmarkEnd w:id="92"/>
    <w:bookmarkEnd w:id="93"/>
    <w:bookmarkEnd w:id="94"/>
    <w:bookmarkEnd w:id="95"/>
    <w:bookmarkEnd w:id="96"/>
    <w:bookmarkEnd w:id="97"/>
    <w:bookmarkEnd w:id="98"/>
    <w:bookmarkEnd w:id="99"/>
    <w:bookmarkEnd w:id="100"/>
    <w:p w14:paraId="0AE37388">
      <w:pPr>
        <w:spacing w:line="440" w:lineRule="exact"/>
        <w:ind w:firstLine="480" w:firstLineChars="200"/>
        <w:outlineLvl w:val="4"/>
        <w:rPr>
          <w:rFonts w:hint="eastAsia" w:ascii="仿宋" w:hAnsi="仿宋" w:eastAsia="仿宋" w:cs="仿宋"/>
          <w:color w:val="auto"/>
          <w:sz w:val="24"/>
          <w:szCs w:val="24"/>
          <w:highlight w:val="none"/>
        </w:rPr>
      </w:pPr>
      <w:bookmarkStart w:id="101" w:name="_Toc4468"/>
      <w:r>
        <w:rPr>
          <w:rFonts w:hint="eastAsia" w:ascii="仿宋" w:hAnsi="仿宋" w:eastAsia="仿宋" w:cs="仿宋"/>
          <w:color w:val="auto"/>
          <w:sz w:val="24"/>
          <w:szCs w:val="24"/>
          <w:highlight w:val="none"/>
        </w:rPr>
        <w:t>2.2 发包人代表</w:t>
      </w:r>
      <w:bookmarkEnd w:id="101"/>
    </w:p>
    <w:p w14:paraId="59E91C0A">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发包人代表：</w:t>
      </w:r>
    </w:p>
    <w:p w14:paraId="33A3A3CD">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DA9B1B5">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A807DAE">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3D91A46">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A804E4F">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433745C">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81D3F79">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发包人对发包人代表的授权范围如下：</w:t>
      </w:r>
      <w:r>
        <w:rPr>
          <w:rFonts w:hint="eastAsia" w:ascii="仿宋" w:hAnsi="仿宋" w:eastAsia="仿宋" w:cs="仿宋"/>
          <w:color w:val="auto"/>
          <w:sz w:val="24"/>
          <w:szCs w:val="24"/>
          <w:highlight w:val="none"/>
          <w:u w:val="single"/>
        </w:rPr>
        <w:t xml:space="preserve">督促指导监理工程师行使职权，协调施工现场各方面的关系，协调工程质量、进度和安全文明施工中存在的问题，审核工程进度报表等，涉及到工程质量、合同变更、经济签证、设计变更、工程结算、竣工验收的相关文件，由发包人代表和监理工程师签字后报发包人审核 </w:t>
      </w:r>
      <w:r>
        <w:rPr>
          <w:rFonts w:hint="eastAsia" w:ascii="仿宋" w:hAnsi="仿宋" w:eastAsia="仿宋" w:cs="仿宋"/>
          <w:color w:val="auto"/>
          <w:sz w:val="24"/>
          <w:szCs w:val="24"/>
          <w:highlight w:val="none"/>
        </w:rPr>
        <w:t>。</w:t>
      </w:r>
    </w:p>
    <w:p w14:paraId="19F4065A">
      <w:pPr>
        <w:spacing w:line="440" w:lineRule="exact"/>
        <w:ind w:firstLine="480" w:firstLineChars="200"/>
        <w:jc w:val="left"/>
        <w:outlineLvl w:val="4"/>
        <w:rPr>
          <w:rFonts w:hint="eastAsia" w:ascii="仿宋" w:hAnsi="仿宋" w:eastAsia="仿宋" w:cs="仿宋"/>
          <w:color w:val="auto"/>
          <w:sz w:val="24"/>
          <w:szCs w:val="24"/>
          <w:highlight w:val="none"/>
        </w:rPr>
      </w:pPr>
      <w:bookmarkStart w:id="102" w:name="_Toc21826"/>
      <w:r>
        <w:rPr>
          <w:rFonts w:hint="eastAsia" w:ascii="仿宋" w:hAnsi="仿宋" w:eastAsia="仿宋" w:cs="仿宋"/>
          <w:color w:val="auto"/>
          <w:sz w:val="24"/>
          <w:szCs w:val="24"/>
          <w:highlight w:val="none"/>
        </w:rPr>
        <w:t>2.4 施工现场、施工条件和基础资料的提供</w:t>
      </w:r>
      <w:bookmarkEnd w:id="102"/>
    </w:p>
    <w:p w14:paraId="082A3F19">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2.4.1 提供施工现场</w:t>
      </w:r>
    </w:p>
    <w:p w14:paraId="388C37DE">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关于发包人移交施工现场的期限要求：</w:t>
      </w:r>
      <w:r>
        <w:rPr>
          <w:rFonts w:hint="eastAsia" w:ascii="仿宋" w:hAnsi="仿宋" w:eastAsia="仿宋" w:cs="仿宋"/>
          <w:color w:val="auto"/>
          <w:sz w:val="24"/>
          <w:szCs w:val="24"/>
          <w:highlight w:val="none"/>
          <w:u w:val="single"/>
        </w:rPr>
        <w:t xml:space="preserve">发包人不组织现场踏勘。开工前三日内，承包人接受施工场地，以及施工场地内地下管线和地下设施等有关资料后，自行对施工现场以及相关资料进行复核，在3日内未提出书面异议的，视为施工场地完全符合施工条件，并对以下几点完全清楚并在费用和时间方面进行了综合考虑后满足施工需求：（1）现场的地形、地质条件；（2）水文和气候的条件；（3）施工场地内地下管线和地下设施；（4）为工程施工和完工以及修补其任何缺陷所需的工作和材料的范围与性质；（5）进入现场的手段以及承包人可能需要的生产和生活条件；（6）其他与施工现场有关的不利条件。由此产生任何问题均由承包人自行解决并承担费用 </w:t>
      </w:r>
      <w:r>
        <w:rPr>
          <w:rFonts w:hint="eastAsia" w:ascii="仿宋" w:hAnsi="仿宋" w:eastAsia="仿宋" w:cs="仿宋"/>
          <w:color w:val="auto"/>
          <w:sz w:val="24"/>
          <w:szCs w:val="24"/>
          <w:highlight w:val="none"/>
        </w:rPr>
        <w:t>。</w:t>
      </w:r>
    </w:p>
    <w:p w14:paraId="122F5CB9">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2.4.2 提供施工条件</w:t>
      </w:r>
    </w:p>
    <w:p w14:paraId="6BE76C5C">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关于发包人应负责提供施工所需要的条件，包括：</w:t>
      </w:r>
      <w:r>
        <w:rPr>
          <w:rFonts w:hint="eastAsia" w:ascii="仿宋" w:hAnsi="仿宋" w:eastAsia="仿宋" w:cs="仿宋"/>
          <w:color w:val="auto"/>
          <w:sz w:val="24"/>
          <w:szCs w:val="24"/>
          <w:highlight w:val="none"/>
          <w:u w:val="single"/>
        </w:rPr>
        <w:t xml:space="preserve"> 发包人协调，承包人完成，费用包含在合同价内 </w:t>
      </w:r>
      <w:r>
        <w:rPr>
          <w:rFonts w:hint="eastAsia" w:ascii="仿宋" w:hAnsi="仿宋" w:eastAsia="仿宋" w:cs="仿宋"/>
          <w:color w:val="auto"/>
          <w:sz w:val="24"/>
          <w:szCs w:val="24"/>
          <w:highlight w:val="none"/>
        </w:rPr>
        <w:t>。</w:t>
      </w:r>
    </w:p>
    <w:p w14:paraId="122E5E22">
      <w:pPr>
        <w:spacing w:line="440" w:lineRule="exact"/>
        <w:ind w:firstLine="480" w:firstLineChars="200"/>
        <w:outlineLvl w:val="4"/>
        <w:rPr>
          <w:rFonts w:hint="eastAsia" w:ascii="仿宋" w:hAnsi="仿宋" w:eastAsia="仿宋" w:cs="仿宋"/>
          <w:color w:val="auto"/>
          <w:sz w:val="24"/>
          <w:szCs w:val="24"/>
          <w:highlight w:val="none"/>
        </w:rPr>
      </w:pPr>
      <w:bookmarkStart w:id="103" w:name="_Toc19891"/>
      <w:r>
        <w:rPr>
          <w:rFonts w:hint="eastAsia" w:ascii="仿宋" w:hAnsi="仿宋" w:eastAsia="仿宋" w:cs="仿宋"/>
          <w:color w:val="auto"/>
          <w:sz w:val="24"/>
          <w:szCs w:val="24"/>
          <w:highlight w:val="none"/>
        </w:rPr>
        <w:t>2.5 资金来源证明及支付担保</w:t>
      </w:r>
      <w:bookmarkEnd w:id="103"/>
    </w:p>
    <w:p w14:paraId="28F4CDD5">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发包人提供资金来源证明的期限要求：</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21CB4E11">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发包人是否提供支付担保：</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25FD43E1">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发包人提供支付担保的形式：</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0C9F45ED">
      <w:pPr>
        <w:pStyle w:val="5"/>
        <w:spacing w:before="0" w:after="0" w:line="440" w:lineRule="exact"/>
        <w:rPr>
          <w:rFonts w:hint="eastAsia" w:ascii="仿宋" w:hAnsi="仿宋" w:eastAsia="仿宋" w:cs="仿宋"/>
          <w:b w:val="0"/>
          <w:color w:val="auto"/>
          <w:sz w:val="24"/>
          <w:szCs w:val="24"/>
          <w:highlight w:val="none"/>
        </w:rPr>
      </w:pPr>
      <w:bookmarkStart w:id="104" w:name="_Toc5569"/>
      <w:r>
        <w:rPr>
          <w:rFonts w:hint="eastAsia" w:ascii="仿宋" w:hAnsi="仿宋" w:eastAsia="仿宋" w:cs="仿宋"/>
          <w:b w:val="0"/>
          <w:color w:val="auto"/>
          <w:sz w:val="24"/>
          <w:szCs w:val="24"/>
          <w:highlight w:val="none"/>
        </w:rPr>
        <w:t>3</w:t>
      </w:r>
      <w:bookmarkStart w:id="105" w:name="_Toc296346659"/>
      <w:bookmarkStart w:id="106" w:name="_Toc297120458"/>
      <w:bookmarkStart w:id="107" w:name="_Toc297048344"/>
      <w:bookmarkStart w:id="108" w:name="_Toc296944497"/>
      <w:bookmarkStart w:id="109" w:name="_Toc296891198"/>
      <w:bookmarkStart w:id="110" w:name="_Toc296347157"/>
      <w:bookmarkStart w:id="111" w:name="_Toc292559868"/>
      <w:bookmarkStart w:id="112" w:name="_Toc292559363"/>
      <w:bookmarkStart w:id="113" w:name="_Toc296503158"/>
      <w:bookmarkStart w:id="114" w:name="_Toc296890986"/>
      <w:r>
        <w:rPr>
          <w:rFonts w:hint="eastAsia" w:ascii="仿宋" w:hAnsi="仿宋" w:eastAsia="仿宋" w:cs="仿宋"/>
          <w:b w:val="0"/>
          <w:color w:val="auto"/>
          <w:sz w:val="24"/>
          <w:szCs w:val="24"/>
          <w:highlight w:val="none"/>
        </w:rPr>
        <w:t>. 承包人</w:t>
      </w:r>
      <w:bookmarkEnd w:id="104"/>
    </w:p>
    <w:bookmarkEnd w:id="105"/>
    <w:bookmarkEnd w:id="106"/>
    <w:bookmarkEnd w:id="107"/>
    <w:bookmarkEnd w:id="108"/>
    <w:bookmarkEnd w:id="109"/>
    <w:bookmarkEnd w:id="110"/>
    <w:bookmarkEnd w:id="111"/>
    <w:bookmarkEnd w:id="112"/>
    <w:bookmarkEnd w:id="113"/>
    <w:bookmarkEnd w:id="114"/>
    <w:p w14:paraId="536A9EBA">
      <w:pPr>
        <w:spacing w:line="440" w:lineRule="exact"/>
        <w:ind w:firstLine="480" w:firstLineChars="200"/>
        <w:outlineLvl w:val="4"/>
        <w:rPr>
          <w:rFonts w:hint="eastAsia" w:ascii="仿宋" w:hAnsi="仿宋" w:eastAsia="仿宋" w:cs="仿宋"/>
          <w:color w:val="auto"/>
          <w:sz w:val="24"/>
          <w:szCs w:val="24"/>
          <w:highlight w:val="none"/>
        </w:rPr>
      </w:pPr>
      <w:bookmarkStart w:id="115" w:name="_Toc29350"/>
      <w:r>
        <w:rPr>
          <w:rFonts w:hint="eastAsia" w:ascii="仿宋" w:hAnsi="仿宋" w:eastAsia="仿宋" w:cs="仿宋"/>
          <w:color w:val="auto"/>
          <w:sz w:val="24"/>
          <w:szCs w:val="24"/>
          <w:highlight w:val="none"/>
        </w:rPr>
        <w:t>3.1 承包人的一般义务</w:t>
      </w:r>
      <w:bookmarkEnd w:id="115"/>
    </w:p>
    <w:p w14:paraId="01B7E5B7">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（9）</w:t>
      </w:r>
      <w:r>
        <w:rPr>
          <w:rFonts w:hint="eastAsia" w:ascii="仿宋" w:hAnsi="仿宋" w:eastAsia="仿宋" w:cs="仿宋"/>
          <w:color w:val="auto"/>
          <w:sz w:val="24"/>
          <w:szCs w:val="24"/>
          <w:highlight w:val="none"/>
        </w:rPr>
        <w:t>承包人提交的竣工资料的内容：</w:t>
      </w:r>
      <w:r>
        <w:rPr>
          <w:rFonts w:hint="eastAsia" w:ascii="仿宋" w:hAnsi="仿宋" w:eastAsia="仿宋" w:cs="仿宋"/>
          <w:color w:val="auto"/>
          <w:sz w:val="24"/>
          <w:szCs w:val="24"/>
          <w:highlight w:val="none"/>
          <w:u w:val="single"/>
        </w:rPr>
        <w:t xml:space="preserve"> 1）承包人须按照《房屋建筑和市政基础设施工程竣工验收规定》及国家建设工程文件归档规范提交完整的技术档案和施工管理资料；2）单项工程竣工后，承包人应在提交竣工验收报告的同时，向发包人递交竣工结算报告及完整的结算资料；</w:t>
      </w:r>
      <w:r>
        <w:rPr>
          <w:rFonts w:hint="eastAsia" w:ascii="仿宋" w:hAnsi="仿宋" w:eastAsia="仿宋" w:cs="仿宋"/>
          <w:color w:val="auto"/>
          <w:sz w:val="24"/>
          <w:szCs w:val="24"/>
          <w:highlight w:val="none"/>
        </w:rPr>
        <w:t>承包人需要提交的竣工资料套数：</w:t>
      </w:r>
      <w:r>
        <w:rPr>
          <w:rFonts w:hint="eastAsia" w:ascii="仿宋" w:hAnsi="仿宋" w:eastAsia="仿宋" w:cs="仿宋"/>
          <w:color w:val="auto"/>
          <w:sz w:val="24"/>
          <w:szCs w:val="24"/>
          <w:highlight w:val="none"/>
          <w:u w:val="single"/>
        </w:rPr>
        <w:t xml:space="preserve">纸质版2套，电子版扫描后刻录光盘一套 </w:t>
      </w:r>
      <w:r>
        <w:rPr>
          <w:rFonts w:hint="eastAsia" w:ascii="仿宋" w:hAnsi="仿宋" w:eastAsia="仿宋" w:cs="仿宋"/>
          <w:color w:val="auto"/>
          <w:sz w:val="24"/>
          <w:szCs w:val="24"/>
          <w:highlight w:val="none"/>
        </w:rPr>
        <w:t>。</w:t>
      </w:r>
    </w:p>
    <w:p w14:paraId="26200F8E">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承包人提交的竣工资料的费用承担：</w:t>
      </w:r>
      <w:r>
        <w:rPr>
          <w:rFonts w:hint="eastAsia" w:ascii="仿宋" w:hAnsi="仿宋" w:eastAsia="仿宋" w:cs="仿宋"/>
          <w:color w:val="auto"/>
          <w:sz w:val="24"/>
          <w:szCs w:val="24"/>
          <w:highlight w:val="none"/>
          <w:u w:val="single"/>
        </w:rPr>
        <w:t xml:space="preserve">承包人自行承担   </w:t>
      </w:r>
      <w:r>
        <w:rPr>
          <w:rFonts w:hint="eastAsia" w:ascii="仿宋" w:hAnsi="仿宋" w:eastAsia="仿宋" w:cs="仿宋"/>
          <w:color w:val="auto"/>
          <w:sz w:val="24"/>
          <w:szCs w:val="24"/>
          <w:highlight w:val="none"/>
        </w:rPr>
        <w:t>。</w:t>
      </w:r>
    </w:p>
    <w:p w14:paraId="18778726">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承包人提交的竣工资料移交时间：</w:t>
      </w:r>
      <w:r>
        <w:rPr>
          <w:rFonts w:hint="eastAsia" w:ascii="仿宋" w:hAnsi="仿宋" w:eastAsia="仿宋" w:cs="仿宋"/>
          <w:color w:val="auto"/>
          <w:sz w:val="24"/>
          <w:szCs w:val="24"/>
          <w:highlight w:val="none"/>
          <w:u w:val="single"/>
        </w:rPr>
        <w:t xml:space="preserve"> 工程验收合格后，承包方应 3个月内将合格的竣工资料交当地城建档案 </w:t>
      </w:r>
      <w:r>
        <w:rPr>
          <w:rFonts w:hint="eastAsia" w:ascii="仿宋" w:hAnsi="仿宋" w:eastAsia="仿宋" w:cs="仿宋"/>
          <w:color w:val="auto"/>
          <w:sz w:val="24"/>
          <w:szCs w:val="24"/>
          <w:highlight w:val="none"/>
        </w:rPr>
        <w:t>。</w:t>
      </w:r>
    </w:p>
    <w:p w14:paraId="4F6E3577">
      <w:pPr>
        <w:spacing w:line="440" w:lineRule="exact"/>
        <w:ind w:left="239" w:leftChars="114" w:firstLine="240" w:firstLineChars="1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承包人提交的竣工资料形式要求：</w:t>
      </w:r>
      <w:r>
        <w:rPr>
          <w:rFonts w:hint="eastAsia" w:ascii="仿宋" w:hAnsi="仿宋" w:eastAsia="仿宋" w:cs="仿宋"/>
          <w:color w:val="auto"/>
          <w:sz w:val="24"/>
          <w:szCs w:val="24"/>
          <w:highlight w:val="none"/>
          <w:u w:val="single"/>
        </w:rPr>
        <w:t xml:space="preserve">书面按档案规范要求提供纸质版和电子文档 </w:t>
      </w:r>
      <w:r>
        <w:rPr>
          <w:rFonts w:hint="eastAsia" w:ascii="仿宋" w:hAnsi="仿宋" w:eastAsia="仿宋" w:cs="仿宋"/>
          <w:color w:val="auto"/>
          <w:sz w:val="24"/>
          <w:szCs w:val="24"/>
          <w:highlight w:val="none"/>
        </w:rPr>
        <w:t>。</w:t>
      </w:r>
    </w:p>
    <w:p w14:paraId="19069593">
      <w:pPr>
        <w:spacing w:line="440" w:lineRule="exact"/>
        <w:ind w:firstLine="960" w:firstLineChars="4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承包人应履行的其他义务：</w:t>
      </w:r>
    </w:p>
    <w:p w14:paraId="52E6C86C">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1）承包人配合建设单位办理开工前的所有施工手续</w:t>
      </w:r>
      <w:r>
        <w:rPr>
          <w:rFonts w:hint="eastAsia" w:ascii="仿宋" w:hAnsi="仿宋" w:eastAsia="仿宋" w:cs="仿宋"/>
          <w:color w:val="auto"/>
          <w:sz w:val="24"/>
          <w:szCs w:val="24"/>
          <w:highlight w:val="none"/>
        </w:rPr>
        <w:t>。</w:t>
      </w:r>
    </w:p>
    <w:p w14:paraId="206D0EF7">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2）负责协助办理项目前期手续、办理施工过程中所需手续、办理竣工验收手续、办理其他相关手续、完善施工管理、检查、试验、报验的工作，工程施工涉及的外环境要求完善的工程，执行相关文件要求</w:t>
      </w:r>
      <w:r>
        <w:rPr>
          <w:rFonts w:hint="eastAsia" w:ascii="仿宋" w:hAnsi="仿宋" w:eastAsia="仿宋" w:cs="仿宋"/>
          <w:color w:val="auto"/>
          <w:sz w:val="24"/>
          <w:szCs w:val="24"/>
          <w:highlight w:val="none"/>
        </w:rPr>
        <w:t>。</w:t>
      </w:r>
    </w:p>
    <w:p w14:paraId="5C52A468">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3）遵守政府有关主管部门对施工场地安全生产、文明施工、环境保护、扬尘治理等的管理规定，按规定办理有关手续，并以书面形式通知发包人，由此发生的费用包括在投标总报价中</w:t>
      </w:r>
      <w:r>
        <w:rPr>
          <w:rFonts w:hint="eastAsia" w:ascii="仿宋" w:hAnsi="仿宋" w:eastAsia="仿宋" w:cs="仿宋"/>
          <w:color w:val="auto"/>
          <w:sz w:val="24"/>
          <w:szCs w:val="24"/>
          <w:highlight w:val="none"/>
        </w:rPr>
        <w:t>。</w:t>
      </w:r>
    </w:p>
    <w:p w14:paraId="21CEDAD6">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4）承包人应在签订合同协议书后，向监理工程师提交 2 份其格式和内容符合监理工程师规定的工程进度计划，以及为完成该计划而建议采用的实施性的施工安排和施工方案的说明。工程进度计划应按照关键线路网络图编绘，并应包括每月预计完成的工作量和形象进度</w:t>
      </w:r>
      <w:r>
        <w:rPr>
          <w:rFonts w:hint="eastAsia" w:ascii="仿宋" w:hAnsi="仿宋" w:eastAsia="仿宋" w:cs="仿宋"/>
          <w:color w:val="auto"/>
          <w:sz w:val="24"/>
          <w:szCs w:val="24"/>
          <w:highlight w:val="none"/>
        </w:rPr>
        <w:t>；</w:t>
      </w:r>
    </w:p>
    <w:p w14:paraId="73C3C954">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5）承包人应按发包人要求免费提供投标文件，承包人在签订施工合同的同时向监理单位提交投标清单计价文件；每月 25 日前向发包人报下月工程进度计划，每月 20 日前向发包人报工程量验工报告</w:t>
      </w:r>
      <w:r>
        <w:rPr>
          <w:rFonts w:hint="eastAsia" w:ascii="仿宋" w:hAnsi="仿宋" w:eastAsia="仿宋" w:cs="仿宋"/>
          <w:color w:val="auto"/>
          <w:sz w:val="24"/>
          <w:szCs w:val="24"/>
          <w:highlight w:val="none"/>
        </w:rPr>
        <w:t>。</w:t>
      </w:r>
    </w:p>
    <w:p w14:paraId="50B3138D">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6）参加各类施工协调、交通配合例会,做好施工现场的交通管理工作</w:t>
      </w:r>
      <w:r>
        <w:rPr>
          <w:rFonts w:hint="eastAsia" w:ascii="仿宋" w:hAnsi="仿宋" w:eastAsia="仿宋" w:cs="仿宋"/>
          <w:color w:val="auto"/>
          <w:sz w:val="24"/>
          <w:szCs w:val="24"/>
          <w:highlight w:val="none"/>
        </w:rPr>
        <w:t>。</w:t>
      </w:r>
    </w:p>
    <w:p w14:paraId="37DD3D03">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7）按时向发包人提交开竣工报告,隐蔽工程验收报告,质量自检记录,交工验收报告及工程事故报告等资料</w:t>
      </w:r>
      <w:r>
        <w:rPr>
          <w:rFonts w:hint="eastAsia" w:ascii="仿宋" w:hAnsi="仿宋" w:eastAsia="仿宋" w:cs="仿宋"/>
          <w:color w:val="auto"/>
          <w:sz w:val="24"/>
          <w:szCs w:val="24"/>
          <w:highlight w:val="none"/>
        </w:rPr>
        <w:t>；</w:t>
      </w:r>
    </w:p>
    <w:p w14:paraId="2CAC66DC">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8）本工程实施前承包人应根据招标时或交底时提供的工程地质、地下管线、设施等资料对工程影响范围内地下管线、道路和周围建筑物、构筑物进行周密的勘察与调查,在施工前应采取必要的加固措施, 确保在施工过程中各类管线和临近建（构）筑物的安全，避免在施工期间造成损坏；施工过程中应采取必要措施对变形进行控制，发现损坏时应及时抢修，施工结束后及缺陷责任期进行必要的维修，确保沿线影响范围内地下管线、地面道路、下水道和周围建筑物、构筑物的安全与正常使用；因承包商的责任导致索赔、赔偿、及诉讼费用和其它开支时，由承包人承担一切责任及费用。</w:t>
      </w:r>
    </w:p>
    <w:p w14:paraId="58493A91">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9）文明施工按照乌鲁木齐市有关职能部门的要求执行，施工时不影响校园交通道路的正常运行和保证给排水畅通，施工区域范围内必须采取封闭措施，搞好工地现场环境卫生，并接受有关部门和发包人的检查</w:t>
      </w:r>
      <w:r>
        <w:rPr>
          <w:rFonts w:hint="eastAsia" w:ascii="仿宋" w:hAnsi="仿宋" w:eastAsia="仿宋" w:cs="仿宋"/>
          <w:color w:val="auto"/>
          <w:sz w:val="24"/>
          <w:szCs w:val="24"/>
          <w:highlight w:val="none"/>
        </w:rPr>
        <w:t>。</w:t>
      </w:r>
    </w:p>
    <w:p w14:paraId="1688CEC5">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10）必须接受发包人及其委托的监理工程师的监理，并为其开展工作和生活提供方便，按照要求提供完整的原始记录，检测记录等技术、经济资料</w:t>
      </w:r>
      <w:r>
        <w:rPr>
          <w:rFonts w:hint="eastAsia" w:ascii="仿宋" w:hAnsi="仿宋" w:eastAsia="仿宋" w:cs="仿宋"/>
          <w:color w:val="auto"/>
          <w:sz w:val="24"/>
          <w:szCs w:val="24"/>
          <w:highlight w:val="none"/>
        </w:rPr>
        <w:t>。</w:t>
      </w:r>
    </w:p>
    <w:p w14:paraId="4EE3AACF">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11）承包人需自行完成施工用水、用电接入及通信线路接入的施工及办理用水接表、用电报装等有关事宜，费用由承包人自行承担，发包人做好协调工作</w:t>
      </w:r>
      <w:r>
        <w:rPr>
          <w:rFonts w:hint="eastAsia" w:ascii="仿宋" w:hAnsi="仿宋" w:eastAsia="仿宋" w:cs="仿宋"/>
          <w:color w:val="auto"/>
          <w:sz w:val="24"/>
          <w:szCs w:val="24"/>
          <w:highlight w:val="none"/>
        </w:rPr>
        <w:t>。</w:t>
      </w:r>
    </w:p>
    <w:p w14:paraId="19C9A3B3">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12）对于承包人或其分包人所雇用的工人发生意外事故或伤害和赔偿，应由承包人自行承担。对于此类事故或损害和赔偿，发包人均不予承担任何责任，且发包人不承担涉及此类事故或损害与赔偿或与此有关的索赔、诉讼、损害赔偿、诉讼费、赔偿费及其它所有费用</w:t>
      </w:r>
      <w:r>
        <w:rPr>
          <w:rFonts w:hint="eastAsia" w:ascii="仿宋" w:hAnsi="仿宋" w:eastAsia="仿宋" w:cs="仿宋"/>
          <w:color w:val="auto"/>
          <w:sz w:val="24"/>
          <w:szCs w:val="24"/>
          <w:highlight w:val="none"/>
        </w:rPr>
        <w:t>。</w:t>
      </w:r>
    </w:p>
    <w:p w14:paraId="263CD6C9">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13）承包人应当加强工程款管理，做到专款专用，不得拖欠材料、设备货款、农民工和工人工资等费用。监理工程师或发包人对工程款使用情况进行监督检查时，承包人应当积极配合，不得阻扰和拒绝。如承包人发生本款所述拖欠行为，一经查实，发包人责令承包人自行组织资金迅速偿还欠款。对恶意拖欠和拒不按计划偿付时，发包人可以代扣工程款（或保证金），并将有关情况报相关主管部门调查处理必要时有权单方解除合同并依法追究承包人的责任</w:t>
      </w:r>
      <w:r>
        <w:rPr>
          <w:rFonts w:hint="eastAsia" w:ascii="仿宋" w:hAnsi="仿宋" w:eastAsia="仿宋" w:cs="仿宋"/>
          <w:color w:val="auto"/>
          <w:sz w:val="24"/>
          <w:szCs w:val="24"/>
          <w:highlight w:val="none"/>
        </w:rPr>
        <w:t>。</w:t>
      </w:r>
    </w:p>
    <w:p w14:paraId="6DFE6412">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14）施工防护工作：施工期间承包人须对本工程的及其不能影响到的其他专业工程和现场采取必要的措施进行加固、维护、安全防护和损毁修复，并承担由此发生的一切费用</w:t>
      </w:r>
      <w:r>
        <w:rPr>
          <w:rFonts w:hint="eastAsia" w:ascii="仿宋" w:hAnsi="仿宋" w:eastAsia="仿宋" w:cs="仿宋"/>
          <w:color w:val="auto"/>
          <w:sz w:val="24"/>
          <w:szCs w:val="24"/>
          <w:highlight w:val="none"/>
        </w:rPr>
        <w:t>。</w:t>
      </w:r>
    </w:p>
    <w:p w14:paraId="1826C2BC">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15）工地作业和施工方法：承包人应对工地所有作业和施工方法的适当性、可靠性及安全性负责。同时根据施工现场的实际情况建立健全的质量保证体系、环境保证体系和职业健康与安全保证体系</w:t>
      </w:r>
      <w:r>
        <w:rPr>
          <w:rFonts w:hint="eastAsia" w:ascii="仿宋" w:hAnsi="仿宋" w:eastAsia="仿宋" w:cs="仿宋"/>
          <w:color w:val="auto"/>
          <w:sz w:val="24"/>
          <w:szCs w:val="24"/>
          <w:highlight w:val="none"/>
        </w:rPr>
        <w:t>。</w:t>
      </w:r>
    </w:p>
    <w:p w14:paraId="56082E64">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16）文明施工措施费用，包含在合同价格内，全部由承包人自行承担。如因承包人未及时采取措施，或采取措施不当，给发包人造成损失或增加费用的，均由承包人承担，发包人有权从应付工程款中直接扣除</w:t>
      </w:r>
      <w:r>
        <w:rPr>
          <w:rFonts w:hint="eastAsia" w:ascii="仿宋" w:hAnsi="仿宋" w:eastAsia="仿宋" w:cs="仿宋"/>
          <w:color w:val="auto"/>
          <w:sz w:val="24"/>
          <w:szCs w:val="24"/>
          <w:highlight w:val="none"/>
        </w:rPr>
        <w:t>。</w:t>
      </w:r>
    </w:p>
    <w:p w14:paraId="1DAD2F58">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17）承包人必须与农民工订立劳动合同并进行用工实名登记，并将劳动合同及用工名录提交发包人备案。未与承包人订立劳动合同并进行用工实名登记的人员，不得进入项目现场施工。当承包人发生农民工工资纠纷时，发包人有权使用项目工程款直接支付农民工工资，相应金额在发包人向承包人支付工程款项中扣除。</w:t>
      </w:r>
    </w:p>
    <w:p w14:paraId="77ACF380">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18）要求承包人开设农民工资专用账户，并在提交的工程量清单中将人工费与其他费用分开组价，与其他费用分开支付 </w:t>
      </w:r>
      <w:r>
        <w:rPr>
          <w:rFonts w:hint="eastAsia" w:ascii="仿宋" w:hAnsi="仿宋" w:eastAsia="仿宋" w:cs="仿宋"/>
          <w:color w:val="auto"/>
          <w:sz w:val="24"/>
          <w:szCs w:val="24"/>
          <w:highlight w:val="none"/>
        </w:rPr>
        <w:t>。</w:t>
      </w:r>
    </w:p>
    <w:p w14:paraId="13486E19">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19）申请进度款时，需提供监理人对支付计划审核意见及上一批次进度款的实际支付凭证（含发票）。否则发包人有权拒绝支付当期进度款，并按本合同约定追究承包人违约责任</w:t>
      </w:r>
      <w:r>
        <w:rPr>
          <w:rFonts w:hint="eastAsia" w:ascii="仿宋" w:hAnsi="仿宋" w:eastAsia="仿宋" w:cs="仿宋"/>
          <w:color w:val="auto"/>
          <w:sz w:val="24"/>
          <w:szCs w:val="24"/>
          <w:highlight w:val="none"/>
        </w:rPr>
        <w:t>。</w:t>
      </w:r>
    </w:p>
    <w:p w14:paraId="6A9B7448">
      <w:pPr>
        <w:spacing w:line="440" w:lineRule="exact"/>
        <w:ind w:firstLine="480" w:firstLineChars="200"/>
        <w:outlineLvl w:val="4"/>
        <w:rPr>
          <w:rFonts w:hint="eastAsia" w:ascii="仿宋" w:hAnsi="仿宋" w:eastAsia="仿宋" w:cs="仿宋"/>
          <w:color w:val="auto"/>
          <w:sz w:val="24"/>
          <w:szCs w:val="24"/>
          <w:highlight w:val="none"/>
        </w:rPr>
      </w:pPr>
      <w:bookmarkStart w:id="116" w:name="_Toc8508"/>
      <w:r>
        <w:rPr>
          <w:rFonts w:hint="eastAsia" w:ascii="仿宋" w:hAnsi="仿宋" w:eastAsia="仿宋" w:cs="仿宋"/>
          <w:color w:val="auto"/>
          <w:sz w:val="24"/>
          <w:szCs w:val="24"/>
          <w:highlight w:val="none"/>
        </w:rPr>
        <w:t>3.2 项目经理</w:t>
      </w:r>
      <w:bookmarkEnd w:id="116"/>
    </w:p>
    <w:p w14:paraId="6BF2D039">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 xml:space="preserve">3.2.1 </w:t>
      </w:r>
      <w:r>
        <w:rPr>
          <w:rFonts w:hint="eastAsia" w:ascii="仿宋" w:hAnsi="仿宋" w:eastAsia="仿宋" w:cs="仿宋"/>
          <w:color w:val="auto"/>
          <w:sz w:val="24"/>
          <w:szCs w:val="24"/>
          <w:highlight w:val="none"/>
        </w:rPr>
        <w:t>项目经理：</w:t>
      </w:r>
    </w:p>
    <w:p w14:paraId="6FB907F6">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姓    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14:paraId="5C0A3F5B">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身份证号：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p>
    <w:p w14:paraId="2EB8E850">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建造师执业资格等级：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p>
    <w:p w14:paraId="5619751A">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建造师注册证书号：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p>
    <w:p w14:paraId="4CE304D7">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建造师执业印章号：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p>
    <w:p w14:paraId="7C342445">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安全生产考核合格证书号：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p>
    <w:p w14:paraId="52C588C4">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联系电话：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p>
    <w:p w14:paraId="69D6255B">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电子信箱：</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w:t>
      </w:r>
    </w:p>
    <w:p w14:paraId="13EF0063">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通信地址：</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w:t>
      </w:r>
    </w:p>
    <w:p w14:paraId="7ABE3F24">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承包人对项目经理的授权范围如下：</w:t>
      </w:r>
      <w:r>
        <w:rPr>
          <w:rFonts w:hint="eastAsia" w:ascii="仿宋" w:hAnsi="仿宋" w:eastAsia="仿宋" w:cs="仿宋"/>
          <w:color w:val="auto"/>
          <w:sz w:val="24"/>
          <w:szCs w:val="24"/>
          <w:highlight w:val="none"/>
          <w:u w:val="single"/>
        </w:rPr>
        <w:t>按合同的约定组织工程施工，项目经理代表承包人行使本合同约定的权利，履行本合同约定的义务，项目经理的行为后果由承包人承担</w:t>
      </w:r>
      <w:r>
        <w:rPr>
          <w:rFonts w:hint="eastAsia" w:ascii="仿宋" w:hAnsi="仿宋" w:eastAsia="仿宋" w:cs="仿宋"/>
          <w:color w:val="auto"/>
          <w:sz w:val="24"/>
          <w:szCs w:val="24"/>
          <w:highlight w:val="none"/>
        </w:rPr>
        <w:t>。</w:t>
      </w:r>
    </w:p>
    <w:p w14:paraId="5A54AC2D">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关于项目经理每月在施工现场的时间要求：</w:t>
      </w:r>
      <w:r>
        <w:rPr>
          <w:rFonts w:hint="eastAsia" w:ascii="仿宋" w:hAnsi="仿宋" w:eastAsia="仿宋" w:cs="仿宋"/>
          <w:color w:val="auto"/>
          <w:sz w:val="24"/>
          <w:szCs w:val="24"/>
          <w:highlight w:val="none"/>
          <w:u w:val="single"/>
        </w:rPr>
        <w:t xml:space="preserve">项目经理、项目副经理（如有）及项目技术负责人每月到位必须不少于28天 </w:t>
      </w:r>
      <w:r>
        <w:rPr>
          <w:rFonts w:hint="eastAsia" w:ascii="仿宋" w:hAnsi="仿宋" w:eastAsia="仿宋" w:cs="仿宋"/>
          <w:color w:val="auto"/>
          <w:sz w:val="24"/>
          <w:szCs w:val="24"/>
          <w:highlight w:val="none"/>
        </w:rPr>
        <w:t>。</w:t>
      </w:r>
    </w:p>
    <w:p w14:paraId="2CFE29F0">
      <w:pPr>
        <w:spacing w:line="44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承包人未提交劳动合同，以及没有为项目经理缴纳社会保险证明的违约责任：</w:t>
      </w:r>
      <w:r>
        <w:rPr>
          <w:rFonts w:hint="eastAsia" w:ascii="仿宋" w:hAnsi="仿宋" w:eastAsia="仿宋" w:cs="仿宋"/>
          <w:color w:val="auto"/>
          <w:sz w:val="24"/>
          <w:szCs w:val="24"/>
          <w:highlight w:val="none"/>
          <w:u w:val="single"/>
        </w:rPr>
        <w:t xml:space="preserve"> 由承包人自行承担责任，责令限期提交劳动合同并补交社会保险证明，并向发包人支付违约金2万元。限期内不能补齐的，承包人必须更换项目经理，并承担一切损失 </w:t>
      </w:r>
      <w:r>
        <w:rPr>
          <w:rFonts w:hint="eastAsia" w:ascii="仿宋" w:hAnsi="仿宋" w:eastAsia="仿宋" w:cs="仿宋"/>
          <w:color w:val="auto"/>
          <w:sz w:val="24"/>
          <w:szCs w:val="24"/>
          <w:highlight w:val="none"/>
        </w:rPr>
        <w:t>。</w:t>
      </w:r>
    </w:p>
    <w:p w14:paraId="13230D75">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项目经理未经批准，擅自离开施工现场的违约责任：</w:t>
      </w:r>
      <w:r>
        <w:rPr>
          <w:rFonts w:hint="eastAsia" w:ascii="仿宋" w:hAnsi="仿宋" w:eastAsia="仿宋" w:cs="仿宋"/>
          <w:color w:val="auto"/>
          <w:sz w:val="24"/>
          <w:szCs w:val="24"/>
          <w:highlight w:val="none"/>
          <w:u w:val="single"/>
        </w:rPr>
        <w:t xml:space="preserve"> 每离开1天扣除2万元违约金，离开时间超过 5 日后，发包人有权要求更换项目经理，承包人承担上述违约给发包人造成的一切损失 </w:t>
      </w:r>
      <w:r>
        <w:rPr>
          <w:rFonts w:hint="eastAsia" w:ascii="仿宋" w:hAnsi="仿宋" w:eastAsia="仿宋" w:cs="仿宋"/>
          <w:color w:val="auto"/>
          <w:sz w:val="24"/>
          <w:szCs w:val="24"/>
          <w:highlight w:val="none"/>
        </w:rPr>
        <w:t>。</w:t>
      </w:r>
    </w:p>
    <w:p w14:paraId="3DD7A0BA">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3.2.3 承包人擅自更换项目经理的违约责任：</w:t>
      </w:r>
      <w:r>
        <w:rPr>
          <w:rFonts w:hint="eastAsia" w:ascii="仿宋" w:hAnsi="仿宋" w:eastAsia="仿宋" w:cs="仿宋"/>
          <w:color w:val="auto"/>
          <w:sz w:val="24"/>
          <w:szCs w:val="24"/>
          <w:highlight w:val="none"/>
          <w:u w:val="single"/>
        </w:rPr>
        <w:t xml:space="preserve">原项目经理如能继续履行职责，发包人应责令承包人撤销其更换决定，承包人向发包人支付10万元违约金；如原项目经理无法继续履行职责，发包人有权要求审核确认承包人更换的项目经理，承包人承担上述违约给发包人造成的一切损失 </w:t>
      </w:r>
      <w:r>
        <w:rPr>
          <w:rFonts w:hint="eastAsia" w:ascii="仿宋" w:hAnsi="仿宋" w:eastAsia="仿宋" w:cs="仿宋"/>
          <w:color w:val="auto"/>
          <w:sz w:val="24"/>
          <w:szCs w:val="24"/>
          <w:highlight w:val="none"/>
        </w:rPr>
        <w:t>。</w:t>
      </w:r>
    </w:p>
    <w:p w14:paraId="13F84C7D">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3.2.4 承包人无正当理由拒绝更换项目经理的违约责任：</w:t>
      </w:r>
      <w:r>
        <w:rPr>
          <w:rFonts w:hint="eastAsia" w:ascii="仿宋" w:hAnsi="仿宋" w:eastAsia="仿宋" w:cs="仿宋"/>
          <w:color w:val="auto"/>
          <w:sz w:val="24"/>
          <w:szCs w:val="24"/>
          <w:highlight w:val="none"/>
          <w:u w:val="single"/>
        </w:rPr>
        <w:t xml:space="preserve"> 发包人有权书面要求限期更换，拒不更换的按承包人原因暂停施工直至撤换相关人员，如不在限期撤换承包人向发包人支付10万违约金，在合同价中扣除，停工损失由承包方承担 </w:t>
      </w:r>
      <w:r>
        <w:rPr>
          <w:rFonts w:hint="eastAsia" w:ascii="仿宋" w:hAnsi="仿宋" w:eastAsia="仿宋" w:cs="仿宋"/>
          <w:color w:val="auto"/>
          <w:sz w:val="24"/>
          <w:szCs w:val="24"/>
          <w:highlight w:val="none"/>
        </w:rPr>
        <w:t>。</w:t>
      </w:r>
    </w:p>
    <w:p w14:paraId="00E58C77">
      <w:pPr>
        <w:spacing w:line="440" w:lineRule="exact"/>
        <w:ind w:firstLine="480" w:firstLineChars="200"/>
        <w:outlineLvl w:val="4"/>
        <w:rPr>
          <w:rFonts w:hint="eastAsia" w:ascii="仿宋" w:hAnsi="仿宋" w:eastAsia="仿宋" w:cs="仿宋"/>
          <w:color w:val="auto"/>
          <w:sz w:val="24"/>
          <w:szCs w:val="24"/>
          <w:highlight w:val="none"/>
        </w:rPr>
      </w:pPr>
      <w:bookmarkStart w:id="117" w:name="_Toc22618"/>
      <w:r>
        <w:rPr>
          <w:rFonts w:hint="eastAsia" w:ascii="仿宋" w:hAnsi="仿宋" w:eastAsia="仿宋" w:cs="仿宋"/>
          <w:color w:val="auto"/>
          <w:sz w:val="24"/>
          <w:szCs w:val="24"/>
          <w:highlight w:val="none"/>
        </w:rPr>
        <w:t>3.3 承包人人员</w:t>
      </w:r>
      <w:bookmarkEnd w:id="117"/>
    </w:p>
    <w:p w14:paraId="5097BC7C">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3.3.1 承包人提交项目管理机构及施工现场管理人员安排报告的期限：</w:t>
      </w:r>
      <w:r>
        <w:rPr>
          <w:rFonts w:hint="eastAsia" w:ascii="仿宋" w:hAnsi="仿宋" w:eastAsia="仿宋" w:cs="仿宋"/>
          <w:color w:val="auto"/>
          <w:sz w:val="24"/>
          <w:szCs w:val="24"/>
          <w:highlight w:val="none"/>
          <w:u w:val="single"/>
        </w:rPr>
        <w:t xml:space="preserve">接到开工通知3日内 </w:t>
      </w:r>
      <w:r>
        <w:rPr>
          <w:rFonts w:hint="eastAsia" w:ascii="仿宋" w:hAnsi="仿宋" w:eastAsia="仿宋" w:cs="仿宋"/>
          <w:color w:val="auto"/>
          <w:sz w:val="24"/>
          <w:szCs w:val="24"/>
          <w:highlight w:val="none"/>
        </w:rPr>
        <w:t>。</w:t>
      </w:r>
    </w:p>
    <w:p w14:paraId="01D9793C">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3.3.3 承包人无正当理由拒绝撤换主要施工管理人员的违约责任：</w:t>
      </w:r>
      <w:r>
        <w:rPr>
          <w:rFonts w:hint="eastAsia" w:ascii="仿宋" w:hAnsi="仿宋" w:eastAsia="仿宋" w:cs="仿宋"/>
          <w:color w:val="auto"/>
          <w:sz w:val="24"/>
          <w:szCs w:val="24"/>
          <w:highlight w:val="none"/>
          <w:u w:val="single"/>
        </w:rPr>
        <w:t xml:space="preserve"> 承包人应对其项目组织机构人员进行有效管理，发包人要求撤换不胜任本职工作、行为不端或玩忽职守的项目组织机构人员及其他人员的，承包人须在接到通知 3 天内无条件予以撤换，且每发生一次，向发包人支付 5 万元的违约金，同时承包人该行为造成的责任和损失由承包人自行承担。如承包人在接到第二次通知 3 天内仍拒绝更换的，发包人应书面通知该施工管理人员停止工作，并指示暂时停止施工，由此造成的责任和损失由承包人自行承担。发包人认为必要时，可以没收履约保证金，单方解除合同，另行发包 </w:t>
      </w:r>
      <w:r>
        <w:rPr>
          <w:rFonts w:hint="eastAsia" w:ascii="仿宋" w:hAnsi="仿宋" w:eastAsia="仿宋" w:cs="仿宋"/>
          <w:color w:val="auto"/>
          <w:sz w:val="24"/>
          <w:szCs w:val="24"/>
          <w:highlight w:val="none"/>
        </w:rPr>
        <w:t>。</w:t>
      </w:r>
    </w:p>
    <w:p w14:paraId="33A38EA7">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3.3.4 承包人主要施工管理人员离开施工现场的批准要求：</w:t>
      </w:r>
      <w:r>
        <w:rPr>
          <w:rFonts w:hint="eastAsia" w:ascii="仿宋" w:hAnsi="仿宋" w:eastAsia="仿宋" w:cs="仿宋"/>
          <w:color w:val="auto"/>
          <w:sz w:val="24"/>
          <w:szCs w:val="24"/>
          <w:highlight w:val="none"/>
          <w:u w:val="single"/>
        </w:rPr>
        <w:t xml:space="preserve">由总监理工程师批准并发包人认可后方可离开 </w:t>
      </w:r>
      <w:r>
        <w:rPr>
          <w:rFonts w:hint="eastAsia" w:ascii="仿宋" w:hAnsi="仿宋" w:eastAsia="仿宋" w:cs="仿宋"/>
          <w:color w:val="auto"/>
          <w:sz w:val="24"/>
          <w:szCs w:val="24"/>
          <w:highlight w:val="none"/>
        </w:rPr>
        <w:t>。</w:t>
      </w:r>
    </w:p>
    <w:p w14:paraId="52A33974">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3.3.5承包人擅自更换主要施工管理人员的违约责任：</w:t>
      </w:r>
      <w:r>
        <w:rPr>
          <w:rFonts w:hint="eastAsia" w:ascii="仿宋" w:hAnsi="仿宋" w:eastAsia="仿宋" w:cs="仿宋"/>
          <w:color w:val="auto"/>
          <w:sz w:val="24"/>
          <w:szCs w:val="24"/>
          <w:highlight w:val="none"/>
          <w:u w:val="single"/>
        </w:rPr>
        <w:t xml:space="preserve"> 承包人在项目实施过程中的项目组织机构人员应为投标文件中所报的项目组织机构人员并满足本工程建设需要。承包人应拟派强有力的现场管理班子，提供的项目技术负责人、施工员、质量员、安全员、材料员、机械员、资料员、劳务员等人员名单，须有相应的资格证或上岗证。投标所报的主要施工管理人员必须与中标后实际施工时人员名单相一致。现场管理人员原则上不得变更，承包人不得随意擅自更换项目组织机构人员，承包人确需更换项目组织机构人员时，必须征得发包人同意，并应在更换前 14 日通知发包人和监理人。擅自更换本项目技术负责人、安全员、质检员，承包人应向发包人支付5万元/人次的违约金；擅自更换本项目其他管理人员，承包人应向发包人支付5万元/人次的违约金。如能继续履行职责，发包人应责令承包人撤销其更换决定；如原施工管理人员无法继续履行职责，发包人有权要求审核确认承包人更换的各岗位人员，其中更换项目技术负责人并另外承担违约金 2 万元/人次，更换施工员、质量员、安全员、材料员、机械员、资料员、劳务员并另外承担违约金 1 万元/人次，由此导致的一切责任由承包人承担；发包人认为必要时，可没收履约保证金，单方解除合同，另行发包 </w:t>
      </w:r>
      <w:r>
        <w:rPr>
          <w:rFonts w:hint="eastAsia" w:ascii="仿宋" w:hAnsi="仿宋" w:eastAsia="仿宋" w:cs="仿宋"/>
          <w:color w:val="auto"/>
          <w:sz w:val="24"/>
          <w:szCs w:val="24"/>
          <w:highlight w:val="none"/>
        </w:rPr>
        <w:t>。</w:t>
      </w:r>
    </w:p>
    <w:p w14:paraId="1348C5BD">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承包人主要施工管理人员擅自离开施工现场的违约责任：</w:t>
      </w:r>
      <w:r>
        <w:rPr>
          <w:rFonts w:hint="eastAsia" w:ascii="仿宋" w:hAnsi="仿宋" w:eastAsia="仿宋" w:cs="仿宋"/>
          <w:color w:val="auto"/>
          <w:sz w:val="24"/>
          <w:szCs w:val="24"/>
          <w:highlight w:val="none"/>
          <w:u w:val="single"/>
        </w:rPr>
        <w:t xml:space="preserve"> 擅自离场≤3 日的，每发生一次，承包人向发包人支付违约金2万元，并无条件予以纠正；擅自离场＞3 日的，发包人有权要求承包人更换该项目技术负责人，承包人向发包人支付违约金5万元，由此造成的责任和损失由承包人自行承担</w:t>
      </w:r>
      <w:r>
        <w:rPr>
          <w:rFonts w:hint="eastAsia" w:ascii="仿宋" w:hAnsi="仿宋" w:eastAsia="仿宋" w:cs="仿宋"/>
          <w:color w:val="auto"/>
          <w:sz w:val="24"/>
          <w:szCs w:val="24"/>
          <w:highlight w:val="none"/>
        </w:rPr>
        <w:t>。</w:t>
      </w:r>
    </w:p>
    <w:p w14:paraId="1319FA61">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还应执行：</w:t>
      </w:r>
      <w:r>
        <w:rPr>
          <w:rFonts w:hint="eastAsia" w:ascii="仿宋" w:hAnsi="仿宋" w:eastAsia="仿宋" w:cs="仿宋"/>
          <w:color w:val="auto"/>
          <w:sz w:val="24"/>
          <w:szCs w:val="24"/>
          <w:highlight w:val="none"/>
          <w:u w:val="single"/>
        </w:rPr>
        <w:t>①承包人配置在本工程的造价人员必须根据工程建设进度随时跟踪、收集工程变更及各项经济签证资料，在合同规定的时间内编制出预算书，并与洽商、签证、变更资料一同报送监理人和发包人审核，以确认变更价款。承包人未在规定时间内提供相应资料的，发包人有权不予确认且每发生一次向发包人支付违约金2万元。并无条件予以纠正，由此造成的一切责任和损失均由承包人承担。②承包人配备在本工程项目的专职的安全员必须满足国家相关法律法规要求。 ③尽管承包人已按投标文件中所列的数量派遣了施工管理各类人员，但若监理人或发包人认为这些人员仍不足以适应现场施工的需要并不能保证工程进度时，监理人或发包人有权要求承包人继续增派或雇用这类人员并书面通知承包人。承包人在接到通知七日内应立即执行监理人或发包人的指示，不得无故拖延，且每发生一次，向发包人支付违约金2万元，并无条件予以纠正。④特殊工种（电工、电梯工、起重工、电焊工、驾驶员、爆破工等）必须经过专业培训，并持有效合格证或上岗证上岗。监理人或发包人有权随时检查承包人派驻现场人员的上岗资格证明情况。如发现无证上岗人员，每发生一次，向发包人支付1万元的违约金。并无条件予以纠正。由此造成的责任和损失由承包人自行承担</w:t>
      </w:r>
      <w:r>
        <w:rPr>
          <w:rFonts w:hint="eastAsia" w:ascii="仿宋" w:hAnsi="仿宋" w:eastAsia="仿宋" w:cs="仿宋"/>
          <w:color w:val="auto"/>
          <w:sz w:val="24"/>
          <w:szCs w:val="24"/>
          <w:highlight w:val="none"/>
        </w:rPr>
        <w:t>。</w:t>
      </w:r>
    </w:p>
    <w:p w14:paraId="1B0FE804">
      <w:pPr>
        <w:spacing w:line="440" w:lineRule="exact"/>
        <w:ind w:firstLine="480" w:firstLineChars="200"/>
        <w:outlineLvl w:val="4"/>
        <w:rPr>
          <w:rFonts w:hint="eastAsia" w:ascii="仿宋" w:hAnsi="仿宋" w:eastAsia="仿宋" w:cs="仿宋"/>
          <w:color w:val="auto"/>
          <w:sz w:val="24"/>
          <w:szCs w:val="24"/>
          <w:highlight w:val="none"/>
        </w:rPr>
      </w:pPr>
      <w:bookmarkStart w:id="118" w:name="_Toc29261"/>
      <w:r>
        <w:rPr>
          <w:rFonts w:hint="eastAsia" w:ascii="仿宋" w:hAnsi="仿宋" w:eastAsia="仿宋" w:cs="仿宋"/>
          <w:color w:val="auto"/>
          <w:sz w:val="24"/>
          <w:szCs w:val="24"/>
          <w:highlight w:val="none"/>
        </w:rPr>
        <w:t>3</w:t>
      </w:r>
      <w:bookmarkStart w:id="119" w:name="_Toc312677988"/>
      <w:bookmarkStart w:id="120" w:name="_Toc297216151"/>
      <w:bookmarkStart w:id="121" w:name="_Toc304295523"/>
      <w:bookmarkStart w:id="122" w:name="_Toc300934945"/>
      <w:bookmarkStart w:id="123" w:name="_Toc296891199"/>
      <w:bookmarkStart w:id="124" w:name="_Toc296347158"/>
      <w:bookmarkStart w:id="125" w:name="_Toc296503159"/>
      <w:bookmarkStart w:id="126" w:name="_Toc296944498"/>
      <w:bookmarkStart w:id="127" w:name="_Toc292559869"/>
      <w:bookmarkStart w:id="128" w:name="_Toc303539102"/>
      <w:bookmarkStart w:id="129" w:name="_Toc297048345"/>
      <w:bookmarkStart w:id="130" w:name="_Toc297120459"/>
      <w:bookmarkStart w:id="131" w:name="_Toc296890987"/>
      <w:bookmarkStart w:id="132" w:name="_Toc296346660"/>
      <w:bookmarkStart w:id="133" w:name="_Toc297123492"/>
      <w:bookmarkStart w:id="134" w:name="_Toc292559364"/>
      <w:r>
        <w:rPr>
          <w:rFonts w:hint="eastAsia" w:ascii="仿宋" w:hAnsi="仿宋" w:eastAsia="仿宋" w:cs="仿宋"/>
          <w:color w:val="auto"/>
          <w:sz w:val="24"/>
          <w:szCs w:val="24"/>
          <w:highlight w:val="none"/>
        </w:rPr>
        <w:t>.5 分包</w:t>
      </w:r>
      <w:bookmarkEnd w:id="118"/>
    </w:p>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14:paraId="2C95538B">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bookmarkStart w:id="135" w:name="_Toc318581158"/>
      <w:bookmarkStart w:id="136" w:name="_Toc292559870"/>
      <w:bookmarkStart w:id="137" w:name="_Toc297216152"/>
      <w:bookmarkStart w:id="138" w:name="_Toc297123493"/>
      <w:bookmarkStart w:id="139" w:name="_Toc296347159"/>
      <w:bookmarkStart w:id="140" w:name="_Toc296944499"/>
      <w:bookmarkStart w:id="141" w:name="_Toc300934946"/>
      <w:bookmarkStart w:id="142" w:name="_Toc296503160"/>
      <w:bookmarkStart w:id="143" w:name="_Toc296890988"/>
      <w:bookmarkStart w:id="144" w:name="_Toc292559365"/>
      <w:bookmarkStart w:id="145" w:name="_Toc297120460"/>
      <w:bookmarkStart w:id="146" w:name="_Toc297048346"/>
      <w:bookmarkStart w:id="147" w:name="_Toc303539103"/>
      <w:bookmarkStart w:id="148" w:name="_Toc296346661"/>
      <w:bookmarkStart w:id="149" w:name="_Toc296891200"/>
      <w:bookmarkStart w:id="150" w:name="_Toc304295524"/>
      <w:bookmarkStart w:id="151" w:name="_Toc312677989"/>
      <w:r>
        <w:rPr>
          <w:rFonts w:hint="eastAsia" w:ascii="仿宋" w:hAnsi="仿宋" w:eastAsia="仿宋" w:cs="仿宋"/>
          <w:color w:val="auto"/>
          <w:sz w:val="24"/>
          <w:szCs w:val="24"/>
          <w:highlight w:val="none"/>
        </w:rPr>
        <w:t>.5.1 分包的一般约定</w:t>
      </w:r>
    </w:p>
    <w:p w14:paraId="419B44B7">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禁止分包的工程包括：</w:t>
      </w:r>
      <w:r>
        <w:rPr>
          <w:rFonts w:hint="eastAsia" w:ascii="仿宋" w:hAnsi="仿宋" w:eastAsia="仿宋" w:cs="仿宋"/>
          <w:color w:val="auto"/>
          <w:sz w:val="24"/>
          <w:szCs w:val="24"/>
          <w:highlight w:val="none"/>
          <w:u w:val="single"/>
        </w:rPr>
        <w:t xml:space="preserve">主体结构、关键性工作   </w:t>
      </w:r>
      <w:r>
        <w:rPr>
          <w:rFonts w:hint="eastAsia" w:ascii="仿宋" w:hAnsi="仿宋" w:eastAsia="仿宋" w:cs="仿宋"/>
          <w:color w:val="auto"/>
          <w:sz w:val="24"/>
          <w:szCs w:val="24"/>
          <w:highlight w:val="none"/>
        </w:rPr>
        <w:t>。</w:t>
      </w:r>
    </w:p>
    <w:p w14:paraId="4CAF49A5">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主体结构、关键性工作的范围：</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Pr>
          <w:rFonts w:hint="eastAsia" w:ascii="仿宋" w:hAnsi="仿宋" w:eastAsia="仿宋" w:cs="仿宋"/>
          <w:color w:val="auto"/>
          <w:sz w:val="24"/>
          <w:szCs w:val="24"/>
          <w:highlight w:val="none"/>
          <w:u w:val="single"/>
        </w:rPr>
        <w:t xml:space="preserve"> 按国家有关规定执行    </w:t>
      </w:r>
      <w:r>
        <w:rPr>
          <w:rFonts w:hint="eastAsia" w:ascii="仿宋" w:hAnsi="仿宋" w:eastAsia="仿宋" w:cs="仿宋"/>
          <w:color w:val="auto"/>
          <w:sz w:val="24"/>
          <w:szCs w:val="24"/>
          <w:highlight w:val="none"/>
        </w:rPr>
        <w:t>。</w:t>
      </w:r>
    </w:p>
    <w:p w14:paraId="1E6ACCA2">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bookmarkStart w:id="152" w:name="_Toc318581159"/>
      <w:bookmarkStart w:id="153" w:name="_Toc312677990"/>
      <w:r>
        <w:rPr>
          <w:rFonts w:hint="eastAsia" w:ascii="仿宋" w:hAnsi="仿宋" w:eastAsia="仿宋" w:cs="仿宋"/>
          <w:color w:val="auto"/>
          <w:sz w:val="24"/>
          <w:szCs w:val="24"/>
          <w:highlight w:val="none"/>
        </w:rPr>
        <w:t>.5.2分包的确定</w:t>
      </w:r>
    </w:p>
    <w:p w14:paraId="07963A75">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允许分包的专业工程包括：</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w:t>
      </w:r>
    </w:p>
    <w:p w14:paraId="7A2964E5">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其他关于分包的约定：</w:t>
      </w:r>
      <w:r>
        <w:rPr>
          <w:rFonts w:hint="eastAsia" w:ascii="仿宋" w:hAnsi="仿宋" w:eastAsia="仿宋" w:cs="仿宋"/>
          <w:color w:val="auto"/>
          <w:sz w:val="24"/>
          <w:szCs w:val="24"/>
          <w:highlight w:val="none"/>
          <w:u w:val="single"/>
        </w:rPr>
        <w:t xml:space="preserve">  中标单位不得将工程转包或违法分包，否则发包人有权终止施工合同，承包人向发包人支付违约金，金额为合同额的20% </w:t>
      </w:r>
      <w:r>
        <w:rPr>
          <w:rFonts w:hint="eastAsia" w:ascii="仿宋" w:hAnsi="仿宋" w:eastAsia="仿宋" w:cs="仿宋"/>
          <w:color w:val="auto"/>
          <w:sz w:val="24"/>
          <w:szCs w:val="24"/>
          <w:highlight w:val="none"/>
        </w:rPr>
        <w:t>。</w:t>
      </w:r>
    </w:p>
    <w:p w14:paraId="133C841E">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3.5.4 分包合同价款</w:t>
      </w:r>
    </w:p>
    <w:p w14:paraId="2FCC0E1A">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关于分包合同价款支付的约定：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bookmarkEnd w:id="152"/>
    <w:bookmarkEnd w:id="153"/>
    <w:p w14:paraId="7645E5AE">
      <w:pPr>
        <w:spacing w:line="440" w:lineRule="exact"/>
        <w:ind w:firstLine="480" w:firstLineChars="200"/>
        <w:outlineLvl w:val="4"/>
        <w:rPr>
          <w:rFonts w:hint="eastAsia" w:ascii="仿宋" w:hAnsi="仿宋" w:eastAsia="仿宋" w:cs="仿宋"/>
          <w:color w:val="auto"/>
          <w:sz w:val="24"/>
          <w:szCs w:val="24"/>
          <w:highlight w:val="none"/>
        </w:rPr>
      </w:pPr>
      <w:bookmarkStart w:id="154" w:name="_Toc3776"/>
      <w:r>
        <w:rPr>
          <w:rFonts w:hint="eastAsia" w:ascii="仿宋" w:hAnsi="仿宋" w:eastAsia="仿宋" w:cs="仿宋"/>
          <w:color w:val="auto"/>
          <w:sz w:val="24"/>
          <w:szCs w:val="24"/>
          <w:highlight w:val="none"/>
        </w:rPr>
        <w:t>3.6 工程照管与成品、半成品保护</w:t>
      </w:r>
      <w:bookmarkEnd w:id="154"/>
    </w:p>
    <w:p w14:paraId="6B441C84">
      <w:pPr>
        <w:spacing w:line="440" w:lineRule="exact"/>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承包人负责照管工程及工程相关的材料、工程设备的起始时间：</w:t>
      </w:r>
      <w:r>
        <w:rPr>
          <w:rFonts w:hint="eastAsia" w:ascii="仿宋" w:hAnsi="仿宋" w:eastAsia="仿宋" w:cs="仿宋"/>
          <w:color w:val="auto"/>
          <w:kern w:val="0"/>
          <w:sz w:val="24"/>
          <w:szCs w:val="24"/>
          <w:highlight w:val="none"/>
          <w:u w:val="single"/>
        </w:rPr>
        <w:t xml:space="preserve">设备、人员进场至竣工验收并交付使用前由承包人负责保修，费用由承包人承担 </w:t>
      </w:r>
      <w:r>
        <w:rPr>
          <w:rFonts w:hint="eastAsia" w:ascii="仿宋" w:hAnsi="仿宋" w:eastAsia="仿宋" w:cs="仿宋"/>
          <w:color w:val="auto"/>
          <w:kern w:val="0"/>
          <w:sz w:val="24"/>
          <w:szCs w:val="24"/>
          <w:highlight w:val="none"/>
        </w:rPr>
        <w:t>。</w:t>
      </w:r>
    </w:p>
    <w:p w14:paraId="6C5B466D">
      <w:pPr>
        <w:spacing w:line="440" w:lineRule="exact"/>
        <w:ind w:firstLine="480" w:firstLineChars="200"/>
        <w:outlineLvl w:val="4"/>
        <w:rPr>
          <w:rFonts w:hint="eastAsia" w:ascii="仿宋" w:hAnsi="仿宋" w:eastAsia="仿宋" w:cs="仿宋"/>
          <w:color w:val="auto"/>
          <w:sz w:val="24"/>
          <w:szCs w:val="24"/>
          <w:highlight w:val="none"/>
        </w:rPr>
      </w:pPr>
      <w:bookmarkStart w:id="155" w:name="_Toc16884"/>
      <w:r>
        <w:rPr>
          <w:rFonts w:hint="eastAsia" w:ascii="仿宋" w:hAnsi="仿宋" w:eastAsia="仿宋" w:cs="仿宋"/>
          <w:color w:val="auto"/>
          <w:sz w:val="24"/>
          <w:szCs w:val="24"/>
          <w:highlight w:val="none"/>
        </w:rPr>
        <w:t>3.7 履约担保</w:t>
      </w:r>
      <w:bookmarkEnd w:id="155"/>
    </w:p>
    <w:p w14:paraId="50F00788">
      <w:pPr>
        <w:spacing w:line="440" w:lineRule="exact"/>
        <w:ind w:firstLine="480" w:firstLineChars="200"/>
        <w:rPr>
          <w:rFonts w:hint="eastAsia" w:ascii="仿宋" w:hAnsi="仿宋" w:eastAsia="仿宋" w:cs="仿宋"/>
          <w:color w:val="auto"/>
          <w:kern w:val="0"/>
          <w:sz w:val="24"/>
          <w:szCs w:val="24"/>
          <w:highlight w:val="none"/>
        </w:rPr>
      </w:pPr>
      <w:bookmarkStart w:id="156" w:name="_Toc30813"/>
      <w:r>
        <w:rPr>
          <w:rFonts w:hint="eastAsia" w:ascii="仿宋" w:hAnsi="仿宋" w:eastAsia="仿宋" w:cs="仿宋"/>
          <w:color w:val="auto"/>
          <w:kern w:val="0"/>
          <w:sz w:val="24"/>
          <w:szCs w:val="24"/>
          <w:highlight w:val="none"/>
        </w:rPr>
        <w:t>承包人是否提供履约担保：发包人与承包人协商确定  。</w:t>
      </w:r>
    </w:p>
    <w:p w14:paraId="08254E91">
      <w:pPr>
        <w:spacing w:line="44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承包人提供履约担保的形式、金额及期限的：发包人与承包人协商确定 。</w:t>
      </w:r>
    </w:p>
    <w:p w14:paraId="5A5F38A3">
      <w:pPr>
        <w:pStyle w:val="5"/>
        <w:spacing w:before="0" w:after="0" w:line="440" w:lineRule="exact"/>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4</w:t>
      </w:r>
      <w:bookmarkStart w:id="157" w:name="_Toc296944501"/>
      <w:bookmarkStart w:id="158" w:name="_Toc297120462"/>
      <w:bookmarkStart w:id="159" w:name="_Toc292559366"/>
      <w:bookmarkStart w:id="160" w:name="_Toc292559871"/>
      <w:bookmarkStart w:id="161" w:name="_Toc296890990"/>
      <w:bookmarkStart w:id="162" w:name="_Toc296503162"/>
      <w:bookmarkStart w:id="163" w:name="_Toc296347161"/>
      <w:bookmarkStart w:id="164" w:name="_Toc296891202"/>
      <w:bookmarkStart w:id="165" w:name="_Toc267251413"/>
      <w:bookmarkStart w:id="166" w:name="_Toc297048348"/>
      <w:bookmarkStart w:id="167" w:name="_Toc296346663"/>
      <w:r>
        <w:rPr>
          <w:rFonts w:hint="eastAsia" w:ascii="仿宋" w:hAnsi="仿宋" w:eastAsia="仿宋" w:cs="仿宋"/>
          <w:b w:val="0"/>
          <w:color w:val="auto"/>
          <w:sz w:val="24"/>
          <w:szCs w:val="24"/>
          <w:highlight w:val="none"/>
        </w:rPr>
        <w:t>. 监</w:t>
      </w:r>
      <w:bookmarkEnd w:id="157"/>
      <w:bookmarkEnd w:id="158"/>
      <w:bookmarkEnd w:id="159"/>
      <w:bookmarkEnd w:id="160"/>
      <w:bookmarkEnd w:id="161"/>
      <w:bookmarkEnd w:id="162"/>
      <w:bookmarkEnd w:id="163"/>
      <w:bookmarkEnd w:id="164"/>
      <w:bookmarkEnd w:id="165"/>
      <w:bookmarkEnd w:id="166"/>
      <w:bookmarkEnd w:id="167"/>
      <w:r>
        <w:rPr>
          <w:rFonts w:hint="eastAsia" w:ascii="仿宋" w:hAnsi="仿宋" w:eastAsia="仿宋" w:cs="仿宋"/>
          <w:b w:val="0"/>
          <w:color w:val="auto"/>
          <w:sz w:val="24"/>
          <w:szCs w:val="24"/>
          <w:highlight w:val="none"/>
        </w:rPr>
        <w:t>理人</w:t>
      </w:r>
      <w:bookmarkEnd w:id="156"/>
    </w:p>
    <w:p w14:paraId="3CDA10CC">
      <w:pPr>
        <w:spacing w:line="440" w:lineRule="exact"/>
        <w:ind w:firstLine="480" w:firstLineChars="200"/>
        <w:outlineLvl w:val="4"/>
        <w:rPr>
          <w:rFonts w:hint="eastAsia" w:ascii="仿宋" w:hAnsi="仿宋" w:eastAsia="仿宋" w:cs="仿宋"/>
          <w:color w:val="auto"/>
          <w:sz w:val="24"/>
          <w:szCs w:val="24"/>
          <w:highlight w:val="none"/>
        </w:rPr>
      </w:pPr>
      <w:bookmarkStart w:id="168" w:name="_Toc26631"/>
      <w:r>
        <w:rPr>
          <w:rFonts w:hint="eastAsia" w:ascii="仿宋" w:hAnsi="仿宋" w:eastAsia="仿宋" w:cs="仿宋"/>
          <w:color w:val="auto"/>
          <w:sz w:val="24"/>
          <w:szCs w:val="24"/>
          <w:highlight w:val="none"/>
        </w:rPr>
        <w:t>4.1监理人的一般规定</w:t>
      </w:r>
      <w:bookmarkEnd w:id="168"/>
    </w:p>
    <w:p w14:paraId="4C9917D2">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关于监理人的监理内容：</w:t>
      </w:r>
      <w:r>
        <w:rPr>
          <w:rFonts w:hint="eastAsia" w:ascii="仿宋" w:hAnsi="仿宋" w:eastAsia="仿宋" w:cs="仿宋"/>
          <w:color w:val="auto"/>
          <w:sz w:val="24"/>
          <w:szCs w:val="24"/>
          <w:highlight w:val="none"/>
          <w:u w:val="single"/>
        </w:rPr>
        <w:t xml:space="preserve">  执行通用条款及监理合同  </w:t>
      </w:r>
      <w:r>
        <w:rPr>
          <w:rFonts w:hint="eastAsia" w:ascii="仿宋" w:hAnsi="仿宋" w:eastAsia="仿宋" w:cs="仿宋"/>
          <w:color w:val="auto"/>
          <w:sz w:val="24"/>
          <w:szCs w:val="24"/>
          <w:highlight w:val="none"/>
        </w:rPr>
        <w:t>。</w:t>
      </w:r>
    </w:p>
    <w:p w14:paraId="2A51D4DE">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关于监理人的监理权限：</w:t>
      </w:r>
      <w:r>
        <w:rPr>
          <w:rFonts w:hint="eastAsia" w:ascii="仿宋" w:hAnsi="仿宋" w:eastAsia="仿宋" w:cs="仿宋"/>
          <w:color w:val="auto"/>
          <w:sz w:val="24"/>
          <w:szCs w:val="24"/>
          <w:highlight w:val="none"/>
          <w:u w:val="single"/>
        </w:rPr>
        <w:t xml:space="preserve">  执行通用条款及监理合同  </w:t>
      </w:r>
      <w:r>
        <w:rPr>
          <w:rFonts w:hint="eastAsia" w:ascii="仿宋" w:hAnsi="仿宋" w:eastAsia="仿宋" w:cs="仿宋"/>
          <w:color w:val="auto"/>
          <w:sz w:val="24"/>
          <w:szCs w:val="24"/>
          <w:highlight w:val="none"/>
        </w:rPr>
        <w:t xml:space="preserve">。 </w:t>
      </w:r>
    </w:p>
    <w:p w14:paraId="79AA6DE5">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关于监理人在施工现场的办公场所、生活场所的提供和费用承担的约定：</w:t>
      </w:r>
      <w:r>
        <w:rPr>
          <w:rFonts w:hint="eastAsia" w:ascii="仿宋" w:hAnsi="仿宋" w:eastAsia="仿宋" w:cs="仿宋"/>
          <w:color w:val="auto"/>
          <w:sz w:val="24"/>
          <w:szCs w:val="24"/>
          <w:highlight w:val="none"/>
          <w:u w:val="single"/>
        </w:rPr>
        <w:t xml:space="preserve">监理人在施工现场的办公场所、生活场所由监理人自行解决，费用包含在监理报酬中 </w:t>
      </w:r>
      <w:r>
        <w:rPr>
          <w:rFonts w:hint="eastAsia" w:ascii="仿宋" w:hAnsi="仿宋" w:eastAsia="仿宋" w:cs="仿宋"/>
          <w:color w:val="auto"/>
          <w:sz w:val="24"/>
          <w:szCs w:val="24"/>
          <w:highlight w:val="none"/>
        </w:rPr>
        <w:t>。</w:t>
      </w:r>
    </w:p>
    <w:p w14:paraId="156976E5">
      <w:pPr>
        <w:spacing w:line="440" w:lineRule="exact"/>
        <w:ind w:firstLine="480" w:firstLineChars="200"/>
        <w:outlineLvl w:val="4"/>
        <w:rPr>
          <w:rFonts w:hint="eastAsia" w:ascii="仿宋" w:hAnsi="仿宋" w:eastAsia="仿宋" w:cs="仿宋"/>
          <w:color w:val="auto"/>
          <w:sz w:val="24"/>
          <w:szCs w:val="24"/>
          <w:highlight w:val="none"/>
        </w:rPr>
      </w:pPr>
      <w:bookmarkStart w:id="169" w:name="_Toc6027"/>
      <w:r>
        <w:rPr>
          <w:rFonts w:hint="eastAsia" w:ascii="仿宋" w:hAnsi="仿宋" w:eastAsia="仿宋" w:cs="仿宋"/>
          <w:color w:val="auto"/>
          <w:sz w:val="24"/>
          <w:szCs w:val="24"/>
          <w:highlight w:val="none"/>
        </w:rPr>
        <w:t>4.2 监理人员</w:t>
      </w:r>
      <w:bookmarkEnd w:id="169"/>
    </w:p>
    <w:p w14:paraId="6B175AC5">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总监理工程师：</w:t>
      </w:r>
    </w:p>
    <w:p w14:paraId="77F42F54">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721224D">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E05A6FE">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监理工程师执业资格证书号：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CD4D224">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F6A7F18">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F10363C">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F62368D">
      <w:pPr>
        <w:spacing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关于监理人的其他约定：</w:t>
      </w:r>
      <w:r>
        <w:rPr>
          <w:rFonts w:hint="eastAsia" w:ascii="仿宋" w:hAnsi="仿宋" w:eastAsia="仿宋" w:cs="仿宋"/>
          <w:color w:val="auto"/>
          <w:sz w:val="24"/>
          <w:szCs w:val="24"/>
          <w:highlight w:val="none"/>
          <w:u w:val="single"/>
        </w:rPr>
        <w:t>开工令、停工令、工程变更、经济签证须取得发包人同意。现场签证及工程进度款报表等由监理工程师先行核实后，再交发包人审核</w:t>
      </w:r>
      <w:r>
        <w:rPr>
          <w:rFonts w:hint="eastAsia" w:ascii="仿宋" w:hAnsi="仿宋" w:eastAsia="仿宋" w:cs="仿宋"/>
          <w:color w:val="auto"/>
          <w:sz w:val="24"/>
          <w:szCs w:val="24"/>
          <w:highlight w:val="none"/>
        </w:rPr>
        <w:t>。</w:t>
      </w:r>
    </w:p>
    <w:p w14:paraId="6BB2537A">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上述监理工程师的一切指令、决定、确认和承诺如涉及工程成本费用增加、工期延长、工程的使用功能或质量标准发生变化、材料设备标准的提高或降低等均须经发包人书面签字并盖章确认，才产生效力。监理工程师擅自发布指令、决定、确认和承诺，引起合同价款变更、工期顺延、工程的使用功能发生变化、以及变更质量标准、材料设备使用的，由此产生的后果由擅自发布指令、决定、确认和承诺的工程师自行承担，与发包人无关 </w:t>
      </w:r>
      <w:r>
        <w:rPr>
          <w:rFonts w:hint="eastAsia" w:ascii="仿宋" w:hAnsi="仿宋" w:eastAsia="仿宋" w:cs="仿宋"/>
          <w:color w:val="auto"/>
          <w:sz w:val="24"/>
          <w:szCs w:val="24"/>
          <w:highlight w:val="none"/>
        </w:rPr>
        <w:t>。</w:t>
      </w:r>
    </w:p>
    <w:p w14:paraId="678DB57B">
      <w:pPr>
        <w:spacing w:line="440" w:lineRule="exact"/>
        <w:ind w:firstLine="480" w:firstLineChars="200"/>
        <w:rPr>
          <w:rFonts w:hint="eastAsia" w:ascii="仿宋" w:hAnsi="仿宋" w:eastAsia="仿宋" w:cs="仿宋"/>
          <w:color w:val="auto"/>
          <w:highlight w:val="none"/>
        </w:rPr>
      </w:pPr>
      <w:r>
        <w:rPr>
          <w:rFonts w:hint="eastAsia" w:ascii="仿宋" w:hAnsi="仿宋" w:eastAsia="仿宋" w:cs="仿宋"/>
          <w:color w:val="auto"/>
          <w:sz w:val="24"/>
          <w:szCs w:val="24"/>
          <w:highlight w:val="none"/>
          <w:u w:val="single"/>
        </w:rPr>
        <w:t xml:space="preserve">无论通用合同条款第4.1项如何约定，监理人履行须经发包人批准行使的权力时，应当向承包人出示其行使该权力已经取得发包人批准的文件或者其他合法有效的证明 </w:t>
      </w:r>
      <w:r>
        <w:rPr>
          <w:rFonts w:hint="eastAsia" w:ascii="仿宋" w:hAnsi="仿宋" w:eastAsia="仿宋" w:cs="仿宋"/>
          <w:color w:val="auto"/>
          <w:sz w:val="24"/>
          <w:szCs w:val="24"/>
          <w:highlight w:val="none"/>
        </w:rPr>
        <w:t>。</w:t>
      </w:r>
    </w:p>
    <w:p w14:paraId="0A8787FE">
      <w:pPr>
        <w:spacing w:line="440" w:lineRule="exact"/>
        <w:ind w:firstLine="480" w:firstLineChars="200"/>
        <w:outlineLvl w:val="4"/>
        <w:rPr>
          <w:rFonts w:hint="eastAsia" w:ascii="仿宋" w:hAnsi="仿宋" w:eastAsia="仿宋" w:cs="仿宋"/>
          <w:color w:val="auto"/>
          <w:sz w:val="24"/>
          <w:szCs w:val="24"/>
          <w:highlight w:val="none"/>
        </w:rPr>
      </w:pPr>
      <w:bookmarkStart w:id="170" w:name="_Toc10212"/>
      <w:r>
        <w:rPr>
          <w:rFonts w:hint="eastAsia" w:ascii="仿宋" w:hAnsi="仿宋" w:eastAsia="仿宋" w:cs="仿宋"/>
          <w:color w:val="auto"/>
          <w:sz w:val="24"/>
          <w:szCs w:val="24"/>
          <w:highlight w:val="none"/>
        </w:rPr>
        <w:t>4.4 商定或确定</w:t>
      </w:r>
      <w:bookmarkEnd w:id="170"/>
    </w:p>
    <w:p w14:paraId="1A5A564A">
      <w:pPr>
        <w:spacing w:line="440" w:lineRule="exact"/>
        <w:ind w:firstLine="480" w:firstLineChars="200"/>
        <w:rPr>
          <w:rFonts w:hint="eastAsia" w:ascii="仿宋" w:hAnsi="仿宋" w:eastAsia="仿宋" w:cs="仿宋"/>
          <w:color w:val="auto"/>
          <w:sz w:val="24"/>
          <w:szCs w:val="24"/>
          <w:highlight w:val="none"/>
        </w:rPr>
      </w:pPr>
      <w:bookmarkStart w:id="171" w:name="_Toc267251418"/>
      <w:r>
        <w:rPr>
          <w:rFonts w:hint="eastAsia" w:ascii="仿宋" w:hAnsi="仿宋" w:eastAsia="仿宋" w:cs="仿宋"/>
          <w:color w:val="auto"/>
          <w:sz w:val="24"/>
          <w:szCs w:val="24"/>
          <w:highlight w:val="none"/>
        </w:rPr>
        <w:t>在发包人和承包人不能通过协商达成一致意见时，发包人授权监理人对以下事项进行确定：</w:t>
      </w:r>
    </w:p>
    <w:p w14:paraId="6A571375">
      <w:pPr>
        <w:autoSpaceDE w:val="0"/>
        <w:autoSpaceDN w:val="0"/>
        <w:adjustRightInd w:val="0"/>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sz w:val="24"/>
          <w:szCs w:val="24"/>
          <w:highlight w:val="none"/>
          <w:u w:val="single"/>
        </w:rPr>
        <w:t xml:space="preserve"> 合同当事人进行商定或确定时，总监理工程师应当会同合同当事人尽量通过协议达成一致，不能达成一致的，由监理工程师按照合同约定审慎做出公正的决定  </w:t>
      </w:r>
      <w:r>
        <w:rPr>
          <w:rFonts w:hint="eastAsia" w:ascii="仿宋" w:hAnsi="仿宋" w:eastAsia="仿宋" w:cs="仿宋"/>
          <w:color w:val="auto"/>
          <w:sz w:val="24"/>
          <w:szCs w:val="24"/>
          <w:highlight w:val="none"/>
        </w:rPr>
        <w:t>；</w:t>
      </w:r>
    </w:p>
    <w:p w14:paraId="02916F07">
      <w:pPr>
        <w:autoSpaceDE w:val="0"/>
        <w:autoSpaceDN w:val="0"/>
        <w:adjustRightInd w:val="0"/>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sz w:val="24"/>
          <w:szCs w:val="24"/>
          <w:highlight w:val="none"/>
          <w:u w:val="single"/>
        </w:rPr>
        <w:t xml:space="preserve">总监理工程师应将确定以书面形式通知发包人和承包人，并附详细依据   </w:t>
      </w:r>
      <w:r>
        <w:rPr>
          <w:rFonts w:hint="eastAsia" w:ascii="仿宋" w:hAnsi="仿宋" w:eastAsia="仿宋" w:cs="仿宋"/>
          <w:color w:val="auto"/>
          <w:sz w:val="24"/>
          <w:szCs w:val="24"/>
          <w:highlight w:val="none"/>
        </w:rPr>
        <w:t>；</w:t>
      </w:r>
    </w:p>
    <w:p w14:paraId="279CC23D">
      <w:pPr>
        <w:autoSpaceDE w:val="0"/>
        <w:autoSpaceDN w:val="0"/>
        <w:adjustRightInd w:val="0"/>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sz w:val="24"/>
          <w:szCs w:val="24"/>
          <w:highlight w:val="none"/>
          <w:u w:val="single"/>
        </w:rPr>
        <w:t xml:space="preserve">合同当事人对总监理工程师的确定没有异议的，按照监理总工程师的确定执行，任何一方合同当事人有异议，按照第 20 条（争议解决）约定处理，争议解决前，争议解决的结果与总监理工程师的确定不一致的，按照争议解决的结果执行，由此造成的损失由责任人承担 </w:t>
      </w:r>
      <w:r>
        <w:rPr>
          <w:rFonts w:hint="eastAsia" w:ascii="仿宋" w:hAnsi="仿宋" w:eastAsia="仿宋" w:cs="仿宋"/>
          <w:color w:val="auto"/>
          <w:sz w:val="24"/>
          <w:szCs w:val="24"/>
          <w:highlight w:val="none"/>
        </w:rPr>
        <w:t>。</w:t>
      </w:r>
    </w:p>
    <w:p w14:paraId="13D170B3">
      <w:pPr>
        <w:pStyle w:val="5"/>
        <w:spacing w:before="0" w:after="0" w:line="440" w:lineRule="exact"/>
        <w:rPr>
          <w:rFonts w:hint="eastAsia" w:ascii="仿宋" w:hAnsi="仿宋" w:eastAsia="仿宋" w:cs="仿宋"/>
          <w:b w:val="0"/>
          <w:color w:val="auto"/>
          <w:sz w:val="24"/>
          <w:szCs w:val="24"/>
          <w:highlight w:val="none"/>
        </w:rPr>
      </w:pPr>
      <w:bookmarkStart w:id="172" w:name="_Toc2779"/>
      <w:r>
        <w:rPr>
          <w:rFonts w:hint="eastAsia" w:ascii="仿宋" w:hAnsi="仿宋" w:eastAsia="仿宋" w:cs="仿宋"/>
          <w:b w:val="0"/>
          <w:color w:val="auto"/>
          <w:sz w:val="24"/>
          <w:szCs w:val="24"/>
          <w:highlight w:val="none"/>
        </w:rPr>
        <w:t>5</w:t>
      </w:r>
      <w:bookmarkEnd w:id="171"/>
      <w:bookmarkStart w:id="173" w:name="_Toc296347162"/>
      <w:bookmarkStart w:id="174" w:name="_Toc296503163"/>
      <w:bookmarkStart w:id="175" w:name="_Toc292559367"/>
      <w:bookmarkStart w:id="176" w:name="_Toc296891203"/>
      <w:bookmarkStart w:id="177" w:name="_Toc296944502"/>
      <w:bookmarkStart w:id="178" w:name="_Toc292559872"/>
      <w:bookmarkStart w:id="179" w:name="_Toc297120463"/>
      <w:bookmarkStart w:id="180" w:name="_Toc296346664"/>
      <w:bookmarkStart w:id="181" w:name="_Toc296890991"/>
      <w:bookmarkStart w:id="182" w:name="_Toc297048349"/>
      <w:r>
        <w:rPr>
          <w:rFonts w:hint="eastAsia" w:ascii="仿宋" w:hAnsi="仿宋" w:eastAsia="仿宋" w:cs="仿宋"/>
          <w:b w:val="0"/>
          <w:color w:val="auto"/>
          <w:sz w:val="24"/>
          <w:szCs w:val="24"/>
          <w:highlight w:val="none"/>
        </w:rPr>
        <w:t>. 工程质量</w:t>
      </w:r>
      <w:bookmarkEnd w:id="172"/>
    </w:p>
    <w:p w14:paraId="20EC5375">
      <w:pPr>
        <w:spacing w:line="440" w:lineRule="exact"/>
        <w:ind w:firstLine="480" w:firstLineChars="200"/>
        <w:outlineLvl w:val="4"/>
        <w:rPr>
          <w:rFonts w:hint="eastAsia" w:ascii="仿宋" w:hAnsi="仿宋" w:eastAsia="仿宋" w:cs="仿宋"/>
          <w:color w:val="auto"/>
          <w:sz w:val="24"/>
          <w:szCs w:val="24"/>
          <w:highlight w:val="none"/>
        </w:rPr>
      </w:pPr>
      <w:bookmarkStart w:id="183" w:name="_Toc5086"/>
      <w:r>
        <w:rPr>
          <w:rFonts w:hint="eastAsia" w:ascii="仿宋" w:hAnsi="仿宋" w:eastAsia="仿宋" w:cs="仿宋"/>
          <w:color w:val="auto"/>
          <w:sz w:val="24"/>
          <w:szCs w:val="24"/>
          <w:highlight w:val="none"/>
        </w:rPr>
        <w:t>5.1 质量要求</w:t>
      </w:r>
      <w:bookmarkEnd w:id="183"/>
    </w:p>
    <w:p w14:paraId="0BD409BC">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bookmarkStart w:id="184" w:name="_Toc297123496"/>
      <w:bookmarkStart w:id="185" w:name="_Toc304295527"/>
      <w:bookmarkStart w:id="186" w:name="_Toc312677997"/>
      <w:bookmarkStart w:id="187" w:name="_Toc297216155"/>
      <w:bookmarkStart w:id="188" w:name="_Toc300934949"/>
      <w:bookmarkStart w:id="189" w:name="_Toc318581164"/>
      <w:bookmarkStart w:id="190" w:name="_Toc303539106"/>
      <w:r>
        <w:rPr>
          <w:rFonts w:hint="eastAsia" w:ascii="仿宋" w:hAnsi="仿宋" w:eastAsia="仿宋" w:cs="仿宋"/>
          <w:color w:val="auto"/>
          <w:sz w:val="24"/>
          <w:szCs w:val="24"/>
          <w:highlight w:val="none"/>
        </w:rPr>
        <w:t>.1.1 特殊质量标准和要求：</w:t>
      </w:r>
      <w:r>
        <w:rPr>
          <w:rFonts w:hint="eastAsia" w:ascii="仿宋" w:hAnsi="仿宋" w:eastAsia="仿宋" w:cs="仿宋"/>
          <w:color w:val="auto"/>
          <w:sz w:val="24"/>
          <w:szCs w:val="24"/>
          <w:highlight w:val="none"/>
          <w:u w:val="single"/>
        </w:rPr>
        <w:t xml:space="preserve">工程质量标准必须符合现行国家有关工程施工质量验收规范和标准的要求。必须满足一次性交验合格，如达不到交验标准，产生的费用由承包人自行承担  </w:t>
      </w:r>
      <w:r>
        <w:rPr>
          <w:rFonts w:hint="eastAsia" w:ascii="仿宋" w:hAnsi="仿宋" w:eastAsia="仿宋" w:cs="仿宋"/>
          <w:color w:val="auto"/>
          <w:sz w:val="24"/>
          <w:szCs w:val="24"/>
          <w:highlight w:val="none"/>
        </w:rPr>
        <w:t>。</w:t>
      </w:r>
    </w:p>
    <w:p w14:paraId="19980E90">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关于工程奖项的约定：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007F6231">
      <w:pPr>
        <w:spacing w:line="440" w:lineRule="exact"/>
        <w:ind w:firstLine="480" w:firstLineChars="200"/>
        <w:outlineLvl w:val="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 隐蔽工程检查</w:t>
      </w:r>
    </w:p>
    <w:p w14:paraId="6B73B664">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5.3.2承包人提前通知监理人隐蔽工程检查的期限的约定：</w:t>
      </w:r>
      <w:r>
        <w:rPr>
          <w:rFonts w:hint="eastAsia" w:ascii="仿宋" w:hAnsi="仿宋" w:eastAsia="仿宋" w:cs="仿宋"/>
          <w:color w:val="auto"/>
          <w:sz w:val="24"/>
          <w:szCs w:val="24"/>
          <w:highlight w:val="none"/>
          <w:u w:val="single"/>
        </w:rPr>
        <w:t xml:space="preserve">工程隐蔽部位隐蔽前 48 小时内书面通知。因为承包人未提前通知造成监理人未能对隐蔽工程进行检查的，以及因为隐蔽工程而引发的一切争议的后果均由承包人无条件承担。还应执行：根据工程进度及监理工程师指令及时向监理工程师递交隐蔽工程验收通知、工程质量自检报告、竣工验收申请报告等  </w:t>
      </w:r>
      <w:r>
        <w:rPr>
          <w:rFonts w:hint="eastAsia" w:ascii="仿宋" w:hAnsi="仿宋" w:eastAsia="仿宋" w:cs="仿宋"/>
          <w:color w:val="auto"/>
          <w:sz w:val="24"/>
          <w:szCs w:val="24"/>
          <w:highlight w:val="none"/>
        </w:rPr>
        <w:t>。</w:t>
      </w:r>
    </w:p>
    <w:p w14:paraId="6B4D619E">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监理人不能按时进行检查时，应提前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小时提交书面延期要求。</w:t>
      </w:r>
    </w:p>
    <w:p w14:paraId="6D353F2B">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小时。</w:t>
      </w:r>
    </w:p>
    <w:p w14:paraId="60747AC3">
      <w:pPr>
        <w:spacing w:line="440" w:lineRule="exact"/>
        <w:ind w:firstLine="480" w:firstLineChars="200"/>
        <w:jc w:val="left"/>
        <w:outlineLvl w:val="4"/>
        <w:rPr>
          <w:rFonts w:hint="eastAsia" w:ascii="仿宋" w:hAnsi="仿宋" w:eastAsia="仿宋" w:cs="仿宋"/>
          <w:color w:val="auto"/>
          <w:sz w:val="24"/>
          <w:szCs w:val="24"/>
          <w:highlight w:val="none"/>
        </w:rPr>
      </w:pPr>
      <w:bookmarkStart w:id="191" w:name="_Toc17670"/>
      <w:r>
        <w:rPr>
          <w:rFonts w:hint="eastAsia" w:ascii="仿宋" w:hAnsi="仿宋" w:eastAsia="仿宋" w:cs="仿宋"/>
          <w:color w:val="auto"/>
          <w:sz w:val="24"/>
          <w:szCs w:val="24"/>
          <w:highlight w:val="none"/>
        </w:rPr>
        <w:t>5.4 不合格工程处理：</w:t>
      </w:r>
      <w:r>
        <w:rPr>
          <w:rFonts w:hint="eastAsia" w:ascii="仿宋" w:hAnsi="仿宋" w:eastAsia="仿宋" w:cs="仿宋"/>
          <w:color w:val="auto"/>
          <w:sz w:val="24"/>
          <w:szCs w:val="24"/>
          <w:highlight w:val="none"/>
          <w:u w:val="single"/>
        </w:rPr>
        <w:t>除执行通用合同条款外，还应执行：①由于承包人使用了不合格材料和工程设备造成了工程损害，监理人和发包人可以随时发出指示，要求承包人立即采取措施进行补救，直至彻底清除工程的不合格部位以及不合格的材料或工程设备，由此增加的费用和工期延误责任由承包人承担。②若承包人无故拖延或拒绝执行监理人或发包人的指示，则发包人有权委托其它承包人执行该项指示，由此增加的费用和工期延误的责任，均由承包人承担。③承包人向发包人支付签约合同价格10％的违约金，造成发包人损失的，承包人应当承担损失的赔偿责任，该损失包括但不限于诉讼费、律师费、公证费、鉴定费、评估费、差旅费等费用。④发包人认为必要时，可以没收履约保证金，单方解除合同，另行发包</w:t>
      </w:r>
      <w:r>
        <w:rPr>
          <w:rFonts w:hint="eastAsia" w:ascii="仿宋" w:hAnsi="仿宋" w:eastAsia="仿宋" w:cs="仿宋"/>
          <w:color w:val="auto"/>
          <w:sz w:val="24"/>
          <w:szCs w:val="24"/>
          <w:highlight w:val="none"/>
        </w:rPr>
        <w:t>。</w:t>
      </w:r>
      <w:bookmarkEnd w:id="191"/>
    </w:p>
    <w:p w14:paraId="4CE741D8">
      <w:pPr>
        <w:pStyle w:val="5"/>
        <w:spacing w:before="0" w:after="0" w:line="440" w:lineRule="exact"/>
        <w:rPr>
          <w:rFonts w:hint="eastAsia" w:ascii="仿宋" w:hAnsi="仿宋" w:eastAsia="仿宋" w:cs="仿宋"/>
          <w:b w:val="0"/>
          <w:color w:val="auto"/>
          <w:sz w:val="24"/>
          <w:szCs w:val="24"/>
          <w:highlight w:val="none"/>
        </w:rPr>
      </w:pPr>
      <w:bookmarkStart w:id="192" w:name="_Toc30073"/>
      <w:r>
        <w:rPr>
          <w:rFonts w:hint="eastAsia" w:ascii="仿宋" w:hAnsi="仿宋" w:eastAsia="仿宋" w:cs="仿宋"/>
          <w:b w:val="0"/>
          <w:color w:val="auto"/>
          <w:sz w:val="24"/>
          <w:szCs w:val="24"/>
          <w:highlight w:val="none"/>
        </w:rPr>
        <w:t>6. 安全文明施工与环境保护</w:t>
      </w:r>
      <w:bookmarkEnd w:id="192"/>
    </w:p>
    <w:p w14:paraId="49B1B2F4">
      <w:pPr>
        <w:spacing w:line="440" w:lineRule="exact"/>
        <w:ind w:firstLine="480" w:firstLineChars="200"/>
        <w:outlineLvl w:val="4"/>
        <w:rPr>
          <w:rFonts w:hint="eastAsia" w:ascii="仿宋" w:hAnsi="仿宋" w:eastAsia="仿宋" w:cs="仿宋"/>
          <w:color w:val="auto"/>
          <w:sz w:val="24"/>
          <w:szCs w:val="24"/>
          <w:highlight w:val="none"/>
        </w:rPr>
      </w:pPr>
      <w:bookmarkStart w:id="193" w:name="_Toc21049"/>
      <w:r>
        <w:rPr>
          <w:rFonts w:hint="eastAsia" w:ascii="仿宋" w:hAnsi="仿宋" w:eastAsia="仿宋" w:cs="仿宋"/>
          <w:color w:val="auto"/>
          <w:sz w:val="24"/>
          <w:szCs w:val="24"/>
          <w:highlight w:val="none"/>
        </w:rPr>
        <w:t>6.1安全文明施工</w:t>
      </w:r>
      <w:bookmarkEnd w:id="193"/>
    </w:p>
    <w:p w14:paraId="66469121">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6.1.1 项目安全生产的达标目标及相应事项的约定：</w:t>
      </w:r>
      <w:r>
        <w:rPr>
          <w:rFonts w:hint="eastAsia" w:ascii="仿宋" w:hAnsi="仿宋" w:eastAsia="仿宋" w:cs="仿宋"/>
          <w:color w:val="auto"/>
          <w:sz w:val="24"/>
          <w:szCs w:val="24"/>
          <w:highlight w:val="none"/>
          <w:u w:val="single"/>
        </w:rPr>
        <w:t xml:space="preserve">承包人必须严格执行《中华人民共和国安全生产法》、《建筑安装施工安全检查标准》（JGJ59-2011）、《中华人民共和国建筑法》、《安全生产许可证条例》和《建筑工程安全生产管理条例》等法律、法规及新疆维吾尔自治区等有关安全文明施工管理的相关规定，施工现场由专职持证上岗的安全员负责安全事宜。开工前承包人与发包人签订《安全生产责任书》，承包人必须按照国家有关规定交纳施工人员的安全保险费用，按规定安装现场安全设施，并严格管理施工人员的工作、生活安全及往来、材料运输路途安全，严禁不规范操作及其它原因造成人员安全事故。如发生，所有责任及费用均由承包人无条件独自承担，发包人不承担任何责任、费用。承包人向发包人支付签约合同价格 5％的赔偿金 </w:t>
      </w:r>
      <w:r>
        <w:rPr>
          <w:rFonts w:hint="eastAsia" w:ascii="仿宋" w:hAnsi="仿宋" w:eastAsia="仿宋" w:cs="仿宋"/>
          <w:color w:val="auto"/>
          <w:sz w:val="24"/>
          <w:szCs w:val="24"/>
          <w:highlight w:val="none"/>
        </w:rPr>
        <w:t>。</w:t>
      </w:r>
    </w:p>
    <w:p w14:paraId="3BB23346">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6.1.2 </w:t>
      </w:r>
      <w:r>
        <w:rPr>
          <w:rFonts w:hint="eastAsia" w:ascii="仿宋" w:hAnsi="仿宋" w:eastAsia="仿宋" w:cs="仿宋"/>
          <w:color w:val="auto"/>
          <w:sz w:val="24"/>
          <w:szCs w:val="24"/>
          <w:highlight w:val="none"/>
          <w:u w:val="single"/>
        </w:rPr>
        <w:t>承包人应严格管理，确保文明施工，安全施工，杜绝发生任何事故（包括但不限于工伤事故、安全事故、意外事故、管理责任事故、违法违纪事故等），否则，因此产生的经济责任全部由承包人自行承担。发生相关事故的，承包人应自行积极妥善处理，并承担相关费用。否则，因此给发包人造成经济损失的，承包人应双倍赔偿发包人因此受到的全部损失，发包人有权从应给承包人支付的后期费用中优先扣除，不足部分，承包人负责赔偿，承包人不及时赔偿的，每日向发包人承担合同价百分之五的滞纳金</w:t>
      </w:r>
      <w:r>
        <w:rPr>
          <w:rFonts w:hint="eastAsia" w:ascii="仿宋" w:hAnsi="仿宋" w:eastAsia="仿宋" w:cs="仿宋"/>
          <w:color w:val="auto"/>
          <w:sz w:val="24"/>
          <w:szCs w:val="24"/>
          <w:highlight w:val="none"/>
        </w:rPr>
        <w:t>。</w:t>
      </w:r>
    </w:p>
    <w:p w14:paraId="3D79E7F8">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6.1.4 关于治安保卫的特别约定：</w:t>
      </w:r>
      <w:r>
        <w:rPr>
          <w:rFonts w:hint="eastAsia" w:ascii="仿宋" w:hAnsi="仿宋" w:eastAsia="仿宋" w:cs="仿宋"/>
          <w:color w:val="auto"/>
          <w:sz w:val="24"/>
          <w:szCs w:val="24"/>
          <w:highlight w:val="none"/>
          <w:u w:val="single"/>
        </w:rPr>
        <w:t xml:space="preserve">由承包人负责协调并履行治安保卫职责，承包人制定应对突发治安事件紧急预案，负责统一管理施工场地的治安保卫事项,对因治安事件发生的人身和财产损失，均由承包方负责,发包人不承担任何责任 </w:t>
      </w:r>
      <w:r>
        <w:rPr>
          <w:rFonts w:hint="eastAsia" w:ascii="仿宋" w:hAnsi="仿宋" w:eastAsia="仿宋" w:cs="仿宋"/>
          <w:color w:val="auto"/>
          <w:sz w:val="24"/>
          <w:szCs w:val="24"/>
          <w:highlight w:val="none"/>
        </w:rPr>
        <w:t>。</w:t>
      </w:r>
    </w:p>
    <w:p w14:paraId="60CB4D22">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关于编制施工场地治安管理计划的约定：</w:t>
      </w:r>
      <w:r>
        <w:rPr>
          <w:rFonts w:hint="eastAsia" w:ascii="仿宋" w:hAnsi="仿宋" w:eastAsia="仿宋" w:cs="仿宋"/>
          <w:color w:val="auto"/>
          <w:sz w:val="24"/>
          <w:szCs w:val="24"/>
          <w:highlight w:val="none"/>
          <w:u w:val="single"/>
        </w:rPr>
        <w:t xml:space="preserve">结合工地所处地段的特殊性、环境，开工前三天提供施工现场治安管理计划，并报监理人和发包人审核。自承包人进入施工现场之日起，因为承包人的施工行为（包括但不限于施工准备行为、安全防护措施、实际施工行为等）、施工现场的施工设施、设备、材料等造成的承包人人员、财产损害、第三方人员、财产的损害均由承包人无条件承担一切责任 </w:t>
      </w:r>
      <w:r>
        <w:rPr>
          <w:rFonts w:hint="eastAsia" w:ascii="仿宋" w:hAnsi="仿宋" w:eastAsia="仿宋" w:cs="仿宋"/>
          <w:color w:val="auto"/>
          <w:sz w:val="24"/>
          <w:szCs w:val="24"/>
          <w:highlight w:val="none"/>
        </w:rPr>
        <w:t>。</w:t>
      </w:r>
    </w:p>
    <w:p w14:paraId="1DE35AB3">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6.1.5 文明施工</w:t>
      </w:r>
    </w:p>
    <w:p w14:paraId="670CFD9A">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合同当事人对文明施工的要求：</w:t>
      </w:r>
      <w:r>
        <w:rPr>
          <w:rFonts w:hint="eastAsia" w:ascii="仿宋" w:hAnsi="仿宋" w:eastAsia="仿宋" w:cs="仿宋"/>
          <w:color w:val="auto"/>
          <w:sz w:val="24"/>
          <w:szCs w:val="24"/>
          <w:highlight w:val="none"/>
          <w:u w:val="single"/>
        </w:rPr>
        <w:t xml:space="preserve">除执行《建筑施工现场环境与卫生标准》（JGJ146-2004、J375-2004）及执行通用条款外，还应执行： ①承包人应采取有效管理措施，保证施工现场特种作业人员均持有有效证件，经过安全培训合格后持证上岗。 ②承包人必须认真组织实施施工组织设计中制定的安全防护、文明施工措施，严格执行《消防法》、《建设工程施工现场消防安全技术规范》及自治区的相关安全消防管理规定。承包人必须根据现场情况制定严格的用火、用电制度和消防设施管理制度，严禁现场吸烟和违章用水、用电以及其他可能导致火灾事故和人身伤亡事故的行为。 ③承包人在施工过程中，遵守有关环境保护的法律、法规，履行环境保护义务，并对违反法律、法规所造成的环境破坏、人身伤害和财产损失全权负责。承包人应按批准的施工环保措施计划有序地堆放和处理施工废弃物，避免对环境造成的破坏，保持现场清洁，不得出现不必要的障碍。各类设备和材料应妥善存放，并随时将废料、垃圾及不再需要的临时设施清运出指定地点内。当承包人未能按要求完成清理工作，发包人可指定他人完成此项工作，其费用从发包人向承包人支付的任何款项中扣除。 ④承包人加强对噪音、粉尘、废气、废水和废油的控制，降低噪音、控制粉尘和废气浓度，做好废水和废油的治理和排放。 ⑤因承包人任意堆放、排放废水废油或弃置施工废弃物造成妨碍公共交通、影响城镇居民生活、危及居民安全、破坏周边环境等后果，承包人承担一切责任和费用。 ⑥施工场地周围地下管线和邻近建筑物、构筑物（含文物保护建筑）、古树名木的保护要求及费用承担：承包人被认为在送交投标文件之前，已进行了现场 考察，对现场和其周围环境以及可得到的有关资料进行了查看和核查，承包人已取得可能对投标有影响或起作用的风险、意外等必要资料。承包人应采取一切合理的措施保护施工场地内外环境并防止由于其作业方法导致的污 染、噪音或其它原因造成的对周围地下管线和邻近建筑物、构筑物（文物保护建筑）、古树名木等的伤害和受损。 ⑦做好施工现场（包括进出口附近道路）的整洁卫生，搞好文明施工，工程验收一周前应作好清场工作。 ⑧减少夜间噪声：承包人不得在夜间安排噪声很大的机械施工。若承包人违反有关安全文明施工、扬尘治理的有关规定，情节严重的发包人有权终止合同。 由此造成政府相关部门处罚的亦由承包人自行承担。 ⑨安全、文明施工不符合施工要求的，承包人承担一切责任和费用。并向发包人支付合同价款千分之一至千分之五的违约金。违约金可从发包人向承包人支付的任何款项中扣除。同时造成政府相关部门处罚的亦由承包人自行承担 </w:t>
      </w:r>
      <w:r>
        <w:rPr>
          <w:rFonts w:hint="eastAsia" w:ascii="仿宋" w:hAnsi="仿宋" w:eastAsia="仿宋" w:cs="仿宋"/>
          <w:color w:val="auto"/>
          <w:sz w:val="24"/>
          <w:szCs w:val="24"/>
          <w:highlight w:val="none"/>
        </w:rPr>
        <w:t>。</w:t>
      </w:r>
    </w:p>
    <w:p w14:paraId="1C5A767A">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6.1.6 关于安全文明施工费支付比例和支付期限的约定：</w:t>
      </w:r>
      <w:r>
        <w:rPr>
          <w:rFonts w:hint="eastAsia" w:ascii="仿宋" w:hAnsi="仿宋" w:eastAsia="仿宋" w:cs="仿宋"/>
          <w:color w:val="auto"/>
          <w:sz w:val="24"/>
          <w:szCs w:val="24"/>
          <w:highlight w:val="none"/>
          <w:u w:val="single"/>
        </w:rPr>
        <w:t xml:space="preserve"> 与工程款同时支付，工程款中包含此项费用 </w:t>
      </w:r>
      <w:r>
        <w:rPr>
          <w:rFonts w:hint="eastAsia" w:ascii="仿宋" w:hAnsi="仿宋" w:eastAsia="仿宋" w:cs="仿宋"/>
          <w:color w:val="auto"/>
          <w:sz w:val="24"/>
          <w:szCs w:val="24"/>
          <w:highlight w:val="none"/>
        </w:rPr>
        <w:t>。</w:t>
      </w:r>
    </w:p>
    <w:p w14:paraId="3981BA86">
      <w:pPr>
        <w:spacing w:line="440" w:lineRule="exact"/>
        <w:ind w:firstLine="480" w:firstLineChars="200"/>
        <w:outlineLvl w:val="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 扬尘污染防治</w:t>
      </w:r>
    </w:p>
    <w:p w14:paraId="174ACD77">
      <w:pPr>
        <w:pStyle w:val="16"/>
        <w:spacing w:line="5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6.2.1 项目扬尘污染防治达标目标及相应事项的约定：</w:t>
      </w:r>
      <w:r>
        <w:rPr>
          <w:rFonts w:hint="eastAsia" w:ascii="仿宋" w:hAnsi="仿宋" w:eastAsia="仿宋" w:cs="仿宋"/>
          <w:color w:val="auto"/>
          <w:sz w:val="24"/>
          <w:szCs w:val="24"/>
          <w:highlight w:val="none"/>
          <w:u w:val="single"/>
        </w:rPr>
        <w:t>要求达到《乌鲁木齐建筑工程施工现场扬尘污染防治实施细则》标准，及发包人对安全文明措施项目的标准和要示执行。</w:t>
      </w:r>
    </w:p>
    <w:bookmarkEnd w:id="184"/>
    <w:bookmarkEnd w:id="185"/>
    <w:bookmarkEnd w:id="186"/>
    <w:bookmarkEnd w:id="187"/>
    <w:bookmarkEnd w:id="188"/>
    <w:bookmarkEnd w:id="189"/>
    <w:bookmarkEnd w:id="190"/>
    <w:p w14:paraId="25FC86C3">
      <w:pPr>
        <w:pStyle w:val="5"/>
        <w:spacing w:before="0" w:after="0" w:line="440" w:lineRule="exact"/>
        <w:rPr>
          <w:rFonts w:hint="eastAsia" w:ascii="仿宋" w:hAnsi="仿宋" w:eastAsia="仿宋" w:cs="仿宋"/>
          <w:b w:val="0"/>
          <w:color w:val="auto"/>
          <w:sz w:val="24"/>
          <w:szCs w:val="24"/>
          <w:highlight w:val="none"/>
        </w:rPr>
      </w:pPr>
      <w:bookmarkStart w:id="194" w:name="_Toc22243"/>
      <w:r>
        <w:rPr>
          <w:rFonts w:hint="eastAsia" w:ascii="仿宋" w:hAnsi="仿宋" w:eastAsia="仿宋" w:cs="仿宋"/>
          <w:b w:val="0"/>
          <w:color w:val="auto"/>
          <w:sz w:val="24"/>
          <w:szCs w:val="24"/>
          <w:highlight w:val="none"/>
        </w:rPr>
        <w:t>7. 工期和进度</w:t>
      </w:r>
      <w:bookmarkEnd w:id="194"/>
    </w:p>
    <w:p w14:paraId="41B37CC2">
      <w:pPr>
        <w:spacing w:line="440" w:lineRule="exact"/>
        <w:ind w:firstLine="480" w:firstLineChars="200"/>
        <w:outlineLvl w:val="4"/>
        <w:rPr>
          <w:rFonts w:hint="eastAsia" w:ascii="仿宋" w:hAnsi="仿宋" w:eastAsia="仿宋" w:cs="仿宋"/>
          <w:color w:val="auto"/>
          <w:sz w:val="24"/>
          <w:szCs w:val="24"/>
          <w:highlight w:val="none"/>
        </w:rPr>
      </w:pPr>
      <w:bookmarkStart w:id="195" w:name="_Toc2199"/>
      <w:r>
        <w:rPr>
          <w:rFonts w:hint="eastAsia" w:ascii="仿宋" w:hAnsi="仿宋" w:eastAsia="仿宋" w:cs="仿宋"/>
          <w:color w:val="auto"/>
          <w:sz w:val="24"/>
          <w:szCs w:val="24"/>
          <w:highlight w:val="none"/>
        </w:rPr>
        <w:t>7.1 施工组织设计</w:t>
      </w:r>
      <w:bookmarkEnd w:id="195"/>
    </w:p>
    <w:p w14:paraId="3EA3B157">
      <w:pPr>
        <w:autoSpaceDE w:val="0"/>
        <w:autoSpaceDN w:val="0"/>
        <w:adjustRightInd w:val="0"/>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7.1.1 合</w:t>
      </w:r>
      <w:r>
        <w:rPr>
          <w:rFonts w:hint="eastAsia" w:ascii="仿宋" w:hAnsi="仿宋" w:eastAsia="仿宋" w:cs="仿宋"/>
          <w:color w:val="auto"/>
          <w:kern w:val="0"/>
          <w:sz w:val="24"/>
          <w:szCs w:val="24"/>
          <w:highlight w:val="none"/>
        </w:rPr>
        <w:t>同当事人约定的施工组织设计应包括的其他内容：</w:t>
      </w:r>
      <w:r>
        <w:rPr>
          <w:rFonts w:hint="eastAsia" w:ascii="仿宋" w:hAnsi="仿宋" w:eastAsia="仿宋" w:cs="仿宋"/>
          <w:color w:val="auto"/>
          <w:sz w:val="24"/>
          <w:szCs w:val="24"/>
          <w:highlight w:val="none"/>
          <w:u w:val="single"/>
        </w:rPr>
        <w:t xml:space="preserve"> 开工前报送详细的施工进度计划和施工方案，并在每月 20 日提供当月进度报表和次月进度计划 </w:t>
      </w:r>
      <w:r>
        <w:rPr>
          <w:rFonts w:hint="eastAsia" w:ascii="仿宋" w:hAnsi="仿宋" w:eastAsia="仿宋" w:cs="仿宋"/>
          <w:color w:val="auto"/>
          <w:sz w:val="24"/>
          <w:szCs w:val="24"/>
          <w:highlight w:val="none"/>
        </w:rPr>
        <w:t>。</w:t>
      </w:r>
    </w:p>
    <w:p w14:paraId="7C75190E">
      <w:pPr>
        <w:autoSpaceDE w:val="0"/>
        <w:autoSpaceDN w:val="0"/>
        <w:adjustRightInd w:val="0"/>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 xml:space="preserve">7.1.2 </w:t>
      </w:r>
      <w:r>
        <w:rPr>
          <w:rFonts w:hint="eastAsia" w:ascii="仿宋" w:hAnsi="仿宋" w:eastAsia="仿宋" w:cs="仿宋"/>
          <w:color w:val="auto"/>
          <w:kern w:val="0"/>
          <w:sz w:val="24"/>
          <w:szCs w:val="24"/>
          <w:highlight w:val="none"/>
        </w:rPr>
        <w:t>施工组织设计的提交和修改</w:t>
      </w:r>
    </w:p>
    <w:p w14:paraId="0744B3E9">
      <w:pPr>
        <w:autoSpaceDE w:val="0"/>
        <w:autoSpaceDN w:val="0"/>
        <w:adjustRightInd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承包人提交详细施工组织设计的期限的约定：</w:t>
      </w:r>
      <w:r>
        <w:rPr>
          <w:rFonts w:hint="eastAsia" w:ascii="仿宋" w:hAnsi="仿宋" w:eastAsia="仿宋" w:cs="仿宋"/>
          <w:color w:val="auto"/>
          <w:sz w:val="24"/>
          <w:szCs w:val="24"/>
          <w:highlight w:val="none"/>
          <w:u w:val="single"/>
        </w:rPr>
        <w:t xml:space="preserve">开工前七日内承包人将施工组织设计（方案）和进度计划提交发包人 </w:t>
      </w:r>
      <w:r>
        <w:rPr>
          <w:rFonts w:hint="eastAsia" w:ascii="仿宋" w:hAnsi="仿宋" w:eastAsia="仿宋" w:cs="仿宋"/>
          <w:color w:val="auto"/>
          <w:sz w:val="24"/>
          <w:szCs w:val="24"/>
          <w:highlight w:val="none"/>
        </w:rPr>
        <w:t>。</w:t>
      </w:r>
    </w:p>
    <w:p w14:paraId="5CF34650">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2CC361AF">
      <w:pPr>
        <w:spacing w:line="440" w:lineRule="exact"/>
        <w:ind w:firstLine="480" w:firstLineChars="200"/>
        <w:outlineLvl w:val="4"/>
        <w:rPr>
          <w:rFonts w:hint="eastAsia" w:ascii="仿宋" w:hAnsi="仿宋" w:eastAsia="仿宋" w:cs="仿宋"/>
          <w:color w:val="auto"/>
          <w:sz w:val="24"/>
          <w:szCs w:val="24"/>
          <w:highlight w:val="none"/>
        </w:rPr>
      </w:pPr>
      <w:bookmarkStart w:id="196" w:name="_Toc17167"/>
      <w:r>
        <w:rPr>
          <w:rFonts w:hint="eastAsia" w:ascii="仿宋" w:hAnsi="仿宋" w:eastAsia="仿宋" w:cs="仿宋"/>
          <w:color w:val="auto"/>
          <w:sz w:val="24"/>
          <w:szCs w:val="24"/>
          <w:highlight w:val="none"/>
        </w:rPr>
        <w:t>7</w:t>
      </w:r>
      <w:bookmarkStart w:id="197" w:name="_Toc300934966"/>
      <w:bookmarkStart w:id="198" w:name="_Toc304295541"/>
      <w:bookmarkStart w:id="199" w:name="_Toc312677479"/>
      <w:bookmarkStart w:id="200" w:name="_Toc297123514"/>
      <w:bookmarkStart w:id="201" w:name="_Toc312678005"/>
      <w:bookmarkStart w:id="202" w:name="_Toc303539123"/>
      <w:bookmarkStart w:id="203" w:name="_Toc297216173"/>
      <w:r>
        <w:rPr>
          <w:rFonts w:hint="eastAsia" w:ascii="仿宋" w:hAnsi="仿宋" w:eastAsia="仿宋" w:cs="仿宋"/>
          <w:color w:val="auto"/>
          <w:sz w:val="24"/>
          <w:szCs w:val="24"/>
          <w:highlight w:val="none"/>
        </w:rPr>
        <w:t>.2 施工进度计划</w:t>
      </w:r>
      <w:bookmarkEnd w:id="196"/>
    </w:p>
    <w:p w14:paraId="160D1D32">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7.2.2 施工进度计划的修订</w:t>
      </w:r>
    </w:p>
    <w:p w14:paraId="3EC6D3E3">
      <w:pPr>
        <w:autoSpaceDE w:val="0"/>
        <w:autoSpaceDN w:val="0"/>
        <w:adjustRightInd w:val="0"/>
        <w:spacing w:line="5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发包人和监理人在收到修订的施工进度计划后确认或提出修改意见的期限：</w:t>
      </w:r>
      <w:r>
        <w:rPr>
          <w:rFonts w:hint="eastAsia" w:ascii="仿宋" w:hAnsi="仿宋" w:eastAsia="仿宋" w:cs="仿宋"/>
          <w:color w:val="auto"/>
          <w:sz w:val="24"/>
          <w:szCs w:val="24"/>
          <w:highlight w:val="none"/>
          <w:u w:val="single"/>
        </w:rPr>
        <w:t>执行通用条款    。</w:t>
      </w:r>
    </w:p>
    <w:p w14:paraId="41C354F8">
      <w:pPr>
        <w:spacing w:line="440" w:lineRule="exact"/>
        <w:ind w:firstLine="480" w:firstLineChars="200"/>
        <w:outlineLvl w:val="4"/>
        <w:rPr>
          <w:rFonts w:hint="eastAsia" w:ascii="仿宋" w:hAnsi="仿宋" w:eastAsia="仿宋" w:cs="仿宋"/>
          <w:color w:val="auto"/>
          <w:sz w:val="24"/>
          <w:szCs w:val="24"/>
          <w:highlight w:val="none"/>
        </w:rPr>
      </w:pPr>
      <w:bookmarkStart w:id="204" w:name="_Toc14554"/>
      <w:r>
        <w:rPr>
          <w:rFonts w:hint="eastAsia" w:ascii="仿宋" w:hAnsi="仿宋" w:eastAsia="仿宋" w:cs="仿宋"/>
          <w:color w:val="auto"/>
          <w:sz w:val="24"/>
          <w:szCs w:val="24"/>
          <w:highlight w:val="none"/>
        </w:rPr>
        <w:t>7.3 开工</w:t>
      </w:r>
      <w:bookmarkEnd w:id="204"/>
    </w:p>
    <w:p w14:paraId="799971B6">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7.3.1 开工准备</w:t>
      </w:r>
    </w:p>
    <w:p w14:paraId="4E704FED">
      <w:pPr>
        <w:spacing w:line="440" w:lineRule="exact"/>
        <w:ind w:firstLine="645"/>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关于承包人提交</w:t>
      </w:r>
      <w:r>
        <w:rPr>
          <w:rFonts w:hint="eastAsia" w:ascii="仿宋" w:hAnsi="仿宋" w:eastAsia="仿宋" w:cs="仿宋"/>
          <w:color w:val="auto"/>
          <w:kern w:val="0"/>
          <w:sz w:val="24"/>
          <w:szCs w:val="24"/>
          <w:highlight w:val="none"/>
        </w:rPr>
        <w:t>工程开工报审表的期限：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2AA0B02D">
      <w:pPr>
        <w:spacing w:line="440" w:lineRule="exact"/>
        <w:ind w:firstLine="64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关于发包人应完成的其他开工准备工作及期限：</w:t>
      </w:r>
      <w:r>
        <w:rPr>
          <w:rFonts w:hint="eastAsia" w:ascii="仿宋" w:hAnsi="仿宋" w:eastAsia="仿宋" w:cs="仿宋"/>
          <w:color w:val="auto"/>
          <w:sz w:val="24"/>
          <w:szCs w:val="24"/>
          <w:highlight w:val="none"/>
          <w:u w:val="single"/>
        </w:rPr>
        <w:t xml:space="preserve">  开工前三日内  </w:t>
      </w:r>
      <w:r>
        <w:rPr>
          <w:rFonts w:hint="eastAsia" w:ascii="仿宋" w:hAnsi="仿宋" w:eastAsia="仿宋" w:cs="仿宋"/>
          <w:color w:val="auto"/>
          <w:sz w:val="24"/>
          <w:szCs w:val="24"/>
          <w:highlight w:val="none"/>
        </w:rPr>
        <w:t>。</w:t>
      </w:r>
    </w:p>
    <w:p w14:paraId="2C5BC70E">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关于承包人应完成的其他开工准备工作及期限：</w:t>
      </w:r>
      <w:r>
        <w:rPr>
          <w:rFonts w:hint="eastAsia" w:ascii="仿宋" w:hAnsi="仿宋" w:eastAsia="仿宋" w:cs="仿宋"/>
          <w:color w:val="auto"/>
          <w:sz w:val="24"/>
          <w:szCs w:val="24"/>
          <w:highlight w:val="none"/>
          <w:u w:val="single"/>
        </w:rPr>
        <w:t xml:space="preserve">   开工前三日内  </w:t>
      </w:r>
      <w:r>
        <w:rPr>
          <w:rFonts w:hint="eastAsia" w:ascii="仿宋" w:hAnsi="仿宋" w:eastAsia="仿宋" w:cs="仿宋"/>
          <w:color w:val="auto"/>
          <w:sz w:val="24"/>
          <w:szCs w:val="24"/>
          <w:highlight w:val="none"/>
        </w:rPr>
        <w:t>。</w:t>
      </w:r>
    </w:p>
    <w:p w14:paraId="63CBDEFC">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7.3.2开工通知</w:t>
      </w:r>
    </w:p>
    <w:p w14:paraId="1176216E">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因发包人原因造成监理人未能在计划开工日期之日起</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天内发出开工通知的，承包人有权提出价格调整要求，或者解除合同。</w:t>
      </w:r>
    </w:p>
    <w:bookmarkEnd w:id="197"/>
    <w:bookmarkEnd w:id="198"/>
    <w:bookmarkEnd w:id="199"/>
    <w:bookmarkEnd w:id="200"/>
    <w:bookmarkEnd w:id="201"/>
    <w:bookmarkEnd w:id="202"/>
    <w:bookmarkEnd w:id="203"/>
    <w:p w14:paraId="0B2C702F">
      <w:pPr>
        <w:spacing w:line="440" w:lineRule="exact"/>
        <w:ind w:firstLine="480" w:firstLineChars="200"/>
        <w:outlineLvl w:val="4"/>
        <w:rPr>
          <w:rFonts w:hint="eastAsia" w:ascii="仿宋" w:hAnsi="仿宋" w:eastAsia="仿宋" w:cs="仿宋"/>
          <w:color w:val="auto"/>
          <w:sz w:val="24"/>
          <w:szCs w:val="24"/>
          <w:highlight w:val="none"/>
        </w:rPr>
      </w:pPr>
      <w:bookmarkStart w:id="205" w:name="_Toc27664"/>
      <w:r>
        <w:rPr>
          <w:rFonts w:hint="eastAsia" w:ascii="仿宋" w:hAnsi="仿宋" w:eastAsia="仿宋" w:cs="仿宋"/>
          <w:color w:val="auto"/>
          <w:sz w:val="24"/>
          <w:szCs w:val="24"/>
          <w:highlight w:val="none"/>
        </w:rPr>
        <w:t>7.4 测量放线</w:t>
      </w:r>
      <w:bookmarkEnd w:id="205"/>
    </w:p>
    <w:p w14:paraId="505DF906">
      <w:pPr>
        <w:spacing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7.4.1发包人通过监理人向承包人提供测量基准点、基准线和水准点及其书面资料的期限：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795B5D55">
      <w:pPr>
        <w:spacing w:line="440" w:lineRule="exact"/>
        <w:ind w:firstLine="480" w:firstLineChars="200"/>
        <w:outlineLvl w:val="4"/>
        <w:rPr>
          <w:rFonts w:hint="eastAsia" w:ascii="仿宋" w:hAnsi="仿宋" w:eastAsia="仿宋" w:cs="仿宋"/>
          <w:color w:val="auto"/>
          <w:sz w:val="24"/>
          <w:szCs w:val="24"/>
          <w:highlight w:val="none"/>
        </w:rPr>
      </w:pPr>
      <w:bookmarkStart w:id="206" w:name="_Toc18459"/>
      <w:r>
        <w:rPr>
          <w:rFonts w:hint="eastAsia" w:ascii="仿宋" w:hAnsi="仿宋" w:eastAsia="仿宋" w:cs="仿宋"/>
          <w:color w:val="auto"/>
          <w:sz w:val="24"/>
          <w:szCs w:val="24"/>
          <w:highlight w:val="none"/>
        </w:rPr>
        <w:t>7</w:t>
      </w:r>
      <w:bookmarkStart w:id="207" w:name="_Toc303539125"/>
      <w:bookmarkStart w:id="208" w:name="_Toc297123516"/>
      <w:bookmarkStart w:id="209" w:name="_Toc312677484"/>
      <w:bookmarkStart w:id="210" w:name="_Toc304295546"/>
      <w:bookmarkStart w:id="211" w:name="_Toc312678010"/>
      <w:bookmarkStart w:id="212" w:name="_Toc300934968"/>
      <w:bookmarkStart w:id="213" w:name="_Toc297216175"/>
      <w:r>
        <w:rPr>
          <w:rFonts w:hint="eastAsia" w:ascii="仿宋" w:hAnsi="仿宋" w:eastAsia="仿宋" w:cs="仿宋"/>
          <w:color w:val="auto"/>
          <w:sz w:val="24"/>
          <w:szCs w:val="24"/>
          <w:highlight w:val="none"/>
        </w:rPr>
        <w:t>.5 工期延误</w:t>
      </w:r>
      <w:bookmarkEnd w:id="206"/>
    </w:p>
    <w:bookmarkEnd w:id="207"/>
    <w:bookmarkEnd w:id="208"/>
    <w:bookmarkEnd w:id="209"/>
    <w:bookmarkEnd w:id="210"/>
    <w:bookmarkEnd w:id="211"/>
    <w:bookmarkEnd w:id="212"/>
    <w:bookmarkEnd w:id="213"/>
    <w:p w14:paraId="1E4F2059">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7.5.1 因发包人原因导致工期延误</w:t>
      </w:r>
    </w:p>
    <w:p w14:paraId="2BE4C2DA">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（7）因发包人原因导致工期延误的其他情形：</w:t>
      </w:r>
      <w:r>
        <w:rPr>
          <w:rFonts w:hint="eastAsia" w:ascii="仿宋" w:hAnsi="仿宋" w:eastAsia="仿宋" w:cs="仿宋"/>
          <w:color w:val="auto"/>
          <w:sz w:val="24"/>
          <w:szCs w:val="24"/>
          <w:highlight w:val="none"/>
          <w:u w:val="single"/>
        </w:rPr>
        <w:t>（1）重大设计变更（2）政策问题。</w:t>
      </w:r>
    </w:p>
    <w:p w14:paraId="649D4F1A">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bookmarkStart w:id="214" w:name="_Toc318581169"/>
      <w:bookmarkStart w:id="215" w:name="_Toc312677486"/>
      <w:bookmarkStart w:id="216" w:name="_Toc312678012"/>
      <w:bookmarkStart w:id="217" w:name="_Toc304295548"/>
      <w:bookmarkStart w:id="218" w:name="_Toc297123518"/>
      <w:bookmarkStart w:id="219" w:name="_Toc297216177"/>
      <w:bookmarkStart w:id="220" w:name="_Toc303539127"/>
      <w:bookmarkStart w:id="221" w:name="_Toc300934970"/>
      <w:r>
        <w:rPr>
          <w:rFonts w:hint="eastAsia" w:ascii="仿宋" w:hAnsi="仿宋" w:eastAsia="仿宋" w:cs="仿宋"/>
          <w:color w:val="auto"/>
          <w:sz w:val="24"/>
          <w:szCs w:val="24"/>
          <w:highlight w:val="none"/>
        </w:rPr>
        <w:t>.5.2 因承包人原因导致工期延误</w:t>
      </w:r>
    </w:p>
    <w:bookmarkEnd w:id="214"/>
    <w:bookmarkEnd w:id="215"/>
    <w:bookmarkEnd w:id="216"/>
    <w:p w14:paraId="61FF1DCB">
      <w:pPr>
        <w:spacing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因</w:t>
      </w:r>
      <w:bookmarkStart w:id="222" w:name="_Toc312678013"/>
      <w:bookmarkStart w:id="223" w:name="_Toc312677487"/>
      <w:bookmarkStart w:id="224" w:name="_Toc318581170"/>
      <w:r>
        <w:rPr>
          <w:rFonts w:hint="eastAsia" w:ascii="仿宋" w:hAnsi="仿宋" w:eastAsia="仿宋" w:cs="仿宋"/>
          <w:color w:val="auto"/>
          <w:sz w:val="24"/>
          <w:szCs w:val="24"/>
          <w:highlight w:val="none"/>
        </w:rPr>
        <w:t>承包人原因造成工期延误，逾期竣工违约金的计算方法为：</w:t>
      </w:r>
    </w:p>
    <w:p w14:paraId="738315E9">
      <w:pPr>
        <w:spacing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按照合同工期，每推延一天，承包人承担一万元经济责任，逾期七天（含本数）甲方有权单方解除合同，停止支付工程款，乙方无条件退场，造成发包人损失的，还应当赔偿。以上措施并不免除承包人对已完成工程修补缺陷的义务</w:t>
      </w:r>
      <w:r>
        <w:rPr>
          <w:rFonts w:hint="eastAsia" w:ascii="仿宋" w:hAnsi="仿宋" w:eastAsia="仿宋" w:cs="仿宋"/>
          <w:color w:val="auto"/>
          <w:sz w:val="24"/>
          <w:szCs w:val="24"/>
          <w:highlight w:val="none"/>
        </w:rPr>
        <w:t>。</w:t>
      </w:r>
      <w:bookmarkEnd w:id="217"/>
      <w:bookmarkEnd w:id="218"/>
      <w:bookmarkEnd w:id="219"/>
      <w:bookmarkEnd w:id="220"/>
      <w:bookmarkEnd w:id="221"/>
      <w:bookmarkEnd w:id="222"/>
      <w:bookmarkEnd w:id="223"/>
    </w:p>
    <w:p w14:paraId="03F6A01A">
      <w:pPr>
        <w:spacing w:line="440" w:lineRule="exact"/>
        <w:ind w:firstLine="480" w:firstLineChars="200"/>
        <w:jc w:val="left"/>
        <w:rPr>
          <w:rFonts w:hint="eastAsia" w:ascii="仿宋" w:hAnsi="仿宋" w:eastAsia="仿宋" w:cs="仿宋"/>
          <w:color w:val="auto"/>
          <w:sz w:val="24"/>
          <w:szCs w:val="24"/>
          <w:highlight w:val="none"/>
        </w:rPr>
      </w:pPr>
      <w:bookmarkStart w:id="225" w:name="_Toc318581171"/>
      <w:bookmarkStart w:id="226" w:name="_Toc312678014"/>
      <w:r>
        <w:rPr>
          <w:rFonts w:hint="eastAsia" w:ascii="仿宋" w:hAnsi="仿宋" w:eastAsia="仿宋" w:cs="仿宋"/>
          <w:color w:val="auto"/>
          <w:sz w:val="24"/>
          <w:szCs w:val="24"/>
          <w:highlight w:val="none"/>
        </w:rPr>
        <w:t>承包方中途擅自停工或严重违约，明显不能按期履行合同的，发包方有权单方解除合同，将剩余未完成工程承包给第三方。届时，承包方不再向发包方主张任何剩余未付工程款。</w:t>
      </w:r>
    </w:p>
    <w:bookmarkEnd w:id="224"/>
    <w:bookmarkEnd w:id="225"/>
    <w:bookmarkEnd w:id="226"/>
    <w:p w14:paraId="391A3337">
      <w:pPr>
        <w:spacing w:line="440" w:lineRule="exact"/>
        <w:ind w:firstLine="480" w:firstLineChars="200"/>
        <w:outlineLvl w:val="4"/>
        <w:rPr>
          <w:rFonts w:hint="eastAsia" w:ascii="仿宋" w:hAnsi="仿宋" w:eastAsia="仿宋" w:cs="仿宋"/>
          <w:color w:val="auto"/>
          <w:sz w:val="24"/>
          <w:szCs w:val="24"/>
          <w:highlight w:val="none"/>
        </w:rPr>
      </w:pPr>
      <w:bookmarkStart w:id="227" w:name="_Toc30882"/>
      <w:r>
        <w:rPr>
          <w:rFonts w:hint="eastAsia" w:ascii="仿宋" w:hAnsi="仿宋" w:eastAsia="仿宋" w:cs="仿宋"/>
          <w:color w:val="auto"/>
          <w:sz w:val="24"/>
          <w:szCs w:val="24"/>
          <w:highlight w:val="none"/>
        </w:rPr>
        <w:t>7</w:t>
      </w:r>
      <w:bookmarkStart w:id="228" w:name="_Toc300934971"/>
      <w:bookmarkStart w:id="229" w:name="_Toc312678015"/>
      <w:bookmarkStart w:id="230" w:name="_Toc297123519"/>
      <w:bookmarkStart w:id="231" w:name="_Toc304295549"/>
      <w:bookmarkStart w:id="232" w:name="_Toc303539128"/>
      <w:bookmarkStart w:id="233" w:name="_Toc297216178"/>
      <w:r>
        <w:rPr>
          <w:rFonts w:hint="eastAsia" w:ascii="仿宋" w:hAnsi="仿宋" w:eastAsia="仿宋" w:cs="仿宋"/>
          <w:color w:val="auto"/>
          <w:sz w:val="24"/>
          <w:szCs w:val="24"/>
          <w:highlight w:val="none"/>
        </w:rPr>
        <w:t>.6 不</w:t>
      </w:r>
      <w:bookmarkEnd w:id="228"/>
      <w:bookmarkEnd w:id="229"/>
      <w:bookmarkEnd w:id="230"/>
      <w:bookmarkEnd w:id="231"/>
      <w:bookmarkEnd w:id="232"/>
      <w:bookmarkEnd w:id="233"/>
      <w:r>
        <w:rPr>
          <w:rFonts w:hint="eastAsia" w:ascii="仿宋" w:hAnsi="仿宋" w:eastAsia="仿宋" w:cs="仿宋"/>
          <w:color w:val="auto"/>
          <w:sz w:val="24"/>
          <w:szCs w:val="24"/>
          <w:highlight w:val="none"/>
        </w:rPr>
        <w:t>利物质条件</w:t>
      </w:r>
      <w:bookmarkEnd w:id="227"/>
    </w:p>
    <w:p w14:paraId="57C043EC">
      <w:pPr>
        <w:spacing w:line="440" w:lineRule="exact"/>
        <w:ind w:firstLine="480" w:firstLineChars="200"/>
        <w:jc w:val="left"/>
        <w:rPr>
          <w:rFonts w:hint="eastAsia" w:ascii="仿宋" w:hAnsi="仿宋" w:eastAsia="仿宋" w:cs="仿宋"/>
          <w:color w:val="auto"/>
          <w:sz w:val="24"/>
          <w:szCs w:val="24"/>
          <w:highlight w:val="none"/>
          <w:u w:val="single"/>
        </w:rPr>
      </w:pPr>
      <w:bookmarkStart w:id="234" w:name="_Toc303539129"/>
      <w:bookmarkStart w:id="235" w:name="_Toc312678016"/>
      <w:bookmarkStart w:id="236" w:name="_Toc304295550"/>
      <w:bookmarkStart w:id="237" w:name="_Toc318581172"/>
      <w:bookmarkStart w:id="238" w:name="_Toc297216179"/>
      <w:bookmarkStart w:id="239" w:name="_Toc297123520"/>
      <w:bookmarkStart w:id="240" w:name="_Toc300934972"/>
      <w:r>
        <w:rPr>
          <w:rFonts w:hint="eastAsia" w:ascii="仿宋" w:hAnsi="仿宋" w:eastAsia="仿宋" w:cs="仿宋"/>
          <w:color w:val="auto"/>
          <w:sz w:val="24"/>
          <w:szCs w:val="24"/>
          <w:highlight w:val="none"/>
        </w:rPr>
        <w:t>不利物质条件的其他情形和有关约定：：</w:t>
      </w:r>
      <w:r>
        <w:rPr>
          <w:rFonts w:hint="eastAsia" w:ascii="仿宋" w:hAnsi="仿宋" w:eastAsia="仿宋" w:cs="仿宋"/>
          <w:color w:val="auto"/>
          <w:sz w:val="24"/>
          <w:szCs w:val="24"/>
          <w:highlight w:val="none"/>
          <w:u w:val="single"/>
        </w:rPr>
        <w:t xml:space="preserve">  执行通用条款    。</w:t>
      </w:r>
    </w:p>
    <w:bookmarkEnd w:id="234"/>
    <w:bookmarkEnd w:id="235"/>
    <w:bookmarkEnd w:id="236"/>
    <w:bookmarkEnd w:id="237"/>
    <w:bookmarkEnd w:id="238"/>
    <w:bookmarkEnd w:id="239"/>
    <w:bookmarkEnd w:id="240"/>
    <w:p w14:paraId="089FBEA9">
      <w:pPr>
        <w:spacing w:line="440" w:lineRule="exact"/>
        <w:ind w:firstLine="480" w:firstLineChars="200"/>
        <w:outlineLvl w:val="4"/>
        <w:rPr>
          <w:rFonts w:hint="eastAsia" w:ascii="仿宋" w:hAnsi="仿宋" w:eastAsia="仿宋" w:cs="仿宋"/>
          <w:color w:val="auto"/>
          <w:sz w:val="24"/>
          <w:szCs w:val="24"/>
          <w:highlight w:val="none"/>
        </w:rPr>
      </w:pPr>
      <w:bookmarkStart w:id="241" w:name="_Toc26632"/>
      <w:r>
        <w:rPr>
          <w:rFonts w:hint="eastAsia" w:ascii="仿宋" w:hAnsi="仿宋" w:eastAsia="仿宋" w:cs="仿宋"/>
          <w:color w:val="auto"/>
          <w:sz w:val="24"/>
          <w:szCs w:val="24"/>
          <w:highlight w:val="none"/>
        </w:rPr>
        <w:t>7</w:t>
      </w:r>
      <w:bookmarkStart w:id="242" w:name="_Toc300934973"/>
      <w:bookmarkStart w:id="243" w:name="_Toc297123521"/>
      <w:bookmarkStart w:id="244" w:name="_Toc304295551"/>
      <w:bookmarkStart w:id="245" w:name="_Toc303539130"/>
      <w:bookmarkStart w:id="246" w:name="_Toc312678017"/>
      <w:bookmarkStart w:id="247" w:name="_Toc297216180"/>
      <w:r>
        <w:rPr>
          <w:rFonts w:hint="eastAsia" w:ascii="仿宋" w:hAnsi="仿宋" w:eastAsia="仿宋" w:cs="仿宋"/>
          <w:color w:val="auto"/>
          <w:sz w:val="24"/>
          <w:szCs w:val="24"/>
          <w:highlight w:val="none"/>
        </w:rPr>
        <w:t>.7异常恶劣的气候条件</w:t>
      </w:r>
      <w:bookmarkEnd w:id="241"/>
    </w:p>
    <w:bookmarkEnd w:id="242"/>
    <w:bookmarkEnd w:id="243"/>
    <w:bookmarkEnd w:id="244"/>
    <w:bookmarkEnd w:id="245"/>
    <w:bookmarkEnd w:id="246"/>
    <w:bookmarkEnd w:id="247"/>
    <w:p w14:paraId="14173F8B">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发包人和承包人同意以下情形视为异常恶劣的气候条件：</w:t>
      </w:r>
    </w:p>
    <w:p w14:paraId="2754F0A4">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u w:val="single"/>
        </w:rPr>
        <w:t xml:space="preserve">以当地政府或建设管理部门发布的要求停工通知为准  </w:t>
      </w:r>
      <w:r>
        <w:rPr>
          <w:rFonts w:hint="eastAsia" w:ascii="仿宋" w:hAnsi="仿宋" w:eastAsia="仿宋" w:cs="仿宋"/>
          <w:color w:val="auto"/>
          <w:sz w:val="24"/>
          <w:szCs w:val="24"/>
          <w:highlight w:val="none"/>
        </w:rPr>
        <w:t>。</w:t>
      </w:r>
    </w:p>
    <w:p w14:paraId="7D3AFE72">
      <w:pPr>
        <w:spacing w:line="440" w:lineRule="exact"/>
        <w:ind w:firstLine="480" w:firstLineChars="200"/>
        <w:outlineLvl w:val="4"/>
        <w:rPr>
          <w:rFonts w:hint="eastAsia" w:ascii="仿宋" w:hAnsi="仿宋" w:eastAsia="仿宋" w:cs="仿宋"/>
          <w:color w:val="auto"/>
          <w:sz w:val="24"/>
          <w:szCs w:val="24"/>
          <w:highlight w:val="none"/>
        </w:rPr>
      </w:pPr>
      <w:bookmarkStart w:id="248" w:name="_Toc27157"/>
      <w:r>
        <w:rPr>
          <w:rFonts w:hint="eastAsia" w:ascii="仿宋" w:hAnsi="仿宋" w:eastAsia="仿宋" w:cs="仿宋"/>
          <w:color w:val="auto"/>
          <w:sz w:val="24"/>
          <w:szCs w:val="24"/>
          <w:highlight w:val="none"/>
        </w:rPr>
        <w:t>7.9 提前竣工的奖励</w:t>
      </w:r>
      <w:bookmarkEnd w:id="248"/>
    </w:p>
    <w:p w14:paraId="464BFC2B">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7.9.2提前竣工的奖励：</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46DD9FFF">
      <w:pPr>
        <w:pStyle w:val="5"/>
        <w:spacing w:before="0" w:after="0" w:line="440" w:lineRule="exact"/>
        <w:rPr>
          <w:rFonts w:hint="eastAsia" w:ascii="仿宋" w:hAnsi="仿宋" w:eastAsia="仿宋" w:cs="仿宋"/>
          <w:b w:val="0"/>
          <w:color w:val="auto"/>
          <w:sz w:val="24"/>
          <w:szCs w:val="24"/>
          <w:highlight w:val="none"/>
        </w:rPr>
      </w:pPr>
      <w:bookmarkStart w:id="249" w:name="_Toc14753"/>
      <w:r>
        <w:rPr>
          <w:rFonts w:hint="eastAsia" w:ascii="仿宋" w:hAnsi="仿宋" w:eastAsia="仿宋" w:cs="仿宋"/>
          <w:b w:val="0"/>
          <w:color w:val="auto"/>
          <w:sz w:val="24"/>
          <w:szCs w:val="24"/>
          <w:highlight w:val="none"/>
        </w:rPr>
        <w:t>8. 材料与设备</w:t>
      </w:r>
      <w:bookmarkEnd w:id="249"/>
    </w:p>
    <w:bookmarkEnd w:id="173"/>
    <w:bookmarkEnd w:id="174"/>
    <w:bookmarkEnd w:id="175"/>
    <w:bookmarkEnd w:id="176"/>
    <w:bookmarkEnd w:id="177"/>
    <w:bookmarkEnd w:id="178"/>
    <w:bookmarkEnd w:id="179"/>
    <w:bookmarkEnd w:id="180"/>
    <w:bookmarkEnd w:id="181"/>
    <w:bookmarkEnd w:id="182"/>
    <w:p w14:paraId="36AAC505">
      <w:pPr>
        <w:spacing w:line="440" w:lineRule="exact"/>
        <w:ind w:firstLine="480" w:firstLineChars="200"/>
        <w:outlineLvl w:val="4"/>
        <w:rPr>
          <w:rFonts w:hint="eastAsia" w:ascii="仿宋" w:hAnsi="仿宋" w:eastAsia="仿宋" w:cs="仿宋"/>
          <w:color w:val="auto"/>
          <w:sz w:val="24"/>
          <w:szCs w:val="24"/>
          <w:highlight w:val="none"/>
        </w:rPr>
      </w:pPr>
      <w:bookmarkStart w:id="250" w:name="_Toc13971"/>
      <w:r>
        <w:rPr>
          <w:rFonts w:hint="eastAsia" w:ascii="仿宋" w:hAnsi="仿宋" w:eastAsia="仿宋" w:cs="仿宋"/>
          <w:color w:val="auto"/>
          <w:sz w:val="24"/>
          <w:szCs w:val="24"/>
          <w:highlight w:val="none"/>
        </w:rPr>
        <w:t>8</w:t>
      </w:r>
      <w:bookmarkStart w:id="251" w:name="_Toc297216186"/>
      <w:bookmarkStart w:id="252" w:name="_Toc297123527"/>
      <w:bookmarkStart w:id="253" w:name="_Toc296346668"/>
      <w:bookmarkStart w:id="254" w:name="_Toc312677493"/>
      <w:bookmarkStart w:id="255" w:name="_Toc297048353"/>
      <w:bookmarkStart w:id="256" w:name="_Toc296891207"/>
      <w:bookmarkStart w:id="257" w:name="_Toc303539136"/>
      <w:bookmarkStart w:id="258" w:name="_Toc296890995"/>
      <w:bookmarkStart w:id="259" w:name="_Toc300934979"/>
      <w:bookmarkStart w:id="260" w:name="_Toc280868654"/>
      <w:bookmarkStart w:id="261" w:name="_Toc292559372"/>
      <w:bookmarkStart w:id="262" w:name="_Toc297120467"/>
      <w:bookmarkStart w:id="263" w:name="_Toc296347166"/>
      <w:bookmarkStart w:id="264" w:name="_Toc296944506"/>
      <w:bookmarkStart w:id="265" w:name="_Toc304295556"/>
      <w:bookmarkStart w:id="266" w:name="_Toc292559877"/>
      <w:bookmarkStart w:id="267" w:name="_Toc296503167"/>
      <w:bookmarkStart w:id="268" w:name="_Toc312678019"/>
      <w:bookmarkStart w:id="269" w:name="_Toc280868656"/>
      <w:bookmarkStart w:id="270" w:name="_Toc267251424"/>
      <w:bookmarkStart w:id="271" w:name="_Toc280868655"/>
      <w:r>
        <w:rPr>
          <w:rFonts w:hint="eastAsia" w:ascii="仿宋" w:hAnsi="仿宋" w:eastAsia="仿宋" w:cs="仿宋"/>
          <w:color w:val="auto"/>
          <w:sz w:val="24"/>
          <w:szCs w:val="24"/>
          <w:highlight w:val="none"/>
        </w:rPr>
        <w:t>.2材料与工程设备的保管与使用</w:t>
      </w:r>
      <w:bookmarkEnd w:id="250"/>
    </w:p>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14:paraId="109CAE10">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bookmarkStart w:id="272" w:name="_Toc292559373"/>
      <w:bookmarkStart w:id="273" w:name="_Toc292559878"/>
      <w:bookmarkStart w:id="274" w:name="_Toc296891208"/>
      <w:bookmarkStart w:id="275" w:name="_Toc312678020"/>
      <w:bookmarkStart w:id="276" w:name="_Toc296346669"/>
      <w:bookmarkStart w:id="277" w:name="_Toc297216187"/>
      <w:bookmarkStart w:id="278" w:name="_Toc303539137"/>
      <w:bookmarkStart w:id="279" w:name="_Toc296503168"/>
      <w:bookmarkStart w:id="280" w:name="_Toc300934980"/>
      <w:bookmarkStart w:id="281" w:name="_Toc297123528"/>
      <w:bookmarkStart w:id="282" w:name="_Toc296347167"/>
      <w:bookmarkStart w:id="283" w:name="_Toc296890996"/>
      <w:bookmarkStart w:id="284" w:name="_Toc312677494"/>
      <w:bookmarkStart w:id="285" w:name="_Toc304295557"/>
      <w:bookmarkStart w:id="286" w:name="_Toc318581173"/>
      <w:bookmarkStart w:id="287" w:name="_Toc297048354"/>
      <w:bookmarkStart w:id="288" w:name="_Toc297120468"/>
      <w:bookmarkStart w:id="289" w:name="_Toc296944507"/>
      <w:r>
        <w:rPr>
          <w:rFonts w:hint="eastAsia" w:ascii="仿宋" w:hAnsi="仿宋" w:eastAsia="仿宋" w:cs="仿宋"/>
          <w:color w:val="auto"/>
          <w:sz w:val="24"/>
          <w:szCs w:val="24"/>
          <w:highlight w:val="none"/>
        </w:rPr>
        <w:t>.2.1发包人供应的材料设备的保管费用的承担：</w:t>
      </w:r>
      <w:r>
        <w:rPr>
          <w:rFonts w:hint="eastAsia" w:ascii="仿宋" w:hAnsi="仿宋" w:eastAsia="仿宋" w:cs="仿宋"/>
          <w:color w:val="auto"/>
          <w:sz w:val="24"/>
          <w:szCs w:val="24"/>
          <w:highlight w:val="none"/>
          <w:u w:val="single"/>
        </w:rPr>
        <w:t xml:space="preserve"> 由承包人承担，费用含在合同价中  </w:t>
      </w:r>
      <w:r>
        <w:rPr>
          <w:rFonts w:hint="eastAsia" w:ascii="仿宋" w:hAnsi="仿宋" w:eastAsia="仿宋" w:cs="仿宋"/>
          <w:color w:val="auto"/>
          <w:sz w:val="24"/>
          <w:szCs w:val="24"/>
          <w:highlight w:val="none"/>
        </w:rPr>
        <w:t>。</w:t>
      </w:r>
      <w:bookmarkEnd w:id="272"/>
      <w:bookmarkEnd w:id="273"/>
    </w:p>
    <w:p w14:paraId="094DFFBF">
      <w:pPr>
        <w:spacing w:line="440" w:lineRule="exact"/>
        <w:ind w:firstLine="480" w:firstLineChars="200"/>
        <w:outlineLvl w:val="4"/>
        <w:rPr>
          <w:rFonts w:hint="eastAsia" w:ascii="仿宋" w:hAnsi="仿宋" w:eastAsia="仿宋" w:cs="仿宋"/>
          <w:color w:val="auto"/>
          <w:sz w:val="24"/>
          <w:szCs w:val="24"/>
          <w:highlight w:val="none"/>
        </w:rPr>
      </w:pPr>
      <w:bookmarkStart w:id="290" w:name="_Toc30445"/>
      <w:r>
        <w:rPr>
          <w:rFonts w:hint="eastAsia" w:ascii="仿宋" w:hAnsi="仿宋" w:eastAsia="仿宋" w:cs="仿宋"/>
          <w:color w:val="auto"/>
          <w:sz w:val="24"/>
          <w:szCs w:val="24"/>
          <w:highlight w:val="none"/>
        </w:rPr>
        <w:t>8.3 样品</w:t>
      </w:r>
      <w:bookmarkEnd w:id="290"/>
    </w:p>
    <w:p w14:paraId="273A1955">
      <w:pPr>
        <w:autoSpaceDE w:val="0"/>
        <w:autoSpaceDN w:val="0"/>
        <w:adjustRightInd w:val="0"/>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w:t>
      </w:r>
      <w:r>
        <w:rPr>
          <w:rFonts w:hint="eastAsia" w:ascii="仿宋" w:hAnsi="仿宋" w:eastAsia="仿宋" w:cs="仿宋"/>
          <w:color w:val="auto"/>
          <w:sz w:val="24"/>
          <w:szCs w:val="24"/>
          <w:highlight w:val="none"/>
        </w:rPr>
        <w:t>3</w:t>
      </w: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rPr>
        <w:tab/>
      </w:r>
      <w:r>
        <w:rPr>
          <w:rFonts w:hint="eastAsia" w:ascii="仿宋" w:hAnsi="仿宋" w:eastAsia="仿宋" w:cs="仿宋"/>
          <w:color w:val="auto"/>
          <w:kern w:val="0"/>
          <w:sz w:val="24"/>
          <w:szCs w:val="24"/>
          <w:highlight w:val="none"/>
        </w:rPr>
        <w:t>样品的报送与封存</w:t>
      </w:r>
    </w:p>
    <w:p w14:paraId="57C6ACA6">
      <w:pPr>
        <w:autoSpaceDE w:val="0"/>
        <w:autoSpaceDN w:val="0"/>
        <w:adjustRightInd w:val="0"/>
        <w:spacing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需要承包人报送样品的材料或工程设备，样品的种类、名称、规格、数量要求：</w:t>
      </w:r>
      <w:r>
        <w:rPr>
          <w:rFonts w:hint="eastAsia" w:ascii="仿宋" w:hAnsi="仿宋" w:eastAsia="仿宋" w:cs="仿宋"/>
          <w:color w:val="auto"/>
          <w:sz w:val="24"/>
          <w:szCs w:val="24"/>
          <w:highlight w:val="none"/>
          <w:u w:val="single"/>
        </w:rPr>
        <w:t xml:space="preserve">                                          </w:t>
      </w:r>
    </w:p>
    <w:p w14:paraId="43AA31DE">
      <w:pPr>
        <w:autoSpaceDE w:val="0"/>
        <w:autoSpaceDN w:val="0"/>
        <w:adjustRightInd w:val="0"/>
        <w:spacing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均由承包方自行采购，所有进场材料必须“三证”齐全，并应向项目管理单位提供有资质的检测机构出具的检验报告，上述设备材料在进场时，需由建设单位、监理单位、使用单位共同验收合格后方可使用  </w:t>
      </w:r>
      <w:r>
        <w:rPr>
          <w:rFonts w:hint="eastAsia" w:ascii="仿宋" w:hAnsi="仿宋" w:eastAsia="仿宋" w:cs="仿宋"/>
          <w:color w:val="auto"/>
          <w:sz w:val="24"/>
          <w:szCs w:val="24"/>
          <w:highlight w:val="none"/>
        </w:rPr>
        <w:t>。</w:t>
      </w:r>
    </w:p>
    <w:p w14:paraId="20C42A96">
      <w:pPr>
        <w:spacing w:line="440" w:lineRule="exact"/>
        <w:ind w:firstLine="480" w:firstLineChars="200"/>
        <w:outlineLvl w:val="4"/>
        <w:rPr>
          <w:rFonts w:hint="eastAsia" w:ascii="仿宋" w:hAnsi="仿宋" w:eastAsia="仿宋" w:cs="仿宋"/>
          <w:color w:val="auto"/>
          <w:sz w:val="24"/>
          <w:szCs w:val="24"/>
          <w:highlight w:val="none"/>
        </w:rPr>
      </w:pPr>
      <w:bookmarkStart w:id="291" w:name="_Toc25218"/>
      <w:r>
        <w:rPr>
          <w:rFonts w:hint="eastAsia" w:ascii="仿宋" w:hAnsi="仿宋" w:eastAsia="仿宋" w:cs="仿宋"/>
          <w:color w:val="auto"/>
          <w:sz w:val="24"/>
          <w:szCs w:val="24"/>
          <w:highlight w:val="none"/>
        </w:rPr>
        <w:t>8.4 施工设备和临时设施</w:t>
      </w:r>
      <w:bookmarkEnd w:id="291"/>
    </w:p>
    <w:p w14:paraId="37136F15">
      <w:pPr>
        <w:autoSpaceDE w:val="0"/>
        <w:autoSpaceDN w:val="0"/>
        <w:adjustRightInd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8.4.1 承包人提供的施工设备和临时设施</w:t>
      </w:r>
    </w:p>
    <w:p w14:paraId="063DC79F">
      <w:pPr>
        <w:autoSpaceDE w:val="0"/>
        <w:autoSpaceDN w:val="0"/>
        <w:adjustRightInd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关于修建临时设施费用承担的约定：</w:t>
      </w:r>
      <w:r>
        <w:rPr>
          <w:rFonts w:hint="eastAsia" w:ascii="仿宋" w:hAnsi="仿宋" w:eastAsia="仿宋" w:cs="仿宋"/>
          <w:color w:val="auto"/>
          <w:sz w:val="24"/>
          <w:szCs w:val="24"/>
          <w:highlight w:val="none"/>
          <w:u w:val="single"/>
        </w:rPr>
        <w:t xml:space="preserve">承包人自行承担修建临时设施的费用，需要临时占红线范围内用地的，经发包人同意办理相关手续，承包人承担相应费用 </w:t>
      </w:r>
      <w:r>
        <w:rPr>
          <w:rFonts w:hint="eastAsia" w:ascii="仿宋" w:hAnsi="仿宋" w:eastAsia="仿宋" w:cs="仿宋"/>
          <w:color w:val="auto"/>
          <w:sz w:val="24"/>
          <w:szCs w:val="24"/>
          <w:highlight w:val="none"/>
        </w:rPr>
        <w:t>。</w:t>
      </w:r>
    </w:p>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14:paraId="3CDFE478">
      <w:pPr>
        <w:pStyle w:val="5"/>
        <w:spacing w:before="0" w:after="0" w:line="440" w:lineRule="exact"/>
        <w:rPr>
          <w:rFonts w:hint="eastAsia" w:ascii="仿宋" w:hAnsi="仿宋" w:eastAsia="仿宋" w:cs="仿宋"/>
          <w:b w:val="0"/>
          <w:color w:val="auto"/>
          <w:sz w:val="24"/>
          <w:szCs w:val="24"/>
          <w:highlight w:val="none"/>
        </w:rPr>
      </w:pPr>
      <w:bookmarkStart w:id="292" w:name="_Toc25416"/>
      <w:r>
        <w:rPr>
          <w:rFonts w:hint="eastAsia" w:ascii="仿宋" w:hAnsi="仿宋" w:eastAsia="仿宋" w:cs="仿宋"/>
          <w:b w:val="0"/>
          <w:color w:val="auto"/>
          <w:sz w:val="24"/>
          <w:szCs w:val="24"/>
          <w:highlight w:val="none"/>
        </w:rPr>
        <w:t>9</w:t>
      </w:r>
      <w:bookmarkEnd w:id="269"/>
      <w:bookmarkEnd w:id="270"/>
      <w:bookmarkEnd w:id="271"/>
      <w:bookmarkStart w:id="293" w:name="_Toc304295559"/>
      <w:bookmarkStart w:id="294" w:name="_Toc297123533"/>
      <w:bookmarkStart w:id="295" w:name="_Toc300934982"/>
      <w:bookmarkStart w:id="296" w:name="_Toc312677495"/>
      <w:bookmarkStart w:id="297" w:name="_Toc297216192"/>
      <w:bookmarkStart w:id="298" w:name="_Toc303539139"/>
      <w:bookmarkStart w:id="299" w:name="_Toc312678021"/>
      <w:bookmarkStart w:id="300" w:name="_Toc297048359"/>
      <w:bookmarkStart w:id="301" w:name="_Toc296346674"/>
      <w:bookmarkStart w:id="302" w:name="_Toc296891213"/>
      <w:bookmarkStart w:id="303" w:name="_Toc297120473"/>
      <w:bookmarkStart w:id="304" w:name="_Toc267251427"/>
      <w:bookmarkStart w:id="305" w:name="_Toc267251428"/>
      <w:bookmarkStart w:id="306" w:name="_Toc292559378"/>
      <w:bookmarkStart w:id="307" w:name="_Toc296944512"/>
      <w:bookmarkStart w:id="308" w:name="_Toc296347172"/>
      <w:bookmarkStart w:id="309" w:name="_Toc296891001"/>
      <w:bookmarkStart w:id="310" w:name="_Toc296503173"/>
      <w:bookmarkStart w:id="311" w:name="_Toc292559883"/>
      <w:r>
        <w:rPr>
          <w:rFonts w:hint="eastAsia" w:ascii="仿宋" w:hAnsi="仿宋" w:eastAsia="仿宋" w:cs="仿宋"/>
          <w:b w:val="0"/>
          <w:color w:val="auto"/>
          <w:sz w:val="24"/>
          <w:szCs w:val="24"/>
          <w:highlight w:val="none"/>
        </w:rPr>
        <w:t>. 试验与检验</w:t>
      </w:r>
      <w:bookmarkEnd w:id="292"/>
    </w:p>
    <w:bookmarkEnd w:id="293"/>
    <w:bookmarkEnd w:id="294"/>
    <w:bookmarkEnd w:id="295"/>
    <w:bookmarkEnd w:id="296"/>
    <w:bookmarkEnd w:id="297"/>
    <w:bookmarkEnd w:id="298"/>
    <w:bookmarkEnd w:id="299"/>
    <w:p w14:paraId="2717D520">
      <w:pPr>
        <w:spacing w:line="440" w:lineRule="exact"/>
        <w:ind w:firstLine="480" w:firstLineChars="200"/>
        <w:outlineLvl w:val="4"/>
        <w:rPr>
          <w:rFonts w:hint="eastAsia" w:ascii="仿宋" w:hAnsi="仿宋" w:eastAsia="仿宋" w:cs="仿宋"/>
          <w:color w:val="auto"/>
          <w:sz w:val="24"/>
          <w:szCs w:val="24"/>
          <w:highlight w:val="none"/>
        </w:rPr>
      </w:pPr>
      <w:bookmarkStart w:id="312" w:name="_Toc31253"/>
      <w:r>
        <w:rPr>
          <w:rFonts w:hint="eastAsia" w:ascii="仿宋" w:hAnsi="仿宋" w:eastAsia="仿宋" w:cs="仿宋"/>
          <w:color w:val="auto"/>
          <w:sz w:val="24"/>
          <w:szCs w:val="24"/>
          <w:highlight w:val="none"/>
        </w:rPr>
        <w:t>9</w:t>
      </w:r>
      <w:bookmarkStart w:id="313" w:name="_Toc297123534"/>
      <w:bookmarkStart w:id="314" w:name="_Toc312677496"/>
      <w:bookmarkStart w:id="315" w:name="_Toc312678022"/>
      <w:bookmarkStart w:id="316" w:name="_Toc304295560"/>
      <w:bookmarkStart w:id="317" w:name="_Toc297216193"/>
      <w:bookmarkStart w:id="318" w:name="_Toc303539140"/>
      <w:bookmarkStart w:id="319" w:name="_Toc300934983"/>
      <w:r>
        <w:rPr>
          <w:rFonts w:hint="eastAsia" w:ascii="仿宋" w:hAnsi="仿宋" w:eastAsia="仿宋" w:cs="仿宋"/>
          <w:color w:val="auto"/>
          <w:sz w:val="24"/>
          <w:szCs w:val="24"/>
          <w:highlight w:val="none"/>
        </w:rPr>
        <w:t>.1试验设备与试验人员</w:t>
      </w:r>
      <w:bookmarkEnd w:id="312"/>
    </w:p>
    <w:bookmarkEnd w:id="313"/>
    <w:bookmarkEnd w:id="314"/>
    <w:bookmarkEnd w:id="315"/>
    <w:bookmarkEnd w:id="316"/>
    <w:bookmarkEnd w:id="317"/>
    <w:bookmarkEnd w:id="318"/>
    <w:bookmarkEnd w:id="319"/>
    <w:p w14:paraId="72C579D4">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bookmarkStart w:id="320" w:name="_Toc297216194"/>
      <w:bookmarkStart w:id="321" w:name="_Toc303539141"/>
      <w:bookmarkStart w:id="322" w:name="_Toc304295561"/>
      <w:bookmarkStart w:id="323" w:name="_Toc300934984"/>
      <w:bookmarkStart w:id="324" w:name="_Toc312678023"/>
      <w:bookmarkStart w:id="325" w:name="_Toc312677497"/>
      <w:bookmarkStart w:id="326" w:name="_Toc297123535"/>
      <w:bookmarkStart w:id="327" w:name="_Toc318581174"/>
      <w:r>
        <w:rPr>
          <w:rFonts w:hint="eastAsia" w:ascii="仿宋" w:hAnsi="仿宋" w:eastAsia="仿宋" w:cs="仿宋"/>
          <w:color w:val="auto"/>
          <w:sz w:val="24"/>
          <w:szCs w:val="24"/>
          <w:highlight w:val="none"/>
        </w:rPr>
        <w:t>.1.2 试验设备</w:t>
      </w:r>
    </w:p>
    <w:p w14:paraId="65D012BF">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施工现场需要配置的试验场所：</w:t>
      </w:r>
      <w:bookmarkEnd w:id="320"/>
      <w:bookmarkEnd w:id="321"/>
      <w:bookmarkEnd w:id="322"/>
      <w:bookmarkEnd w:id="323"/>
      <w:bookmarkEnd w:id="324"/>
      <w:bookmarkEnd w:id="325"/>
      <w:bookmarkEnd w:id="326"/>
      <w:bookmarkStart w:id="328" w:name="_Toc303539142"/>
      <w:bookmarkStart w:id="329" w:name="_Toc304295562"/>
      <w:bookmarkStart w:id="330" w:name="_Toc300934985"/>
      <w:bookmarkStart w:id="331" w:name="_Toc297216195"/>
      <w:bookmarkStart w:id="332" w:name="_Toc312678024"/>
      <w:bookmarkStart w:id="333" w:name="_Toc297123536"/>
      <w:bookmarkStart w:id="334" w:name="_Toc312677498"/>
      <w:r>
        <w:rPr>
          <w:rFonts w:hint="eastAsia" w:ascii="仿宋" w:hAnsi="仿宋" w:eastAsia="仿宋" w:cs="仿宋"/>
          <w:color w:val="auto"/>
          <w:sz w:val="24"/>
          <w:szCs w:val="24"/>
          <w:highlight w:val="none"/>
          <w:u w:val="single"/>
        </w:rPr>
        <w:t xml:space="preserve">  由承包人自行解决    </w:t>
      </w:r>
      <w:r>
        <w:rPr>
          <w:rFonts w:hint="eastAsia" w:ascii="仿宋" w:hAnsi="仿宋" w:eastAsia="仿宋" w:cs="仿宋"/>
          <w:color w:val="auto"/>
          <w:sz w:val="24"/>
          <w:szCs w:val="24"/>
          <w:highlight w:val="none"/>
        </w:rPr>
        <w:t xml:space="preserve">。 </w:t>
      </w:r>
    </w:p>
    <w:p w14:paraId="06D36425">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施工现场需要配备的试验设备：</w:t>
      </w:r>
      <w:r>
        <w:rPr>
          <w:rFonts w:hint="eastAsia" w:ascii="仿宋" w:hAnsi="仿宋" w:eastAsia="仿宋" w:cs="仿宋"/>
          <w:color w:val="auto"/>
          <w:sz w:val="24"/>
          <w:szCs w:val="24"/>
          <w:highlight w:val="none"/>
          <w:u w:val="single"/>
        </w:rPr>
        <w:t xml:space="preserve">  由承包人自行解决    </w:t>
      </w:r>
      <w:r>
        <w:rPr>
          <w:rFonts w:hint="eastAsia" w:ascii="仿宋" w:hAnsi="仿宋" w:eastAsia="仿宋" w:cs="仿宋"/>
          <w:color w:val="auto"/>
          <w:sz w:val="24"/>
          <w:szCs w:val="24"/>
          <w:highlight w:val="none"/>
        </w:rPr>
        <w:t>。</w:t>
      </w:r>
    </w:p>
    <w:p w14:paraId="1CD38B96">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施工现场需要具备的其他试验条件：</w:t>
      </w:r>
      <w:r>
        <w:rPr>
          <w:rFonts w:hint="eastAsia" w:ascii="仿宋" w:hAnsi="仿宋" w:eastAsia="仿宋" w:cs="仿宋"/>
          <w:color w:val="auto"/>
          <w:sz w:val="24"/>
          <w:szCs w:val="24"/>
          <w:highlight w:val="none"/>
          <w:u w:val="single"/>
        </w:rPr>
        <w:t xml:space="preserve">  由承包人自行解决  </w:t>
      </w:r>
      <w:r>
        <w:rPr>
          <w:rFonts w:hint="eastAsia" w:ascii="仿宋" w:hAnsi="仿宋" w:eastAsia="仿宋" w:cs="仿宋"/>
          <w:color w:val="auto"/>
          <w:sz w:val="24"/>
          <w:szCs w:val="24"/>
          <w:highlight w:val="none"/>
        </w:rPr>
        <w:t>。</w:t>
      </w:r>
    </w:p>
    <w:p w14:paraId="1817461A">
      <w:pPr>
        <w:spacing w:line="440" w:lineRule="exact"/>
        <w:ind w:firstLine="480" w:firstLineChars="200"/>
        <w:outlineLvl w:val="4"/>
        <w:rPr>
          <w:rFonts w:hint="eastAsia" w:ascii="仿宋" w:hAnsi="仿宋" w:eastAsia="仿宋" w:cs="仿宋"/>
          <w:color w:val="auto"/>
          <w:sz w:val="24"/>
          <w:szCs w:val="24"/>
          <w:highlight w:val="none"/>
        </w:rPr>
      </w:pPr>
      <w:bookmarkStart w:id="335" w:name="_Toc32573"/>
      <w:r>
        <w:rPr>
          <w:rFonts w:hint="eastAsia" w:ascii="仿宋" w:hAnsi="仿宋" w:eastAsia="仿宋" w:cs="仿宋"/>
          <w:color w:val="auto"/>
          <w:sz w:val="24"/>
          <w:szCs w:val="24"/>
          <w:highlight w:val="none"/>
        </w:rPr>
        <w:t>9.4 现场工艺试验</w:t>
      </w:r>
      <w:bookmarkEnd w:id="335"/>
      <w:r>
        <w:rPr>
          <w:rFonts w:hint="eastAsia" w:ascii="仿宋" w:hAnsi="仿宋" w:eastAsia="仿宋" w:cs="仿宋"/>
          <w:color w:val="auto"/>
          <w:sz w:val="24"/>
          <w:szCs w:val="24"/>
          <w:highlight w:val="none"/>
        </w:rPr>
        <w:t xml:space="preserve"> </w:t>
      </w:r>
    </w:p>
    <w:p w14:paraId="0465D455">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现场工艺试验的有关约定：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bookmarkEnd w:id="327"/>
    <w:bookmarkEnd w:id="328"/>
    <w:bookmarkEnd w:id="329"/>
    <w:bookmarkEnd w:id="330"/>
    <w:bookmarkEnd w:id="331"/>
    <w:bookmarkEnd w:id="332"/>
    <w:bookmarkEnd w:id="333"/>
    <w:bookmarkEnd w:id="334"/>
    <w:p w14:paraId="0D73B747">
      <w:pPr>
        <w:pStyle w:val="5"/>
        <w:spacing w:before="0" w:after="0" w:line="440" w:lineRule="exact"/>
        <w:rPr>
          <w:rFonts w:hint="eastAsia" w:ascii="仿宋" w:hAnsi="仿宋" w:eastAsia="仿宋" w:cs="仿宋"/>
          <w:b w:val="0"/>
          <w:color w:val="auto"/>
          <w:sz w:val="24"/>
          <w:szCs w:val="24"/>
          <w:highlight w:val="none"/>
        </w:rPr>
      </w:pPr>
      <w:bookmarkStart w:id="336" w:name="_Toc5195"/>
      <w:r>
        <w:rPr>
          <w:rFonts w:hint="eastAsia" w:ascii="仿宋" w:hAnsi="仿宋" w:eastAsia="仿宋" w:cs="仿宋"/>
          <w:b w:val="0"/>
          <w:color w:val="auto"/>
          <w:sz w:val="24"/>
          <w:szCs w:val="24"/>
          <w:highlight w:val="none"/>
        </w:rPr>
        <w:t>1</w:t>
      </w:r>
      <w:bookmarkEnd w:id="300"/>
      <w:bookmarkEnd w:id="301"/>
      <w:bookmarkEnd w:id="302"/>
      <w:bookmarkEnd w:id="303"/>
      <w:bookmarkEnd w:id="304"/>
      <w:bookmarkEnd w:id="305"/>
      <w:bookmarkEnd w:id="306"/>
      <w:bookmarkEnd w:id="307"/>
      <w:bookmarkEnd w:id="308"/>
      <w:bookmarkEnd w:id="309"/>
      <w:bookmarkEnd w:id="310"/>
      <w:bookmarkEnd w:id="311"/>
      <w:bookmarkStart w:id="337" w:name="_Toc296503193"/>
      <w:bookmarkStart w:id="338" w:name="_Toc300934989"/>
      <w:bookmarkStart w:id="339" w:name="_Toc296891233"/>
      <w:bookmarkStart w:id="340" w:name="_Toc303539146"/>
      <w:bookmarkStart w:id="341" w:name="_Toc292559903"/>
      <w:bookmarkStart w:id="342" w:name="_Toc297048379"/>
      <w:bookmarkStart w:id="343" w:name="_Toc292559398"/>
      <w:bookmarkStart w:id="344" w:name="_Toc296944532"/>
      <w:bookmarkStart w:id="345" w:name="_Toc296347192"/>
      <w:bookmarkStart w:id="346" w:name="_Toc297216199"/>
      <w:bookmarkStart w:id="347" w:name="_Toc296891021"/>
      <w:bookmarkStart w:id="348" w:name="_Toc296346694"/>
      <w:bookmarkStart w:id="349" w:name="_Toc304295566"/>
      <w:bookmarkStart w:id="350" w:name="_Toc297123540"/>
      <w:bookmarkStart w:id="351" w:name="_Toc297120493"/>
      <w:bookmarkStart w:id="352" w:name="_Toc312677499"/>
      <w:bookmarkStart w:id="353" w:name="_Toc312678025"/>
      <w:bookmarkStart w:id="354" w:name="_Toc267251435"/>
      <w:bookmarkStart w:id="355" w:name="_Toc267251441"/>
      <w:bookmarkStart w:id="356" w:name="_Toc267251439"/>
      <w:bookmarkStart w:id="357" w:name="_Toc267251440"/>
      <w:bookmarkStart w:id="358" w:name="_Toc267251433"/>
      <w:bookmarkStart w:id="359" w:name="_Toc267251437"/>
      <w:bookmarkStart w:id="360" w:name="_Toc267251442"/>
      <w:r>
        <w:rPr>
          <w:rFonts w:hint="eastAsia" w:ascii="仿宋" w:hAnsi="仿宋" w:eastAsia="仿宋" w:cs="仿宋"/>
          <w:b w:val="0"/>
          <w:color w:val="auto"/>
          <w:sz w:val="24"/>
          <w:szCs w:val="24"/>
          <w:highlight w:val="none"/>
        </w:rPr>
        <w:t>0. 变更</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bookmarkEnd w:id="352"/>
    <w:bookmarkEnd w:id="353"/>
    <w:p w14:paraId="5FD052DE">
      <w:pPr>
        <w:spacing w:line="440" w:lineRule="exact"/>
        <w:ind w:firstLine="480" w:firstLineChars="200"/>
        <w:outlineLvl w:val="4"/>
        <w:rPr>
          <w:rFonts w:hint="eastAsia" w:ascii="仿宋" w:hAnsi="仿宋" w:eastAsia="仿宋" w:cs="仿宋"/>
          <w:color w:val="auto"/>
          <w:sz w:val="24"/>
          <w:szCs w:val="24"/>
          <w:highlight w:val="none"/>
        </w:rPr>
      </w:pPr>
      <w:bookmarkStart w:id="361" w:name="_Toc9218"/>
      <w:r>
        <w:rPr>
          <w:rFonts w:hint="eastAsia" w:ascii="仿宋" w:hAnsi="仿宋" w:eastAsia="仿宋" w:cs="仿宋"/>
          <w:color w:val="auto"/>
          <w:sz w:val="24"/>
          <w:szCs w:val="24"/>
          <w:highlight w:val="none"/>
        </w:rPr>
        <w:t>1</w:t>
      </w:r>
      <w:bookmarkStart w:id="362" w:name="_Toc297048380"/>
      <w:bookmarkStart w:id="363" w:name="_Toc296346695"/>
      <w:bookmarkStart w:id="364" w:name="_Toc312677500"/>
      <w:bookmarkStart w:id="365" w:name="_Toc296503194"/>
      <w:bookmarkStart w:id="366" w:name="_Toc296944533"/>
      <w:bookmarkStart w:id="367" w:name="_Toc296891022"/>
      <w:bookmarkStart w:id="368" w:name="_Toc300934990"/>
      <w:bookmarkStart w:id="369" w:name="_Toc296347193"/>
      <w:bookmarkStart w:id="370" w:name="_Toc297120494"/>
      <w:bookmarkStart w:id="371" w:name="_Toc303539147"/>
      <w:bookmarkStart w:id="372" w:name="_Toc304295567"/>
      <w:bookmarkStart w:id="373" w:name="_Toc296891234"/>
      <w:bookmarkStart w:id="374" w:name="_Toc297123541"/>
      <w:bookmarkStart w:id="375" w:name="_Toc292559904"/>
      <w:bookmarkStart w:id="376" w:name="_Toc292559399"/>
      <w:bookmarkStart w:id="377" w:name="_Toc312678026"/>
      <w:bookmarkStart w:id="378" w:name="_Toc297216200"/>
      <w:r>
        <w:rPr>
          <w:rFonts w:hint="eastAsia" w:ascii="仿宋" w:hAnsi="仿宋" w:eastAsia="仿宋" w:cs="仿宋"/>
          <w:color w:val="auto"/>
          <w:sz w:val="24"/>
          <w:szCs w:val="24"/>
          <w:highlight w:val="none"/>
        </w:rPr>
        <w:t>0.1变更的范围</w:t>
      </w:r>
      <w:bookmarkEnd w:id="361"/>
    </w:p>
    <w:p w14:paraId="2147D64F">
      <w:pPr>
        <w:spacing w:line="440" w:lineRule="exact"/>
        <w:ind w:firstLine="6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关于变更的范围的约定：</w:t>
      </w:r>
      <w:r>
        <w:rPr>
          <w:rFonts w:hint="eastAsia" w:ascii="仿宋" w:hAnsi="仿宋" w:eastAsia="仿宋" w:cs="仿宋"/>
          <w:color w:val="auto"/>
          <w:sz w:val="24"/>
          <w:szCs w:val="24"/>
          <w:highlight w:val="none"/>
          <w:u w:val="single"/>
        </w:rPr>
        <w:t xml:space="preserve"> 因工程变更引起已标价工程量清单项目或其工程数量发生变化时，应按照下列规定调整</w:t>
      </w:r>
      <w:r>
        <w:rPr>
          <w:rFonts w:hint="eastAsia" w:ascii="仿宋" w:hAnsi="仿宋" w:eastAsia="仿宋" w:cs="仿宋"/>
          <w:color w:val="auto"/>
          <w:sz w:val="30"/>
          <w:szCs w:val="32"/>
          <w:highlight w:val="none"/>
          <w:u w:val="single"/>
        </w:rPr>
        <w:t>：</w:t>
      </w:r>
      <w:r>
        <w:rPr>
          <w:rFonts w:hint="eastAsia" w:ascii="仿宋" w:hAnsi="仿宋" w:eastAsia="仿宋" w:cs="仿宋"/>
          <w:color w:val="auto"/>
          <w:sz w:val="24"/>
          <w:szCs w:val="24"/>
          <w:highlight w:val="none"/>
          <w:u w:val="single"/>
        </w:rPr>
        <w:t>1、已标价工程量清单中有适用于变更工程项目的，应采用该项目的单价；当工程量清单项目工程量的变化幅度在±15%（含15%）以内时，其综合单价不做调整；当工程量清单项目工程量的变化幅度在±15%以外时，其综合单价进行调整。调整方法为：超出+15%时，超出部分原综合单价下浮10%进行结算；超出-15%时，减少后剩余部分原综合单价上浮10%进行结算</w:t>
      </w:r>
      <w:r>
        <w:rPr>
          <w:rFonts w:hint="eastAsia" w:ascii="仿宋" w:hAnsi="仿宋" w:eastAsia="仿宋" w:cs="仿宋"/>
          <w:color w:val="auto"/>
          <w:sz w:val="24"/>
          <w:szCs w:val="24"/>
          <w:highlight w:val="none"/>
        </w:rPr>
        <w:t>。</w:t>
      </w:r>
    </w:p>
    <w:p w14:paraId="539CFC0C">
      <w:pPr>
        <w:spacing w:line="440" w:lineRule="exact"/>
        <w:ind w:firstLine="6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2、已标价工程量清单中没有适用但有类似于变更工程项目的，可在合理范围内参照类似项目的单价</w:t>
      </w:r>
      <w:r>
        <w:rPr>
          <w:rFonts w:hint="eastAsia" w:ascii="仿宋" w:hAnsi="仿宋" w:eastAsia="仿宋" w:cs="仿宋"/>
          <w:color w:val="auto"/>
          <w:sz w:val="24"/>
          <w:szCs w:val="24"/>
          <w:highlight w:val="none"/>
        </w:rPr>
        <w:t>。</w:t>
      </w:r>
    </w:p>
    <w:p w14:paraId="6A63A213">
      <w:pPr>
        <w:spacing w:line="440" w:lineRule="exact"/>
        <w:ind w:firstLine="6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已标价工程量清单中没有适用也没有类似于变更工程项目的，由承包人根据变更工程资料、套用现行定额和估价表、费率中管理费及利润按照相应工程类别下限计取、工程造价管理机构发布的工程实施当期信息（参考）价格，综合以上因素计取。</w:t>
      </w:r>
    </w:p>
    <w:p w14:paraId="35EEE961">
      <w:pPr>
        <w:spacing w:line="440" w:lineRule="exact"/>
        <w:ind w:firstLine="6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发包人认为有必要的，有权牵头组织询价小组进行市场询价，经市场调研询价后形成询价报告（询价报告须询价小组全体成员签字），取询价结果与施工单位报价的较低值作为单项新增材料的最高限价，但最终仍由发包人对此单项新增材料进行价格确认工作</w:t>
      </w:r>
      <w:r>
        <w:rPr>
          <w:rFonts w:hint="eastAsia" w:ascii="仿宋" w:hAnsi="仿宋" w:eastAsia="仿宋" w:cs="仿宋"/>
          <w:color w:val="auto"/>
          <w:sz w:val="24"/>
          <w:szCs w:val="24"/>
          <w:highlight w:val="none"/>
        </w:rPr>
        <w:t>。</w:t>
      </w:r>
    </w:p>
    <w:p w14:paraId="696122F7">
      <w:pPr>
        <w:spacing w:line="440" w:lineRule="exact"/>
        <w:ind w:firstLine="6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rFonts w:hint="eastAsia" w:ascii="仿宋" w:hAnsi="仿宋" w:eastAsia="仿宋" w:cs="仿宋"/>
          <w:color w:val="auto"/>
          <w:sz w:val="24"/>
          <w:szCs w:val="24"/>
          <w:highlight w:val="none"/>
          <w:u w:val="single"/>
        </w:rPr>
        <w:cr/>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１、安全文明施工费应按照实际发生变化的措施项目依据《建设工程工程量清单计价规范》GB50500-2013 第 3.1.5 条的规定计算 </w:t>
      </w:r>
      <w:r>
        <w:rPr>
          <w:rFonts w:hint="eastAsia" w:ascii="仿宋" w:hAnsi="仿宋" w:eastAsia="仿宋" w:cs="仿宋"/>
          <w:color w:val="auto"/>
          <w:sz w:val="24"/>
          <w:szCs w:val="24"/>
          <w:highlight w:val="none"/>
        </w:rPr>
        <w:t>。</w:t>
      </w:r>
    </w:p>
    <w:p w14:paraId="2C8BE01F">
      <w:pPr>
        <w:spacing w:line="440" w:lineRule="exact"/>
        <w:ind w:firstLine="6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 、采用单价计算的措施项目费，应按照实际发生变化的措施项目，按《建设工程工程量清单计价规范》GB50500-2013 第 9.3.1 条的规定确定单价 </w:t>
      </w:r>
      <w:r>
        <w:rPr>
          <w:rFonts w:hint="eastAsia" w:ascii="仿宋" w:hAnsi="仿宋" w:eastAsia="仿宋" w:cs="仿宋"/>
          <w:color w:val="auto"/>
          <w:sz w:val="24"/>
          <w:szCs w:val="24"/>
          <w:highlight w:val="none"/>
        </w:rPr>
        <w:t>。</w:t>
      </w:r>
    </w:p>
    <w:p w14:paraId="00BF7E7D">
      <w:pPr>
        <w:spacing w:line="440" w:lineRule="exact"/>
        <w:ind w:firstLine="6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3、按总价（或系数）计算的措施项目费，按照实际发生变化的措施项目调整，但应考虑承包人报价浮动因素，即调整金额按照实际调整金额乘以《建设工程工程量清单计价规范》GB50500-2013 第 9.3.1 条规定的承包人报价浮动率计算。如果承包人未事先将拟实施的方案提交给发包人确认，则应视为工程变更不引起措施项目费的调整或承包人放弃调整措施项目费的权利 </w:t>
      </w:r>
      <w:r>
        <w:rPr>
          <w:rFonts w:hint="eastAsia" w:ascii="仿宋" w:hAnsi="仿宋" w:eastAsia="仿宋" w:cs="仿宋"/>
          <w:color w:val="auto"/>
          <w:sz w:val="24"/>
          <w:szCs w:val="24"/>
          <w:highlight w:val="none"/>
        </w:rPr>
        <w:t>。</w:t>
      </w:r>
    </w:p>
    <w:p w14:paraId="7EBEF987">
      <w:pPr>
        <w:spacing w:line="440" w:lineRule="exact"/>
        <w:ind w:firstLine="6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4、当发包人提出的工程变更因非承包人原因删减了合同中的某项原定工作或工程，致使承包人发生的费用和得到的收益不能被包括在其他已支付或应支付的项目中，也未被包含在任何替代的工作或工程中时，承包人无权要求应得到合理的费用及利润补偿 </w:t>
      </w:r>
      <w:r>
        <w:rPr>
          <w:rFonts w:hint="eastAsia" w:ascii="仿宋" w:hAnsi="仿宋" w:eastAsia="仿宋" w:cs="仿宋"/>
          <w:color w:val="auto"/>
          <w:sz w:val="24"/>
          <w:szCs w:val="24"/>
          <w:highlight w:val="none"/>
        </w:rPr>
        <w:t>。</w:t>
      </w:r>
    </w:p>
    <w:p w14:paraId="396382CC">
      <w:pPr>
        <w:spacing w:line="440" w:lineRule="exact"/>
        <w:ind w:firstLine="480" w:firstLineChars="200"/>
        <w:outlineLvl w:val="4"/>
        <w:rPr>
          <w:rFonts w:hint="eastAsia" w:ascii="仿宋" w:hAnsi="仿宋" w:eastAsia="仿宋" w:cs="仿宋"/>
          <w:color w:val="auto"/>
          <w:sz w:val="24"/>
          <w:szCs w:val="24"/>
          <w:highlight w:val="none"/>
        </w:rPr>
      </w:pPr>
      <w:bookmarkStart w:id="379" w:name="_Toc4836"/>
      <w:r>
        <w:rPr>
          <w:rFonts w:hint="eastAsia" w:ascii="仿宋" w:hAnsi="仿宋" w:eastAsia="仿宋" w:cs="仿宋"/>
          <w:color w:val="auto"/>
          <w:sz w:val="24"/>
          <w:szCs w:val="24"/>
          <w:highlight w:val="none"/>
        </w:rPr>
        <w:t>10.3 变更估价</w:t>
      </w:r>
      <w:bookmarkEnd w:id="379"/>
    </w:p>
    <w:p w14:paraId="2B9FA61A">
      <w:pPr>
        <w:spacing w:line="440" w:lineRule="exact"/>
        <w:ind w:firstLine="480" w:firstLineChars="200"/>
        <w:outlineLvl w:val="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10.3.1 变更估价原则</w:t>
      </w:r>
    </w:p>
    <w:p w14:paraId="6DAD914C">
      <w:pPr>
        <w:spacing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关于变更估价的约定:</w:t>
      </w:r>
      <w:r>
        <w:rPr>
          <w:rFonts w:hint="eastAsia" w:ascii="仿宋" w:hAnsi="仿宋" w:eastAsia="仿宋" w:cs="仿宋"/>
          <w:color w:val="auto"/>
          <w:sz w:val="24"/>
          <w:szCs w:val="24"/>
          <w:highlight w:val="none"/>
          <w:u w:val="single"/>
        </w:rPr>
        <w:t xml:space="preserve">  ①合同中有相同或类似工程项目单价的，可以参照合同中相同或类似项目的综合单价计算确认。②原合同中不包含的工程项目，由承包人根据变更工程资料、套用现行定额和估价表、费率中管理费及利润按照相应工程类别下限计取、工程造价管理机构发布的工程实施当期信息（参考）价格，综合以上因素计取。</w:t>
      </w:r>
    </w:p>
    <w:p w14:paraId="5956F665">
      <w:pPr>
        <w:spacing w:line="440" w:lineRule="exact"/>
        <w:ind w:firstLine="480" w:firstLineChars="200"/>
        <w:outlineLvl w:val="4"/>
        <w:rPr>
          <w:rFonts w:hint="eastAsia" w:ascii="仿宋" w:hAnsi="仿宋" w:eastAsia="仿宋" w:cs="仿宋"/>
          <w:color w:val="auto"/>
          <w:sz w:val="24"/>
          <w:szCs w:val="24"/>
          <w:highlight w:val="none"/>
        </w:rPr>
      </w:pPr>
      <w:bookmarkStart w:id="380" w:name="_Toc3096"/>
      <w:r>
        <w:rPr>
          <w:rFonts w:hint="eastAsia" w:ascii="仿宋" w:hAnsi="仿宋" w:eastAsia="仿宋" w:cs="仿宋"/>
          <w:color w:val="auto"/>
          <w:sz w:val="24"/>
          <w:szCs w:val="24"/>
          <w:highlight w:val="none"/>
        </w:rPr>
        <w:t>1</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Start w:id="381" w:name="_Toc292559907"/>
      <w:bookmarkStart w:id="382" w:name="_Toc297120497"/>
      <w:bookmarkStart w:id="383" w:name="_Toc296346698"/>
      <w:bookmarkStart w:id="384" w:name="_Toc296347196"/>
      <w:bookmarkStart w:id="385" w:name="_Toc297123544"/>
      <w:bookmarkStart w:id="386" w:name="_Toc296891237"/>
      <w:bookmarkStart w:id="387" w:name="_Toc297216203"/>
      <w:bookmarkStart w:id="388" w:name="_Toc296891025"/>
      <w:bookmarkStart w:id="389" w:name="_Toc303539150"/>
      <w:bookmarkStart w:id="390" w:name="_Toc296944536"/>
      <w:bookmarkStart w:id="391" w:name="_Toc300934993"/>
      <w:bookmarkStart w:id="392" w:name="_Toc297048383"/>
      <w:bookmarkStart w:id="393" w:name="_Toc296503197"/>
      <w:bookmarkStart w:id="394" w:name="_Toc292559402"/>
      <w:bookmarkStart w:id="395" w:name="_Toc312677503"/>
      <w:bookmarkStart w:id="396" w:name="_Toc312678029"/>
      <w:bookmarkStart w:id="397" w:name="_Toc304295570"/>
      <w:r>
        <w:rPr>
          <w:rFonts w:hint="eastAsia" w:ascii="仿宋" w:hAnsi="仿宋" w:eastAsia="仿宋" w:cs="仿宋"/>
          <w:color w:val="auto"/>
          <w:sz w:val="24"/>
          <w:szCs w:val="24"/>
          <w:highlight w:val="none"/>
        </w:rPr>
        <w:t>0.4承</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Start w:id="398" w:name="_Toc296891031"/>
      <w:bookmarkStart w:id="399" w:name="_Toc300934994"/>
      <w:bookmarkStart w:id="400" w:name="_Toc297048389"/>
      <w:bookmarkStart w:id="401" w:name="_Toc296347202"/>
      <w:bookmarkStart w:id="402" w:name="_Toc296891243"/>
      <w:bookmarkStart w:id="403" w:name="_Toc297216204"/>
      <w:bookmarkStart w:id="404" w:name="_Toc296503203"/>
      <w:bookmarkStart w:id="405" w:name="_Toc297120503"/>
      <w:bookmarkStart w:id="406" w:name="_Toc303539151"/>
      <w:bookmarkStart w:id="407" w:name="_Toc292559408"/>
      <w:bookmarkStart w:id="408" w:name="_Toc292559913"/>
      <w:bookmarkStart w:id="409" w:name="_Toc297123545"/>
      <w:bookmarkStart w:id="410" w:name="_Toc296346704"/>
      <w:bookmarkStart w:id="411" w:name="_Toc296944542"/>
      <w:r>
        <w:rPr>
          <w:rFonts w:hint="eastAsia" w:ascii="仿宋" w:hAnsi="仿宋" w:eastAsia="仿宋" w:cs="仿宋"/>
          <w:color w:val="auto"/>
          <w:sz w:val="24"/>
          <w:szCs w:val="24"/>
          <w:highlight w:val="none"/>
        </w:rPr>
        <w:t>包人的合理化建议</w:t>
      </w:r>
      <w:bookmarkEnd w:id="380"/>
    </w:p>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14:paraId="1DE7F8F2">
      <w:pPr>
        <w:spacing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监理人审查承包人合理化建议的期限：</w:t>
      </w:r>
      <w:r>
        <w:rPr>
          <w:rFonts w:hint="eastAsia" w:ascii="仿宋" w:hAnsi="仿宋" w:eastAsia="仿宋" w:cs="仿宋"/>
          <w:color w:val="auto"/>
          <w:sz w:val="24"/>
          <w:szCs w:val="24"/>
          <w:highlight w:val="none"/>
          <w:u w:val="single"/>
        </w:rPr>
        <w:t xml:space="preserve">   执行通用条款    。</w:t>
      </w:r>
    </w:p>
    <w:p w14:paraId="61E7FC6D">
      <w:pPr>
        <w:autoSpaceDE w:val="0"/>
        <w:autoSpaceDN w:val="0"/>
        <w:adjustRightInd w:val="0"/>
        <w:spacing w:line="5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发包人审批承包人合理化建议的期限：</w:t>
      </w:r>
      <w:r>
        <w:rPr>
          <w:rFonts w:hint="eastAsia" w:ascii="仿宋" w:hAnsi="仿宋" w:eastAsia="仿宋" w:cs="仿宋"/>
          <w:color w:val="auto"/>
          <w:sz w:val="24"/>
          <w:szCs w:val="24"/>
          <w:highlight w:val="none"/>
          <w:u w:val="single"/>
        </w:rPr>
        <w:t xml:space="preserve"> 执行通用条款 </w:t>
      </w:r>
    </w:p>
    <w:p w14:paraId="0D76B69B">
      <w:pPr>
        <w:spacing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w:t>
      </w:r>
      <w:bookmarkStart w:id="412" w:name="_Toc296891032"/>
      <w:bookmarkStart w:id="413" w:name="_Toc304295571"/>
      <w:bookmarkStart w:id="414" w:name="_Toc297123546"/>
      <w:bookmarkStart w:id="415" w:name="_Toc292559914"/>
      <w:bookmarkStart w:id="416" w:name="_Toc296891244"/>
      <w:bookmarkStart w:id="417" w:name="_Toc296346705"/>
      <w:bookmarkStart w:id="418" w:name="_Toc297048390"/>
      <w:bookmarkStart w:id="419" w:name="_Toc297216205"/>
      <w:bookmarkStart w:id="420" w:name="_Toc312678030"/>
      <w:bookmarkStart w:id="421" w:name="_Toc318581175"/>
      <w:bookmarkStart w:id="422" w:name="_Toc303539152"/>
      <w:bookmarkStart w:id="423" w:name="_Toc312677504"/>
      <w:bookmarkStart w:id="424" w:name="_Toc297120504"/>
      <w:bookmarkStart w:id="425" w:name="_Toc296503204"/>
      <w:bookmarkStart w:id="426" w:name="_Toc296347203"/>
      <w:bookmarkStart w:id="427" w:name="_Toc292559409"/>
      <w:bookmarkStart w:id="428" w:name="_Toc300934995"/>
      <w:bookmarkStart w:id="429" w:name="_Toc296944543"/>
      <w:r>
        <w:rPr>
          <w:rFonts w:hint="eastAsia" w:ascii="仿宋" w:hAnsi="仿宋" w:eastAsia="仿宋" w:cs="仿宋"/>
          <w:color w:val="auto"/>
          <w:sz w:val="24"/>
          <w:szCs w:val="24"/>
          <w:highlight w:val="none"/>
        </w:rPr>
        <w:t>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14:paraId="4CEEA414">
      <w:pPr>
        <w:spacing w:line="440" w:lineRule="exact"/>
        <w:ind w:firstLine="480" w:firstLineChars="200"/>
        <w:jc w:val="left"/>
        <w:rPr>
          <w:rFonts w:hint="eastAsia" w:ascii="仿宋" w:hAnsi="仿宋" w:eastAsia="仿宋" w:cs="仿宋"/>
          <w:color w:val="auto"/>
          <w:sz w:val="24"/>
          <w:szCs w:val="24"/>
          <w:highlight w:val="none"/>
        </w:rPr>
      </w:pPr>
      <w:bookmarkStart w:id="430" w:name="_Toc12062"/>
      <w:r>
        <w:rPr>
          <w:rFonts w:hint="eastAsia" w:ascii="仿宋" w:hAnsi="仿宋" w:eastAsia="仿宋" w:cs="仿宋"/>
          <w:color w:val="auto"/>
          <w:sz w:val="24"/>
          <w:szCs w:val="24"/>
          <w:highlight w:val="none"/>
        </w:rPr>
        <w:t>1</w:t>
      </w:r>
      <w:bookmarkStart w:id="431" w:name="_Toc292559404"/>
      <w:bookmarkStart w:id="432" w:name="_Toc297120499"/>
      <w:bookmarkStart w:id="433" w:name="_Toc296944538"/>
      <w:bookmarkStart w:id="434" w:name="_Toc297048385"/>
      <w:bookmarkStart w:id="435" w:name="_Toc297123548"/>
      <w:bookmarkStart w:id="436" w:name="_Toc312678033"/>
      <w:bookmarkStart w:id="437" w:name="_Toc292559909"/>
      <w:bookmarkStart w:id="438" w:name="_Toc296346700"/>
      <w:bookmarkStart w:id="439" w:name="_Toc300934997"/>
      <w:bookmarkStart w:id="440" w:name="_Toc296503199"/>
      <w:bookmarkStart w:id="441" w:name="_Toc297216207"/>
      <w:bookmarkStart w:id="442" w:name="_Toc303539154"/>
      <w:bookmarkStart w:id="443" w:name="_Toc296891027"/>
      <w:bookmarkStart w:id="444" w:name="_Toc296347198"/>
      <w:bookmarkStart w:id="445" w:name="_Toc304295574"/>
      <w:bookmarkStart w:id="446" w:name="_Toc296891239"/>
      <w:bookmarkStart w:id="447" w:name="_Toc312677507"/>
      <w:r>
        <w:rPr>
          <w:rFonts w:hint="eastAsia" w:ascii="仿宋" w:hAnsi="仿宋" w:eastAsia="仿宋" w:cs="仿宋"/>
          <w:color w:val="auto"/>
          <w:sz w:val="24"/>
          <w:szCs w:val="24"/>
          <w:highlight w:val="none"/>
        </w:rPr>
        <w:t>0.5 暂估价</w:t>
      </w:r>
      <w:bookmarkEnd w:id="430"/>
    </w:p>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14:paraId="109628EE">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暂</w:t>
      </w:r>
      <w:bookmarkStart w:id="448" w:name="_Toc318581176"/>
      <w:bookmarkStart w:id="449" w:name="_Toc312678034"/>
      <w:bookmarkStart w:id="450" w:name="_Toc312677508"/>
      <w:r>
        <w:rPr>
          <w:rFonts w:hint="eastAsia" w:ascii="仿宋" w:hAnsi="仿宋" w:eastAsia="仿宋" w:cs="仿宋"/>
          <w:color w:val="auto"/>
          <w:sz w:val="24"/>
          <w:szCs w:val="24"/>
          <w:highlight w:val="none"/>
        </w:rPr>
        <w:t>估价材料和工程设备的明细详见附件11：《暂估价一览表》。</w:t>
      </w:r>
    </w:p>
    <w:bookmarkEnd w:id="448"/>
    <w:bookmarkEnd w:id="449"/>
    <w:bookmarkEnd w:id="450"/>
    <w:p w14:paraId="5BF7304A">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Start w:id="451" w:name="_Toc318581177"/>
      <w:bookmarkStart w:id="452" w:name="_Toc312677509"/>
      <w:bookmarkStart w:id="453" w:name="_Toc312678035"/>
      <w:r>
        <w:rPr>
          <w:rFonts w:hint="eastAsia" w:ascii="仿宋" w:hAnsi="仿宋" w:eastAsia="仿宋" w:cs="仿宋"/>
          <w:color w:val="auto"/>
          <w:sz w:val="24"/>
          <w:szCs w:val="24"/>
          <w:highlight w:val="none"/>
        </w:rPr>
        <w:t>0.5.1 依法必须招标的暂估价项目</w:t>
      </w:r>
    </w:p>
    <w:bookmarkEnd w:id="451"/>
    <w:bookmarkEnd w:id="452"/>
    <w:bookmarkEnd w:id="453"/>
    <w:p w14:paraId="25BFECB1">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对于依法必须招标的暂估价项目的确认和批准采取第  1  种方式确定。</w:t>
      </w:r>
    </w:p>
    <w:p w14:paraId="01468C3D">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10.5.2 不属于依法必须招标的暂估价项目</w:t>
      </w:r>
    </w:p>
    <w:p w14:paraId="72749CA5">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对于不属于依法必须招标的暂估价项目的确认和批准采取</w:t>
      </w:r>
      <w:r>
        <w:rPr>
          <w:rFonts w:hint="eastAsia" w:ascii="仿宋" w:hAnsi="仿宋" w:eastAsia="仿宋" w:cs="仿宋"/>
          <w:color w:val="auto"/>
          <w:sz w:val="24"/>
          <w:szCs w:val="24"/>
          <w:highlight w:val="none"/>
          <w:u w:val="single"/>
        </w:rPr>
        <w:t>承包人经监理单位审核后，上报发包人签字确认后实施</w:t>
      </w:r>
      <w:r>
        <w:rPr>
          <w:rFonts w:hint="eastAsia" w:ascii="仿宋" w:hAnsi="仿宋" w:eastAsia="仿宋" w:cs="仿宋"/>
          <w:color w:val="auto"/>
          <w:sz w:val="24"/>
          <w:szCs w:val="24"/>
          <w:highlight w:val="none"/>
        </w:rPr>
        <w:t>。</w:t>
      </w:r>
    </w:p>
    <w:p w14:paraId="1C987610">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第3种方式：</w:t>
      </w:r>
      <w:r>
        <w:rPr>
          <w:rFonts w:hint="eastAsia" w:ascii="仿宋" w:hAnsi="仿宋" w:eastAsia="仿宋" w:cs="仿宋"/>
          <w:color w:val="auto"/>
          <w:kern w:val="0"/>
          <w:sz w:val="24"/>
          <w:szCs w:val="24"/>
          <w:highlight w:val="none"/>
        </w:rPr>
        <w:t>承包人直接实施的暂估价项目</w:t>
      </w:r>
    </w:p>
    <w:p w14:paraId="456F10E7">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承包人直接实施的暂估价项目的约定：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0922F03D">
      <w:pPr>
        <w:autoSpaceDE w:val="0"/>
        <w:autoSpaceDN w:val="0"/>
        <w:adjustRightInd w:val="0"/>
        <w:spacing w:line="440" w:lineRule="exact"/>
        <w:ind w:firstLine="480" w:firstLineChars="200"/>
        <w:jc w:val="left"/>
        <w:rPr>
          <w:rFonts w:hint="eastAsia" w:ascii="仿宋" w:hAnsi="仿宋" w:eastAsia="仿宋" w:cs="仿宋"/>
          <w:color w:val="auto"/>
          <w:kern w:val="0"/>
          <w:sz w:val="24"/>
          <w:szCs w:val="24"/>
          <w:highlight w:val="none"/>
        </w:rPr>
      </w:pPr>
      <w:bookmarkStart w:id="454" w:name="_Toc14744"/>
      <w:r>
        <w:rPr>
          <w:rFonts w:hint="eastAsia" w:ascii="仿宋" w:hAnsi="仿宋" w:eastAsia="仿宋" w:cs="仿宋"/>
          <w:color w:val="auto"/>
          <w:kern w:val="0"/>
          <w:sz w:val="24"/>
          <w:szCs w:val="24"/>
          <w:highlight w:val="none"/>
        </w:rPr>
        <w:t>10.6 暂列金额</w:t>
      </w:r>
      <w:bookmarkEnd w:id="454"/>
    </w:p>
    <w:p w14:paraId="64A24990">
      <w:pPr>
        <w:autoSpaceDE w:val="0"/>
        <w:autoSpaceDN w:val="0"/>
        <w:adjustRightInd w:val="0"/>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合同当事人关于暂列金额使用的约定：</w:t>
      </w:r>
      <w:r>
        <w:rPr>
          <w:rFonts w:hint="eastAsia" w:ascii="仿宋" w:hAnsi="仿宋" w:eastAsia="仿宋" w:cs="仿宋"/>
          <w:color w:val="auto"/>
          <w:sz w:val="24"/>
          <w:szCs w:val="24"/>
          <w:highlight w:val="none"/>
          <w:u w:val="single"/>
        </w:rPr>
        <w:t xml:space="preserve"> 暂列金是指发包人为可能发生工程变更而暂列的金额，包括因发包人提供的工程量清单漏项、清单有误引起的工程数量增加和施工过程中设计变更引起新的清单项目或工程数量增加等需要增加的金额。暂列金是招标人自行确定设立的，承包商无权使用此笔费用。此费用按实际发生经招标人签证后确定全部使用、部分使用或不使用。暂列金不计入工程款付款的基数 </w:t>
      </w:r>
      <w:r>
        <w:rPr>
          <w:rFonts w:hint="eastAsia" w:ascii="仿宋" w:hAnsi="仿宋" w:eastAsia="仿宋" w:cs="仿宋"/>
          <w:color w:val="auto"/>
          <w:kern w:val="0"/>
          <w:sz w:val="24"/>
          <w:szCs w:val="24"/>
          <w:highlight w:val="none"/>
        </w:rPr>
        <w:t>。</w:t>
      </w:r>
    </w:p>
    <w:p w14:paraId="6F2E44BA">
      <w:pPr>
        <w:pStyle w:val="5"/>
        <w:spacing w:before="0" w:after="0" w:line="440" w:lineRule="exact"/>
        <w:rPr>
          <w:rFonts w:hint="eastAsia" w:ascii="仿宋" w:hAnsi="仿宋" w:eastAsia="仿宋" w:cs="仿宋"/>
          <w:b w:val="0"/>
          <w:color w:val="auto"/>
          <w:sz w:val="24"/>
          <w:szCs w:val="24"/>
          <w:highlight w:val="none"/>
        </w:rPr>
      </w:pPr>
      <w:bookmarkStart w:id="455" w:name="_Toc8501"/>
      <w:r>
        <w:rPr>
          <w:rFonts w:hint="eastAsia" w:ascii="仿宋" w:hAnsi="仿宋" w:eastAsia="仿宋" w:cs="仿宋"/>
          <w:b w:val="0"/>
          <w:color w:val="auto"/>
          <w:sz w:val="24"/>
          <w:szCs w:val="24"/>
          <w:highlight w:val="none"/>
        </w:rPr>
        <w:t>11. 价格调整</w:t>
      </w:r>
      <w:bookmarkEnd w:id="455"/>
    </w:p>
    <w:p w14:paraId="1F6A6E78">
      <w:pPr>
        <w:spacing w:line="440" w:lineRule="exact"/>
        <w:ind w:firstLine="480" w:firstLineChars="200"/>
        <w:outlineLvl w:val="4"/>
        <w:rPr>
          <w:rFonts w:hint="eastAsia" w:ascii="仿宋" w:hAnsi="仿宋" w:eastAsia="仿宋" w:cs="仿宋"/>
          <w:color w:val="auto"/>
          <w:sz w:val="24"/>
          <w:szCs w:val="24"/>
          <w:highlight w:val="none"/>
        </w:rPr>
      </w:pPr>
      <w:bookmarkStart w:id="456" w:name="_Toc28722"/>
      <w:bookmarkStart w:id="457" w:name="_Toc296346702"/>
      <w:bookmarkStart w:id="458" w:name="_Toc297123550"/>
      <w:bookmarkStart w:id="459" w:name="_Toc297120501"/>
      <w:bookmarkStart w:id="460" w:name="_Toc296944540"/>
      <w:bookmarkStart w:id="461" w:name="_Toc297216209"/>
      <w:bookmarkStart w:id="462" w:name="_Toc296891241"/>
      <w:bookmarkStart w:id="463" w:name="_Toc297048387"/>
      <w:bookmarkStart w:id="464" w:name="_Toc303539157"/>
      <w:bookmarkStart w:id="465" w:name="_Toc296347200"/>
      <w:bookmarkStart w:id="466" w:name="_Toc304295577"/>
      <w:bookmarkStart w:id="467" w:name="_Toc296891029"/>
      <w:bookmarkStart w:id="468" w:name="_Toc312678039"/>
      <w:bookmarkStart w:id="469" w:name="_Toc292559911"/>
      <w:bookmarkStart w:id="470" w:name="_Toc296503201"/>
      <w:bookmarkStart w:id="471" w:name="_Toc300935000"/>
      <w:bookmarkStart w:id="472" w:name="_Toc292559406"/>
      <w:r>
        <w:rPr>
          <w:rFonts w:hint="eastAsia" w:ascii="仿宋" w:hAnsi="仿宋" w:eastAsia="仿宋" w:cs="仿宋"/>
          <w:color w:val="auto"/>
          <w:sz w:val="24"/>
          <w:szCs w:val="24"/>
          <w:highlight w:val="none"/>
        </w:rPr>
        <w:t>11.1 市场价格波动引起的调整</w:t>
      </w:r>
      <w:bookmarkEnd w:id="456"/>
    </w:p>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14:paraId="40B69864">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因市场价格波动调整合同价格，采用以下第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种方式对合同价格进行调整：</w:t>
      </w:r>
    </w:p>
    <w:p w14:paraId="437EF665">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第1种方式：采用价格指数进行价格调整。</w:t>
      </w:r>
    </w:p>
    <w:p w14:paraId="3891E83C">
      <w:pPr>
        <w:spacing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关于各可调因子、定值和变值权重，以及基本价格指数及其来源的约定：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p>
    <w:p w14:paraId="37EDF484">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第2种方式：采用造价信息进行价格调整。</w:t>
      </w:r>
    </w:p>
    <w:p w14:paraId="2DD02924">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（2）关于基准价格的约定：</w:t>
      </w:r>
      <w:r>
        <w:rPr>
          <w:rFonts w:hint="eastAsia" w:ascii="仿宋" w:hAnsi="仿宋" w:eastAsia="仿宋" w:cs="仿宋"/>
          <w:color w:val="auto"/>
          <w:sz w:val="24"/>
          <w:szCs w:val="24"/>
          <w:highlight w:val="none"/>
          <w:u w:val="single"/>
        </w:rPr>
        <w:t>乌鲁木齐地区     建设工程综合价格信息</w:t>
      </w:r>
      <w:r>
        <w:rPr>
          <w:rFonts w:hint="eastAsia" w:ascii="仿宋" w:hAnsi="仿宋" w:eastAsia="仿宋" w:cs="仿宋"/>
          <w:color w:val="auto"/>
          <w:sz w:val="24"/>
          <w:szCs w:val="24"/>
          <w:highlight w:val="none"/>
        </w:rPr>
        <w:t>。</w:t>
      </w:r>
    </w:p>
    <w:p w14:paraId="761E0530">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%时，或材料单价跌幅以已标价工程量清单或预算书中载明材料单价为基础超过</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%时，其超过部分据实调整。</w:t>
      </w:r>
    </w:p>
    <w:p w14:paraId="5E5715C6">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②承包人在已标价工程量清单或预算书中载明的材料单价高于基准价格的：专用合同条款合同履行期间材料单价跌幅以基准价格为基础超过</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%时，材料单价涨幅以已标价工程量清单或预算书中载明材料单价为基础超过</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%时，其超过部分据实调整。</w:t>
      </w:r>
    </w:p>
    <w:p w14:paraId="025CC584">
      <w:pPr>
        <w:spacing w:line="440" w:lineRule="exact"/>
        <w:ind w:firstLine="64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%时，其超过部分据实调整。</w:t>
      </w:r>
    </w:p>
    <w:p w14:paraId="7AB19D38">
      <w:pPr>
        <w:spacing w:line="440" w:lineRule="exact"/>
        <w:ind w:firstLine="64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④人工单价按照施工同期省级或行业建设主管部门发布的调整文件进行调整。</w:t>
      </w:r>
    </w:p>
    <w:p w14:paraId="198569C4">
      <w:pPr>
        <w:spacing w:line="440" w:lineRule="exact"/>
        <w:ind w:firstLine="64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第3种方式：其他价格调整方式：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bookmarkEnd w:id="354"/>
    <w:bookmarkEnd w:id="355"/>
    <w:bookmarkEnd w:id="356"/>
    <w:bookmarkEnd w:id="357"/>
    <w:bookmarkEnd w:id="358"/>
    <w:bookmarkEnd w:id="359"/>
    <w:p w14:paraId="3846DCFE">
      <w:pPr>
        <w:pStyle w:val="5"/>
        <w:spacing w:before="0" w:after="0" w:line="440" w:lineRule="exact"/>
        <w:rPr>
          <w:rFonts w:hint="eastAsia" w:ascii="仿宋" w:hAnsi="仿宋" w:eastAsia="仿宋" w:cs="仿宋"/>
          <w:b w:val="0"/>
          <w:color w:val="auto"/>
          <w:sz w:val="24"/>
          <w:szCs w:val="24"/>
          <w:highlight w:val="none"/>
        </w:rPr>
      </w:pPr>
      <w:bookmarkStart w:id="473" w:name="_Toc296347204"/>
      <w:bookmarkStart w:id="474" w:name="_Toc296346706"/>
      <w:bookmarkStart w:id="475" w:name="_Toc296503205"/>
      <w:bookmarkStart w:id="476" w:name="_Toc292559915"/>
      <w:bookmarkStart w:id="477" w:name="_Toc296944544"/>
      <w:bookmarkStart w:id="478" w:name="_Toc297120505"/>
      <w:bookmarkStart w:id="479" w:name="_Toc292559410"/>
      <w:bookmarkStart w:id="480" w:name="_Toc296891245"/>
      <w:bookmarkStart w:id="481" w:name="_Toc296891033"/>
      <w:bookmarkStart w:id="482" w:name="_Toc297048391"/>
      <w:bookmarkStart w:id="483" w:name="_Toc24820"/>
      <w:bookmarkStart w:id="484" w:name="_Toc303539159"/>
      <w:bookmarkStart w:id="485" w:name="_Toc312678040"/>
      <w:bookmarkStart w:id="486" w:name="_Toc297216211"/>
      <w:bookmarkStart w:id="487" w:name="_Toc304295579"/>
      <w:bookmarkStart w:id="488" w:name="_Toc300935002"/>
      <w:bookmarkStart w:id="489" w:name="_Toc297123552"/>
      <w:r>
        <w:rPr>
          <w:rFonts w:hint="eastAsia" w:ascii="仿宋" w:hAnsi="仿宋" w:eastAsia="仿宋" w:cs="仿宋"/>
          <w:b w:val="0"/>
          <w:color w:val="auto"/>
          <w:sz w:val="24"/>
          <w:szCs w:val="24"/>
          <w:highlight w:val="none"/>
        </w:rPr>
        <w:t xml:space="preserve">12. </w:t>
      </w:r>
      <w:bookmarkEnd w:id="473"/>
      <w:bookmarkEnd w:id="474"/>
      <w:bookmarkEnd w:id="475"/>
      <w:bookmarkEnd w:id="476"/>
      <w:bookmarkEnd w:id="477"/>
      <w:bookmarkEnd w:id="478"/>
      <w:bookmarkEnd w:id="479"/>
      <w:bookmarkEnd w:id="480"/>
      <w:bookmarkEnd w:id="481"/>
      <w:bookmarkEnd w:id="482"/>
      <w:r>
        <w:rPr>
          <w:rFonts w:hint="eastAsia" w:ascii="仿宋" w:hAnsi="仿宋" w:eastAsia="仿宋" w:cs="仿宋"/>
          <w:b w:val="0"/>
          <w:color w:val="auto"/>
          <w:sz w:val="24"/>
          <w:szCs w:val="24"/>
          <w:highlight w:val="none"/>
        </w:rPr>
        <w:t>合同价格、计量与支付</w:t>
      </w:r>
      <w:bookmarkEnd w:id="483"/>
    </w:p>
    <w:bookmarkEnd w:id="484"/>
    <w:bookmarkEnd w:id="485"/>
    <w:bookmarkEnd w:id="486"/>
    <w:bookmarkEnd w:id="487"/>
    <w:bookmarkEnd w:id="488"/>
    <w:bookmarkEnd w:id="489"/>
    <w:p w14:paraId="67DC922B">
      <w:pPr>
        <w:spacing w:line="440" w:lineRule="exact"/>
        <w:ind w:firstLine="480" w:firstLineChars="200"/>
        <w:outlineLvl w:val="4"/>
        <w:rPr>
          <w:rFonts w:hint="eastAsia" w:ascii="仿宋" w:hAnsi="仿宋" w:eastAsia="仿宋" w:cs="仿宋"/>
          <w:color w:val="auto"/>
          <w:sz w:val="24"/>
          <w:szCs w:val="24"/>
          <w:highlight w:val="none"/>
        </w:rPr>
      </w:pPr>
      <w:bookmarkStart w:id="490" w:name="_Toc292559411"/>
      <w:bookmarkStart w:id="491" w:name="_Toc292559916"/>
      <w:bookmarkStart w:id="492" w:name="_Toc267251461"/>
      <w:bookmarkStart w:id="493" w:name="_Toc296347205"/>
      <w:bookmarkStart w:id="494" w:name="_Toc297048392"/>
      <w:bookmarkStart w:id="495" w:name="_Toc296944545"/>
      <w:bookmarkStart w:id="496" w:name="_Toc296891034"/>
      <w:bookmarkStart w:id="497" w:name="_Toc296891246"/>
      <w:bookmarkStart w:id="498" w:name="_Toc296503206"/>
      <w:bookmarkStart w:id="499" w:name="_Toc297120506"/>
      <w:bookmarkStart w:id="500" w:name="_Toc296346707"/>
      <w:bookmarkStart w:id="501" w:name="_Toc26607"/>
      <w:bookmarkStart w:id="502" w:name="_Toc303539160"/>
      <w:bookmarkStart w:id="503" w:name="_Toc297123553"/>
      <w:bookmarkStart w:id="504" w:name="_Toc312678041"/>
      <w:bookmarkStart w:id="505" w:name="_Toc300935003"/>
      <w:bookmarkStart w:id="506" w:name="_Toc297216212"/>
      <w:bookmarkStart w:id="507" w:name="_Toc304295580"/>
      <w:r>
        <w:rPr>
          <w:rFonts w:hint="eastAsia" w:ascii="仿宋" w:hAnsi="仿宋" w:eastAsia="仿宋" w:cs="仿宋"/>
          <w:color w:val="auto"/>
          <w:sz w:val="24"/>
          <w:szCs w:val="24"/>
          <w:highlight w:val="none"/>
        </w:rPr>
        <w:t>12.1 合</w:t>
      </w:r>
      <w:bookmarkEnd w:id="490"/>
      <w:bookmarkEnd w:id="491"/>
      <w:bookmarkEnd w:id="492"/>
      <w:r>
        <w:rPr>
          <w:rFonts w:hint="eastAsia" w:ascii="仿宋" w:hAnsi="仿宋" w:eastAsia="仿宋" w:cs="仿宋"/>
          <w:color w:val="auto"/>
          <w:sz w:val="24"/>
          <w:szCs w:val="24"/>
          <w:highlight w:val="none"/>
        </w:rPr>
        <w:t>同价</w:t>
      </w:r>
      <w:bookmarkEnd w:id="493"/>
      <w:bookmarkEnd w:id="494"/>
      <w:bookmarkEnd w:id="495"/>
      <w:bookmarkEnd w:id="496"/>
      <w:bookmarkEnd w:id="497"/>
      <w:bookmarkEnd w:id="498"/>
      <w:bookmarkEnd w:id="499"/>
      <w:bookmarkEnd w:id="500"/>
      <w:r>
        <w:rPr>
          <w:rFonts w:hint="eastAsia" w:ascii="仿宋" w:hAnsi="仿宋" w:eastAsia="仿宋" w:cs="仿宋"/>
          <w:color w:val="auto"/>
          <w:sz w:val="24"/>
          <w:szCs w:val="24"/>
          <w:highlight w:val="none"/>
        </w:rPr>
        <w:t>格形式</w:t>
      </w:r>
      <w:bookmarkEnd w:id="501"/>
    </w:p>
    <w:bookmarkEnd w:id="502"/>
    <w:bookmarkEnd w:id="503"/>
    <w:bookmarkEnd w:id="504"/>
    <w:bookmarkEnd w:id="505"/>
    <w:bookmarkEnd w:id="506"/>
    <w:bookmarkEnd w:id="507"/>
    <w:p w14:paraId="421DB1D8">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1、单价合同。</w:t>
      </w:r>
    </w:p>
    <w:p w14:paraId="420E0163">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综合单价包含的风险范围：</w:t>
      </w:r>
      <w:r>
        <w:rPr>
          <w:rFonts w:hint="eastAsia" w:ascii="仿宋" w:hAnsi="仿宋" w:eastAsia="仿宋" w:cs="仿宋"/>
          <w:color w:val="auto"/>
          <w:sz w:val="24"/>
          <w:szCs w:val="24"/>
          <w:highlight w:val="none"/>
          <w:u w:val="single"/>
        </w:rPr>
        <w:t xml:space="preserve"> ①因综合单价未按特征描述的内容进行组价的，应视为承包人的风险；②因天气、地形、地质等自热条件的变化，采取的临时措施费用，由承包人自行承担；③按合同工期完成所采取的赶工措施费，由承包人自行承担；④由于承包人的原因，冬季发生的施工费用由承包人自行承担；⑤设备、材料等的保管费及场内外运输费，由承包人自行承担；⑥合同范围内开槽、开洞及修复封堵等费用，由承包人自行承担；⑦按照新疆自治区建设主管部门或其授权的工程造价管理机构发布的材料信息价中钢材、水泥、商品混凝土、砌块价格变化幅度超出 6%或减少 3%以内不予调整，施工机械变化幅度超出 6%或减少3%以内不予调整。除合同约定的可调整的风险费除外，本承包工程内容范围内的约定的风险，已包含在投标报价的综合单价中，无需再计算  </w:t>
      </w:r>
      <w:r>
        <w:rPr>
          <w:rFonts w:hint="eastAsia" w:ascii="仿宋" w:hAnsi="仿宋" w:eastAsia="仿宋" w:cs="仿宋"/>
          <w:color w:val="auto"/>
          <w:sz w:val="24"/>
          <w:szCs w:val="24"/>
          <w:highlight w:val="none"/>
        </w:rPr>
        <w:t>。</w:t>
      </w:r>
    </w:p>
    <w:p w14:paraId="41CE9AAA">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风险费用的计算方法：</w:t>
      </w:r>
      <w:r>
        <w:rPr>
          <w:rFonts w:hint="eastAsia" w:ascii="仿宋" w:hAnsi="仿宋" w:eastAsia="仿宋" w:cs="仿宋"/>
          <w:color w:val="auto"/>
          <w:sz w:val="24"/>
          <w:szCs w:val="24"/>
          <w:highlight w:val="none"/>
          <w:u w:val="single"/>
        </w:rPr>
        <w:t xml:space="preserve"> 1、对于主要由市场价格波动导致的价格风险及人工、材料费用上涨风险，人工单价按照施工同期省级或行业建设主管部门发布的调整文件进行调整。如工程造价中的建筑材料价格风险，承包人承担超出6%或减少3%以内（信息价变化）的主要材料（仅指钢材、水泥、商品混凝土、砌块）价格风险，其它材料不调整；2、对于承包人根据自身技术水平、管理、经营状况能够自主控制的风险，如承包人的管理费、利润的风险，承包人应结合市场情况，根据企业自身实际合理确定、自主报价，该部分风险由承包人全部承担  </w:t>
      </w:r>
      <w:r>
        <w:rPr>
          <w:rFonts w:hint="eastAsia" w:ascii="仿宋" w:hAnsi="仿宋" w:eastAsia="仿宋" w:cs="仿宋"/>
          <w:color w:val="auto"/>
          <w:sz w:val="24"/>
          <w:szCs w:val="24"/>
          <w:highlight w:val="none"/>
        </w:rPr>
        <w:t>。</w:t>
      </w:r>
    </w:p>
    <w:p w14:paraId="436F120A">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风险范围以外合同价格的调整方法：</w:t>
      </w:r>
      <w:r>
        <w:rPr>
          <w:rFonts w:hint="eastAsia" w:ascii="仿宋" w:hAnsi="仿宋" w:eastAsia="仿宋" w:cs="仿宋"/>
          <w:color w:val="auto"/>
          <w:sz w:val="24"/>
          <w:szCs w:val="24"/>
          <w:highlight w:val="none"/>
          <w:u w:val="single"/>
        </w:rPr>
        <w:t xml:space="preserve"> （1）重大设计变更（变更标准、改变使用功能及结构类型）或设计变更主要材料钢材、水泥、商品混凝土、砌块超出6%或减少 3%时调整，除主要材料（钢材、水泥、商品混凝土、砌块）以外的其它材料不作调整。（2）材料暂估价以发包人提供工程量清单单价为准，结算时，若发生变动按发包人签字确认的单价给予找差，差价部分只计取税金。（3）承包人提供的暂估材料（包括单价、规格型号、 品牌、材料质量）必须经发包人确认后方可进入结算。（4）如施工期间政府部门新出台的需发包人代为承包人交纳的税、费，此类税、费由承包人自行承担，发包人将不再另行支付。（5）暂列金额结算时按实际发生的计取，发生多少计取多少，不发生不计取，结算时扣回。（6）清单中列示的清单项，在实际施工过程中没有发生该项目清单，结算时将其清单项扣除。（7）实际发生清单没有的项目，按实计量  </w:t>
      </w:r>
      <w:r>
        <w:rPr>
          <w:rFonts w:hint="eastAsia" w:ascii="仿宋" w:hAnsi="仿宋" w:eastAsia="仿宋" w:cs="仿宋"/>
          <w:color w:val="auto"/>
          <w:sz w:val="24"/>
          <w:szCs w:val="24"/>
          <w:highlight w:val="none"/>
        </w:rPr>
        <w:t>。</w:t>
      </w:r>
    </w:p>
    <w:p w14:paraId="0DEE0067">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w:t>
      </w:r>
    </w:p>
    <w:p w14:paraId="12A24606">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总价包含的风险范围：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82EA39D">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风险费用的计算方法：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666FCC9D">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风险范围以外合同价格的调整方法：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960D8D7">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3、其他价格方式：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92026EC">
      <w:pPr>
        <w:spacing w:line="440" w:lineRule="exact"/>
        <w:ind w:firstLine="480" w:firstLineChars="200"/>
        <w:outlineLvl w:val="4"/>
        <w:rPr>
          <w:rFonts w:hint="eastAsia" w:ascii="仿宋" w:hAnsi="仿宋" w:eastAsia="仿宋" w:cs="仿宋"/>
          <w:color w:val="auto"/>
          <w:sz w:val="24"/>
          <w:szCs w:val="24"/>
          <w:highlight w:val="none"/>
        </w:rPr>
      </w:pPr>
      <w:bookmarkStart w:id="508" w:name="_Toc12264"/>
      <w:bookmarkStart w:id="509" w:name="_Toc300935004"/>
      <w:bookmarkStart w:id="510" w:name="_Toc297123554"/>
      <w:bookmarkStart w:id="511" w:name="_Toc304295581"/>
      <w:bookmarkStart w:id="512" w:name="_Toc312678042"/>
      <w:bookmarkStart w:id="513" w:name="_Toc303539161"/>
      <w:bookmarkStart w:id="514" w:name="_Toc297216213"/>
      <w:bookmarkStart w:id="515" w:name="_Toc292559412"/>
      <w:bookmarkStart w:id="516" w:name="_Toc296891035"/>
      <w:bookmarkStart w:id="517" w:name="_Toc297048393"/>
      <w:bookmarkStart w:id="518" w:name="_Toc297120507"/>
      <w:bookmarkStart w:id="519" w:name="_Toc292559917"/>
      <w:bookmarkStart w:id="520" w:name="_Toc296347206"/>
      <w:bookmarkStart w:id="521" w:name="_Toc296891247"/>
      <w:bookmarkStart w:id="522" w:name="_Toc296503207"/>
      <w:bookmarkStart w:id="523" w:name="_Toc296346708"/>
      <w:bookmarkStart w:id="524" w:name="_Toc296944546"/>
      <w:r>
        <w:rPr>
          <w:rFonts w:hint="eastAsia" w:ascii="仿宋" w:hAnsi="仿宋" w:eastAsia="仿宋" w:cs="仿宋"/>
          <w:color w:val="auto"/>
          <w:sz w:val="24"/>
          <w:szCs w:val="24"/>
          <w:highlight w:val="none"/>
        </w:rPr>
        <w:t>12.2 预付款</w:t>
      </w:r>
      <w:bookmarkEnd w:id="508"/>
    </w:p>
    <w:bookmarkEnd w:id="509"/>
    <w:bookmarkEnd w:id="510"/>
    <w:bookmarkEnd w:id="511"/>
    <w:bookmarkEnd w:id="512"/>
    <w:bookmarkEnd w:id="513"/>
    <w:bookmarkEnd w:id="514"/>
    <w:p w14:paraId="1A674DF7">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12.2.1 预付款的支付</w:t>
      </w:r>
    </w:p>
    <w:p w14:paraId="6FC947B7">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预付款支付比例或金额：</w:t>
      </w:r>
      <w:r>
        <w:rPr>
          <w:rFonts w:hint="eastAsia" w:ascii="仿宋" w:hAnsi="仿宋" w:eastAsia="仿宋" w:cs="仿宋"/>
          <w:color w:val="auto"/>
          <w:sz w:val="24"/>
          <w:szCs w:val="24"/>
          <w:highlight w:val="none"/>
          <w:u w:val="single"/>
        </w:rPr>
        <w:t>预付款的额度为合同价扣除暂列金的 30%（预付款中已包含安全文明施工费及扬尘污染防治费用）</w:t>
      </w:r>
      <w:r>
        <w:rPr>
          <w:rFonts w:hint="eastAsia" w:ascii="仿宋" w:hAnsi="仿宋" w:eastAsia="仿宋" w:cs="仿宋"/>
          <w:color w:val="auto"/>
          <w:sz w:val="24"/>
          <w:szCs w:val="24"/>
          <w:highlight w:val="none"/>
        </w:rPr>
        <w:t>。</w:t>
      </w:r>
    </w:p>
    <w:p w14:paraId="77C1C486">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预付款支付期限：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95F7349">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预付款扣回的方式：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BE04E82">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12.2.2 预付款担保</w:t>
      </w:r>
    </w:p>
    <w:p w14:paraId="7758B54E">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承包人提交预付款担保的期限：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EC72FF9">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预付款担保的形式为：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bookmarkEnd w:id="515"/>
    <w:bookmarkEnd w:id="516"/>
    <w:bookmarkEnd w:id="517"/>
    <w:bookmarkEnd w:id="518"/>
    <w:bookmarkEnd w:id="519"/>
    <w:bookmarkEnd w:id="520"/>
    <w:bookmarkEnd w:id="521"/>
    <w:bookmarkEnd w:id="522"/>
    <w:bookmarkEnd w:id="523"/>
    <w:bookmarkEnd w:id="524"/>
    <w:p w14:paraId="7F54DA1C">
      <w:pPr>
        <w:spacing w:line="440" w:lineRule="exact"/>
        <w:ind w:firstLine="480" w:firstLineChars="200"/>
        <w:outlineLvl w:val="4"/>
        <w:rPr>
          <w:rFonts w:hint="eastAsia" w:ascii="仿宋" w:hAnsi="仿宋" w:eastAsia="仿宋" w:cs="仿宋"/>
          <w:color w:val="auto"/>
          <w:sz w:val="24"/>
          <w:szCs w:val="24"/>
          <w:highlight w:val="none"/>
        </w:rPr>
      </w:pPr>
      <w:bookmarkStart w:id="525" w:name="_Toc18225"/>
      <w:r>
        <w:rPr>
          <w:rFonts w:hint="eastAsia" w:ascii="仿宋" w:hAnsi="仿宋" w:eastAsia="仿宋" w:cs="仿宋"/>
          <w:color w:val="auto"/>
          <w:sz w:val="24"/>
          <w:szCs w:val="24"/>
          <w:highlight w:val="none"/>
        </w:rPr>
        <w:t>12.3 计量</w:t>
      </w:r>
      <w:bookmarkEnd w:id="525"/>
    </w:p>
    <w:p w14:paraId="489BDA9B">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12.3.1 计量原则</w:t>
      </w:r>
    </w:p>
    <w:p w14:paraId="307876E3">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工程量计算规则：</w:t>
      </w:r>
      <w:r>
        <w:rPr>
          <w:rFonts w:hint="eastAsia" w:ascii="仿宋" w:hAnsi="仿宋" w:eastAsia="仿宋" w:cs="仿宋"/>
          <w:color w:val="auto"/>
          <w:sz w:val="24"/>
          <w:szCs w:val="24"/>
          <w:highlight w:val="none"/>
          <w:u w:val="single"/>
        </w:rPr>
        <w:t xml:space="preserve"> 工程量按《工程量清单计算规范》及自治区有关规定，依据施工图纸、设计变更、现行技术规范及图集、经审核批准的施工组织设计、施工方案、图纸会审、技术核定单、经济签证、洽商记录，实际验收合格的工程量为准（工程量最终确认由发包方、承包方、现场监理等相关单位进行现场测量并共同认可的实际完成工程量为准）   </w:t>
      </w:r>
      <w:r>
        <w:rPr>
          <w:rFonts w:hint="eastAsia" w:ascii="仿宋" w:hAnsi="仿宋" w:eastAsia="仿宋" w:cs="仿宋"/>
          <w:color w:val="auto"/>
          <w:sz w:val="24"/>
          <w:szCs w:val="24"/>
          <w:highlight w:val="none"/>
        </w:rPr>
        <w:t>。</w:t>
      </w:r>
    </w:p>
    <w:p w14:paraId="5E53D130">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12.3.2 计量周期</w:t>
      </w:r>
    </w:p>
    <w:p w14:paraId="77CE8DF7">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关于计量周期的约定：</w:t>
      </w:r>
      <w:r>
        <w:rPr>
          <w:rFonts w:hint="eastAsia" w:ascii="仿宋" w:hAnsi="仿宋" w:eastAsia="仿宋" w:cs="仿宋"/>
          <w:color w:val="auto"/>
          <w:sz w:val="24"/>
          <w:szCs w:val="24"/>
          <w:highlight w:val="none"/>
          <w:u w:val="single"/>
        </w:rPr>
        <w:t xml:space="preserve">   按月计量            </w:t>
      </w:r>
      <w:r>
        <w:rPr>
          <w:rFonts w:hint="eastAsia" w:ascii="仿宋" w:hAnsi="仿宋" w:eastAsia="仿宋" w:cs="仿宋"/>
          <w:color w:val="auto"/>
          <w:sz w:val="24"/>
          <w:szCs w:val="24"/>
          <w:highlight w:val="none"/>
        </w:rPr>
        <w:t>。</w:t>
      </w:r>
    </w:p>
    <w:p w14:paraId="5118E1C5">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12.3.3 单价合同的计量</w:t>
      </w:r>
    </w:p>
    <w:p w14:paraId="66DDD409">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关于单价合同计量的约定：</w:t>
      </w:r>
      <w:r>
        <w:rPr>
          <w:rFonts w:hint="eastAsia" w:ascii="仿宋" w:hAnsi="仿宋" w:eastAsia="仿宋" w:cs="仿宋"/>
          <w:color w:val="auto"/>
          <w:sz w:val="24"/>
          <w:szCs w:val="24"/>
          <w:highlight w:val="none"/>
          <w:u w:val="single"/>
        </w:rPr>
        <w:t xml:space="preserve">  由承包人、监理人、发包人认可的为准 </w:t>
      </w:r>
      <w:r>
        <w:rPr>
          <w:rFonts w:hint="eastAsia" w:ascii="仿宋" w:hAnsi="仿宋" w:eastAsia="仿宋" w:cs="仿宋"/>
          <w:color w:val="auto"/>
          <w:sz w:val="24"/>
          <w:szCs w:val="24"/>
          <w:highlight w:val="none"/>
        </w:rPr>
        <w:t>。</w:t>
      </w:r>
    </w:p>
    <w:p w14:paraId="257C8CA0">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12.3.4 总价合同的计量</w:t>
      </w:r>
    </w:p>
    <w:p w14:paraId="5822BC4C">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关于总价合同计量的约定：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6F024456">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12.3.5总价合同采用支付分解表计量支付的，是否适用第</w:t>
      </w:r>
      <w:r>
        <w:rPr>
          <w:rFonts w:hint="eastAsia" w:ascii="仿宋" w:hAnsi="仿宋" w:eastAsia="仿宋" w:cs="仿宋"/>
          <w:color w:val="auto"/>
          <w:kern w:val="0"/>
          <w:sz w:val="24"/>
          <w:szCs w:val="24"/>
          <w:highlight w:val="none"/>
        </w:rPr>
        <w:t xml:space="preserve">12.3.4 </w:t>
      </w:r>
      <w:r>
        <w:rPr>
          <w:rFonts w:hint="eastAsia" w:ascii="仿宋" w:hAnsi="仿宋" w:eastAsia="仿宋" w:cs="仿宋"/>
          <w:color w:val="auto"/>
          <w:sz w:val="24"/>
          <w:szCs w:val="24"/>
          <w:highlight w:val="none"/>
        </w:rPr>
        <w:t>项</w:t>
      </w:r>
      <w:r>
        <w:rPr>
          <w:rFonts w:hint="eastAsia" w:ascii="仿宋" w:hAnsi="仿宋" w:eastAsia="仿宋" w:cs="仿宋"/>
          <w:color w:val="auto"/>
          <w:kern w:val="0"/>
          <w:sz w:val="24"/>
          <w:szCs w:val="24"/>
          <w:highlight w:val="none"/>
        </w:rPr>
        <w:t>〔总价合同的计量〕</w:t>
      </w:r>
      <w:r>
        <w:rPr>
          <w:rFonts w:hint="eastAsia" w:ascii="仿宋" w:hAnsi="仿宋" w:eastAsia="仿宋" w:cs="仿宋"/>
          <w:color w:val="auto"/>
          <w:sz w:val="24"/>
          <w:szCs w:val="24"/>
          <w:highlight w:val="none"/>
        </w:rPr>
        <w:t>约定进行计量：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844BC2B">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12.3.6 其他价格形式合同的计量</w:t>
      </w:r>
    </w:p>
    <w:p w14:paraId="3AF57B8B">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其他价格形式的计量方式和程序：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228B697">
      <w:pPr>
        <w:spacing w:line="440" w:lineRule="exact"/>
        <w:ind w:firstLine="480" w:firstLineChars="200"/>
        <w:outlineLvl w:val="4"/>
        <w:rPr>
          <w:rFonts w:hint="eastAsia" w:ascii="仿宋" w:hAnsi="仿宋" w:eastAsia="仿宋" w:cs="仿宋"/>
          <w:color w:val="auto"/>
          <w:sz w:val="24"/>
          <w:szCs w:val="24"/>
          <w:highlight w:val="none"/>
        </w:rPr>
      </w:pPr>
      <w:bookmarkStart w:id="526" w:name="_Toc25063"/>
      <w:r>
        <w:rPr>
          <w:rFonts w:hint="eastAsia" w:ascii="仿宋" w:hAnsi="仿宋" w:eastAsia="仿宋" w:cs="仿宋"/>
          <w:color w:val="auto"/>
          <w:sz w:val="24"/>
          <w:szCs w:val="24"/>
          <w:highlight w:val="none"/>
        </w:rPr>
        <w:t>12.4 工程进度款支付</w:t>
      </w:r>
      <w:bookmarkEnd w:id="526"/>
    </w:p>
    <w:p w14:paraId="63C50DE6">
      <w:pPr>
        <w:spacing w:line="440" w:lineRule="exact"/>
        <w:ind w:firstLine="480" w:firstLineChars="200"/>
        <w:jc w:val="left"/>
        <w:rPr>
          <w:rFonts w:hint="eastAsia" w:ascii="仿宋" w:hAnsi="仿宋" w:eastAsia="仿宋" w:cs="仿宋"/>
          <w:color w:val="auto"/>
          <w:sz w:val="24"/>
          <w:szCs w:val="24"/>
          <w:highlight w:val="none"/>
        </w:rPr>
      </w:pPr>
      <w:bookmarkStart w:id="527" w:name="_Toc297216215"/>
      <w:bookmarkStart w:id="528" w:name="_Toc300935006"/>
      <w:bookmarkStart w:id="529" w:name="_Toc303539163"/>
      <w:bookmarkStart w:id="530" w:name="_Toc296891251"/>
      <w:bookmarkStart w:id="531" w:name="_Toc297123556"/>
      <w:bookmarkStart w:id="532" w:name="_Toc296347210"/>
      <w:bookmarkStart w:id="533" w:name="_Toc297120511"/>
      <w:bookmarkStart w:id="534" w:name="_Toc296346712"/>
      <w:bookmarkStart w:id="535" w:name="_Toc297048397"/>
      <w:bookmarkStart w:id="536" w:name="_Toc296891039"/>
      <w:bookmarkStart w:id="537" w:name="_Toc296944550"/>
      <w:bookmarkStart w:id="538" w:name="_Toc292559921"/>
      <w:bookmarkStart w:id="539" w:name="_Toc296503211"/>
      <w:bookmarkStart w:id="540" w:name="_Toc292559416"/>
      <w:r>
        <w:rPr>
          <w:rFonts w:hint="eastAsia" w:ascii="仿宋" w:hAnsi="仿宋" w:eastAsia="仿宋" w:cs="仿宋"/>
          <w:color w:val="auto"/>
          <w:sz w:val="24"/>
          <w:szCs w:val="24"/>
          <w:highlight w:val="none"/>
        </w:rPr>
        <w:t>12.4.1 付款周期</w:t>
      </w:r>
    </w:p>
    <w:p w14:paraId="655684FE">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关于付款周期的约定：</w:t>
      </w:r>
      <w:r>
        <w:rPr>
          <w:rFonts w:hint="eastAsia" w:ascii="仿宋" w:hAnsi="仿宋" w:eastAsia="仿宋" w:cs="仿宋"/>
          <w:color w:val="auto"/>
          <w:sz w:val="24"/>
          <w:szCs w:val="24"/>
          <w:highlight w:val="none"/>
          <w:u w:val="single"/>
        </w:rPr>
        <w:t xml:space="preserve">  按工程形象进度支付工程款   </w:t>
      </w:r>
      <w:r>
        <w:rPr>
          <w:rFonts w:hint="eastAsia" w:ascii="仿宋" w:hAnsi="仿宋" w:eastAsia="仿宋" w:cs="仿宋"/>
          <w:color w:val="auto"/>
          <w:sz w:val="24"/>
          <w:szCs w:val="24"/>
          <w:highlight w:val="none"/>
        </w:rPr>
        <w:t>。</w:t>
      </w:r>
    </w:p>
    <w:p w14:paraId="20BD8360">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工程开工支付预付款30%（不含暂列金），进度款根据工程进度支付至合同价的70%（不含暂列金），工程竣工验收合格后甲方支付至合同价的80%（不含暂列金），工程结算审核后支付到审核价的97%，留结算价的3%，在工程完工，经甲方竣工验收合格质保期满后无质量问题一次性无息付清</w:t>
      </w:r>
      <w:r>
        <w:rPr>
          <w:rFonts w:hint="eastAsia" w:ascii="仿宋" w:hAnsi="仿宋" w:eastAsia="仿宋" w:cs="仿宋"/>
          <w:color w:val="auto"/>
          <w:sz w:val="24"/>
          <w:szCs w:val="24"/>
          <w:highlight w:val="none"/>
        </w:rPr>
        <w:t>。</w:t>
      </w:r>
    </w:p>
    <w:p w14:paraId="54069834">
      <w:pPr>
        <w:spacing w:line="440" w:lineRule="exact"/>
        <w:ind w:firstLine="482" w:firstLineChars="20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工程款支付监督特别约定：</w:t>
      </w:r>
    </w:p>
    <w:p w14:paraId="7C9948A1">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鉴于本工程系国家投资项目，承包人承诺接受发包人对支付工程款进行监督。故承包人应当在本合同签订后设立工程款支付专用账户（非农民工工资专用账户）并向发包人提交《专户承诺书》及开户信息。申请进度款时，需提供监理人对支付计划审核意见及上一批次进度款的实际支付凭证（含发票）。每发生一次承包人挪用工程款情形，承包人应当立即向发包人提供资金使用的书面说明，立即返还挪用工程款， 承包人应向发包人支付10万元/次的违约金。否则发包人有权拒绝支付当期进度款，并</w:t>
      </w:r>
      <w:r>
        <w:rPr>
          <w:rFonts w:hint="eastAsia" w:ascii="仿宋" w:hAnsi="仿宋" w:eastAsia="仿宋" w:cs="仿宋"/>
          <w:b/>
          <w:bCs/>
          <w:color w:val="auto"/>
          <w:sz w:val="24"/>
          <w:szCs w:val="24"/>
          <w:highlight w:val="none"/>
          <w:u w:val="single"/>
        </w:rPr>
        <w:t>有权解除合同</w:t>
      </w:r>
      <w:r>
        <w:rPr>
          <w:rFonts w:hint="eastAsia" w:ascii="仿宋" w:hAnsi="仿宋" w:eastAsia="仿宋" w:cs="仿宋"/>
          <w:color w:val="auto"/>
          <w:sz w:val="24"/>
          <w:szCs w:val="24"/>
          <w:highlight w:val="none"/>
          <w:u w:val="single"/>
        </w:rPr>
        <w:t>。同时不免除承包人按期履行合同义务并承担对应的违约责任</w:t>
      </w:r>
      <w:r>
        <w:rPr>
          <w:rFonts w:hint="eastAsia" w:ascii="仿宋" w:hAnsi="仿宋" w:eastAsia="仿宋" w:cs="仿宋"/>
          <w:color w:val="auto"/>
          <w:sz w:val="24"/>
          <w:szCs w:val="24"/>
          <w:highlight w:val="none"/>
        </w:rPr>
        <w:t>。</w:t>
      </w:r>
    </w:p>
    <w:p w14:paraId="18568374">
      <w:pPr>
        <w:spacing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每一次发包人付款前，承包人应当向发包人提交付款申请和足额工程款增值税发票，否则甲方有权拒绝支付</w:t>
      </w:r>
      <w:r>
        <w:rPr>
          <w:rFonts w:hint="eastAsia" w:ascii="仿宋" w:hAnsi="仿宋" w:eastAsia="仿宋" w:cs="仿宋"/>
          <w:color w:val="auto"/>
          <w:sz w:val="24"/>
          <w:szCs w:val="24"/>
          <w:highlight w:val="none"/>
        </w:rPr>
        <w:t>。</w:t>
      </w:r>
    </w:p>
    <w:p w14:paraId="46FE62F2">
      <w:pPr>
        <w:spacing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工程施工过程中按施工进度支付工程款，在工程款暂不到位的情况下，承包人也应按计划组织施工，不得因此停工并延误竣工日期。发包人不承担逾期支利息及其他衍生费用</w:t>
      </w:r>
      <w:r>
        <w:rPr>
          <w:rFonts w:hint="eastAsia" w:ascii="仿宋" w:hAnsi="仿宋" w:eastAsia="仿宋" w:cs="仿宋"/>
          <w:color w:val="auto"/>
          <w:sz w:val="24"/>
          <w:szCs w:val="24"/>
          <w:highlight w:val="none"/>
        </w:rPr>
        <w:t>。</w:t>
      </w:r>
    </w:p>
    <w:p w14:paraId="6F4469BB">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留结算价的 3%作为质保金，在质保期满后无质量问题一次性无息付清</w:t>
      </w:r>
      <w:r>
        <w:rPr>
          <w:rFonts w:hint="eastAsia" w:ascii="仿宋" w:hAnsi="仿宋" w:eastAsia="仿宋" w:cs="仿宋"/>
          <w:color w:val="auto"/>
          <w:sz w:val="24"/>
          <w:szCs w:val="24"/>
          <w:highlight w:val="none"/>
        </w:rPr>
        <w:t>。</w:t>
      </w:r>
    </w:p>
    <w:p w14:paraId="00D13287">
      <w:pPr>
        <w:spacing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承包人承诺严格依法承包本项目。如发包人发现承包人存在出借资质、违法分包、转包等违法行为时，发包人有权停止一切付款，在承包人纠正其违法行为前，均不视为发包人欠付承包人工程款</w:t>
      </w:r>
      <w:r>
        <w:rPr>
          <w:rFonts w:hint="eastAsia" w:ascii="仿宋" w:hAnsi="仿宋" w:eastAsia="仿宋" w:cs="仿宋"/>
          <w:color w:val="auto"/>
          <w:sz w:val="24"/>
          <w:szCs w:val="24"/>
          <w:highlight w:val="none"/>
        </w:rPr>
        <w:t>。</w:t>
      </w:r>
    </w:p>
    <w:p w14:paraId="37B8CE00">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12.4.2 进度付款申请单的编制</w:t>
      </w:r>
    </w:p>
    <w:p w14:paraId="648D210D">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关于进度付款申请单编制的约定：</w:t>
      </w:r>
      <w:r>
        <w:rPr>
          <w:rFonts w:hint="eastAsia" w:ascii="仿宋" w:hAnsi="仿宋" w:eastAsia="仿宋" w:cs="仿宋"/>
          <w:color w:val="auto"/>
          <w:sz w:val="24"/>
          <w:szCs w:val="24"/>
          <w:highlight w:val="none"/>
          <w:u w:val="single"/>
        </w:rPr>
        <w:t xml:space="preserve">  进度付款申请单一式 3份  </w:t>
      </w:r>
      <w:r>
        <w:rPr>
          <w:rFonts w:hint="eastAsia" w:ascii="仿宋" w:hAnsi="仿宋" w:eastAsia="仿宋" w:cs="仿宋"/>
          <w:color w:val="auto"/>
          <w:sz w:val="24"/>
          <w:szCs w:val="24"/>
          <w:highlight w:val="none"/>
        </w:rPr>
        <w:t>。</w:t>
      </w:r>
    </w:p>
    <w:p w14:paraId="53E2FE93">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r>
        <w:rPr>
          <w:rFonts w:hint="eastAsia" w:ascii="仿宋" w:hAnsi="仿宋" w:eastAsia="仿宋" w:cs="仿宋"/>
          <w:color w:val="auto"/>
          <w:sz w:val="24"/>
          <w:szCs w:val="24"/>
          <w:highlight w:val="none"/>
        </w:rPr>
        <w:t>2.4.3 进度付款申请单的提交</w:t>
      </w:r>
    </w:p>
    <w:p w14:paraId="1EE19347">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（1）单价合同进度付款申请单提交的约定：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26FACFF">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975BCC3">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（3）其他价格形式合同进度付款申请单提交的约定：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3C0E1DA">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12.4.4 进度款审核和支付</w:t>
      </w:r>
    </w:p>
    <w:p w14:paraId="4B7A22FD">
      <w:pPr>
        <w:spacing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（1）监理人审查并报送发包人的期限：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46BDB37">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发包人完成审批并签发进度款支付证书的期限：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3241B44">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（2）发包人支付进度款的期限：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5DCA818">
      <w:pPr>
        <w:spacing w:line="440" w:lineRule="exact"/>
        <w:ind w:firstLine="600" w:firstLineChars="2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发包人逾期支付进度款的违约金的计算方式：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4F6B28F">
      <w:pPr>
        <w:spacing w:line="440" w:lineRule="exact"/>
        <w:ind w:firstLine="600" w:firstLineChars="2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12.4.6 支付分解表的编制</w:t>
      </w:r>
    </w:p>
    <w:p w14:paraId="00AA8139">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E95C96C">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3、单价合同的总价项目支付分解表的编制与审批：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bookmarkEnd w:id="360"/>
    <w:p w14:paraId="69620A76">
      <w:pPr>
        <w:pStyle w:val="5"/>
        <w:spacing w:before="0" w:after="0" w:line="440" w:lineRule="exact"/>
        <w:rPr>
          <w:rFonts w:hint="eastAsia" w:ascii="仿宋" w:hAnsi="仿宋" w:eastAsia="仿宋" w:cs="仿宋"/>
          <w:b w:val="0"/>
          <w:color w:val="auto"/>
          <w:sz w:val="24"/>
          <w:szCs w:val="24"/>
          <w:highlight w:val="none"/>
        </w:rPr>
      </w:pPr>
      <w:bookmarkStart w:id="541" w:name="_Toc9609"/>
      <w:bookmarkStart w:id="542" w:name="_Toc303539172"/>
      <w:bookmarkStart w:id="543" w:name="_Toc300935015"/>
      <w:bookmarkStart w:id="544" w:name="_Toc296347218"/>
      <w:bookmarkStart w:id="545" w:name="_Toc297216223"/>
      <w:bookmarkStart w:id="546" w:name="_Toc296891259"/>
      <w:bookmarkStart w:id="547" w:name="_Toc296891047"/>
      <w:bookmarkStart w:id="548" w:name="_Toc312678053"/>
      <w:bookmarkStart w:id="549" w:name="_Toc297123564"/>
      <w:bookmarkStart w:id="550" w:name="_Toc292559929"/>
      <w:bookmarkStart w:id="551" w:name="_Toc296346720"/>
      <w:bookmarkStart w:id="552" w:name="_Toc296944558"/>
      <w:bookmarkStart w:id="553" w:name="_Toc297120519"/>
      <w:bookmarkStart w:id="554" w:name="_Toc297048405"/>
      <w:bookmarkStart w:id="555" w:name="_Toc304295593"/>
      <w:bookmarkStart w:id="556" w:name="_Toc296503219"/>
      <w:bookmarkStart w:id="557" w:name="_Toc292559424"/>
      <w:r>
        <w:rPr>
          <w:rFonts w:hint="eastAsia" w:ascii="仿宋" w:hAnsi="仿宋" w:eastAsia="仿宋" w:cs="仿宋"/>
          <w:b w:val="0"/>
          <w:color w:val="auto"/>
          <w:sz w:val="24"/>
          <w:szCs w:val="24"/>
          <w:highlight w:val="none"/>
        </w:rPr>
        <w:t>13. 验收和工程试车</w:t>
      </w:r>
      <w:bookmarkEnd w:id="541"/>
    </w:p>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14:paraId="650AB906">
      <w:pPr>
        <w:spacing w:line="440" w:lineRule="exact"/>
        <w:ind w:firstLine="480" w:firstLineChars="200"/>
        <w:outlineLvl w:val="4"/>
        <w:rPr>
          <w:rFonts w:hint="eastAsia" w:ascii="仿宋" w:hAnsi="仿宋" w:eastAsia="仿宋" w:cs="仿宋"/>
          <w:color w:val="auto"/>
          <w:sz w:val="24"/>
          <w:szCs w:val="24"/>
          <w:highlight w:val="none"/>
        </w:rPr>
      </w:pPr>
      <w:bookmarkStart w:id="558" w:name="_Toc16133"/>
      <w:r>
        <w:rPr>
          <w:rFonts w:hint="eastAsia" w:ascii="仿宋" w:hAnsi="仿宋" w:eastAsia="仿宋" w:cs="仿宋"/>
          <w:color w:val="auto"/>
          <w:sz w:val="24"/>
          <w:szCs w:val="24"/>
          <w:highlight w:val="none"/>
        </w:rPr>
        <w:t>13.1 分部分项工程验收</w:t>
      </w:r>
      <w:bookmarkEnd w:id="558"/>
    </w:p>
    <w:p w14:paraId="7879708A">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13.1.2监理人不能按时进行验收时，应提前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小时提交书面延期要求。</w:t>
      </w:r>
    </w:p>
    <w:p w14:paraId="06A83963">
      <w:pPr>
        <w:spacing w:line="440" w:lineRule="exact"/>
        <w:ind w:firstLine="480" w:firstLineChars="200"/>
        <w:jc w:val="lef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小时。</w:t>
      </w:r>
    </w:p>
    <w:p w14:paraId="777D3B8F">
      <w:pPr>
        <w:spacing w:line="440" w:lineRule="exact"/>
        <w:ind w:firstLine="480" w:firstLineChars="200"/>
        <w:outlineLvl w:val="4"/>
        <w:rPr>
          <w:rFonts w:hint="eastAsia" w:ascii="仿宋" w:hAnsi="仿宋" w:eastAsia="仿宋" w:cs="仿宋"/>
          <w:color w:val="auto"/>
          <w:sz w:val="24"/>
          <w:szCs w:val="24"/>
          <w:highlight w:val="none"/>
        </w:rPr>
      </w:pPr>
      <w:bookmarkStart w:id="559" w:name="_Toc9814"/>
      <w:bookmarkStart w:id="560" w:name="_Toc303539173"/>
      <w:bookmarkStart w:id="561" w:name="_Toc312678056"/>
      <w:bookmarkStart w:id="562" w:name="_Toc297216224"/>
      <w:bookmarkStart w:id="563" w:name="_Toc297120523"/>
      <w:bookmarkStart w:id="564" w:name="_Toc300935016"/>
      <w:bookmarkStart w:id="565" w:name="_Toc296891263"/>
      <w:bookmarkStart w:id="566" w:name="_Toc297123565"/>
      <w:bookmarkStart w:id="567" w:name="_Toc296891051"/>
      <w:bookmarkStart w:id="568" w:name="_Toc296944562"/>
      <w:bookmarkStart w:id="569" w:name="_Toc296347222"/>
      <w:bookmarkStart w:id="570" w:name="_Toc297048409"/>
      <w:bookmarkStart w:id="571" w:name="_Toc292559933"/>
      <w:bookmarkStart w:id="572" w:name="_Toc292559428"/>
      <w:bookmarkStart w:id="573" w:name="_Toc296346724"/>
      <w:bookmarkStart w:id="574" w:name="_Toc304295596"/>
      <w:bookmarkStart w:id="575" w:name="_Toc296503223"/>
      <w:bookmarkStart w:id="576" w:name="_Toc267251470"/>
      <w:bookmarkStart w:id="577" w:name="_Toc267251472"/>
      <w:bookmarkStart w:id="578" w:name="_Toc267251474"/>
      <w:bookmarkStart w:id="579" w:name="_Toc267251473"/>
      <w:bookmarkStart w:id="580" w:name="_Toc267251475"/>
      <w:bookmarkStart w:id="581" w:name="_Toc267251471"/>
      <w:bookmarkStart w:id="582" w:name="_Toc267251476"/>
      <w:r>
        <w:rPr>
          <w:rFonts w:hint="eastAsia" w:ascii="仿宋" w:hAnsi="仿宋" w:eastAsia="仿宋" w:cs="仿宋"/>
          <w:color w:val="auto"/>
          <w:sz w:val="24"/>
          <w:szCs w:val="24"/>
          <w:highlight w:val="none"/>
        </w:rPr>
        <w:t>13.2 竣工验收</w:t>
      </w:r>
      <w:bookmarkEnd w:id="559"/>
    </w:p>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14:paraId="7F3EA025">
      <w:pPr>
        <w:spacing w:line="440" w:lineRule="exact"/>
        <w:ind w:firstLine="480" w:firstLineChars="200"/>
        <w:jc w:val="left"/>
        <w:rPr>
          <w:rFonts w:hint="eastAsia" w:ascii="仿宋" w:hAnsi="仿宋" w:eastAsia="仿宋" w:cs="仿宋"/>
          <w:color w:val="auto"/>
          <w:sz w:val="24"/>
          <w:szCs w:val="24"/>
          <w:highlight w:val="none"/>
        </w:rPr>
      </w:pPr>
      <w:bookmarkStart w:id="583" w:name="_Toc280868704"/>
      <w:bookmarkStart w:id="584" w:name="_Toc280868705"/>
      <w:bookmarkStart w:id="585" w:name="_Toc280868706"/>
      <w:bookmarkStart w:id="586" w:name="_Toc280868707"/>
      <w:bookmarkStart w:id="587" w:name="_Toc280868708"/>
      <w:bookmarkStart w:id="588" w:name="_Toc280868709"/>
      <w:r>
        <w:rPr>
          <w:rFonts w:hint="eastAsia" w:ascii="仿宋" w:hAnsi="仿宋" w:eastAsia="仿宋" w:cs="仿宋"/>
          <w:color w:val="auto"/>
          <w:sz w:val="24"/>
          <w:szCs w:val="24"/>
          <w:highlight w:val="none"/>
        </w:rPr>
        <w:t>13.2.2竣工验收程序</w:t>
      </w:r>
    </w:p>
    <w:bookmarkEnd w:id="583"/>
    <w:p w14:paraId="1DC5141D">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关于竣工验收程序的约定：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9EEEFCA">
      <w:pPr>
        <w:spacing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发包人不按照本项约定组织竣工验收、颁发工程接收证书的违约金的计算方法：</w:t>
      </w:r>
      <w:r>
        <w:rPr>
          <w:rFonts w:hint="eastAsia" w:ascii="仿宋" w:hAnsi="仿宋" w:eastAsia="仿宋" w:cs="仿宋"/>
          <w:color w:val="auto"/>
          <w:sz w:val="24"/>
          <w:szCs w:val="24"/>
          <w:highlight w:val="none"/>
          <w:u w:val="single"/>
        </w:rPr>
        <w:t xml:space="preserve">                                         </w:t>
      </w:r>
    </w:p>
    <w:p w14:paraId="054C35D2">
      <w:pPr>
        <w:spacing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bookmarkEnd w:id="584"/>
    <w:p w14:paraId="51E7224C">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13.2.5移交、接收全部与部分工程</w:t>
      </w:r>
    </w:p>
    <w:bookmarkEnd w:id="585"/>
    <w:p w14:paraId="47212ED6">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承包人向发包人移交工程的期限：</w:t>
      </w:r>
      <w:r>
        <w:rPr>
          <w:rFonts w:hint="eastAsia" w:ascii="仿宋" w:hAnsi="仿宋" w:eastAsia="仿宋" w:cs="仿宋"/>
          <w:color w:val="auto"/>
          <w:sz w:val="24"/>
          <w:szCs w:val="24"/>
          <w:highlight w:val="none"/>
          <w:u w:val="single"/>
        </w:rPr>
        <w:t xml:space="preserve"> 工程竣工验收完成7天内 </w:t>
      </w:r>
      <w:r>
        <w:rPr>
          <w:rFonts w:hint="eastAsia" w:ascii="仿宋" w:hAnsi="仿宋" w:eastAsia="仿宋" w:cs="仿宋"/>
          <w:color w:val="auto"/>
          <w:sz w:val="24"/>
          <w:szCs w:val="24"/>
          <w:highlight w:val="none"/>
        </w:rPr>
        <w:t>。</w:t>
      </w:r>
    </w:p>
    <w:p w14:paraId="0C8CF535">
      <w:pPr>
        <w:spacing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发包人未按本合同约定接收全部或部分工程的，违约金的计算方法为：</w:t>
      </w:r>
      <w:r>
        <w:rPr>
          <w:rFonts w:hint="eastAsia" w:ascii="仿宋" w:hAnsi="仿宋" w:eastAsia="仿宋" w:cs="仿宋"/>
          <w:color w:val="auto"/>
          <w:kern w:val="0"/>
          <w:sz w:val="24"/>
          <w:szCs w:val="24"/>
          <w:highlight w:val="none"/>
          <w:u w:val="single"/>
        </w:rPr>
        <w:t xml:space="preserve"> 无 </w:t>
      </w:r>
      <w:r>
        <w:rPr>
          <w:rFonts w:hint="eastAsia" w:ascii="仿宋" w:hAnsi="仿宋" w:eastAsia="仿宋" w:cs="仿宋"/>
          <w:color w:val="auto"/>
          <w:sz w:val="24"/>
          <w:szCs w:val="24"/>
          <w:highlight w:val="none"/>
        </w:rPr>
        <w:t>。</w:t>
      </w:r>
    </w:p>
    <w:bookmarkEnd w:id="586"/>
    <w:p w14:paraId="3EBFF5EE">
      <w:pPr>
        <w:spacing w:line="440" w:lineRule="exact"/>
        <w:ind w:firstLine="480" w:firstLineChars="200"/>
        <w:outlineLvl w:val="4"/>
        <w:rPr>
          <w:rFonts w:hint="eastAsia" w:ascii="仿宋" w:hAnsi="仿宋" w:eastAsia="仿宋" w:cs="仿宋"/>
          <w:color w:val="auto"/>
          <w:sz w:val="24"/>
          <w:szCs w:val="24"/>
          <w:highlight w:val="none"/>
        </w:rPr>
      </w:pPr>
      <w:bookmarkStart w:id="589" w:name="_Toc29251"/>
      <w:r>
        <w:rPr>
          <w:rFonts w:hint="eastAsia" w:ascii="仿宋" w:hAnsi="仿宋" w:eastAsia="仿宋" w:cs="仿宋"/>
          <w:color w:val="auto"/>
          <w:sz w:val="24"/>
          <w:szCs w:val="24"/>
          <w:highlight w:val="none"/>
        </w:rPr>
        <w:t>13.3 工程试车</w:t>
      </w:r>
      <w:bookmarkEnd w:id="589"/>
    </w:p>
    <w:bookmarkEnd w:id="587"/>
    <w:p w14:paraId="61B24FE8">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13.3.1 试车程序</w:t>
      </w:r>
    </w:p>
    <w:p w14:paraId="079CA297">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工程试车内容：</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0B23D777">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（1）单机无负荷试车费用由</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kern w:val="0"/>
          <w:sz w:val="24"/>
          <w:szCs w:val="24"/>
          <w:highlight w:val="none"/>
        </w:rPr>
        <w:t>承担；</w:t>
      </w:r>
    </w:p>
    <w:p w14:paraId="12EB86F0">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（2）无负荷联动试车费用由</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kern w:val="0"/>
          <w:sz w:val="24"/>
          <w:szCs w:val="24"/>
          <w:highlight w:val="none"/>
        </w:rPr>
        <w:t>承担。</w:t>
      </w:r>
    </w:p>
    <w:p w14:paraId="1172D9C7">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13.3.3 投料试车</w:t>
      </w:r>
    </w:p>
    <w:p w14:paraId="6B0CBD2D">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关于投料试车相关事项的约定：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68555D04">
      <w:pPr>
        <w:spacing w:line="440" w:lineRule="exact"/>
        <w:ind w:firstLine="480" w:firstLineChars="200"/>
        <w:outlineLvl w:val="4"/>
        <w:rPr>
          <w:rFonts w:hint="eastAsia" w:ascii="仿宋" w:hAnsi="仿宋" w:eastAsia="仿宋" w:cs="仿宋"/>
          <w:color w:val="auto"/>
          <w:sz w:val="24"/>
          <w:szCs w:val="24"/>
          <w:highlight w:val="none"/>
        </w:rPr>
      </w:pPr>
      <w:bookmarkStart w:id="590" w:name="_Toc29006"/>
      <w:r>
        <w:rPr>
          <w:rFonts w:hint="eastAsia" w:ascii="仿宋" w:hAnsi="仿宋" w:eastAsia="仿宋" w:cs="仿宋"/>
          <w:color w:val="auto"/>
          <w:sz w:val="24"/>
          <w:szCs w:val="24"/>
          <w:highlight w:val="none"/>
        </w:rPr>
        <w:t>13.6 竣工退场</w:t>
      </w:r>
      <w:bookmarkEnd w:id="590"/>
    </w:p>
    <w:p w14:paraId="34A43B67">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13.6.1 竣工退场</w:t>
      </w:r>
    </w:p>
    <w:p w14:paraId="0961909F">
      <w:pPr>
        <w:spacing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承包人完成竣工退场的期限：</w:t>
      </w:r>
      <w:r>
        <w:rPr>
          <w:rFonts w:hint="eastAsia" w:ascii="仿宋" w:hAnsi="仿宋" w:eastAsia="仿宋" w:cs="仿宋"/>
          <w:color w:val="auto"/>
          <w:sz w:val="24"/>
          <w:szCs w:val="24"/>
          <w:highlight w:val="none"/>
          <w:u w:val="single"/>
        </w:rPr>
        <w:t xml:space="preserve"> 工程竣工验收完成7天内或发包人解除合同之日起三日内  。</w:t>
      </w:r>
    </w:p>
    <w:p w14:paraId="374BBB3A">
      <w:pPr>
        <w:pStyle w:val="5"/>
        <w:spacing w:before="0" w:after="0" w:line="440" w:lineRule="exact"/>
        <w:rPr>
          <w:rFonts w:hint="eastAsia" w:ascii="仿宋" w:hAnsi="仿宋" w:eastAsia="仿宋" w:cs="仿宋"/>
          <w:b w:val="0"/>
          <w:color w:val="auto"/>
          <w:sz w:val="24"/>
          <w:szCs w:val="24"/>
          <w:highlight w:val="none"/>
        </w:rPr>
      </w:pPr>
      <w:bookmarkStart w:id="591" w:name="_Toc21094"/>
      <w:r>
        <w:rPr>
          <w:rFonts w:hint="eastAsia" w:ascii="仿宋" w:hAnsi="仿宋" w:eastAsia="仿宋" w:cs="仿宋"/>
          <w:b w:val="0"/>
          <w:color w:val="auto"/>
          <w:sz w:val="24"/>
          <w:szCs w:val="24"/>
          <w:highlight w:val="none"/>
        </w:rPr>
        <w:t>14. 竣工结算</w:t>
      </w:r>
      <w:bookmarkEnd w:id="591"/>
    </w:p>
    <w:p w14:paraId="3184A05F">
      <w:pPr>
        <w:spacing w:line="440" w:lineRule="exact"/>
        <w:ind w:firstLine="480" w:firstLineChars="200"/>
        <w:outlineLvl w:val="4"/>
        <w:rPr>
          <w:rFonts w:hint="eastAsia" w:ascii="仿宋" w:hAnsi="仿宋" w:eastAsia="仿宋" w:cs="仿宋"/>
          <w:color w:val="auto"/>
          <w:sz w:val="24"/>
          <w:szCs w:val="24"/>
          <w:highlight w:val="none"/>
        </w:rPr>
      </w:pPr>
      <w:bookmarkStart w:id="592" w:name="_Toc16480"/>
      <w:r>
        <w:rPr>
          <w:rFonts w:hint="eastAsia" w:ascii="仿宋" w:hAnsi="仿宋" w:eastAsia="仿宋" w:cs="仿宋"/>
          <w:color w:val="auto"/>
          <w:sz w:val="24"/>
          <w:szCs w:val="24"/>
          <w:highlight w:val="none"/>
        </w:rPr>
        <w:t>14.1 竣工结算申请</w:t>
      </w:r>
      <w:bookmarkEnd w:id="592"/>
    </w:p>
    <w:p w14:paraId="3866AB68">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承包人提交竣工结算申请单的期限：</w:t>
      </w:r>
      <w:r>
        <w:rPr>
          <w:rFonts w:hint="eastAsia" w:ascii="仿宋" w:hAnsi="仿宋" w:eastAsia="仿宋" w:cs="仿宋"/>
          <w:color w:val="auto"/>
          <w:sz w:val="24"/>
          <w:szCs w:val="24"/>
          <w:highlight w:val="none"/>
          <w:u w:val="single"/>
        </w:rPr>
        <w:t xml:space="preserve"> 工程竣工验收合格后三个月内 </w:t>
      </w:r>
      <w:r>
        <w:rPr>
          <w:rFonts w:hint="eastAsia" w:ascii="仿宋" w:hAnsi="仿宋" w:eastAsia="仿宋" w:cs="仿宋"/>
          <w:color w:val="auto"/>
          <w:sz w:val="24"/>
          <w:szCs w:val="24"/>
          <w:highlight w:val="none"/>
        </w:rPr>
        <w:t>。</w:t>
      </w:r>
    </w:p>
    <w:p w14:paraId="63215CBD">
      <w:pPr>
        <w:spacing w:line="440" w:lineRule="exact"/>
        <w:ind w:firstLine="42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highlight w:val="none"/>
        </w:rPr>
        <w:t xml:space="preserve"> </w:t>
      </w:r>
      <w:r>
        <w:rPr>
          <w:rFonts w:hint="eastAsia" w:ascii="仿宋" w:hAnsi="仿宋" w:eastAsia="仿宋" w:cs="仿宋"/>
          <w:color w:val="auto"/>
          <w:sz w:val="24"/>
          <w:szCs w:val="24"/>
          <w:highlight w:val="none"/>
          <w:u w:val="single"/>
        </w:rPr>
        <w:t>除执行通用合同条款外，还应执行：①承包人应当保留为完成甩尾工作和保修工作的必要人员、工程设备和设施，发包人应为承包人履行上述义务、进出和占用现场提供方便和协助。②承包人逾期退场，承包人遗留在现场的物品，发包人应事先通知承包人自行处理，承包人在发包人规定的合理期限内仍不处理的，发包人有权出售或另行处理，包括进行拍卖等；③若质保期内承包人不能按发包人要求及时进行维修，发包人有权自行处理，所产生的一切费用从承包人的质保金中扣除，处理费用大于质保金的部分，由承包人另行承担</w:t>
      </w:r>
      <w:r>
        <w:rPr>
          <w:rFonts w:hint="eastAsia" w:ascii="仿宋" w:hAnsi="仿宋" w:eastAsia="仿宋" w:cs="仿宋"/>
          <w:color w:val="auto"/>
          <w:sz w:val="24"/>
          <w:szCs w:val="24"/>
          <w:highlight w:val="none"/>
        </w:rPr>
        <w:t>。超出合同维修范围的，承包人有权申请结算。</w:t>
      </w:r>
    </w:p>
    <w:p w14:paraId="5694AA96">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施工对报送的工程结算资料作以下承诺：</w:t>
      </w:r>
    </w:p>
    <w:p w14:paraId="37B7DCBD">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所报送资料真实、完整、准确，审计过程中不再补充资料，因漏报、少报及不规范编制结算资料所造成的经济损失，由我单位自行承担。如发现虚假、伪造的送审资料，愿按照相关法律法规的规定，承担所引起的全部法律责任及学校的全部直接、间接经济损失。</w:t>
      </w:r>
    </w:p>
    <w:p w14:paraId="1E429F27">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2.同意按学校规定的委托社会中介机构进行审计。审计过程中积极配合审计工作，收到审计结果后，十五日内以书面形式反馈意见，逾期不反馈意见视为同意审计结果；</w:t>
      </w:r>
    </w:p>
    <w:p w14:paraId="04D46588">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3.若所报工程结算审减率超过10%（含10%），则由承包人承担全部审计费用；审减率在5%（含5%）～10%之间，则由承包人承担全部审计费用的50%；审计核减率在5%以下，则审计费用不再由承包人承担。</w:t>
      </w:r>
    </w:p>
    <w:p w14:paraId="41AC8AB3">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4.承包人承诺：根据审减率情况如需我单位支付审计费用，则在社会中介机构出具工程结算审核报告前，及时支付相应审计费。</w:t>
      </w:r>
    </w:p>
    <w:p w14:paraId="44E022A5">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5.若违反以上承诺，学校有权在应付款中直接予以扣减相关损失及审计费用。</w:t>
      </w:r>
    </w:p>
    <w:p w14:paraId="3480E053">
      <w:pPr>
        <w:spacing w:line="440" w:lineRule="exact"/>
        <w:ind w:firstLine="480" w:firstLineChars="200"/>
        <w:jc w:val="left"/>
        <w:rPr>
          <w:rFonts w:hint="eastAsia" w:ascii="仿宋" w:hAnsi="仿宋" w:eastAsia="仿宋" w:cs="仿宋"/>
          <w:color w:val="auto"/>
          <w:highlight w:val="none"/>
        </w:rPr>
      </w:pPr>
      <w:r>
        <w:rPr>
          <w:rFonts w:hint="eastAsia" w:ascii="仿宋" w:hAnsi="仿宋" w:eastAsia="仿宋" w:cs="仿宋"/>
          <w:color w:val="auto"/>
          <w:sz w:val="24"/>
          <w:szCs w:val="24"/>
          <w:highlight w:val="none"/>
          <w:u w:val="single"/>
        </w:rPr>
        <w:t>本合同约定价款为含税价，承包人应在发包人付款前提供符合发包人财务做账需求的等额发票，否则发包人有权拒付款项且不承担违约责任</w:t>
      </w:r>
      <w:r>
        <w:rPr>
          <w:rFonts w:hint="eastAsia" w:ascii="仿宋" w:hAnsi="仿宋" w:eastAsia="仿宋" w:cs="仿宋"/>
          <w:color w:val="auto"/>
          <w:sz w:val="24"/>
          <w:szCs w:val="24"/>
          <w:highlight w:val="none"/>
        </w:rPr>
        <w:t>。</w:t>
      </w:r>
    </w:p>
    <w:p w14:paraId="4015C7AC">
      <w:pPr>
        <w:spacing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竣工结算申请单应包括的内容：</w:t>
      </w:r>
      <w:r>
        <w:rPr>
          <w:rFonts w:hint="eastAsia" w:ascii="仿宋" w:hAnsi="仿宋" w:eastAsia="仿宋" w:cs="仿宋"/>
          <w:color w:val="auto"/>
          <w:sz w:val="24"/>
          <w:szCs w:val="24"/>
          <w:highlight w:val="none"/>
          <w:u w:val="single"/>
        </w:rPr>
        <w:t xml:space="preserve">   按通用合同条款执行  </w:t>
      </w:r>
      <w:r>
        <w:rPr>
          <w:rFonts w:hint="eastAsia" w:ascii="仿宋" w:hAnsi="仿宋" w:eastAsia="仿宋" w:cs="仿宋"/>
          <w:color w:val="auto"/>
          <w:sz w:val="24"/>
          <w:szCs w:val="24"/>
          <w:highlight w:val="none"/>
        </w:rPr>
        <w:t>。</w:t>
      </w:r>
    </w:p>
    <w:p w14:paraId="0E440D6A">
      <w:pPr>
        <w:spacing w:line="440" w:lineRule="exact"/>
        <w:ind w:firstLine="480" w:firstLineChars="200"/>
        <w:outlineLvl w:val="4"/>
        <w:rPr>
          <w:rFonts w:hint="eastAsia" w:ascii="仿宋" w:hAnsi="仿宋" w:eastAsia="仿宋" w:cs="仿宋"/>
          <w:color w:val="auto"/>
          <w:sz w:val="24"/>
          <w:szCs w:val="24"/>
          <w:highlight w:val="none"/>
        </w:rPr>
      </w:pPr>
      <w:bookmarkStart w:id="593" w:name="_Toc32479"/>
      <w:r>
        <w:rPr>
          <w:rFonts w:hint="eastAsia" w:ascii="仿宋" w:hAnsi="仿宋" w:eastAsia="仿宋" w:cs="仿宋"/>
          <w:color w:val="auto"/>
          <w:sz w:val="24"/>
          <w:szCs w:val="24"/>
          <w:highlight w:val="none"/>
        </w:rPr>
        <w:t>14.2 竣工结算审核</w:t>
      </w:r>
      <w:bookmarkEnd w:id="593"/>
    </w:p>
    <w:p w14:paraId="3904E605">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发包人审批竣工付款申请单的期限：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301586D">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发包人完成竣工付款的期限：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B47DCBF">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关于竣工付款证书异议部分复核的方式和程序：</w:t>
      </w:r>
      <w:r>
        <w:rPr>
          <w:rFonts w:hint="eastAsia" w:ascii="仿宋" w:hAnsi="仿宋" w:eastAsia="仿宋" w:cs="仿宋"/>
          <w:color w:val="auto"/>
          <w:sz w:val="24"/>
          <w:szCs w:val="24"/>
          <w:highlight w:val="none"/>
          <w:u w:val="single"/>
        </w:rPr>
        <w:t xml:space="preserve"> 执行通用合同条款  </w:t>
      </w:r>
      <w:r>
        <w:rPr>
          <w:rFonts w:hint="eastAsia" w:ascii="仿宋" w:hAnsi="仿宋" w:eastAsia="仿宋" w:cs="仿宋"/>
          <w:color w:val="auto"/>
          <w:sz w:val="24"/>
          <w:szCs w:val="24"/>
          <w:highlight w:val="none"/>
        </w:rPr>
        <w:t>。</w:t>
      </w:r>
    </w:p>
    <w:p w14:paraId="2EB5A92F">
      <w:pPr>
        <w:spacing w:line="440" w:lineRule="exact"/>
        <w:ind w:firstLine="480" w:firstLineChars="200"/>
        <w:outlineLvl w:val="4"/>
        <w:rPr>
          <w:rFonts w:hint="eastAsia" w:ascii="仿宋" w:hAnsi="仿宋" w:eastAsia="仿宋" w:cs="仿宋"/>
          <w:color w:val="auto"/>
          <w:sz w:val="24"/>
          <w:szCs w:val="24"/>
          <w:highlight w:val="none"/>
        </w:rPr>
      </w:pPr>
      <w:bookmarkStart w:id="594" w:name="_Toc13709"/>
      <w:r>
        <w:rPr>
          <w:rFonts w:hint="eastAsia" w:ascii="仿宋" w:hAnsi="仿宋" w:eastAsia="仿宋" w:cs="仿宋"/>
          <w:color w:val="auto"/>
          <w:sz w:val="24"/>
          <w:szCs w:val="24"/>
          <w:highlight w:val="none"/>
        </w:rPr>
        <w:t>14.4 最终结清</w:t>
      </w:r>
      <w:bookmarkEnd w:id="594"/>
    </w:p>
    <w:p w14:paraId="3447CF65">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14.4.1 最终结清申请单</w:t>
      </w:r>
    </w:p>
    <w:p w14:paraId="37D28446">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承包人提交最终结清申请单的份数：</w:t>
      </w:r>
      <w:r>
        <w:rPr>
          <w:rFonts w:hint="eastAsia" w:ascii="仿宋" w:hAnsi="仿宋" w:eastAsia="仿宋" w:cs="仿宋"/>
          <w:color w:val="auto"/>
          <w:sz w:val="24"/>
          <w:szCs w:val="24"/>
          <w:highlight w:val="none"/>
          <w:u w:val="single"/>
        </w:rPr>
        <w:t xml:space="preserve">       3份     </w:t>
      </w:r>
      <w:r>
        <w:rPr>
          <w:rFonts w:hint="eastAsia" w:ascii="仿宋" w:hAnsi="仿宋" w:eastAsia="仿宋" w:cs="仿宋"/>
          <w:color w:val="auto"/>
          <w:sz w:val="24"/>
          <w:szCs w:val="24"/>
          <w:highlight w:val="none"/>
        </w:rPr>
        <w:t>。</w:t>
      </w:r>
    </w:p>
    <w:p w14:paraId="674B41F3">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承包人提交最终结算申请单的期限：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 </w:t>
      </w:r>
    </w:p>
    <w:p w14:paraId="5F727860">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14.4.2 最终结清证书和支付</w:t>
      </w:r>
    </w:p>
    <w:p w14:paraId="2B9810A0">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（1）发包人完成最终结清申请单的审批并颁发最终结清证书的期限：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0370BA93">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（2）发包人完成支付的期限：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bookmarkEnd w:id="576"/>
    <w:bookmarkEnd w:id="577"/>
    <w:bookmarkEnd w:id="578"/>
    <w:bookmarkEnd w:id="579"/>
    <w:bookmarkEnd w:id="580"/>
    <w:bookmarkEnd w:id="581"/>
    <w:bookmarkEnd w:id="582"/>
    <w:bookmarkEnd w:id="588"/>
    <w:p w14:paraId="09EA4659">
      <w:pPr>
        <w:pStyle w:val="5"/>
        <w:spacing w:before="0" w:after="0" w:line="440" w:lineRule="exact"/>
        <w:rPr>
          <w:rFonts w:hint="eastAsia" w:ascii="仿宋" w:hAnsi="仿宋" w:eastAsia="仿宋" w:cs="仿宋"/>
          <w:b w:val="0"/>
          <w:color w:val="auto"/>
          <w:sz w:val="24"/>
          <w:szCs w:val="24"/>
          <w:highlight w:val="none"/>
        </w:rPr>
      </w:pPr>
      <w:bookmarkStart w:id="595" w:name="_Toc22705"/>
      <w:bookmarkStart w:id="596" w:name="_Toc267251483"/>
      <w:bookmarkStart w:id="597" w:name="_Toc267251482"/>
      <w:bookmarkStart w:id="598" w:name="_Toc267251484"/>
      <w:bookmarkStart w:id="599" w:name="_Toc267251485"/>
      <w:bookmarkStart w:id="600" w:name="_Toc267251489"/>
      <w:bookmarkStart w:id="601" w:name="_Toc267251486"/>
      <w:bookmarkStart w:id="602" w:name="_Toc267251490"/>
      <w:bookmarkStart w:id="603" w:name="_Toc267251488"/>
      <w:bookmarkStart w:id="604" w:name="_Toc267251493"/>
      <w:bookmarkStart w:id="605" w:name="_Toc267251495"/>
      <w:bookmarkStart w:id="606" w:name="_Toc267251491"/>
      <w:bookmarkStart w:id="607" w:name="_Toc267251496"/>
      <w:bookmarkStart w:id="608" w:name="_Toc267251501"/>
      <w:bookmarkStart w:id="609" w:name="_Toc267251497"/>
      <w:bookmarkStart w:id="610" w:name="_Toc267251502"/>
      <w:bookmarkStart w:id="611" w:name="_Toc267251498"/>
      <w:bookmarkStart w:id="612" w:name="_Toc267251492"/>
      <w:bookmarkStart w:id="613" w:name="_Toc267251494"/>
      <w:bookmarkStart w:id="614" w:name="_Toc267251499"/>
      <w:bookmarkStart w:id="615" w:name="_Toc267251503"/>
      <w:bookmarkStart w:id="616" w:name="_Toc267251506"/>
      <w:bookmarkStart w:id="617" w:name="_Toc267251504"/>
      <w:bookmarkStart w:id="618" w:name="_Toc267251507"/>
      <w:bookmarkStart w:id="619" w:name="_Toc267251508"/>
      <w:bookmarkStart w:id="620" w:name="_Toc267251511"/>
      <w:bookmarkStart w:id="621" w:name="_Toc267251515"/>
      <w:bookmarkStart w:id="622" w:name="_Toc267251510"/>
      <w:bookmarkStart w:id="623" w:name="_Toc267251509"/>
      <w:bookmarkStart w:id="624" w:name="_Toc267251513"/>
      <w:bookmarkStart w:id="625" w:name="_Toc267251514"/>
      <w:r>
        <w:rPr>
          <w:rFonts w:hint="eastAsia" w:ascii="仿宋" w:hAnsi="仿宋" w:eastAsia="仿宋" w:cs="仿宋"/>
          <w:b w:val="0"/>
          <w:color w:val="auto"/>
          <w:sz w:val="24"/>
          <w:szCs w:val="24"/>
          <w:highlight w:val="none"/>
        </w:rPr>
        <w:t>15. 缺陷责任期与保修</w:t>
      </w:r>
      <w:bookmarkEnd w:id="595"/>
    </w:p>
    <w:p w14:paraId="3E597222">
      <w:pPr>
        <w:spacing w:line="440" w:lineRule="exact"/>
        <w:ind w:firstLine="480" w:firstLineChars="200"/>
        <w:outlineLvl w:val="4"/>
        <w:rPr>
          <w:rFonts w:hint="eastAsia" w:ascii="仿宋" w:hAnsi="仿宋" w:eastAsia="仿宋" w:cs="仿宋"/>
          <w:color w:val="auto"/>
          <w:sz w:val="24"/>
          <w:szCs w:val="24"/>
          <w:highlight w:val="none"/>
        </w:rPr>
      </w:pPr>
      <w:bookmarkStart w:id="626" w:name="_Toc173"/>
      <w:r>
        <w:rPr>
          <w:rFonts w:hint="eastAsia" w:ascii="仿宋" w:hAnsi="仿宋" w:eastAsia="仿宋" w:cs="仿宋"/>
          <w:color w:val="auto"/>
          <w:sz w:val="24"/>
          <w:szCs w:val="24"/>
          <w:highlight w:val="none"/>
        </w:rPr>
        <w:t>15.2缺陷责任期</w:t>
      </w:r>
      <w:bookmarkEnd w:id="596"/>
      <w:bookmarkEnd w:id="626"/>
    </w:p>
    <w:p w14:paraId="4A7ED8AC">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缺陷责任期的具体期限：</w:t>
      </w:r>
      <w:r>
        <w:rPr>
          <w:rFonts w:hint="eastAsia" w:ascii="仿宋" w:hAnsi="仿宋" w:eastAsia="仿宋" w:cs="仿宋"/>
          <w:color w:val="auto"/>
          <w:sz w:val="24"/>
          <w:szCs w:val="24"/>
          <w:highlight w:val="none"/>
          <w:u w:val="single"/>
        </w:rPr>
        <w:t xml:space="preserve"> 竣工验收合格之日起计24个月 </w:t>
      </w:r>
      <w:r>
        <w:rPr>
          <w:rFonts w:hint="eastAsia" w:ascii="仿宋" w:hAnsi="仿宋" w:eastAsia="仿宋" w:cs="仿宋"/>
          <w:color w:val="auto"/>
          <w:sz w:val="24"/>
          <w:szCs w:val="24"/>
          <w:highlight w:val="none"/>
        </w:rPr>
        <w:t>。</w:t>
      </w:r>
    </w:p>
    <w:p w14:paraId="6753F6F8">
      <w:pPr>
        <w:spacing w:line="440" w:lineRule="exact"/>
        <w:ind w:firstLine="480" w:firstLineChars="200"/>
        <w:outlineLvl w:val="4"/>
        <w:rPr>
          <w:rFonts w:hint="eastAsia" w:ascii="仿宋" w:hAnsi="仿宋" w:eastAsia="仿宋" w:cs="仿宋"/>
          <w:color w:val="auto"/>
          <w:sz w:val="24"/>
          <w:szCs w:val="24"/>
          <w:highlight w:val="none"/>
        </w:rPr>
      </w:pPr>
      <w:bookmarkStart w:id="627" w:name="_Toc24494"/>
      <w:r>
        <w:rPr>
          <w:rFonts w:hint="eastAsia" w:ascii="仿宋" w:hAnsi="仿宋" w:eastAsia="仿宋" w:cs="仿宋"/>
          <w:color w:val="auto"/>
          <w:sz w:val="24"/>
          <w:szCs w:val="24"/>
          <w:highlight w:val="none"/>
        </w:rPr>
        <w:t>15.3 质量保证金</w:t>
      </w:r>
      <w:bookmarkEnd w:id="627"/>
    </w:p>
    <w:p w14:paraId="3DF216A1">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关于是否扣留质量保证金的约定：</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w:t>
      </w:r>
    </w:p>
    <w:p w14:paraId="63A78497">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15.3.1 承包人提供质量保证金的方式</w:t>
      </w:r>
    </w:p>
    <w:p w14:paraId="5CF08C4B">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质量保证金采用以下第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w:t>
      </w:r>
    </w:p>
    <w:p w14:paraId="2006AA7F">
      <w:pPr>
        <w:autoSpaceDE w:val="0"/>
        <w:autoSpaceDN w:val="0"/>
        <w:adjustRightInd w:val="0"/>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（1）质量保证金保函，保证金额为：</w:t>
      </w:r>
      <w:r>
        <w:rPr>
          <w:rFonts w:hint="eastAsia" w:ascii="仿宋" w:hAnsi="仿宋" w:eastAsia="仿宋" w:cs="仿宋"/>
          <w:color w:val="auto"/>
          <w:kern w:val="0"/>
          <w:sz w:val="24"/>
          <w:szCs w:val="24"/>
          <w:highlight w:val="none"/>
          <w:u w:val="single"/>
        </w:rPr>
        <w:t xml:space="preserve">     无      </w:t>
      </w:r>
      <w:r>
        <w:rPr>
          <w:rFonts w:hint="eastAsia" w:ascii="仿宋" w:hAnsi="仿宋" w:eastAsia="仿宋" w:cs="仿宋"/>
          <w:color w:val="auto"/>
          <w:kern w:val="0"/>
          <w:sz w:val="24"/>
          <w:szCs w:val="24"/>
          <w:highlight w:val="none"/>
        </w:rPr>
        <w:t xml:space="preserve">； </w:t>
      </w:r>
    </w:p>
    <w:p w14:paraId="5EBF425A">
      <w:pPr>
        <w:autoSpaceDE w:val="0"/>
        <w:autoSpaceDN w:val="0"/>
        <w:adjustRightInd w:val="0"/>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u w:val="single"/>
        </w:rPr>
        <w:t xml:space="preserve"> 竣工结算价 3 </w:t>
      </w:r>
      <w:r>
        <w:rPr>
          <w:rFonts w:hint="eastAsia" w:ascii="仿宋" w:hAnsi="仿宋" w:eastAsia="仿宋" w:cs="仿宋"/>
          <w:color w:val="auto"/>
          <w:kern w:val="0"/>
          <w:sz w:val="24"/>
          <w:szCs w:val="24"/>
          <w:highlight w:val="none"/>
        </w:rPr>
        <w:t>%的工程款；</w:t>
      </w:r>
    </w:p>
    <w:p w14:paraId="55A9450C">
      <w:pPr>
        <w:autoSpaceDE w:val="0"/>
        <w:autoSpaceDN w:val="0"/>
        <w:adjustRightInd w:val="0"/>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（3）其他方式:</w:t>
      </w:r>
      <w:r>
        <w:rPr>
          <w:rFonts w:hint="eastAsia" w:ascii="仿宋" w:hAnsi="仿宋" w:eastAsia="仿宋" w:cs="仿宋"/>
          <w:color w:val="auto"/>
          <w:kern w:val="0"/>
          <w:sz w:val="24"/>
          <w:szCs w:val="24"/>
          <w:highlight w:val="none"/>
          <w:u w:val="single"/>
        </w:rPr>
        <w:t xml:space="preserve">  无   </w:t>
      </w:r>
      <w:r>
        <w:rPr>
          <w:rFonts w:hint="eastAsia" w:ascii="仿宋" w:hAnsi="仿宋" w:eastAsia="仿宋" w:cs="仿宋"/>
          <w:color w:val="auto"/>
          <w:kern w:val="0"/>
          <w:sz w:val="24"/>
          <w:szCs w:val="24"/>
          <w:highlight w:val="none"/>
        </w:rPr>
        <w:t>。</w:t>
      </w:r>
    </w:p>
    <w:p w14:paraId="4AD93ED6">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15.3.2 质量保证金的扣留 </w:t>
      </w:r>
    </w:p>
    <w:p w14:paraId="7D51B79C">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质量保证金的扣留采取以下第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w:t>
      </w:r>
    </w:p>
    <w:p w14:paraId="047B0CEC">
      <w:pPr>
        <w:autoSpaceDE w:val="0"/>
        <w:autoSpaceDN w:val="0"/>
        <w:adjustRightInd w:val="0"/>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（1）在支付工程进度款时逐次扣留，在此情形下，质量保证金的计算基数不包括预付款的支付、扣回以及价格调整的金额；</w:t>
      </w:r>
    </w:p>
    <w:p w14:paraId="7844F9C4">
      <w:pPr>
        <w:autoSpaceDE w:val="0"/>
        <w:autoSpaceDN w:val="0"/>
        <w:adjustRightInd w:val="0"/>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（2）工程竣工结算时一次性扣留质量保证金；</w:t>
      </w:r>
    </w:p>
    <w:p w14:paraId="0D404ABB">
      <w:pPr>
        <w:autoSpaceDE w:val="0"/>
        <w:autoSpaceDN w:val="0"/>
        <w:adjustRightInd w:val="0"/>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（3）其他扣留方式:</w:t>
      </w:r>
      <w:r>
        <w:rPr>
          <w:rFonts w:hint="eastAsia" w:ascii="仿宋" w:hAnsi="仿宋" w:eastAsia="仿宋" w:cs="仿宋"/>
          <w:color w:val="auto"/>
          <w:kern w:val="0"/>
          <w:sz w:val="24"/>
          <w:szCs w:val="24"/>
          <w:highlight w:val="none"/>
          <w:u w:val="single"/>
        </w:rPr>
        <w:t xml:space="preserve">         无                </w:t>
      </w:r>
      <w:r>
        <w:rPr>
          <w:rFonts w:hint="eastAsia" w:ascii="仿宋" w:hAnsi="仿宋" w:eastAsia="仿宋" w:cs="仿宋"/>
          <w:color w:val="auto"/>
          <w:kern w:val="0"/>
          <w:sz w:val="24"/>
          <w:szCs w:val="24"/>
          <w:highlight w:val="none"/>
        </w:rPr>
        <w:t>。</w:t>
      </w:r>
    </w:p>
    <w:p w14:paraId="53C883CA">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关于质量保证金的补充约定：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kern w:val="0"/>
          <w:sz w:val="24"/>
          <w:szCs w:val="24"/>
          <w:highlight w:val="none"/>
        </w:rPr>
        <w:t>。</w:t>
      </w:r>
    </w:p>
    <w:bookmarkEnd w:id="597"/>
    <w:bookmarkEnd w:id="598"/>
    <w:p w14:paraId="2BB40819">
      <w:pPr>
        <w:spacing w:line="440" w:lineRule="exact"/>
        <w:ind w:firstLine="480" w:firstLineChars="200"/>
        <w:outlineLvl w:val="4"/>
        <w:rPr>
          <w:rFonts w:hint="eastAsia" w:ascii="仿宋" w:hAnsi="仿宋" w:eastAsia="仿宋" w:cs="仿宋"/>
          <w:color w:val="auto"/>
          <w:sz w:val="24"/>
          <w:szCs w:val="24"/>
          <w:highlight w:val="none"/>
        </w:rPr>
      </w:pPr>
      <w:bookmarkStart w:id="628" w:name="_Toc23614"/>
      <w:r>
        <w:rPr>
          <w:rFonts w:hint="eastAsia" w:ascii="仿宋" w:hAnsi="仿宋" w:eastAsia="仿宋" w:cs="仿宋"/>
          <w:color w:val="auto"/>
          <w:sz w:val="24"/>
          <w:szCs w:val="24"/>
          <w:highlight w:val="none"/>
        </w:rPr>
        <w:t>15.4保修</w:t>
      </w:r>
      <w:bookmarkEnd w:id="628"/>
    </w:p>
    <w:bookmarkEnd w:id="599"/>
    <w:p w14:paraId="4C1C2EE3">
      <w:pPr>
        <w:spacing w:line="440" w:lineRule="exact"/>
        <w:ind w:firstLine="468" w:firstLineChars="19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15.4.1 保修责任</w:t>
      </w:r>
    </w:p>
    <w:p w14:paraId="539D55BE">
      <w:pPr>
        <w:spacing w:line="440" w:lineRule="exact"/>
        <w:ind w:firstLine="468" w:firstLineChars="195"/>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工程保修期为：</w:t>
      </w:r>
      <w:r>
        <w:rPr>
          <w:rFonts w:hint="eastAsia" w:ascii="仿宋" w:hAnsi="仿宋" w:eastAsia="仿宋" w:cs="仿宋"/>
          <w:color w:val="auto"/>
          <w:sz w:val="24"/>
          <w:szCs w:val="24"/>
          <w:highlight w:val="none"/>
          <w:u w:val="single"/>
        </w:rPr>
        <w:t xml:space="preserve">  按附件“工程质量保修书”的规定执行  </w:t>
      </w:r>
      <w:r>
        <w:rPr>
          <w:rFonts w:hint="eastAsia" w:ascii="仿宋" w:hAnsi="仿宋" w:eastAsia="仿宋" w:cs="仿宋"/>
          <w:color w:val="auto"/>
          <w:kern w:val="0"/>
          <w:sz w:val="24"/>
          <w:szCs w:val="24"/>
          <w:highlight w:val="none"/>
        </w:rPr>
        <w:t>。</w:t>
      </w:r>
    </w:p>
    <w:p w14:paraId="32A28536">
      <w:pPr>
        <w:spacing w:line="440" w:lineRule="exact"/>
        <w:ind w:firstLine="468" w:firstLineChars="19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15.4.3 修复通知</w:t>
      </w:r>
    </w:p>
    <w:p w14:paraId="5D316C8F">
      <w:pPr>
        <w:spacing w:line="440" w:lineRule="exact"/>
        <w:ind w:firstLine="468" w:firstLineChars="195"/>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承包人收到保修通知并到达工程现场的合理时间：</w:t>
      </w:r>
      <w:r>
        <w:rPr>
          <w:rFonts w:hint="eastAsia" w:ascii="仿宋" w:hAnsi="仿宋" w:eastAsia="仿宋" w:cs="仿宋"/>
          <w:color w:val="auto"/>
          <w:sz w:val="24"/>
          <w:szCs w:val="24"/>
          <w:highlight w:val="none"/>
          <w:u w:val="single"/>
        </w:rPr>
        <w:t xml:space="preserve"> 收到通知后 24 小时，紧急抢修事故应在收到通知后 2 小时内。若承包人在上述时限内没有维修或解决，发包人有权委托他人进行处理，费用从承包人的质保金中支出；如维修费用高于质保金的，除扣除质保金外，超出部分费用由承包人承担，维修项目的质量保修期相应顺延。在顺延的质保期内因工程达不到质量要求而支出的维修费用超过质保金的部分，由承包人支付并承担相应的赔偿责任，并且发包人将该施工单位列入发包人修缮工程单位黑名单中 </w:t>
      </w:r>
      <w:r>
        <w:rPr>
          <w:rFonts w:hint="eastAsia" w:ascii="仿宋" w:hAnsi="仿宋" w:eastAsia="仿宋" w:cs="仿宋"/>
          <w:color w:val="auto"/>
          <w:kern w:val="0"/>
          <w:sz w:val="24"/>
          <w:szCs w:val="24"/>
          <w:highlight w:val="none"/>
        </w:rPr>
        <w:t>。</w:t>
      </w:r>
    </w:p>
    <w:bookmarkEnd w:id="600"/>
    <w:bookmarkEnd w:id="601"/>
    <w:bookmarkEnd w:id="602"/>
    <w:bookmarkEnd w:id="603"/>
    <w:p w14:paraId="7E62A473">
      <w:pPr>
        <w:pStyle w:val="5"/>
        <w:spacing w:before="0" w:after="0" w:line="440" w:lineRule="exact"/>
        <w:rPr>
          <w:rFonts w:hint="eastAsia" w:ascii="仿宋" w:hAnsi="仿宋" w:eastAsia="仿宋" w:cs="仿宋"/>
          <w:b w:val="0"/>
          <w:color w:val="auto"/>
          <w:sz w:val="24"/>
          <w:szCs w:val="24"/>
          <w:highlight w:val="none"/>
        </w:rPr>
      </w:pPr>
      <w:bookmarkStart w:id="629" w:name="_Toc32394"/>
      <w:bookmarkStart w:id="630" w:name="_Toc280868717"/>
      <w:bookmarkStart w:id="631" w:name="_Toc280868718"/>
      <w:r>
        <w:rPr>
          <w:rFonts w:hint="eastAsia" w:ascii="仿宋" w:hAnsi="仿宋" w:eastAsia="仿宋" w:cs="仿宋"/>
          <w:b w:val="0"/>
          <w:color w:val="auto"/>
          <w:sz w:val="24"/>
          <w:szCs w:val="24"/>
          <w:highlight w:val="none"/>
        </w:rPr>
        <w:t>16. 违约</w:t>
      </w:r>
      <w:bookmarkEnd w:id="629"/>
    </w:p>
    <w:p w14:paraId="098E6F16">
      <w:pPr>
        <w:spacing w:line="440" w:lineRule="exact"/>
        <w:ind w:firstLine="480" w:firstLineChars="200"/>
        <w:outlineLvl w:val="4"/>
        <w:rPr>
          <w:rFonts w:hint="eastAsia" w:ascii="仿宋" w:hAnsi="仿宋" w:eastAsia="仿宋" w:cs="仿宋"/>
          <w:color w:val="auto"/>
          <w:sz w:val="24"/>
          <w:szCs w:val="24"/>
          <w:highlight w:val="none"/>
        </w:rPr>
      </w:pPr>
      <w:bookmarkStart w:id="632" w:name="_Toc24995"/>
      <w:r>
        <w:rPr>
          <w:rFonts w:hint="eastAsia" w:ascii="仿宋" w:hAnsi="仿宋" w:eastAsia="仿宋" w:cs="仿宋"/>
          <w:color w:val="auto"/>
          <w:sz w:val="24"/>
          <w:szCs w:val="24"/>
          <w:highlight w:val="none"/>
        </w:rPr>
        <w:t>16.1 发包人违约</w:t>
      </w:r>
      <w:bookmarkEnd w:id="632"/>
    </w:p>
    <w:p w14:paraId="3CF1BC7E">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16.1.1发包人违约的情形</w:t>
      </w:r>
    </w:p>
    <w:p w14:paraId="06AE8EE6">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发包人违约的其他情形：</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4A5463B5">
      <w:pPr>
        <w:spacing w:line="440" w:lineRule="exact"/>
        <w:ind w:left="1200" w:hanging="1200" w:hangingChars="5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16.1.2 发包人违约的责任</w:t>
      </w:r>
    </w:p>
    <w:p w14:paraId="3D5FE6D0">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发包人违约责任的承担方式和计算方法：</w:t>
      </w:r>
    </w:p>
    <w:p w14:paraId="682C0062">
      <w:pPr>
        <w:spacing w:line="440" w:lineRule="exact"/>
        <w:ind w:firstLine="480" w:firstLineChars="200"/>
        <w:jc w:val="left"/>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（1）因发包人原因未能在计划开工日期前7天内下达开工通知的违约责任：</w:t>
      </w:r>
      <w:r>
        <w:rPr>
          <w:rFonts w:hint="eastAsia" w:ascii="仿宋" w:hAnsi="仿宋" w:eastAsia="仿宋" w:cs="仿宋"/>
          <w:color w:val="auto"/>
          <w:kern w:val="0"/>
          <w:sz w:val="24"/>
          <w:szCs w:val="24"/>
          <w:highlight w:val="none"/>
          <w:u w:val="single"/>
        </w:rPr>
        <w:t xml:space="preserve"> 执行通用条款</w:t>
      </w:r>
      <w:r>
        <w:rPr>
          <w:rFonts w:hint="eastAsia" w:ascii="仿宋" w:hAnsi="仿宋" w:eastAsia="仿宋" w:cs="仿宋"/>
          <w:color w:val="auto"/>
          <w:kern w:val="0"/>
          <w:sz w:val="24"/>
          <w:szCs w:val="24"/>
          <w:highlight w:val="none"/>
        </w:rPr>
        <w:t>。</w:t>
      </w:r>
    </w:p>
    <w:p w14:paraId="7C8C9BCD">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（2）因发包人原因未能按合同约定支付合同价款的违约责任：</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2555F3D9">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kern w:val="0"/>
          <w:sz w:val="24"/>
          <w:szCs w:val="24"/>
          <w:highlight w:val="none"/>
        </w:rPr>
        <w:t>。</w:t>
      </w:r>
    </w:p>
    <w:p w14:paraId="7176805C">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（4）发包人提供的材料、工程设备的规格、数量或质量不符合合同约定，或因发包人原因导致交货日期延误或交货地点变更等情况的违约责任：</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095256ED">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（5）因发包人违反合同约定造成暂停施工的违约责任：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34C04C15">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（6）发包人无正当理由没有在约定期限内发出复工指示，导致承包人无法复工的违约责任：</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4BE958ED">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（7）其他：</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7F74F843">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16.1.3 因发包人违约解除合同</w:t>
      </w:r>
    </w:p>
    <w:p w14:paraId="14140F60">
      <w:pPr>
        <w:autoSpaceDE w:val="0"/>
        <w:autoSpaceDN w:val="0"/>
        <w:adjustRightInd w:val="0"/>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承包人按16.1.1项〔发包人违约的情形〕约定暂停施工满</w:t>
      </w:r>
      <w:r>
        <w:rPr>
          <w:rFonts w:hint="eastAsia" w:ascii="仿宋" w:hAnsi="仿宋" w:eastAsia="仿宋" w:cs="仿宋"/>
          <w:color w:val="auto"/>
          <w:kern w:val="0"/>
          <w:sz w:val="24"/>
          <w:szCs w:val="24"/>
          <w:highlight w:val="none"/>
          <w:u w:val="single"/>
        </w:rPr>
        <w:t xml:space="preserve">  /  </w:t>
      </w:r>
      <w:r>
        <w:rPr>
          <w:rFonts w:hint="eastAsia" w:ascii="仿宋" w:hAnsi="仿宋" w:eastAsia="仿宋" w:cs="仿宋"/>
          <w:color w:val="auto"/>
          <w:kern w:val="0"/>
          <w:sz w:val="24"/>
          <w:szCs w:val="24"/>
          <w:highlight w:val="none"/>
        </w:rPr>
        <w:t>天后发包人仍不纠正其违约行为并致使合同目的不能实现的，承包人有权解除合同。</w:t>
      </w:r>
    </w:p>
    <w:p w14:paraId="34DA3ABA">
      <w:pPr>
        <w:spacing w:line="440" w:lineRule="exact"/>
        <w:ind w:firstLine="480" w:firstLineChars="200"/>
        <w:outlineLvl w:val="4"/>
        <w:rPr>
          <w:rFonts w:hint="eastAsia" w:ascii="仿宋" w:hAnsi="仿宋" w:eastAsia="仿宋" w:cs="仿宋"/>
          <w:color w:val="auto"/>
          <w:sz w:val="24"/>
          <w:szCs w:val="24"/>
          <w:highlight w:val="none"/>
        </w:rPr>
      </w:pPr>
      <w:bookmarkStart w:id="633" w:name="_Toc25745"/>
      <w:r>
        <w:rPr>
          <w:rFonts w:hint="eastAsia" w:ascii="仿宋" w:hAnsi="仿宋" w:eastAsia="仿宋" w:cs="仿宋"/>
          <w:color w:val="auto"/>
          <w:sz w:val="24"/>
          <w:szCs w:val="24"/>
          <w:highlight w:val="none"/>
        </w:rPr>
        <w:t>16.2 承包人违约</w:t>
      </w:r>
      <w:bookmarkEnd w:id="633"/>
    </w:p>
    <w:p w14:paraId="3FF2A0A6">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16.2.1 承包人违约的情形</w:t>
      </w:r>
    </w:p>
    <w:p w14:paraId="1624C7CD">
      <w:pPr>
        <w:spacing w:line="360" w:lineRule="auto"/>
        <w:ind w:firstLine="480" w:firstLineChars="200"/>
        <w:jc w:val="left"/>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承包人违约的其他情形：</w:t>
      </w:r>
      <w:r>
        <w:rPr>
          <w:rFonts w:hint="eastAsia" w:ascii="仿宋" w:hAnsi="仿宋" w:eastAsia="仿宋" w:cs="仿宋"/>
          <w:color w:val="auto"/>
          <w:kern w:val="0"/>
          <w:sz w:val="24"/>
          <w:szCs w:val="24"/>
          <w:highlight w:val="none"/>
          <w:u w:val="single"/>
        </w:rPr>
        <w:t>承包人违约的其他情形：承包人应保证按时足额向施工人员发放工资，双方明确，如因在收到发包人款项后，未按时足额给工人支付工资的，发包人有权按相关费用的2倍，要求承包人承担违约金，并从后期应付费用中直接扣除。如因此发生任何施工人员举报、信访、围堵政府相关部门等事件的，甲方有权解除本合同，没收履约保证金，停止支付工程款，涉及刑事犯罪的，发包人将依法向有关部门进行举报。</w:t>
      </w:r>
    </w:p>
    <w:p w14:paraId="4AB46545">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16.2.2承包人违约的责任</w:t>
      </w:r>
    </w:p>
    <w:p w14:paraId="103D69A1">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承包人违约责任的承担方式和计算方法：</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①按照提供竣工验收资料时间、清场时间，每推延一天，扣除一万元违约金。②发现承包人在本工程中使用不合格材料，承包方无条件将相关材料清理出场每次承担一万元违约金且工期不予顺延。③承包人在施工期间不得拖欠工人工资及材料供应款，不得造成工人集体上访，否则，发包人有权自主将工程进度款用于支付被拖欠的工人工资及材料款。④承包人在缺陷责任期及保修期内，未能在合理期限对工程缺陷进行修复，或拒绝按发包人要求进行修复的，发包方有权要求第三方维修，费用从工程尾款中扣除；⑤承包方违约，还应赔偿守约方因此遭受的其他损失，包括为主张权益所支付的诉讼费、交通费等全部费用。承包人违约的，发包方有权将相应违约金从应给承包方支付的货款、质保金中直接予以扣除。⑥承包人必须与农民工订立劳动合同并进行用工实名登记，并将劳动合同及用工名录提交发包人备案。未与承包人订立劳动合同并进行用工实名登记的人员，不得进入项目现场施工。当承包人发生农民工工资纠纷时，发包人有权使用项目工程款直接支付农民工工资，相应金额在发包人向承包人支付工程款项中扣除。</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eq \o\ac(</w:instrText>
      </w:r>
      <w:r>
        <w:rPr>
          <w:rFonts w:hint="eastAsia" w:ascii="仿宋" w:hAnsi="仿宋" w:eastAsia="仿宋" w:cs="仿宋"/>
          <w:color w:val="auto"/>
          <w:position w:val="-4"/>
          <w:sz w:val="36"/>
          <w:szCs w:val="24"/>
          <w:highlight w:val="none"/>
          <w:u w:val="single"/>
        </w:rPr>
        <w:instrText xml:space="preserve">○</w:instrText>
      </w:r>
      <w:r>
        <w:rPr>
          <w:rFonts w:hint="eastAsia" w:ascii="仿宋" w:hAnsi="仿宋" w:eastAsia="仿宋" w:cs="仿宋"/>
          <w:color w:val="auto"/>
          <w:sz w:val="24"/>
          <w:szCs w:val="24"/>
          <w:highlight w:val="none"/>
          <w:u w:val="single"/>
        </w:rPr>
        <w:instrText xml:space="preserve">,7)</w:instrTex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承包人出现下列根本违约行为之一的，发包人有权直接主张以下部分或全部权利：有权单方解除合同，有权根据承包人实际违约情况要求承包人返还已支付的部分或全部款项（如有），有权要求承包人赔偿合同总价20%的违约金并赔偿发包人损失：（1）擅自停工或明确表示无法继续履行合同；（2）施工质量不符合国家或合同约定标准，经整改仍不合格；（3）未经发包人同意擅自扩大或缩减工程量；（4）提供虚假资料或弄虚作假骗取工程款；（5）承包人原因导致治安、火灾或人身伤亡、财产损失事故；（6）其他严重违反合同约定致使合同目的无法实现的行为。</w:t>
      </w:r>
    </w:p>
    <w:p w14:paraId="73FBA094">
      <w:pPr>
        <w:spacing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承包人违约，发包人可发出整改通知要求承包人限期进行整改，如承包人在规定时间内仍不纠正违约行为的，发包人有权单方解除合同。合同解除后，发包人可另行组织人员或委托其他承包人施工。发包人因继续完成该工程需要，有权扣留使用承包人在现场的材料、设备和临时设施。但发包人的这一行为不免除或减轻承包人应承担的违约责任，也不影响发包人根据合同约定享有的索赔权利。</w:t>
      </w:r>
    </w:p>
    <w:p w14:paraId="210A1F8F">
      <w:pPr>
        <w:spacing w:line="440" w:lineRule="exact"/>
        <w:ind w:firstLine="480" w:firstLineChars="200"/>
        <w:jc w:val="left"/>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承包人根据本合同约定支付的任何违约金、赔偿金，均不能免除其继续履行合同的义务。违约金不足以弥补损失的部分，发包人有权向承包人追偿。承包人违约给发包人造成的损失，包括但不限于：行政罚款、第三方赔偿款、发包人为解决争议所支付的律师费、保全费、保全保险费、鉴定费、公证费、差旅费等全部费用。发包人有权从任何一期应支付给承包人的款项中直接扣除上述违约金及损失赔偿金，不足部分发包人有权继续追偿。</w:t>
      </w:r>
    </w:p>
    <w:p w14:paraId="3CD2C9CC">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16.2.3 因承包人违约解除合同</w:t>
      </w:r>
    </w:p>
    <w:p w14:paraId="6BB8B5D5">
      <w:pPr>
        <w:spacing w:line="44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关于承包人违约解除合同的特别约定：</w:t>
      </w:r>
      <w:r>
        <w:rPr>
          <w:rFonts w:hint="eastAsia" w:ascii="仿宋" w:hAnsi="仿宋" w:eastAsia="仿宋" w:cs="仿宋"/>
          <w:color w:val="auto"/>
          <w:sz w:val="24"/>
          <w:szCs w:val="24"/>
          <w:highlight w:val="none"/>
          <w:u w:val="single"/>
        </w:rPr>
        <w:t xml:space="preserve"> 除执行通用条款外，承包人应承担的责任还包括：（1）立即停止施工；（2）必须在七日内移交所有工程资料；（3）遣散工人离开现场；（4）必须配合发包人进行结算；（5）须承担相应的违约责任。</w:t>
      </w:r>
      <w:r>
        <w:rPr>
          <w:rFonts w:hint="eastAsia" w:ascii="仿宋" w:hAnsi="仿宋" w:eastAsia="仿宋" w:cs="仿宋"/>
          <w:color w:val="auto"/>
          <w:kern w:val="0"/>
          <w:sz w:val="24"/>
          <w:szCs w:val="24"/>
          <w:highlight w:val="none"/>
          <w:u w:val="single"/>
        </w:rPr>
        <w:t>如承包人未按上述期限配合办理退场及结算，承诺人同意以本工程的全过程跟踪审计单位单方面测量结果作为结算依据，发包人在审计单位完成测量后可直接另外委托第三方施工。承包人无权就其不配合退场导致的施工现场灭失向发包人主张任何权利</w:t>
      </w:r>
      <w:r>
        <w:rPr>
          <w:rFonts w:hint="eastAsia" w:ascii="仿宋" w:hAnsi="仿宋" w:eastAsia="仿宋" w:cs="仿宋"/>
          <w:color w:val="auto"/>
          <w:kern w:val="0"/>
          <w:sz w:val="24"/>
          <w:szCs w:val="24"/>
          <w:highlight w:val="none"/>
        </w:rPr>
        <w:t>。</w:t>
      </w:r>
    </w:p>
    <w:p w14:paraId="0654B9F6">
      <w:pPr>
        <w:spacing w:line="440" w:lineRule="exact"/>
        <w:ind w:firstLine="480" w:firstLineChars="200"/>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rPr>
        <w:t>发包人根据合同约定发出解除合同通知10日内，承包人必须同发包人签署解除合同协议，如不按期签署，视为合同解除。上述情形下合同解除后，发包人验收符合合同要求的已完工程，承包人仍应提供验收合格已完工程竣工资料，并仍应当按本合同约定承担承包人施工范围内质保、修补缺陷的义务。未承担相应义务的，发包人有权自结算款中扣除。</w:t>
      </w:r>
    </w:p>
    <w:p w14:paraId="040A3560">
      <w:pPr>
        <w:spacing w:before="120" w:after="120" w:line="440" w:lineRule="exact"/>
        <w:ind w:firstLine="480" w:firstLineChars="200"/>
        <w:rPr>
          <w:rFonts w:hint="eastAsia" w:ascii="仿宋" w:hAnsi="仿宋" w:eastAsia="仿宋" w:cs="仿宋"/>
          <w:color w:val="auto"/>
          <w:kern w:val="0"/>
          <w:sz w:val="30"/>
          <w:szCs w:val="32"/>
          <w:highlight w:val="none"/>
        </w:rPr>
      </w:pPr>
      <w:r>
        <w:rPr>
          <w:rFonts w:hint="eastAsia" w:ascii="仿宋" w:hAnsi="仿宋" w:eastAsia="仿宋" w:cs="仿宋"/>
          <w:color w:val="auto"/>
          <w:kern w:val="0"/>
          <w:sz w:val="24"/>
          <w:szCs w:val="24"/>
          <w:highlight w:val="none"/>
        </w:rPr>
        <w:t>发包人继续使用承包人在施工现场的材料、设备、临时工程、承包人文件和由承包人或以其名义编制的其他文件的费用承担方式：</w:t>
      </w:r>
      <w:r>
        <w:rPr>
          <w:rFonts w:hint="eastAsia" w:ascii="仿宋" w:hAnsi="仿宋" w:eastAsia="仿宋" w:cs="仿宋"/>
          <w:color w:val="auto"/>
          <w:kern w:val="0"/>
          <w:sz w:val="24"/>
          <w:szCs w:val="24"/>
          <w:highlight w:val="none"/>
          <w:u w:val="single"/>
        </w:rPr>
        <w:t xml:space="preserve">承包人自收到发包人解除通知之日未按期清理、移交的，视为承包人放弃全部权利，发包人无偿使用 </w:t>
      </w:r>
      <w:r>
        <w:rPr>
          <w:rFonts w:hint="eastAsia" w:ascii="仿宋" w:hAnsi="仿宋" w:eastAsia="仿宋" w:cs="仿宋"/>
          <w:color w:val="auto"/>
          <w:kern w:val="0"/>
          <w:sz w:val="30"/>
          <w:szCs w:val="32"/>
          <w:highlight w:val="none"/>
        </w:rPr>
        <w:t>。</w:t>
      </w:r>
    </w:p>
    <w:p w14:paraId="401BCCBC">
      <w:pPr>
        <w:pStyle w:val="5"/>
        <w:spacing w:before="0" w:after="0" w:line="440" w:lineRule="exact"/>
        <w:rPr>
          <w:rFonts w:hint="eastAsia" w:ascii="仿宋" w:hAnsi="仿宋" w:eastAsia="仿宋" w:cs="仿宋"/>
          <w:b w:val="0"/>
          <w:color w:val="auto"/>
          <w:sz w:val="24"/>
          <w:szCs w:val="24"/>
          <w:highlight w:val="none"/>
        </w:rPr>
      </w:pPr>
      <w:bookmarkStart w:id="634" w:name="_Toc30858"/>
      <w:r>
        <w:rPr>
          <w:rFonts w:hint="eastAsia" w:ascii="仿宋" w:hAnsi="仿宋" w:eastAsia="仿宋" w:cs="仿宋"/>
          <w:b w:val="0"/>
          <w:color w:val="auto"/>
          <w:sz w:val="24"/>
          <w:szCs w:val="24"/>
          <w:highlight w:val="none"/>
        </w:rPr>
        <w:t>17. 不可抗力</w:t>
      </w:r>
      <w:bookmarkEnd w:id="634"/>
      <w:r>
        <w:rPr>
          <w:rFonts w:hint="eastAsia" w:ascii="仿宋" w:hAnsi="仿宋" w:eastAsia="仿宋" w:cs="仿宋"/>
          <w:b w:val="0"/>
          <w:color w:val="auto"/>
          <w:sz w:val="24"/>
          <w:szCs w:val="24"/>
          <w:highlight w:val="none"/>
        </w:rPr>
        <w:t xml:space="preserve"> </w:t>
      </w:r>
      <w:bookmarkEnd w:id="630"/>
    </w:p>
    <w:p w14:paraId="44E2CCB9">
      <w:pPr>
        <w:spacing w:line="440" w:lineRule="exact"/>
        <w:ind w:firstLine="480" w:firstLineChars="200"/>
        <w:outlineLvl w:val="4"/>
        <w:rPr>
          <w:rFonts w:hint="eastAsia" w:ascii="仿宋" w:hAnsi="仿宋" w:eastAsia="仿宋" w:cs="仿宋"/>
          <w:color w:val="auto"/>
          <w:sz w:val="24"/>
          <w:szCs w:val="24"/>
          <w:highlight w:val="none"/>
        </w:rPr>
      </w:pPr>
      <w:bookmarkStart w:id="635" w:name="_Toc16902"/>
      <w:r>
        <w:rPr>
          <w:rFonts w:hint="eastAsia" w:ascii="仿宋" w:hAnsi="仿宋" w:eastAsia="仿宋" w:cs="仿宋"/>
          <w:color w:val="auto"/>
          <w:sz w:val="24"/>
          <w:szCs w:val="24"/>
          <w:highlight w:val="none"/>
        </w:rPr>
        <w:t>17.1 不可抗力的确认</w:t>
      </w:r>
      <w:bookmarkEnd w:id="635"/>
    </w:p>
    <w:p w14:paraId="339FF6B7">
      <w:pPr>
        <w:spacing w:line="440" w:lineRule="exact"/>
        <w:ind w:firstLine="480" w:firstLineChars="200"/>
        <w:jc w:val="left"/>
        <w:rPr>
          <w:rFonts w:hint="eastAsia" w:ascii="仿宋" w:hAnsi="仿宋" w:eastAsia="仿宋" w:cs="仿宋"/>
          <w:color w:val="auto"/>
          <w:kern w:val="0"/>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 </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09AD7E6D">
      <w:pPr>
        <w:spacing w:line="440" w:lineRule="exact"/>
        <w:ind w:firstLine="480" w:firstLineChars="200"/>
        <w:outlineLvl w:val="4"/>
        <w:rPr>
          <w:rFonts w:hint="eastAsia" w:ascii="仿宋" w:hAnsi="仿宋" w:eastAsia="仿宋" w:cs="仿宋"/>
          <w:color w:val="auto"/>
          <w:sz w:val="24"/>
          <w:szCs w:val="24"/>
          <w:highlight w:val="none"/>
        </w:rPr>
      </w:pPr>
      <w:bookmarkStart w:id="636" w:name="_Toc590"/>
      <w:r>
        <w:rPr>
          <w:rFonts w:hint="eastAsia" w:ascii="仿宋" w:hAnsi="仿宋" w:eastAsia="仿宋" w:cs="仿宋"/>
          <w:color w:val="auto"/>
          <w:sz w:val="24"/>
          <w:szCs w:val="24"/>
          <w:highlight w:val="none"/>
        </w:rPr>
        <w:t>17.4 因不可抗力解除合同</w:t>
      </w:r>
      <w:bookmarkEnd w:id="636"/>
    </w:p>
    <w:p w14:paraId="78FF6D17">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合同解除后，发包人应在商定或确定发包人应支付款项后</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天内完成款项的支付。</w:t>
      </w:r>
    </w:p>
    <w:p w14:paraId="30F5221B">
      <w:pPr>
        <w:pStyle w:val="5"/>
        <w:spacing w:before="0" w:after="0" w:line="440" w:lineRule="exact"/>
        <w:rPr>
          <w:rFonts w:hint="eastAsia" w:ascii="仿宋" w:hAnsi="仿宋" w:eastAsia="仿宋" w:cs="仿宋"/>
          <w:b w:val="0"/>
          <w:color w:val="auto"/>
          <w:sz w:val="24"/>
          <w:szCs w:val="24"/>
          <w:highlight w:val="none"/>
        </w:rPr>
      </w:pPr>
      <w:bookmarkStart w:id="637" w:name="_Toc9327"/>
      <w:r>
        <w:rPr>
          <w:rFonts w:hint="eastAsia" w:ascii="仿宋" w:hAnsi="仿宋" w:eastAsia="仿宋" w:cs="仿宋"/>
          <w:b w:val="0"/>
          <w:color w:val="auto"/>
          <w:sz w:val="24"/>
          <w:szCs w:val="24"/>
          <w:highlight w:val="none"/>
        </w:rPr>
        <w:t>18. 保险</w:t>
      </w:r>
      <w:bookmarkEnd w:id="637"/>
    </w:p>
    <w:bookmarkEnd w:id="631"/>
    <w:p w14:paraId="793BAB42">
      <w:pPr>
        <w:spacing w:line="440" w:lineRule="exact"/>
        <w:ind w:firstLine="480" w:firstLineChars="200"/>
        <w:outlineLvl w:val="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 工程保险</w:t>
      </w:r>
    </w:p>
    <w:p w14:paraId="0A35E6A9">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关于工程保险的特别约定：</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0D330B2B">
      <w:pPr>
        <w:spacing w:line="440" w:lineRule="exact"/>
        <w:ind w:firstLine="480" w:firstLineChars="200"/>
        <w:outlineLvl w:val="4"/>
        <w:rPr>
          <w:rFonts w:hint="eastAsia" w:ascii="仿宋" w:hAnsi="仿宋" w:eastAsia="仿宋" w:cs="仿宋"/>
          <w:color w:val="auto"/>
          <w:sz w:val="24"/>
          <w:szCs w:val="24"/>
          <w:highlight w:val="none"/>
        </w:rPr>
      </w:pPr>
      <w:bookmarkStart w:id="638" w:name="_Toc23138"/>
      <w:r>
        <w:rPr>
          <w:rFonts w:hint="eastAsia" w:ascii="仿宋" w:hAnsi="仿宋" w:eastAsia="仿宋" w:cs="仿宋"/>
          <w:color w:val="auto"/>
          <w:sz w:val="24"/>
          <w:szCs w:val="24"/>
          <w:highlight w:val="none"/>
        </w:rPr>
        <w:t>18.3 其他保险</w:t>
      </w:r>
      <w:bookmarkEnd w:id="638"/>
    </w:p>
    <w:p w14:paraId="1736F642">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关于其他保险的约定：</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rPr>
        <w:t xml:space="preserve">包人负责为承包人在施工现场全部人员办理意外伤害保险并支付保险费。 </w:t>
      </w:r>
    </w:p>
    <w:p w14:paraId="5CE0BEB7">
      <w:pPr>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承包人是否应为其施工设备等办理财产保险：</w:t>
      </w:r>
      <w:r>
        <w:rPr>
          <w:rFonts w:hint="eastAsia" w:ascii="仿宋" w:hAnsi="仿宋" w:eastAsia="仿宋" w:cs="仿宋"/>
          <w:color w:val="auto"/>
          <w:sz w:val="24"/>
          <w:szCs w:val="24"/>
          <w:highlight w:val="none"/>
          <w:u w:val="single"/>
        </w:rPr>
        <w:t xml:space="preserve"> 由承包人自行考虑 </w:t>
      </w:r>
      <w:r>
        <w:rPr>
          <w:rFonts w:hint="eastAsia" w:ascii="仿宋" w:hAnsi="仿宋" w:eastAsia="仿宋" w:cs="仿宋"/>
          <w:color w:val="auto"/>
          <w:sz w:val="24"/>
          <w:szCs w:val="24"/>
          <w:highlight w:val="none"/>
        </w:rPr>
        <w:t>。</w:t>
      </w:r>
    </w:p>
    <w:p w14:paraId="4F15B2D8">
      <w:pPr>
        <w:spacing w:line="440" w:lineRule="exact"/>
        <w:ind w:firstLine="480" w:firstLineChars="200"/>
        <w:outlineLvl w:val="4"/>
        <w:rPr>
          <w:rFonts w:hint="eastAsia" w:ascii="仿宋" w:hAnsi="仿宋" w:eastAsia="仿宋" w:cs="仿宋"/>
          <w:color w:val="auto"/>
          <w:sz w:val="24"/>
          <w:szCs w:val="24"/>
          <w:highlight w:val="none"/>
        </w:rPr>
      </w:pPr>
      <w:bookmarkStart w:id="639" w:name="_Toc16202"/>
      <w:r>
        <w:rPr>
          <w:rFonts w:hint="eastAsia" w:ascii="仿宋" w:hAnsi="仿宋" w:eastAsia="仿宋" w:cs="仿宋"/>
          <w:color w:val="auto"/>
          <w:sz w:val="24"/>
          <w:szCs w:val="24"/>
          <w:highlight w:val="none"/>
        </w:rPr>
        <w:t>18.7 通知义务</w:t>
      </w:r>
      <w:bookmarkEnd w:id="639"/>
    </w:p>
    <w:p w14:paraId="755061BB">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关于变更保险合同时的通知义务的约定：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bookmarkEnd w:id="604"/>
    <w:bookmarkEnd w:id="605"/>
    <w:bookmarkEnd w:id="606"/>
    <w:bookmarkEnd w:id="607"/>
    <w:bookmarkEnd w:id="608"/>
    <w:bookmarkEnd w:id="609"/>
    <w:bookmarkEnd w:id="610"/>
    <w:bookmarkEnd w:id="611"/>
    <w:bookmarkEnd w:id="612"/>
    <w:bookmarkEnd w:id="613"/>
    <w:bookmarkEnd w:id="614"/>
    <w:bookmarkEnd w:id="615"/>
    <w:p w14:paraId="50A54CED">
      <w:pPr>
        <w:pStyle w:val="5"/>
        <w:spacing w:before="0" w:after="0" w:line="440" w:lineRule="exact"/>
        <w:rPr>
          <w:rFonts w:hint="eastAsia" w:ascii="仿宋" w:hAnsi="仿宋" w:eastAsia="仿宋" w:cs="仿宋"/>
          <w:b w:val="0"/>
          <w:color w:val="auto"/>
          <w:sz w:val="24"/>
          <w:szCs w:val="24"/>
          <w:highlight w:val="none"/>
        </w:rPr>
      </w:pPr>
      <w:bookmarkStart w:id="640" w:name="_Toc17032"/>
      <w:r>
        <w:rPr>
          <w:rFonts w:hint="eastAsia" w:ascii="仿宋" w:hAnsi="仿宋" w:eastAsia="仿宋" w:cs="仿宋"/>
          <w:b w:val="0"/>
          <w:color w:val="auto"/>
          <w:sz w:val="24"/>
          <w:szCs w:val="24"/>
          <w:highlight w:val="none"/>
        </w:rPr>
        <w:t>20. 争议解决</w:t>
      </w:r>
      <w:bookmarkEnd w:id="640"/>
    </w:p>
    <w:bookmarkEnd w:id="616"/>
    <w:bookmarkEnd w:id="617"/>
    <w:p w14:paraId="515ACA32">
      <w:pPr>
        <w:spacing w:line="440" w:lineRule="exact"/>
        <w:ind w:firstLine="480" w:firstLineChars="200"/>
        <w:outlineLvl w:val="4"/>
        <w:rPr>
          <w:rFonts w:hint="eastAsia" w:ascii="仿宋" w:hAnsi="仿宋" w:eastAsia="仿宋" w:cs="仿宋"/>
          <w:color w:val="auto"/>
          <w:sz w:val="24"/>
          <w:szCs w:val="24"/>
          <w:highlight w:val="none"/>
        </w:rPr>
      </w:pPr>
      <w:bookmarkStart w:id="641" w:name="_Toc6746"/>
      <w:r>
        <w:rPr>
          <w:rFonts w:hint="eastAsia" w:ascii="仿宋" w:hAnsi="仿宋" w:eastAsia="仿宋" w:cs="仿宋"/>
          <w:color w:val="auto"/>
          <w:sz w:val="24"/>
          <w:szCs w:val="24"/>
          <w:highlight w:val="none"/>
        </w:rPr>
        <w:t>20.3 争</w:t>
      </w:r>
      <w:bookmarkEnd w:id="618"/>
      <w:r>
        <w:rPr>
          <w:rFonts w:hint="eastAsia" w:ascii="仿宋" w:hAnsi="仿宋" w:eastAsia="仿宋" w:cs="仿宋"/>
          <w:color w:val="auto"/>
          <w:sz w:val="24"/>
          <w:szCs w:val="24"/>
          <w:highlight w:val="none"/>
        </w:rPr>
        <w:t>议评审</w:t>
      </w:r>
      <w:bookmarkEnd w:id="641"/>
    </w:p>
    <w:p w14:paraId="01463BBD">
      <w:pPr>
        <w:spacing w:line="440" w:lineRule="exact"/>
        <w:ind w:left="149" w:leftChars="71" w:firstLine="360" w:firstLineChars="1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合同当事人是否同意将工程争议提交争议评审小组决定：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p>
    <w:p w14:paraId="7DE8DC53">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20.3.1 争议评审小组的确定</w:t>
      </w:r>
    </w:p>
    <w:p w14:paraId="54EDD7EC">
      <w:pPr>
        <w:spacing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争议评审小组成员的确定：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A720420">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选定争议评审员的期限：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F3604B8">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争议评审小组成员的报酬承担方式：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74E27BF">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4F0C389">
      <w:pPr>
        <w:autoSpaceDE w:val="0"/>
        <w:autoSpaceDN w:val="0"/>
        <w:adjustRightInd w:val="0"/>
        <w:spacing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20.3.2 争议评审小组的决定</w:t>
      </w:r>
    </w:p>
    <w:p w14:paraId="256A0838">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合同当事人关于本项的约定：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52D7E92">
      <w:pPr>
        <w:spacing w:line="440" w:lineRule="exact"/>
        <w:ind w:firstLine="480" w:firstLineChars="200"/>
        <w:outlineLvl w:val="4"/>
        <w:rPr>
          <w:rFonts w:hint="eastAsia" w:ascii="仿宋" w:hAnsi="仿宋" w:eastAsia="仿宋" w:cs="仿宋"/>
          <w:color w:val="auto"/>
          <w:sz w:val="24"/>
          <w:szCs w:val="24"/>
          <w:highlight w:val="none"/>
        </w:rPr>
      </w:pPr>
      <w:bookmarkStart w:id="642" w:name="_Toc18421"/>
      <w:r>
        <w:rPr>
          <w:rFonts w:hint="eastAsia" w:ascii="仿宋" w:hAnsi="仿宋" w:eastAsia="仿宋" w:cs="仿宋"/>
          <w:color w:val="auto"/>
          <w:sz w:val="24"/>
          <w:szCs w:val="24"/>
          <w:highlight w:val="none"/>
        </w:rPr>
        <w:t>20.4仲裁或诉讼</w:t>
      </w:r>
      <w:bookmarkEnd w:id="619"/>
      <w:bookmarkEnd w:id="642"/>
    </w:p>
    <w:p w14:paraId="43A8E710">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因合同及合同有关事项发生的争议，按下列第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种方式解决：</w:t>
      </w:r>
    </w:p>
    <w:p w14:paraId="12EA495B">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（1）向</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仲裁委员会申请仲裁；</w:t>
      </w:r>
    </w:p>
    <w:p w14:paraId="2F555519">
      <w:pPr>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（2）向</w:t>
      </w:r>
      <w:r>
        <w:rPr>
          <w:rFonts w:hint="eastAsia" w:ascii="仿宋" w:hAnsi="仿宋" w:eastAsia="仿宋" w:cs="仿宋"/>
          <w:color w:val="auto"/>
          <w:sz w:val="24"/>
          <w:szCs w:val="24"/>
          <w:highlight w:val="none"/>
          <w:u w:val="single"/>
        </w:rPr>
        <w:t xml:space="preserve"> 发包人所在地 </w:t>
      </w:r>
      <w:r>
        <w:rPr>
          <w:rFonts w:hint="eastAsia" w:ascii="仿宋" w:hAnsi="仿宋" w:eastAsia="仿宋" w:cs="仿宋"/>
          <w:color w:val="auto"/>
          <w:sz w:val="24"/>
          <w:szCs w:val="24"/>
          <w:highlight w:val="none"/>
        </w:rPr>
        <w:t>人民法院起诉。</w:t>
      </w:r>
      <w:bookmarkEnd w:id="620"/>
      <w:bookmarkEnd w:id="621"/>
      <w:bookmarkEnd w:id="622"/>
      <w:bookmarkEnd w:id="623"/>
      <w:bookmarkEnd w:id="624"/>
      <w:bookmarkEnd w:id="625"/>
    </w:p>
    <w:p w14:paraId="09F35F09">
      <w:pPr>
        <w:spacing w:line="440" w:lineRule="exact"/>
        <w:ind w:firstLine="480" w:firstLineChars="200"/>
        <w:outlineLvl w:val="4"/>
        <w:rPr>
          <w:rFonts w:hint="eastAsia" w:ascii="仿宋" w:hAnsi="仿宋" w:eastAsia="仿宋" w:cs="仿宋"/>
          <w:color w:val="auto"/>
          <w:sz w:val="24"/>
          <w:szCs w:val="24"/>
          <w:highlight w:val="none"/>
        </w:rPr>
      </w:pPr>
      <w:bookmarkStart w:id="643" w:name="_Toc21220"/>
      <w:r>
        <w:rPr>
          <w:rFonts w:hint="eastAsia" w:ascii="仿宋" w:hAnsi="仿宋" w:eastAsia="仿宋" w:cs="仿宋"/>
          <w:color w:val="auto"/>
          <w:sz w:val="24"/>
          <w:szCs w:val="24"/>
          <w:highlight w:val="none"/>
        </w:rPr>
        <w:t>20.5送达方式</w:t>
      </w:r>
      <w:bookmarkEnd w:id="643"/>
    </w:p>
    <w:p w14:paraId="693169D0">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尾部载明的双方地址、电话等信息，系双方有效联系方式及合法司法送达地址，如发生变更，应提前书面通知其他各方，否则依该联系方式送达相关文书的，视为送达成功。本协议中所载的书面通知方式仅指当事人亲自送达、挂号信、EMS方式。一方采取当事人亲自送达方式的，各方有积极配合签收的义务。如一方拒绝签收而使另一方变更送达方式的，由此产生的费用应当由违约方承担；如以EMS或快递方式寄送的，如无相反证据证明，自寄送之日起的第三日为送达之日。</w:t>
      </w:r>
    </w:p>
    <w:p w14:paraId="7FA402AF">
      <w:pPr>
        <w:spacing w:line="440" w:lineRule="exact"/>
        <w:ind w:firstLine="480" w:firstLineChars="200"/>
        <w:outlineLvl w:val="3"/>
        <w:rPr>
          <w:rFonts w:hint="eastAsia" w:ascii="仿宋" w:hAnsi="仿宋" w:eastAsia="仿宋" w:cs="仿宋"/>
          <w:color w:val="auto"/>
          <w:sz w:val="24"/>
          <w:szCs w:val="24"/>
          <w:highlight w:val="none"/>
        </w:rPr>
      </w:pPr>
      <w:bookmarkStart w:id="644" w:name="_Toc7686"/>
      <w:r>
        <w:rPr>
          <w:rFonts w:hint="eastAsia" w:ascii="仿宋" w:hAnsi="仿宋" w:eastAsia="仿宋" w:cs="仿宋"/>
          <w:color w:val="auto"/>
          <w:sz w:val="24"/>
          <w:szCs w:val="24"/>
          <w:highlight w:val="none"/>
        </w:rPr>
        <w:t>21. 关于设立专项账户</w:t>
      </w:r>
      <w:bookmarkEnd w:id="644"/>
    </w:p>
    <w:p w14:paraId="493F0794">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确保该项目顺利实施，提出如下意见：（1）承包人应当加强工程款管理，本项目资金承包人应开设专项账户，做到专款专用，不得挪作他用，不得拖欠材料、设备货款、专业分包工程款等费用；（2）按照相关规定承包人开设农民工资专用账户，并在提交的进度款中将人工费与其他费用分开组价，与其他费用分开支付，不得拖欠农民工和工人工资。为保证项目资金正常运转，并接受发包人监督检查。</w:t>
      </w:r>
    </w:p>
    <w:p w14:paraId="6A47343F">
      <w:pPr>
        <w:spacing w:line="440" w:lineRule="exact"/>
        <w:ind w:firstLine="480" w:firstLineChars="200"/>
        <w:jc w:val="left"/>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21.补充条款</w:t>
      </w:r>
    </w:p>
    <w:p w14:paraId="24E677EC">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承包人同意接受甲方工程结算审计原则。</w:t>
      </w:r>
    </w:p>
    <w:p w14:paraId="4F4FD8E9">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工程竣工后，承包方要在规定的时间内报送完整、规范的竣工材料，工程竣工验收单（记录）须加盖承包方、监理方、工程管理部门、使用单位公章并由单位负责人或项目负责人签字，否则视为工程未通过验收。并对报送材料的全面、准确、真实性负责。</w:t>
      </w:r>
    </w:p>
    <w:p w14:paraId="7A81EECC">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承包方须在竣工验收合格之日起三个月内报送工程结算及全部工程资料，承包方送审的工程竣工材料要恪守承诺和质量要求，工程施工内容与结算内容相一致，符合招标和投标文件及合同内容，不得违反合同约定。承包方如未在规定的时间内提供完整、真实、合法的资料、包括工程中涉及变更项目及增加的项目，由此产生的不良后果由承包方负责，发包方不承担责任，也不予受理；工程管理部门拖延者，将按学校的相关规定进行问责。工程结算报甲方审计处进行审计，最终以甲方审计处审定结算价为准。</w:t>
      </w:r>
    </w:p>
    <w:p w14:paraId="13AAA406">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4.“项目管理人员及主要人员明细表”与投标文件保持一致，“主要材料表”与投标文件保持一致。</w:t>
      </w:r>
    </w:p>
    <w:p w14:paraId="25091B28">
      <w:pPr>
        <w:spacing w:line="360" w:lineRule="auto"/>
        <w:jc w:val="lef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br w:type="page"/>
      </w:r>
      <w:r>
        <w:rPr>
          <w:rFonts w:hint="eastAsia" w:ascii="仿宋" w:hAnsi="仿宋" w:eastAsia="仿宋" w:cs="仿宋"/>
          <w:b/>
          <w:color w:val="auto"/>
          <w:sz w:val="24"/>
          <w:szCs w:val="24"/>
          <w:highlight w:val="none"/>
        </w:rPr>
        <w:t>附件</w:t>
      </w:r>
    </w:p>
    <w:p w14:paraId="0D2AC185">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附件1：工程质量保修书</w:t>
      </w:r>
    </w:p>
    <w:p w14:paraId="6890FE5D">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附件2：建设工程廉政责任书</w:t>
      </w:r>
    </w:p>
    <w:p w14:paraId="2713D10C">
      <w:pPr>
        <w:spacing w:line="440" w:lineRule="exact"/>
        <w:jc w:val="left"/>
        <w:rPr>
          <w:rFonts w:hint="eastAsia" w:ascii="仿宋" w:hAnsi="仿宋" w:eastAsia="仿宋" w:cs="仿宋"/>
          <w:color w:val="auto"/>
          <w:sz w:val="24"/>
          <w:szCs w:val="24"/>
          <w:highlight w:val="none"/>
        </w:rPr>
      </w:pPr>
    </w:p>
    <w:p w14:paraId="6AC6972B">
      <w:pPr>
        <w:spacing w:line="440" w:lineRule="exact"/>
        <w:jc w:val="left"/>
        <w:rPr>
          <w:rFonts w:hint="eastAsia" w:ascii="仿宋" w:hAnsi="仿宋" w:eastAsia="仿宋" w:cs="仿宋"/>
          <w:color w:val="auto"/>
          <w:sz w:val="24"/>
          <w:szCs w:val="24"/>
          <w:highlight w:val="none"/>
        </w:rPr>
      </w:pPr>
    </w:p>
    <w:p w14:paraId="4E284CEC">
      <w:pPr>
        <w:spacing w:line="440" w:lineRule="exact"/>
        <w:jc w:val="left"/>
        <w:rPr>
          <w:rFonts w:hint="eastAsia" w:ascii="仿宋" w:hAnsi="仿宋" w:eastAsia="仿宋" w:cs="仿宋"/>
          <w:color w:val="auto"/>
          <w:sz w:val="24"/>
          <w:szCs w:val="24"/>
          <w:highlight w:val="none"/>
        </w:rPr>
      </w:pPr>
    </w:p>
    <w:p w14:paraId="05A63C04">
      <w:pPr>
        <w:spacing w:line="440" w:lineRule="exact"/>
        <w:jc w:val="left"/>
        <w:rPr>
          <w:rFonts w:hint="eastAsia" w:ascii="仿宋" w:hAnsi="仿宋" w:eastAsia="仿宋" w:cs="仿宋"/>
          <w:color w:val="auto"/>
          <w:sz w:val="24"/>
          <w:szCs w:val="24"/>
          <w:highlight w:val="none"/>
        </w:rPr>
      </w:pPr>
    </w:p>
    <w:p w14:paraId="1F278E89">
      <w:pPr>
        <w:spacing w:line="440" w:lineRule="exact"/>
        <w:jc w:val="left"/>
        <w:rPr>
          <w:rFonts w:hint="eastAsia" w:ascii="仿宋" w:hAnsi="仿宋" w:eastAsia="仿宋" w:cs="仿宋"/>
          <w:color w:val="auto"/>
          <w:sz w:val="24"/>
          <w:szCs w:val="24"/>
          <w:highlight w:val="none"/>
        </w:rPr>
      </w:pPr>
    </w:p>
    <w:p w14:paraId="34CE63F0">
      <w:pPr>
        <w:spacing w:line="440" w:lineRule="exact"/>
        <w:jc w:val="left"/>
        <w:rPr>
          <w:rFonts w:hint="eastAsia" w:ascii="仿宋" w:hAnsi="仿宋" w:eastAsia="仿宋" w:cs="仿宋"/>
          <w:color w:val="auto"/>
          <w:sz w:val="24"/>
          <w:szCs w:val="24"/>
          <w:highlight w:val="none"/>
        </w:rPr>
      </w:pPr>
    </w:p>
    <w:p w14:paraId="1403CFFA">
      <w:pPr>
        <w:spacing w:line="440" w:lineRule="exact"/>
        <w:jc w:val="left"/>
        <w:rPr>
          <w:rFonts w:hint="eastAsia" w:ascii="仿宋" w:hAnsi="仿宋" w:eastAsia="仿宋" w:cs="仿宋"/>
          <w:color w:val="auto"/>
          <w:sz w:val="24"/>
          <w:szCs w:val="24"/>
          <w:highlight w:val="none"/>
        </w:rPr>
      </w:pPr>
    </w:p>
    <w:p w14:paraId="65B2852E">
      <w:pPr>
        <w:spacing w:line="440" w:lineRule="exact"/>
        <w:jc w:val="left"/>
        <w:rPr>
          <w:rFonts w:hint="eastAsia" w:ascii="仿宋" w:hAnsi="仿宋" w:eastAsia="仿宋" w:cs="仿宋"/>
          <w:color w:val="auto"/>
          <w:sz w:val="24"/>
          <w:szCs w:val="24"/>
          <w:highlight w:val="none"/>
        </w:rPr>
      </w:pPr>
    </w:p>
    <w:p w14:paraId="71C367AE">
      <w:pPr>
        <w:spacing w:line="440" w:lineRule="exact"/>
        <w:jc w:val="left"/>
        <w:rPr>
          <w:rFonts w:hint="eastAsia" w:ascii="仿宋" w:hAnsi="仿宋" w:eastAsia="仿宋" w:cs="仿宋"/>
          <w:color w:val="auto"/>
          <w:sz w:val="24"/>
          <w:szCs w:val="24"/>
          <w:highlight w:val="none"/>
        </w:rPr>
      </w:pPr>
    </w:p>
    <w:p w14:paraId="3993E3B5">
      <w:pPr>
        <w:spacing w:line="440" w:lineRule="exact"/>
        <w:jc w:val="left"/>
        <w:rPr>
          <w:rFonts w:hint="eastAsia" w:ascii="仿宋" w:hAnsi="仿宋" w:eastAsia="仿宋" w:cs="仿宋"/>
          <w:color w:val="auto"/>
          <w:sz w:val="24"/>
          <w:szCs w:val="24"/>
          <w:highlight w:val="none"/>
        </w:rPr>
      </w:pPr>
    </w:p>
    <w:p w14:paraId="1F6A83C1">
      <w:pPr>
        <w:spacing w:line="440" w:lineRule="exact"/>
        <w:jc w:val="left"/>
        <w:rPr>
          <w:rFonts w:hint="eastAsia" w:ascii="仿宋" w:hAnsi="仿宋" w:eastAsia="仿宋" w:cs="仿宋"/>
          <w:color w:val="auto"/>
          <w:sz w:val="24"/>
          <w:szCs w:val="24"/>
          <w:highlight w:val="none"/>
        </w:rPr>
      </w:pPr>
    </w:p>
    <w:p w14:paraId="482BFC74">
      <w:pPr>
        <w:spacing w:line="440" w:lineRule="exact"/>
        <w:jc w:val="left"/>
        <w:rPr>
          <w:rFonts w:hint="eastAsia" w:ascii="仿宋" w:hAnsi="仿宋" w:eastAsia="仿宋" w:cs="仿宋"/>
          <w:color w:val="auto"/>
          <w:sz w:val="24"/>
          <w:szCs w:val="24"/>
          <w:highlight w:val="none"/>
        </w:rPr>
      </w:pPr>
    </w:p>
    <w:p w14:paraId="6D0FCBEC">
      <w:pPr>
        <w:spacing w:line="440" w:lineRule="exact"/>
        <w:jc w:val="left"/>
        <w:rPr>
          <w:rFonts w:hint="eastAsia" w:ascii="仿宋" w:hAnsi="仿宋" w:eastAsia="仿宋" w:cs="仿宋"/>
          <w:color w:val="auto"/>
          <w:sz w:val="24"/>
          <w:szCs w:val="24"/>
          <w:highlight w:val="none"/>
        </w:rPr>
      </w:pPr>
    </w:p>
    <w:p w14:paraId="2515A5B3">
      <w:pPr>
        <w:spacing w:line="440" w:lineRule="exact"/>
        <w:jc w:val="left"/>
        <w:rPr>
          <w:rFonts w:hint="eastAsia" w:ascii="仿宋" w:hAnsi="仿宋" w:eastAsia="仿宋" w:cs="仿宋"/>
          <w:color w:val="auto"/>
          <w:sz w:val="24"/>
          <w:szCs w:val="24"/>
          <w:highlight w:val="none"/>
        </w:rPr>
      </w:pPr>
    </w:p>
    <w:p w14:paraId="7009C104">
      <w:pPr>
        <w:spacing w:line="440" w:lineRule="exact"/>
        <w:jc w:val="left"/>
        <w:rPr>
          <w:rFonts w:hint="eastAsia" w:ascii="仿宋" w:hAnsi="仿宋" w:eastAsia="仿宋" w:cs="仿宋"/>
          <w:color w:val="auto"/>
          <w:sz w:val="24"/>
          <w:szCs w:val="24"/>
          <w:highlight w:val="none"/>
        </w:rPr>
      </w:pPr>
    </w:p>
    <w:p w14:paraId="202CA654">
      <w:pPr>
        <w:spacing w:line="440" w:lineRule="exact"/>
        <w:jc w:val="left"/>
        <w:rPr>
          <w:rFonts w:hint="eastAsia" w:ascii="仿宋" w:hAnsi="仿宋" w:eastAsia="仿宋" w:cs="仿宋"/>
          <w:color w:val="auto"/>
          <w:sz w:val="24"/>
          <w:szCs w:val="24"/>
          <w:highlight w:val="none"/>
        </w:rPr>
      </w:pPr>
    </w:p>
    <w:p w14:paraId="4E056084">
      <w:pPr>
        <w:spacing w:line="440" w:lineRule="exact"/>
        <w:jc w:val="left"/>
        <w:rPr>
          <w:rFonts w:hint="eastAsia" w:ascii="仿宋" w:hAnsi="仿宋" w:eastAsia="仿宋" w:cs="仿宋"/>
          <w:color w:val="auto"/>
          <w:sz w:val="24"/>
          <w:szCs w:val="24"/>
          <w:highlight w:val="none"/>
        </w:rPr>
      </w:pPr>
    </w:p>
    <w:p w14:paraId="5FC49448">
      <w:pPr>
        <w:spacing w:line="440" w:lineRule="exact"/>
        <w:jc w:val="left"/>
        <w:rPr>
          <w:rFonts w:hint="eastAsia" w:ascii="仿宋" w:hAnsi="仿宋" w:eastAsia="仿宋" w:cs="仿宋"/>
          <w:color w:val="auto"/>
          <w:sz w:val="24"/>
          <w:szCs w:val="24"/>
          <w:highlight w:val="none"/>
        </w:rPr>
      </w:pPr>
    </w:p>
    <w:p w14:paraId="72DD51BF">
      <w:pPr>
        <w:spacing w:line="440" w:lineRule="exact"/>
        <w:jc w:val="left"/>
        <w:rPr>
          <w:rFonts w:hint="eastAsia" w:ascii="仿宋" w:hAnsi="仿宋" w:eastAsia="仿宋" w:cs="仿宋"/>
          <w:color w:val="auto"/>
          <w:sz w:val="24"/>
          <w:szCs w:val="24"/>
          <w:highlight w:val="none"/>
        </w:rPr>
      </w:pPr>
    </w:p>
    <w:p w14:paraId="618B2719">
      <w:pPr>
        <w:spacing w:line="440" w:lineRule="exact"/>
        <w:jc w:val="left"/>
        <w:rPr>
          <w:rFonts w:hint="eastAsia" w:ascii="仿宋" w:hAnsi="仿宋" w:eastAsia="仿宋" w:cs="仿宋"/>
          <w:color w:val="auto"/>
          <w:sz w:val="24"/>
          <w:szCs w:val="24"/>
          <w:highlight w:val="none"/>
        </w:rPr>
      </w:pPr>
    </w:p>
    <w:p w14:paraId="1CA4FBA9">
      <w:pPr>
        <w:spacing w:line="440" w:lineRule="exact"/>
        <w:jc w:val="left"/>
        <w:rPr>
          <w:rFonts w:hint="eastAsia" w:ascii="仿宋" w:hAnsi="仿宋" w:eastAsia="仿宋" w:cs="仿宋"/>
          <w:color w:val="auto"/>
          <w:sz w:val="24"/>
          <w:szCs w:val="24"/>
          <w:highlight w:val="none"/>
        </w:rPr>
      </w:pPr>
    </w:p>
    <w:p w14:paraId="3803A2CE">
      <w:pPr>
        <w:spacing w:line="440" w:lineRule="exact"/>
        <w:jc w:val="left"/>
        <w:rPr>
          <w:rFonts w:hint="eastAsia" w:ascii="仿宋" w:hAnsi="仿宋" w:eastAsia="仿宋" w:cs="仿宋"/>
          <w:color w:val="auto"/>
          <w:sz w:val="24"/>
          <w:szCs w:val="24"/>
          <w:highlight w:val="none"/>
        </w:rPr>
      </w:pPr>
    </w:p>
    <w:p w14:paraId="1EF90021">
      <w:pPr>
        <w:spacing w:line="440" w:lineRule="exact"/>
        <w:jc w:val="left"/>
        <w:rPr>
          <w:rFonts w:hint="eastAsia" w:ascii="仿宋" w:hAnsi="仿宋" w:eastAsia="仿宋" w:cs="仿宋"/>
          <w:color w:val="auto"/>
          <w:sz w:val="24"/>
          <w:szCs w:val="24"/>
          <w:highlight w:val="none"/>
        </w:rPr>
      </w:pPr>
    </w:p>
    <w:p w14:paraId="5F22DA27">
      <w:pPr>
        <w:spacing w:line="440" w:lineRule="exact"/>
        <w:jc w:val="left"/>
        <w:rPr>
          <w:rFonts w:hint="eastAsia" w:ascii="仿宋" w:hAnsi="仿宋" w:eastAsia="仿宋" w:cs="仿宋"/>
          <w:color w:val="auto"/>
          <w:sz w:val="24"/>
          <w:szCs w:val="24"/>
          <w:highlight w:val="none"/>
        </w:rPr>
      </w:pPr>
    </w:p>
    <w:p w14:paraId="4B362829">
      <w:pPr>
        <w:spacing w:line="440" w:lineRule="exact"/>
        <w:jc w:val="left"/>
        <w:rPr>
          <w:rFonts w:hint="eastAsia" w:ascii="仿宋" w:hAnsi="仿宋" w:eastAsia="仿宋" w:cs="仿宋"/>
          <w:color w:val="auto"/>
          <w:sz w:val="24"/>
          <w:szCs w:val="24"/>
          <w:highlight w:val="none"/>
        </w:rPr>
      </w:pPr>
    </w:p>
    <w:p w14:paraId="5B8C7B2C">
      <w:pPr>
        <w:spacing w:line="440" w:lineRule="exact"/>
        <w:jc w:val="left"/>
        <w:rPr>
          <w:rFonts w:hint="eastAsia" w:ascii="仿宋" w:hAnsi="仿宋" w:eastAsia="仿宋" w:cs="仿宋"/>
          <w:color w:val="auto"/>
          <w:sz w:val="24"/>
          <w:szCs w:val="24"/>
          <w:highlight w:val="none"/>
        </w:rPr>
      </w:pPr>
    </w:p>
    <w:p w14:paraId="6BC1144A">
      <w:pPr>
        <w:spacing w:line="440" w:lineRule="exact"/>
        <w:jc w:val="left"/>
        <w:rPr>
          <w:rFonts w:hint="eastAsia" w:ascii="仿宋" w:hAnsi="仿宋" w:eastAsia="仿宋" w:cs="仿宋"/>
          <w:color w:val="auto"/>
          <w:sz w:val="24"/>
          <w:szCs w:val="24"/>
          <w:highlight w:val="none"/>
        </w:rPr>
        <w:sectPr>
          <w:pgSz w:w="11906" w:h="16838"/>
          <w:pgMar w:top="1418" w:right="1555" w:bottom="1418" w:left="1531" w:header="851" w:footer="992" w:gutter="0"/>
          <w:pgNumType w:fmt="decimal"/>
          <w:cols w:space="720" w:num="1"/>
          <w:titlePg/>
          <w:docGrid w:type="lines" w:linePitch="312" w:charSpace="0"/>
        </w:sectPr>
      </w:pPr>
    </w:p>
    <w:p w14:paraId="58F55454">
      <w:pPr>
        <w:spacing w:line="44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附件1：</w:t>
      </w:r>
      <w:r>
        <w:rPr>
          <w:rFonts w:hint="eastAsia" w:ascii="仿宋" w:hAnsi="仿宋" w:eastAsia="仿宋" w:cs="仿宋"/>
          <w:color w:val="auto"/>
          <w:sz w:val="24"/>
          <w:szCs w:val="24"/>
          <w:highlight w:val="none"/>
        </w:rPr>
        <w:t xml:space="preserve"> </w:t>
      </w:r>
    </w:p>
    <w:p w14:paraId="0BF25990">
      <w:pPr>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工程质量保修书</w:t>
      </w:r>
    </w:p>
    <w:p w14:paraId="30DBF1F0">
      <w:pPr>
        <w:spacing w:line="540" w:lineRule="exact"/>
        <w:ind w:firstLine="480" w:firstLineChars="200"/>
        <w:rPr>
          <w:rFonts w:hint="eastAsia" w:ascii="仿宋" w:hAnsi="仿宋" w:eastAsia="仿宋" w:cs="仿宋"/>
          <w:color w:val="auto"/>
          <w:sz w:val="24"/>
          <w:szCs w:val="24"/>
          <w:highlight w:val="none"/>
        </w:rPr>
      </w:pPr>
    </w:p>
    <w:p w14:paraId="32B87075">
      <w:pPr>
        <w:spacing w:line="5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发包人（全称）：</w:t>
      </w:r>
      <w:r>
        <w:rPr>
          <w:rFonts w:hint="eastAsia" w:ascii="仿宋" w:hAnsi="仿宋" w:eastAsia="仿宋" w:cs="仿宋"/>
          <w:color w:val="auto"/>
          <w:sz w:val="24"/>
          <w:szCs w:val="24"/>
          <w:highlight w:val="none"/>
          <w:u w:val="single"/>
        </w:rPr>
        <w:t xml:space="preserve">新疆农业大学                </w:t>
      </w:r>
    </w:p>
    <w:p w14:paraId="64EFC2C3">
      <w:pPr>
        <w:spacing w:line="5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承包人（全称）：</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rPr>
        <w:t xml:space="preserve">  </w:t>
      </w:r>
    </w:p>
    <w:p w14:paraId="5BAD0A91">
      <w:pPr>
        <w:spacing w:line="5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发包人和承包人根据《中华人民共和国建筑法》和《建设工程质量管理条例》，经协商一致就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签订工程质量保修书。</w:t>
      </w:r>
    </w:p>
    <w:p w14:paraId="28958450">
      <w:pPr>
        <w:spacing w:line="5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一、工程质量保修范围和内容</w:t>
      </w:r>
    </w:p>
    <w:p w14:paraId="73671563">
      <w:pPr>
        <w:spacing w:line="5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承包人在质量保修期内，按照有关法律规定和合同约定，承担工程质量保修责任。</w:t>
      </w:r>
    </w:p>
    <w:p w14:paraId="692D7A34">
      <w:pPr>
        <w:spacing w:line="5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43C5E469">
      <w:pPr>
        <w:spacing w:line="5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工程承包范围内的全部事项</w:t>
      </w:r>
      <w:r>
        <w:rPr>
          <w:rFonts w:hint="eastAsia" w:ascii="仿宋" w:hAnsi="仿宋" w:eastAsia="仿宋" w:cs="仿宋"/>
          <w:color w:val="auto"/>
          <w:sz w:val="24"/>
          <w:szCs w:val="24"/>
          <w:highlight w:val="none"/>
        </w:rPr>
        <w:t>。</w:t>
      </w:r>
    </w:p>
    <w:p w14:paraId="2F8AF0D7">
      <w:pPr>
        <w:spacing w:line="54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w:t>
      </w:r>
      <w:r>
        <w:rPr>
          <w:rFonts w:hint="eastAsia" w:ascii="仿宋" w:hAnsi="仿宋" w:eastAsia="仿宋" w:cs="仿宋"/>
          <w:color w:val="auto"/>
          <w:sz w:val="24"/>
          <w:szCs w:val="24"/>
          <w:highlight w:val="none"/>
        </w:rPr>
        <w:t>二、质量保修期</w:t>
      </w:r>
    </w:p>
    <w:p w14:paraId="704F5F7C">
      <w:pPr>
        <w:spacing w:line="5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根据《建设工程质量管理条例》及有关规定，工程的质量保修期如下：</w:t>
      </w:r>
    </w:p>
    <w:p w14:paraId="0ECB79D4">
      <w:pPr>
        <w:spacing w:line="5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1．地基基础工程和主体结构工程为设计文件规定的工程合理使用年限；</w:t>
      </w:r>
    </w:p>
    <w:p w14:paraId="5944EE04">
      <w:pPr>
        <w:spacing w:line="5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2．屋面防水工程、有防水要求的卫生间、房间和外墙面的防渗为</w:t>
      </w:r>
      <w:r>
        <w:rPr>
          <w:rFonts w:hint="eastAsia" w:ascii="仿宋" w:hAnsi="仿宋" w:eastAsia="仿宋" w:cs="仿宋"/>
          <w:color w:val="auto"/>
          <w:sz w:val="24"/>
          <w:szCs w:val="24"/>
          <w:highlight w:val="none"/>
          <w:u w:val="single"/>
        </w:rPr>
        <w:t>5</w:t>
      </w:r>
      <w:r>
        <w:rPr>
          <w:rFonts w:hint="eastAsia" w:ascii="仿宋" w:hAnsi="仿宋" w:eastAsia="仿宋" w:cs="仿宋"/>
          <w:color w:val="auto"/>
          <w:sz w:val="24"/>
          <w:szCs w:val="24"/>
          <w:highlight w:val="none"/>
        </w:rPr>
        <w:t>年；</w:t>
      </w:r>
    </w:p>
    <w:p w14:paraId="74698EED">
      <w:pPr>
        <w:spacing w:line="540" w:lineRule="exact"/>
        <w:ind w:left="420" w:leftChars="200" w:firstLine="120" w:firstLineChars="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3．装修工程为</w:t>
      </w:r>
      <w:r>
        <w:rPr>
          <w:rFonts w:hint="eastAsia" w:ascii="仿宋" w:hAnsi="仿宋" w:eastAsia="仿宋" w:cs="仿宋"/>
          <w:color w:val="auto"/>
          <w:sz w:val="24"/>
          <w:szCs w:val="24"/>
          <w:highlight w:val="none"/>
          <w:u w:val="single"/>
        </w:rPr>
        <w:t>2</w:t>
      </w:r>
      <w:r>
        <w:rPr>
          <w:rFonts w:hint="eastAsia" w:ascii="仿宋" w:hAnsi="仿宋" w:eastAsia="仿宋" w:cs="仿宋"/>
          <w:color w:val="auto"/>
          <w:sz w:val="24"/>
          <w:szCs w:val="24"/>
          <w:highlight w:val="none"/>
        </w:rPr>
        <w:t>年；</w:t>
      </w:r>
    </w:p>
    <w:p w14:paraId="4591BF3E">
      <w:pPr>
        <w:spacing w:line="540" w:lineRule="exact"/>
        <w:ind w:left="420" w:leftChars="200" w:firstLine="120" w:firstLineChars="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4．电气管线、给排水管道、设备安装工程为</w:t>
      </w:r>
      <w:r>
        <w:rPr>
          <w:rFonts w:hint="eastAsia" w:ascii="仿宋" w:hAnsi="仿宋" w:eastAsia="仿宋" w:cs="仿宋"/>
          <w:color w:val="auto"/>
          <w:sz w:val="24"/>
          <w:szCs w:val="24"/>
          <w:highlight w:val="none"/>
          <w:u w:val="single"/>
        </w:rPr>
        <w:t>2</w:t>
      </w:r>
      <w:r>
        <w:rPr>
          <w:rFonts w:hint="eastAsia" w:ascii="仿宋" w:hAnsi="仿宋" w:eastAsia="仿宋" w:cs="仿宋"/>
          <w:color w:val="auto"/>
          <w:sz w:val="24"/>
          <w:szCs w:val="24"/>
          <w:highlight w:val="none"/>
        </w:rPr>
        <w:t>年；</w:t>
      </w:r>
    </w:p>
    <w:p w14:paraId="379AC849">
      <w:pPr>
        <w:spacing w:line="540" w:lineRule="exact"/>
        <w:ind w:left="420" w:leftChars="200" w:firstLine="120" w:firstLineChars="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5．供热与供冷系统为</w:t>
      </w:r>
      <w:r>
        <w:rPr>
          <w:rFonts w:hint="eastAsia" w:ascii="仿宋" w:hAnsi="仿宋" w:eastAsia="仿宋" w:cs="仿宋"/>
          <w:color w:val="auto"/>
          <w:sz w:val="24"/>
          <w:szCs w:val="24"/>
          <w:highlight w:val="none"/>
          <w:u w:val="single"/>
        </w:rPr>
        <w:t xml:space="preserve"> 2</w:t>
      </w:r>
      <w:r>
        <w:rPr>
          <w:rFonts w:hint="eastAsia" w:ascii="仿宋" w:hAnsi="仿宋" w:eastAsia="仿宋" w:cs="仿宋"/>
          <w:color w:val="auto"/>
          <w:sz w:val="24"/>
          <w:szCs w:val="24"/>
          <w:highlight w:val="none"/>
        </w:rPr>
        <w:t>个采暖期、供冷期；</w:t>
      </w:r>
    </w:p>
    <w:p w14:paraId="227CB11B">
      <w:pPr>
        <w:spacing w:line="540" w:lineRule="exact"/>
        <w:ind w:left="420" w:leftChars="200" w:firstLine="120" w:firstLineChars="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6．住宅小区内的给排水设施、道路等配套工程为</w:t>
      </w:r>
      <w:r>
        <w:rPr>
          <w:rFonts w:hint="eastAsia" w:ascii="仿宋" w:hAnsi="仿宋" w:eastAsia="仿宋" w:cs="仿宋"/>
          <w:color w:val="auto"/>
          <w:sz w:val="24"/>
          <w:szCs w:val="24"/>
          <w:highlight w:val="none"/>
          <w:u w:val="single"/>
        </w:rPr>
        <w:t>2</w:t>
      </w:r>
      <w:r>
        <w:rPr>
          <w:rFonts w:hint="eastAsia" w:ascii="仿宋" w:hAnsi="仿宋" w:eastAsia="仿宋" w:cs="仿宋"/>
          <w:color w:val="auto"/>
          <w:sz w:val="24"/>
          <w:szCs w:val="24"/>
          <w:highlight w:val="none"/>
        </w:rPr>
        <w:t>年；</w:t>
      </w:r>
    </w:p>
    <w:p w14:paraId="4FA77D50">
      <w:pPr>
        <w:spacing w:line="540" w:lineRule="exact"/>
        <w:ind w:left="420" w:leftChars="200" w:firstLine="120" w:firstLineChars="5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7．其他项目保修期限约定如下：</w:t>
      </w:r>
      <w:r>
        <w:rPr>
          <w:rFonts w:hint="eastAsia" w:ascii="仿宋" w:hAnsi="仿宋" w:eastAsia="仿宋" w:cs="仿宋"/>
          <w:color w:val="auto"/>
          <w:sz w:val="24"/>
          <w:szCs w:val="24"/>
          <w:highlight w:val="none"/>
          <w:u w:val="single"/>
        </w:rPr>
        <w:t>/</w:t>
      </w:r>
    </w:p>
    <w:p w14:paraId="2D879FF6">
      <w:pPr>
        <w:spacing w:line="5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质量保修期自工程竣工验收合格之日起计算。</w:t>
      </w:r>
    </w:p>
    <w:p w14:paraId="2984E6B5">
      <w:pPr>
        <w:spacing w:line="5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三、缺陷责任期</w:t>
      </w:r>
    </w:p>
    <w:p w14:paraId="632665F4">
      <w:pPr>
        <w:spacing w:line="5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 </w:t>
      </w:r>
      <w:r>
        <w:rPr>
          <w:rFonts w:hint="eastAsia" w:ascii="仿宋" w:hAnsi="仿宋" w:eastAsia="仿宋" w:cs="仿宋"/>
          <w:color w:val="auto"/>
          <w:sz w:val="24"/>
          <w:szCs w:val="24"/>
          <w:highlight w:val="none"/>
          <w:u w:val="single"/>
        </w:rPr>
        <w:t>24</w:t>
      </w:r>
      <w:r>
        <w:rPr>
          <w:rFonts w:hint="eastAsia" w:ascii="仿宋" w:hAnsi="仿宋" w:eastAsia="仿宋" w:cs="仿宋"/>
          <w:color w:val="auto"/>
          <w:sz w:val="24"/>
          <w:szCs w:val="24"/>
          <w:highlight w:val="none"/>
        </w:rPr>
        <w:t>个月，缺陷责任期自工程实际竣工之日起计算。单位工程先于全部工程进行验收，单位工程缺陷责任期自单位工程验收合格之日起算。</w:t>
      </w:r>
    </w:p>
    <w:p w14:paraId="5C6207DD">
      <w:pPr>
        <w:spacing w:line="5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四、质量保修责任</w:t>
      </w:r>
    </w:p>
    <w:p w14:paraId="2EDAEC6C">
      <w:pPr>
        <w:spacing w:line="540" w:lineRule="exact"/>
        <w:ind w:left="105" w:leftChars="50" w:firstLine="491" w:firstLineChars="20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1．属于保修范围、内容的项目，承包人应当在接到保修通知之日起7天内派人保修。承包人不在约定期限内派人保修的，发包人可以委托他人修理，修理费用从质量保修金内扣除。</w:t>
      </w:r>
    </w:p>
    <w:p w14:paraId="41E45EA7">
      <w:pPr>
        <w:spacing w:line="540" w:lineRule="exact"/>
        <w:ind w:left="105" w:leftChars="50" w:firstLine="491" w:firstLineChars="20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2．发生紧急事故需抢修的，承包人在接到事故通知后，应当立即到达事故现场抢修。</w:t>
      </w:r>
    </w:p>
    <w:p w14:paraId="65AC6FB8">
      <w:pPr>
        <w:spacing w:line="540" w:lineRule="exact"/>
        <w:ind w:left="105" w:leftChars="50" w:firstLine="491" w:firstLineChars="20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3B8D666">
      <w:pPr>
        <w:spacing w:line="540" w:lineRule="exact"/>
        <w:ind w:left="420" w:leftChars="200" w:firstLine="120" w:firstLineChars="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4．质量保修完成后，由发包人组织验收。</w:t>
      </w:r>
    </w:p>
    <w:p w14:paraId="1F38FB54">
      <w:pPr>
        <w:spacing w:line="5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五、保修费用</w:t>
      </w:r>
    </w:p>
    <w:p w14:paraId="64940482">
      <w:pPr>
        <w:spacing w:line="540" w:lineRule="exact"/>
        <w:ind w:left="105" w:leftChars="50" w:firstLine="491" w:firstLineChars="20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保修费用由造成质量缺陷的责任方承担。</w:t>
      </w:r>
    </w:p>
    <w:p w14:paraId="0FDB64F2">
      <w:pPr>
        <w:spacing w:line="5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六、质量保修金的支付</w:t>
      </w:r>
    </w:p>
    <w:p w14:paraId="1D41CF3A">
      <w:pPr>
        <w:spacing w:line="540" w:lineRule="exact"/>
        <w:ind w:left="105" w:leftChars="50" w:firstLine="491" w:firstLineChars="20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发包人和承包人约定预留质量保证金比例为结算价的3%，在工程竣工结算时一次性预留保证金。</w:t>
      </w:r>
    </w:p>
    <w:p w14:paraId="2DF29607">
      <w:pPr>
        <w:spacing w:line="5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七、质量保修金的返还</w:t>
      </w:r>
    </w:p>
    <w:p w14:paraId="09E74671">
      <w:pPr>
        <w:spacing w:line="5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缺陷责任期满后经甲方再次验收无任何质量问题后无息给予付清。</w:t>
      </w:r>
    </w:p>
    <w:p w14:paraId="7EC7A5AE">
      <w:pPr>
        <w:spacing w:line="5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八、双方约定的其他工程质量保修事项：</w:t>
      </w:r>
    </w:p>
    <w:p w14:paraId="45614B17">
      <w:pPr>
        <w:spacing w:line="540" w:lineRule="exact"/>
        <w:ind w:firstLine="6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保修期内承包人保证随叫随到，若出现问题承包人在24小时内没有维修或解决，发包人有权委托他人进行处理，费用从承包人的质保金中支出；如维修费用高于质保金的，除扣除质保金外，超出部分费用由承包人承担，维修项目的质量保修期相应顺延。在顺延的质保期内因工程达不到质量要求而支出的维修费用超过质保金的部分，由承包人支付并承担相应的赔偿责任，并且发包人将该施工单位列入发包人修缮工程单位黑名单中。</w:t>
      </w:r>
    </w:p>
    <w:p w14:paraId="0F1E2157">
      <w:pPr>
        <w:spacing w:line="540" w:lineRule="exact"/>
        <w:ind w:firstLine="456" w:firstLineChars="19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工程质量保修书由发包人、承包人在工程竣工验收前共同签署，作为施工合同附件，其有效期限至保修期满。</w:t>
      </w:r>
    </w:p>
    <w:p w14:paraId="43260E3B">
      <w:pPr>
        <w:spacing w:line="540" w:lineRule="exact"/>
        <w:ind w:firstLine="456" w:firstLineChars="190"/>
        <w:rPr>
          <w:rFonts w:hint="eastAsia" w:ascii="仿宋" w:hAnsi="仿宋" w:eastAsia="仿宋" w:cs="仿宋"/>
          <w:color w:val="auto"/>
          <w:sz w:val="24"/>
          <w:szCs w:val="24"/>
          <w:highlight w:val="none"/>
        </w:rPr>
      </w:pPr>
    </w:p>
    <w:p w14:paraId="3223FC83">
      <w:pPr>
        <w:spacing w:line="540" w:lineRule="exact"/>
        <w:ind w:firstLine="456" w:firstLineChars="190"/>
        <w:rPr>
          <w:rFonts w:hint="eastAsia" w:ascii="仿宋" w:hAnsi="仿宋" w:eastAsia="仿宋" w:cs="仿宋"/>
          <w:color w:val="auto"/>
          <w:sz w:val="24"/>
          <w:szCs w:val="24"/>
          <w:highlight w:val="none"/>
        </w:rPr>
      </w:pPr>
    </w:p>
    <w:p w14:paraId="5385CFB6">
      <w:pPr>
        <w:spacing w:line="540" w:lineRule="exact"/>
        <w:ind w:firstLine="456" w:firstLineChars="190"/>
        <w:rPr>
          <w:rFonts w:hint="eastAsia" w:ascii="仿宋" w:hAnsi="仿宋" w:eastAsia="仿宋" w:cs="仿宋"/>
          <w:color w:val="auto"/>
          <w:sz w:val="24"/>
          <w:szCs w:val="24"/>
          <w:highlight w:val="none"/>
        </w:rPr>
      </w:pPr>
    </w:p>
    <w:p w14:paraId="63C9E360">
      <w:pPr>
        <w:spacing w:line="440" w:lineRule="exact"/>
        <w:rPr>
          <w:rFonts w:hint="eastAsia" w:ascii="仿宋" w:hAnsi="仿宋" w:eastAsia="仿宋" w:cs="仿宋"/>
          <w:b/>
          <w:bCs/>
          <w:color w:val="auto"/>
          <w:sz w:val="24"/>
          <w:szCs w:val="24"/>
          <w:highlight w:val="none"/>
        </w:rPr>
      </w:pPr>
    </w:p>
    <w:tbl>
      <w:tblPr>
        <w:tblStyle w:val="48"/>
        <w:tblpPr w:leftFromText="180" w:rightFromText="180" w:vertAnchor="text" w:tblpY="1"/>
        <w:tblOverlap w:val="never"/>
        <w:tblW w:w="9060" w:type="dxa"/>
        <w:tblInd w:w="0" w:type="dxa"/>
        <w:tblLayout w:type="fixed"/>
        <w:tblCellMar>
          <w:top w:w="0" w:type="dxa"/>
          <w:left w:w="108" w:type="dxa"/>
          <w:bottom w:w="0" w:type="dxa"/>
          <w:right w:w="108" w:type="dxa"/>
        </w:tblCellMar>
      </w:tblPr>
      <w:tblGrid>
        <w:gridCol w:w="4530"/>
        <w:gridCol w:w="4530"/>
      </w:tblGrid>
      <w:tr w14:paraId="19AD9D20">
        <w:tblPrEx>
          <w:tblCellMar>
            <w:top w:w="0" w:type="dxa"/>
            <w:left w:w="108" w:type="dxa"/>
            <w:bottom w:w="0" w:type="dxa"/>
            <w:right w:w="108" w:type="dxa"/>
          </w:tblCellMar>
        </w:tblPrEx>
        <w:trPr>
          <w:trHeight w:val="1013" w:hRule="exact"/>
        </w:trPr>
        <w:tc>
          <w:tcPr>
            <w:tcW w:w="4530" w:type="dxa"/>
            <w:noWrap w:val="0"/>
            <w:vAlign w:val="top"/>
          </w:tcPr>
          <w:p w14:paraId="17279F9B">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发包人：（公章）</w:t>
            </w:r>
          </w:p>
        </w:tc>
        <w:tc>
          <w:tcPr>
            <w:tcW w:w="4530" w:type="dxa"/>
            <w:noWrap w:val="0"/>
            <w:vAlign w:val="top"/>
          </w:tcPr>
          <w:p w14:paraId="2DE25990">
            <w:pPr>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w:t>
            </w:r>
            <w:r>
              <w:rPr>
                <w:rFonts w:hint="eastAsia" w:ascii="仿宋" w:hAnsi="仿宋" w:eastAsia="仿宋" w:cs="仿宋"/>
                <w:color w:val="auto"/>
                <w:spacing w:val="-2"/>
                <w:sz w:val="24"/>
                <w:szCs w:val="24"/>
                <w:highlight w:val="none"/>
                <w:lang w:eastAsia="zh-CN"/>
              </w:rPr>
              <w:t xml:space="preserve">    </w:t>
            </w:r>
            <w:r>
              <w:rPr>
                <w:rFonts w:hint="eastAsia" w:ascii="仿宋" w:hAnsi="仿宋" w:eastAsia="仿宋" w:cs="仿宋"/>
                <w:color w:val="auto"/>
                <w:sz w:val="24"/>
                <w:szCs w:val="24"/>
                <w:highlight w:val="none"/>
              </w:rPr>
              <w:t>（公章）</w:t>
            </w:r>
          </w:p>
        </w:tc>
      </w:tr>
      <w:tr w14:paraId="540CCDCF">
        <w:tblPrEx>
          <w:tblCellMar>
            <w:top w:w="0" w:type="dxa"/>
            <w:left w:w="108" w:type="dxa"/>
            <w:bottom w:w="0" w:type="dxa"/>
            <w:right w:w="108" w:type="dxa"/>
          </w:tblCellMar>
        </w:tblPrEx>
        <w:trPr>
          <w:trHeight w:val="473" w:hRule="exact"/>
        </w:trPr>
        <w:tc>
          <w:tcPr>
            <w:tcW w:w="4530" w:type="dxa"/>
            <w:noWrap w:val="0"/>
            <w:vAlign w:val="top"/>
          </w:tcPr>
          <w:p w14:paraId="3F554A56">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p>
        </w:tc>
        <w:tc>
          <w:tcPr>
            <w:tcW w:w="4530" w:type="dxa"/>
            <w:noWrap w:val="0"/>
            <w:vAlign w:val="top"/>
          </w:tcPr>
          <w:p w14:paraId="67908E19">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p>
        </w:tc>
      </w:tr>
      <w:tr w14:paraId="1127D726">
        <w:tblPrEx>
          <w:tblCellMar>
            <w:top w:w="0" w:type="dxa"/>
            <w:left w:w="108" w:type="dxa"/>
            <w:bottom w:w="0" w:type="dxa"/>
            <w:right w:w="108" w:type="dxa"/>
          </w:tblCellMar>
        </w:tblPrEx>
        <w:trPr>
          <w:trHeight w:val="524" w:hRule="exact"/>
        </w:trPr>
        <w:tc>
          <w:tcPr>
            <w:tcW w:w="4530" w:type="dxa"/>
            <w:noWrap w:val="0"/>
            <w:vAlign w:val="top"/>
          </w:tcPr>
          <w:p w14:paraId="4DE94DC5">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w:t>
            </w:r>
          </w:p>
        </w:tc>
        <w:tc>
          <w:tcPr>
            <w:tcW w:w="4530" w:type="dxa"/>
            <w:noWrap w:val="0"/>
            <w:vAlign w:val="top"/>
          </w:tcPr>
          <w:p w14:paraId="121136E9">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w:t>
            </w:r>
          </w:p>
        </w:tc>
      </w:tr>
      <w:tr w14:paraId="3DF0D583">
        <w:tblPrEx>
          <w:tblCellMar>
            <w:top w:w="0" w:type="dxa"/>
            <w:left w:w="108" w:type="dxa"/>
            <w:bottom w:w="0" w:type="dxa"/>
            <w:right w:w="108" w:type="dxa"/>
          </w:tblCellMar>
        </w:tblPrEx>
        <w:trPr>
          <w:trHeight w:val="654" w:hRule="exact"/>
        </w:trPr>
        <w:tc>
          <w:tcPr>
            <w:tcW w:w="4530" w:type="dxa"/>
            <w:noWrap w:val="0"/>
            <w:vAlign w:val="top"/>
          </w:tcPr>
          <w:p w14:paraId="20712685">
            <w:pPr>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rPr>
              <w:t xml:space="preserve">                   </w:t>
            </w:r>
          </w:p>
        </w:tc>
        <w:tc>
          <w:tcPr>
            <w:tcW w:w="4530" w:type="dxa"/>
            <w:noWrap w:val="0"/>
            <w:vAlign w:val="top"/>
          </w:tcPr>
          <w:p w14:paraId="4510C5B9">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rPr>
              <w:t xml:space="preserve">  </w:t>
            </w:r>
          </w:p>
        </w:tc>
      </w:tr>
      <w:tr w14:paraId="5E8725EF">
        <w:tblPrEx>
          <w:tblCellMar>
            <w:top w:w="0" w:type="dxa"/>
            <w:left w:w="108" w:type="dxa"/>
            <w:bottom w:w="0" w:type="dxa"/>
            <w:right w:w="108" w:type="dxa"/>
          </w:tblCellMar>
        </w:tblPrEx>
        <w:trPr>
          <w:trHeight w:val="1070" w:hRule="exact"/>
        </w:trPr>
        <w:tc>
          <w:tcPr>
            <w:tcW w:w="4530" w:type="dxa"/>
            <w:noWrap w:val="0"/>
            <w:vAlign w:val="top"/>
          </w:tcPr>
          <w:p w14:paraId="74854E09">
            <w:pPr>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tc>
        <w:tc>
          <w:tcPr>
            <w:tcW w:w="4530" w:type="dxa"/>
            <w:noWrap w:val="0"/>
            <w:vAlign w:val="top"/>
          </w:tcPr>
          <w:p w14:paraId="31263C9F">
            <w:pPr>
              <w:adjustRightInd w:val="0"/>
              <w:snapToGrid w:val="0"/>
              <w:ind w:left="600" w:hanging="600" w:hangingChars="250"/>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r w14:paraId="46E4B76B">
        <w:tblPrEx>
          <w:tblCellMar>
            <w:top w:w="0" w:type="dxa"/>
            <w:left w:w="108" w:type="dxa"/>
            <w:bottom w:w="0" w:type="dxa"/>
            <w:right w:w="108" w:type="dxa"/>
          </w:tblCellMar>
        </w:tblPrEx>
        <w:trPr>
          <w:trHeight w:val="542" w:hRule="exact"/>
        </w:trPr>
        <w:tc>
          <w:tcPr>
            <w:tcW w:w="4530" w:type="dxa"/>
            <w:noWrap w:val="0"/>
            <w:vAlign w:val="top"/>
          </w:tcPr>
          <w:p w14:paraId="4326D2D2">
            <w:pPr>
              <w:spacing w:before="100" w:beforeAutospacing="1" w:after="100" w:afterAutospacing="1"/>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邮政编码</w:t>
            </w: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c>
          <w:tcPr>
            <w:tcW w:w="4530" w:type="dxa"/>
            <w:noWrap w:val="0"/>
            <w:vAlign w:val="top"/>
          </w:tcPr>
          <w:p w14:paraId="1E0001D0">
            <w:pPr>
              <w:spacing w:before="100" w:beforeAutospacing="1" w:after="100" w:afterAutospacing="1"/>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r>
      <w:tr w14:paraId="748EB5E6">
        <w:tblPrEx>
          <w:tblCellMar>
            <w:top w:w="0" w:type="dxa"/>
            <w:left w:w="108" w:type="dxa"/>
            <w:bottom w:w="0" w:type="dxa"/>
            <w:right w:w="108" w:type="dxa"/>
          </w:tblCellMar>
        </w:tblPrEx>
        <w:trPr>
          <w:trHeight w:val="1128" w:hRule="exact"/>
        </w:trPr>
        <w:tc>
          <w:tcPr>
            <w:tcW w:w="4530" w:type="dxa"/>
            <w:noWrap w:val="0"/>
            <w:vAlign w:val="top"/>
          </w:tcPr>
          <w:p w14:paraId="60FBBA2E">
            <w:pPr>
              <w:adjustRightInd w:val="0"/>
              <w:snapToGrid w:val="0"/>
              <w:spacing w:before="100" w:beforeAutospacing="1" w:after="100" w:afterAutospacing="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w:t>
            </w:r>
          </w:p>
          <w:p w14:paraId="4792683A">
            <w:pPr>
              <w:adjustRightInd w:val="0"/>
              <w:snapToGrid w:val="0"/>
              <w:spacing w:before="100" w:beforeAutospacing="1" w:after="100" w:afterAutospacing="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449392B1">
            <w:pPr>
              <w:adjustRightInd w:val="0"/>
              <w:snapToGrid w:val="0"/>
              <w:spacing w:before="100" w:beforeAutospacing="1" w:after="100" w:afterAutospacing="1"/>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tc>
        <w:tc>
          <w:tcPr>
            <w:tcW w:w="4530" w:type="dxa"/>
            <w:noWrap w:val="0"/>
            <w:vAlign w:val="top"/>
          </w:tcPr>
          <w:p w14:paraId="69B9BB77">
            <w:pPr>
              <w:adjustRightInd w:val="0"/>
              <w:snapToGrid w:val="0"/>
              <w:spacing w:before="100" w:beforeAutospacing="1" w:after="100" w:afterAutospacing="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w:t>
            </w:r>
          </w:p>
          <w:p w14:paraId="36152410">
            <w:pPr>
              <w:adjustRightInd w:val="0"/>
              <w:snapToGrid w:val="0"/>
              <w:spacing w:before="100" w:beforeAutospacing="1" w:after="100" w:afterAutospacing="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3C518CCE">
            <w:pPr>
              <w:adjustRightInd w:val="0"/>
              <w:snapToGrid w:val="0"/>
              <w:spacing w:before="100" w:beforeAutospacing="1" w:after="100" w:afterAutospacing="1"/>
              <w:rPr>
                <w:rFonts w:hint="eastAsia" w:ascii="仿宋" w:hAnsi="仿宋" w:eastAsia="仿宋" w:cs="仿宋"/>
                <w:b/>
                <w:bCs/>
                <w:color w:val="auto"/>
                <w:sz w:val="24"/>
                <w:szCs w:val="24"/>
                <w:highlight w:val="none"/>
                <w:u w:val="single"/>
              </w:rPr>
            </w:pPr>
          </w:p>
          <w:p w14:paraId="1B590114">
            <w:pPr>
              <w:adjustRightInd w:val="0"/>
              <w:snapToGrid w:val="0"/>
              <w:spacing w:before="100" w:beforeAutospacing="1" w:after="100" w:afterAutospacing="1"/>
              <w:rPr>
                <w:rFonts w:hint="eastAsia" w:ascii="仿宋" w:hAnsi="仿宋" w:eastAsia="仿宋" w:cs="仿宋"/>
                <w:b/>
                <w:bCs/>
                <w:color w:val="auto"/>
                <w:sz w:val="24"/>
                <w:szCs w:val="24"/>
                <w:highlight w:val="none"/>
                <w:u w:val="single"/>
              </w:rPr>
            </w:pPr>
          </w:p>
        </w:tc>
      </w:tr>
      <w:tr w14:paraId="2CA8C50B">
        <w:tblPrEx>
          <w:tblCellMar>
            <w:top w:w="0" w:type="dxa"/>
            <w:left w:w="108" w:type="dxa"/>
            <w:bottom w:w="0" w:type="dxa"/>
            <w:right w:w="108" w:type="dxa"/>
          </w:tblCellMar>
        </w:tblPrEx>
        <w:trPr>
          <w:trHeight w:val="564" w:hRule="exact"/>
        </w:trPr>
        <w:tc>
          <w:tcPr>
            <w:tcW w:w="4530" w:type="dxa"/>
            <w:noWrap w:val="0"/>
            <w:vAlign w:val="top"/>
          </w:tcPr>
          <w:p w14:paraId="6A47A4E9">
            <w:pPr>
              <w:spacing w:before="100" w:beforeAutospacing="1" w:after="100" w:afterAutospacing="1"/>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p>
        </w:tc>
        <w:tc>
          <w:tcPr>
            <w:tcW w:w="4530" w:type="dxa"/>
            <w:noWrap w:val="0"/>
            <w:vAlign w:val="top"/>
          </w:tcPr>
          <w:p w14:paraId="43927708">
            <w:pPr>
              <w:spacing w:before="100" w:beforeAutospacing="1" w:after="100" w:afterAutospacing="1"/>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r>
      <w:tr w14:paraId="051EF2A1">
        <w:tblPrEx>
          <w:tblCellMar>
            <w:top w:w="0" w:type="dxa"/>
            <w:left w:w="108" w:type="dxa"/>
            <w:bottom w:w="0" w:type="dxa"/>
            <w:right w:w="108" w:type="dxa"/>
          </w:tblCellMar>
        </w:tblPrEx>
        <w:trPr>
          <w:trHeight w:val="595" w:hRule="exact"/>
        </w:trPr>
        <w:tc>
          <w:tcPr>
            <w:tcW w:w="4530" w:type="dxa"/>
            <w:noWrap w:val="0"/>
            <w:vAlign w:val="top"/>
          </w:tcPr>
          <w:p w14:paraId="3E9DF015">
            <w:pPr>
              <w:spacing w:before="100" w:beforeAutospacing="1" w:after="100" w:afterAutospacing="1"/>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23039DD7">
            <w:pPr>
              <w:spacing w:before="100" w:beforeAutospacing="1" w:after="100" w:afterAutospacing="1"/>
              <w:rPr>
                <w:rFonts w:hint="eastAsia" w:ascii="仿宋" w:hAnsi="仿宋" w:eastAsia="仿宋" w:cs="仿宋"/>
                <w:color w:val="auto"/>
                <w:sz w:val="24"/>
                <w:szCs w:val="24"/>
                <w:highlight w:val="none"/>
                <w:u w:val="single"/>
              </w:rPr>
            </w:pPr>
          </w:p>
        </w:tc>
        <w:tc>
          <w:tcPr>
            <w:tcW w:w="4530" w:type="dxa"/>
            <w:noWrap w:val="0"/>
            <w:vAlign w:val="top"/>
          </w:tcPr>
          <w:p w14:paraId="00A0179D">
            <w:pPr>
              <w:spacing w:before="100" w:beforeAutospacing="1" w:after="100" w:afterAutospacing="1"/>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r w14:paraId="4A0EA189">
        <w:tblPrEx>
          <w:tblCellMar>
            <w:top w:w="0" w:type="dxa"/>
            <w:left w:w="108" w:type="dxa"/>
            <w:bottom w:w="0" w:type="dxa"/>
            <w:right w:w="108" w:type="dxa"/>
          </w:tblCellMar>
        </w:tblPrEx>
        <w:trPr>
          <w:trHeight w:val="549" w:hRule="exact"/>
        </w:trPr>
        <w:tc>
          <w:tcPr>
            <w:tcW w:w="4530" w:type="dxa"/>
            <w:noWrap w:val="0"/>
            <w:vAlign w:val="top"/>
          </w:tcPr>
          <w:p w14:paraId="03F61FDD">
            <w:pPr>
              <w:spacing w:before="100" w:beforeAutospacing="1" w:after="100" w:afterAutospacing="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p>
        </w:tc>
        <w:tc>
          <w:tcPr>
            <w:tcW w:w="4530" w:type="dxa"/>
            <w:noWrap w:val="0"/>
            <w:vAlign w:val="top"/>
          </w:tcPr>
          <w:p w14:paraId="38C42DF1">
            <w:pPr>
              <w:spacing w:before="100" w:beforeAutospacing="1" w:after="100" w:afterAutospacing="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r w14:paraId="450B4F8C">
        <w:tblPrEx>
          <w:tblCellMar>
            <w:top w:w="0" w:type="dxa"/>
            <w:left w:w="108" w:type="dxa"/>
            <w:bottom w:w="0" w:type="dxa"/>
            <w:right w:w="108" w:type="dxa"/>
          </w:tblCellMar>
        </w:tblPrEx>
        <w:trPr>
          <w:trHeight w:val="741" w:hRule="exact"/>
        </w:trPr>
        <w:tc>
          <w:tcPr>
            <w:tcW w:w="4530" w:type="dxa"/>
            <w:noWrap w:val="0"/>
            <w:vAlign w:val="top"/>
          </w:tcPr>
          <w:p w14:paraId="0CA22223">
            <w:pPr>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p>
        </w:tc>
        <w:tc>
          <w:tcPr>
            <w:tcW w:w="4530" w:type="dxa"/>
            <w:noWrap w:val="0"/>
            <w:vAlign w:val="top"/>
          </w:tcPr>
          <w:p w14:paraId="7773FEB3">
            <w:pPr>
              <w:adjustRightInd w:val="0"/>
              <w:snapToGrid w:val="0"/>
              <w:ind w:left="1080" w:hanging="1080" w:hangingChars="450"/>
              <w:rPr>
                <w:rFonts w:hint="eastAsia" w:ascii="仿宋" w:hAnsi="仿宋" w:eastAsia="仿宋" w:cs="仿宋"/>
                <w:b/>
                <w:bCs/>
                <w:color w:val="auto"/>
                <w:kern w:val="0"/>
                <w:sz w:val="24"/>
                <w:szCs w:val="24"/>
                <w:highlight w:val="none"/>
                <w:u w:val="singl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r w14:paraId="64193728">
        <w:tblPrEx>
          <w:tblCellMar>
            <w:top w:w="0" w:type="dxa"/>
            <w:left w:w="108" w:type="dxa"/>
            <w:bottom w:w="0" w:type="dxa"/>
            <w:right w:w="108" w:type="dxa"/>
          </w:tblCellMar>
        </w:tblPrEx>
        <w:trPr>
          <w:trHeight w:val="611" w:hRule="exact"/>
        </w:trPr>
        <w:tc>
          <w:tcPr>
            <w:tcW w:w="4530" w:type="dxa"/>
            <w:noWrap w:val="0"/>
            <w:vAlign w:val="top"/>
          </w:tcPr>
          <w:p w14:paraId="54F0E1B7">
            <w:pPr>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tc>
        <w:tc>
          <w:tcPr>
            <w:tcW w:w="4530" w:type="dxa"/>
            <w:noWrap w:val="0"/>
            <w:vAlign w:val="top"/>
          </w:tcPr>
          <w:p w14:paraId="248BF96A">
            <w:pPr>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bl>
    <w:p w14:paraId="5EFECA09">
      <w:pPr>
        <w:spacing w:line="440" w:lineRule="exact"/>
        <w:rPr>
          <w:rFonts w:hint="eastAsia" w:ascii="仿宋" w:hAnsi="仿宋" w:eastAsia="仿宋" w:cs="仿宋"/>
          <w:b/>
          <w:bCs/>
          <w:color w:val="auto"/>
          <w:sz w:val="24"/>
          <w:szCs w:val="24"/>
          <w:highlight w:val="none"/>
        </w:rPr>
      </w:pPr>
    </w:p>
    <w:p w14:paraId="213ECD12">
      <w:pPr>
        <w:spacing w:line="440" w:lineRule="exact"/>
        <w:rPr>
          <w:rFonts w:hint="eastAsia" w:ascii="仿宋" w:hAnsi="仿宋" w:eastAsia="仿宋" w:cs="仿宋"/>
          <w:b/>
          <w:bCs/>
          <w:color w:val="auto"/>
          <w:sz w:val="24"/>
          <w:szCs w:val="24"/>
          <w:highlight w:val="none"/>
        </w:rPr>
      </w:pPr>
    </w:p>
    <w:p w14:paraId="4E438A09">
      <w:pPr>
        <w:spacing w:line="440" w:lineRule="exact"/>
        <w:rPr>
          <w:rFonts w:hint="eastAsia" w:ascii="仿宋" w:hAnsi="仿宋" w:eastAsia="仿宋" w:cs="仿宋"/>
          <w:b/>
          <w:bCs/>
          <w:color w:val="auto"/>
          <w:sz w:val="24"/>
          <w:szCs w:val="24"/>
          <w:highlight w:val="none"/>
        </w:rPr>
      </w:pPr>
    </w:p>
    <w:p w14:paraId="335EAECF">
      <w:pPr>
        <w:spacing w:line="440" w:lineRule="exact"/>
        <w:rPr>
          <w:rFonts w:hint="eastAsia" w:ascii="仿宋" w:hAnsi="仿宋" w:eastAsia="仿宋" w:cs="仿宋"/>
          <w:b/>
          <w:bCs/>
          <w:color w:val="auto"/>
          <w:sz w:val="24"/>
          <w:szCs w:val="24"/>
          <w:highlight w:val="none"/>
        </w:rPr>
        <w:sectPr>
          <w:pgSz w:w="11906" w:h="16838"/>
          <w:pgMar w:top="1418" w:right="1555" w:bottom="1418" w:left="1531" w:header="851" w:footer="992" w:gutter="0"/>
          <w:pgNumType w:fmt="decimal"/>
          <w:cols w:space="720" w:num="1"/>
          <w:titlePg/>
          <w:docGrid w:type="lines" w:linePitch="312" w:charSpace="0"/>
        </w:sectPr>
      </w:pPr>
    </w:p>
    <w:p w14:paraId="7CB743D1">
      <w:pPr>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附件2：</w:t>
      </w:r>
    </w:p>
    <w:p w14:paraId="2DE39301">
      <w:pPr>
        <w:spacing w:line="600" w:lineRule="exact"/>
        <w:ind w:firstLine="480" w:firstLineChars="20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建设工程廉政责任书</w:t>
      </w:r>
    </w:p>
    <w:p w14:paraId="0FA17B7B">
      <w:pPr>
        <w:spacing w:line="560" w:lineRule="exact"/>
        <w:rPr>
          <w:rFonts w:hint="eastAsia" w:ascii="仿宋" w:hAnsi="仿宋" w:eastAsia="仿宋" w:cs="仿宋"/>
          <w:color w:val="auto"/>
          <w:sz w:val="24"/>
          <w:szCs w:val="24"/>
          <w:highlight w:val="none"/>
        </w:rPr>
      </w:pPr>
    </w:p>
    <w:p w14:paraId="0C8556EC">
      <w:p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w:t>
      </w:r>
      <w:r>
        <w:rPr>
          <w:rFonts w:hint="eastAsia" w:ascii="仿宋" w:hAnsi="仿宋" w:eastAsia="仿宋" w:cs="仿宋"/>
          <w:color w:val="auto"/>
          <w:sz w:val="24"/>
          <w:szCs w:val="24"/>
          <w:highlight w:val="none"/>
          <w:u w:val="single"/>
        </w:rPr>
        <w:t xml:space="preserve">新疆农业大学                       </w:t>
      </w:r>
    </w:p>
    <w:p w14:paraId="08979F4D">
      <w:pPr>
        <w:spacing w:line="56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u w:val="single"/>
        </w:rPr>
        <w:t xml:space="preserve">         </w:t>
      </w:r>
    </w:p>
    <w:p w14:paraId="445BB998">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1506BE6D">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一、双方的责任</w:t>
      </w:r>
    </w:p>
    <w:p w14:paraId="1308B3CE">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1.1应严格遵守国家关于建设工程的有关法律、法规，相关政策，以及廉政建设的各项规定。</w:t>
      </w:r>
    </w:p>
    <w:p w14:paraId="4A7DE31B">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1.2严格执行建设工程合同文件，自觉按合同办事。</w:t>
      </w:r>
    </w:p>
    <w:p w14:paraId="0E535579">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1.3各项活动必须坚持公开、公平、公正、诚信、透明的原则(除法律法规另有规定者外)，不得为获取不正当的利益，损害国家、集体和对方利益，不得违反建设工程管理的规章制度。</w:t>
      </w:r>
    </w:p>
    <w:p w14:paraId="79B6C841">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1.4发现对方在业务活动中有违规、违纪、违法行为的，应及时提醒对方，情节严重的，应向其上级主管部门或纪检监察、司法等有关机关举报。</w:t>
      </w:r>
    </w:p>
    <w:p w14:paraId="7A720B56">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二、发包人责任</w:t>
      </w:r>
    </w:p>
    <w:p w14:paraId="78138854">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发包人的领导和从事该建设工程项目的工作人员，在工程建设的事前、事中、事后应遵守以下规定：</w:t>
      </w:r>
    </w:p>
    <w:p w14:paraId="5E62107E">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2.1不得向承包人和相关单位索要或接受回扣、礼金、有价证券、贵重物品和好处费、感谢费等。</w:t>
      </w:r>
    </w:p>
    <w:p w14:paraId="426A6900">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2.2不得在承包人和相关单位报销任何应由发包人或个人支付的费用。</w:t>
      </w:r>
    </w:p>
    <w:p w14:paraId="7C58BB93">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2.3不得要求、暗示或接受承包人和相关单位为个人装修住房、婚丧嫁娶、配偶子女的工作安排以及出国(境)、旅游等提供方便。</w:t>
      </w:r>
    </w:p>
    <w:p w14:paraId="3CB64262">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2.4不得参加有可能影响公正执行公务的承包人和相关单位的宴请、健身、娱乐等活动。</w:t>
      </w:r>
    </w:p>
    <w:p w14:paraId="2FD0F64D">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2.5不得向承包人和相关单位介绍或为配偶、子女、亲属参与同发包人工程建设管理合同有关的业务活动；不得以任何理由要求承包人和相关单位使用某种产品、材料和设备。</w:t>
      </w:r>
    </w:p>
    <w:p w14:paraId="63AEB5C5">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三、承包人责任</w:t>
      </w:r>
    </w:p>
    <w:p w14:paraId="35E012A6">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应与发包人保持正常的业务交往，按照有关法律法规和程序开展业务工作，严格执行工程建设的有关方针、政策，执行工程建设强制性标准，并遵守以下规定：</w:t>
      </w:r>
    </w:p>
    <w:p w14:paraId="11F3E9C7">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3.1不得以任何理由向发包人及其工作人员索要、接受或赠送礼金、有价证券、贵重物品及回扣、好处费、感谢费等。</w:t>
      </w:r>
    </w:p>
    <w:p w14:paraId="2F811C1B">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3.2不得以任何理由为发包人和相关单位报销应由对方或个人支付的费用。</w:t>
      </w:r>
    </w:p>
    <w:p w14:paraId="56E807CE">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3.3不得接受或暗示为发包人、相关单位或个人装修住房、婚丧嫁娶、配偶子女的工作安排以及出国(境)、旅游等提供方便。</w:t>
      </w:r>
    </w:p>
    <w:p w14:paraId="000FE5A8">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3.4不得以任何理由为发包人、相关单位或个人组织有可能影响公正执行公务的宴请、健身、娱乐等活动。</w:t>
      </w:r>
    </w:p>
    <w:p w14:paraId="20E35D76">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四、违约责任</w:t>
      </w:r>
    </w:p>
    <w:p w14:paraId="4011E773">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4.1发包人工作人员有违反本责任书第一、二条责任行为的，依据有关法律、法规给予处理；涉嫌犯罪的，移交司法机关追究刑事责任；给承包人单位造成经济损失的，应予以赔偿。</w:t>
      </w:r>
    </w:p>
    <w:p w14:paraId="2EFA399E">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4.2承包人工作人员有违反本责任书第一、三条责任行为的，依据有关法律法规处理；涉嫌犯罪的，移交司法机关追究刑事责任；给发包人单位造成经济损失的，应予以赔偿。</w:t>
      </w:r>
    </w:p>
    <w:p w14:paraId="011D0567">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4.3本责任书作为建设工程合同的组成部分，与建设工程合同具有同等法律效力。经双方签署后立即生效。</w:t>
      </w:r>
    </w:p>
    <w:p w14:paraId="07D45303">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五、责任书有效期</w:t>
      </w:r>
    </w:p>
    <w:p w14:paraId="2AAF2DFF">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本责任书的有效期为双方签署之日起至该工程项目竣工验收合格时止。</w:t>
      </w:r>
    </w:p>
    <w:p w14:paraId="68EA0F6D">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六、责任书份数</w:t>
      </w:r>
    </w:p>
    <w:p w14:paraId="33257E08">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本责任书一式贰份，发包人承包人各执壹份，具有同等效力。</w:t>
      </w:r>
    </w:p>
    <w:p w14:paraId="400FF6B3">
      <w:pPr>
        <w:spacing w:line="560" w:lineRule="exact"/>
        <w:rPr>
          <w:rFonts w:hint="eastAsia" w:ascii="仿宋" w:hAnsi="仿宋" w:eastAsia="仿宋" w:cs="仿宋"/>
          <w:color w:val="auto"/>
          <w:sz w:val="24"/>
          <w:szCs w:val="24"/>
          <w:highlight w:val="none"/>
        </w:rPr>
      </w:pPr>
    </w:p>
    <w:tbl>
      <w:tblPr>
        <w:tblStyle w:val="48"/>
        <w:tblpPr w:leftFromText="180" w:rightFromText="180" w:vertAnchor="text" w:tblpY="1"/>
        <w:tblOverlap w:val="never"/>
        <w:tblW w:w="9060" w:type="dxa"/>
        <w:tblInd w:w="0" w:type="dxa"/>
        <w:tblLayout w:type="fixed"/>
        <w:tblCellMar>
          <w:top w:w="0" w:type="dxa"/>
          <w:left w:w="108" w:type="dxa"/>
          <w:bottom w:w="0" w:type="dxa"/>
          <w:right w:w="108" w:type="dxa"/>
        </w:tblCellMar>
      </w:tblPr>
      <w:tblGrid>
        <w:gridCol w:w="4530"/>
        <w:gridCol w:w="4530"/>
      </w:tblGrid>
      <w:tr w14:paraId="0141DB37">
        <w:tblPrEx>
          <w:tblCellMar>
            <w:top w:w="0" w:type="dxa"/>
            <w:left w:w="108" w:type="dxa"/>
            <w:bottom w:w="0" w:type="dxa"/>
            <w:right w:w="108" w:type="dxa"/>
          </w:tblCellMar>
        </w:tblPrEx>
        <w:trPr>
          <w:trHeight w:val="1013" w:hRule="exact"/>
        </w:trPr>
        <w:tc>
          <w:tcPr>
            <w:tcW w:w="4530" w:type="dxa"/>
            <w:noWrap w:val="0"/>
            <w:vAlign w:val="top"/>
          </w:tcPr>
          <w:p w14:paraId="3DFD55DA">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发包人：（公章）</w:t>
            </w:r>
          </w:p>
        </w:tc>
        <w:tc>
          <w:tcPr>
            <w:tcW w:w="4530" w:type="dxa"/>
            <w:noWrap w:val="0"/>
            <w:vAlign w:val="top"/>
          </w:tcPr>
          <w:p w14:paraId="5AA9F123">
            <w:pPr>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w:t>
            </w:r>
            <w:r>
              <w:rPr>
                <w:rFonts w:hint="eastAsia" w:ascii="仿宋" w:hAnsi="仿宋" w:eastAsia="仿宋" w:cs="仿宋"/>
                <w:color w:val="auto"/>
                <w:spacing w:val="-2"/>
                <w:sz w:val="24"/>
                <w:szCs w:val="24"/>
                <w:highlight w:val="none"/>
                <w:lang w:eastAsia="zh-CN"/>
              </w:rPr>
              <w:t xml:space="preserve">    </w:t>
            </w:r>
            <w:r>
              <w:rPr>
                <w:rFonts w:hint="eastAsia" w:ascii="仿宋" w:hAnsi="仿宋" w:eastAsia="仿宋" w:cs="仿宋"/>
                <w:color w:val="auto"/>
                <w:sz w:val="24"/>
                <w:szCs w:val="24"/>
                <w:highlight w:val="none"/>
              </w:rPr>
              <w:t>（公章）</w:t>
            </w:r>
          </w:p>
        </w:tc>
      </w:tr>
      <w:tr w14:paraId="0BA7D6F7">
        <w:tblPrEx>
          <w:tblCellMar>
            <w:top w:w="0" w:type="dxa"/>
            <w:left w:w="108" w:type="dxa"/>
            <w:bottom w:w="0" w:type="dxa"/>
            <w:right w:w="108" w:type="dxa"/>
          </w:tblCellMar>
        </w:tblPrEx>
        <w:trPr>
          <w:trHeight w:val="473" w:hRule="exact"/>
        </w:trPr>
        <w:tc>
          <w:tcPr>
            <w:tcW w:w="4530" w:type="dxa"/>
            <w:noWrap w:val="0"/>
            <w:vAlign w:val="top"/>
          </w:tcPr>
          <w:p w14:paraId="2A4C95D3">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p>
        </w:tc>
        <w:tc>
          <w:tcPr>
            <w:tcW w:w="4530" w:type="dxa"/>
            <w:noWrap w:val="0"/>
            <w:vAlign w:val="top"/>
          </w:tcPr>
          <w:p w14:paraId="570811F2">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p>
        </w:tc>
      </w:tr>
      <w:tr w14:paraId="754205A9">
        <w:tblPrEx>
          <w:tblCellMar>
            <w:top w:w="0" w:type="dxa"/>
            <w:left w:w="108" w:type="dxa"/>
            <w:bottom w:w="0" w:type="dxa"/>
            <w:right w:w="108" w:type="dxa"/>
          </w:tblCellMar>
        </w:tblPrEx>
        <w:trPr>
          <w:trHeight w:val="524" w:hRule="exact"/>
        </w:trPr>
        <w:tc>
          <w:tcPr>
            <w:tcW w:w="4530" w:type="dxa"/>
            <w:noWrap w:val="0"/>
            <w:vAlign w:val="top"/>
          </w:tcPr>
          <w:p w14:paraId="2734E840">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w:t>
            </w:r>
          </w:p>
        </w:tc>
        <w:tc>
          <w:tcPr>
            <w:tcW w:w="4530" w:type="dxa"/>
            <w:noWrap w:val="0"/>
            <w:vAlign w:val="top"/>
          </w:tcPr>
          <w:p w14:paraId="5B265ACC">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w:t>
            </w:r>
          </w:p>
        </w:tc>
      </w:tr>
      <w:tr w14:paraId="42E7C591">
        <w:tblPrEx>
          <w:tblCellMar>
            <w:top w:w="0" w:type="dxa"/>
            <w:left w:w="108" w:type="dxa"/>
            <w:bottom w:w="0" w:type="dxa"/>
            <w:right w:w="108" w:type="dxa"/>
          </w:tblCellMar>
        </w:tblPrEx>
        <w:trPr>
          <w:trHeight w:val="654" w:hRule="exact"/>
        </w:trPr>
        <w:tc>
          <w:tcPr>
            <w:tcW w:w="4530" w:type="dxa"/>
            <w:noWrap w:val="0"/>
            <w:vAlign w:val="top"/>
          </w:tcPr>
          <w:p w14:paraId="11EEC3C7">
            <w:pPr>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rPr>
              <w:t xml:space="preserve">                   </w:t>
            </w:r>
          </w:p>
        </w:tc>
        <w:tc>
          <w:tcPr>
            <w:tcW w:w="4530" w:type="dxa"/>
            <w:noWrap w:val="0"/>
            <w:vAlign w:val="top"/>
          </w:tcPr>
          <w:p w14:paraId="0F5D2D3C">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rPr>
              <w:t xml:space="preserve">  </w:t>
            </w:r>
          </w:p>
        </w:tc>
      </w:tr>
      <w:tr w14:paraId="5C74A66D">
        <w:tblPrEx>
          <w:tblCellMar>
            <w:top w:w="0" w:type="dxa"/>
            <w:left w:w="108" w:type="dxa"/>
            <w:bottom w:w="0" w:type="dxa"/>
            <w:right w:w="108" w:type="dxa"/>
          </w:tblCellMar>
        </w:tblPrEx>
        <w:trPr>
          <w:trHeight w:val="1070" w:hRule="exact"/>
        </w:trPr>
        <w:tc>
          <w:tcPr>
            <w:tcW w:w="4530" w:type="dxa"/>
            <w:noWrap w:val="0"/>
            <w:vAlign w:val="top"/>
          </w:tcPr>
          <w:p w14:paraId="4765808E">
            <w:pPr>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tc>
        <w:tc>
          <w:tcPr>
            <w:tcW w:w="4530" w:type="dxa"/>
            <w:noWrap w:val="0"/>
            <w:vAlign w:val="top"/>
          </w:tcPr>
          <w:p w14:paraId="456669D1">
            <w:pPr>
              <w:adjustRightInd w:val="0"/>
              <w:snapToGrid w:val="0"/>
              <w:ind w:left="600" w:hanging="600" w:hangingChars="250"/>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r w14:paraId="0F5CCB6E">
        <w:tblPrEx>
          <w:tblCellMar>
            <w:top w:w="0" w:type="dxa"/>
            <w:left w:w="108" w:type="dxa"/>
            <w:bottom w:w="0" w:type="dxa"/>
            <w:right w:w="108" w:type="dxa"/>
          </w:tblCellMar>
        </w:tblPrEx>
        <w:trPr>
          <w:trHeight w:val="542" w:hRule="exact"/>
        </w:trPr>
        <w:tc>
          <w:tcPr>
            <w:tcW w:w="4530" w:type="dxa"/>
            <w:noWrap w:val="0"/>
            <w:vAlign w:val="top"/>
          </w:tcPr>
          <w:p w14:paraId="293083A2">
            <w:pPr>
              <w:spacing w:before="100" w:beforeAutospacing="1" w:after="100" w:afterAutospacing="1"/>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邮政编码</w:t>
            </w: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c>
          <w:tcPr>
            <w:tcW w:w="4530" w:type="dxa"/>
            <w:noWrap w:val="0"/>
            <w:vAlign w:val="top"/>
          </w:tcPr>
          <w:p w14:paraId="4F92759F">
            <w:pPr>
              <w:spacing w:before="100" w:beforeAutospacing="1" w:after="100" w:afterAutospacing="1"/>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r>
      <w:tr w14:paraId="057318D8">
        <w:tblPrEx>
          <w:tblCellMar>
            <w:top w:w="0" w:type="dxa"/>
            <w:left w:w="108" w:type="dxa"/>
            <w:bottom w:w="0" w:type="dxa"/>
            <w:right w:w="108" w:type="dxa"/>
          </w:tblCellMar>
        </w:tblPrEx>
        <w:trPr>
          <w:trHeight w:val="1128" w:hRule="exact"/>
        </w:trPr>
        <w:tc>
          <w:tcPr>
            <w:tcW w:w="4530" w:type="dxa"/>
            <w:noWrap w:val="0"/>
            <w:vAlign w:val="top"/>
          </w:tcPr>
          <w:p w14:paraId="3DB2D7EF">
            <w:pPr>
              <w:adjustRightInd w:val="0"/>
              <w:snapToGrid w:val="0"/>
              <w:spacing w:before="100" w:beforeAutospacing="1" w:after="100" w:afterAutospacing="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w:t>
            </w:r>
          </w:p>
          <w:p w14:paraId="542A8C83">
            <w:pPr>
              <w:adjustRightInd w:val="0"/>
              <w:snapToGrid w:val="0"/>
              <w:spacing w:before="100" w:beforeAutospacing="1" w:after="100" w:afterAutospacing="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01A08027">
            <w:pPr>
              <w:adjustRightInd w:val="0"/>
              <w:snapToGrid w:val="0"/>
              <w:spacing w:before="100" w:beforeAutospacing="1" w:after="100" w:afterAutospacing="1"/>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tc>
        <w:tc>
          <w:tcPr>
            <w:tcW w:w="4530" w:type="dxa"/>
            <w:noWrap w:val="0"/>
            <w:vAlign w:val="top"/>
          </w:tcPr>
          <w:p w14:paraId="061DF3DA">
            <w:pPr>
              <w:adjustRightInd w:val="0"/>
              <w:snapToGrid w:val="0"/>
              <w:spacing w:before="100" w:beforeAutospacing="1" w:after="100" w:afterAutospacing="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w:t>
            </w:r>
          </w:p>
          <w:p w14:paraId="70758D18">
            <w:pPr>
              <w:adjustRightInd w:val="0"/>
              <w:snapToGrid w:val="0"/>
              <w:spacing w:before="100" w:beforeAutospacing="1" w:after="100" w:afterAutospacing="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68BD7993">
            <w:pPr>
              <w:adjustRightInd w:val="0"/>
              <w:snapToGrid w:val="0"/>
              <w:spacing w:before="100" w:beforeAutospacing="1" w:after="100" w:afterAutospacing="1"/>
              <w:rPr>
                <w:rFonts w:hint="eastAsia" w:ascii="仿宋" w:hAnsi="仿宋" w:eastAsia="仿宋" w:cs="仿宋"/>
                <w:b/>
                <w:bCs/>
                <w:color w:val="auto"/>
                <w:sz w:val="24"/>
                <w:szCs w:val="24"/>
                <w:highlight w:val="none"/>
                <w:u w:val="single"/>
              </w:rPr>
            </w:pPr>
          </w:p>
          <w:p w14:paraId="64AEE95D">
            <w:pPr>
              <w:adjustRightInd w:val="0"/>
              <w:snapToGrid w:val="0"/>
              <w:spacing w:before="100" w:beforeAutospacing="1" w:after="100" w:afterAutospacing="1"/>
              <w:rPr>
                <w:rFonts w:hint="eastAsia" w:ascii="仿宋" w:hAnsi="仿宋" w:eastAsia="仿宋" w:cs="仿宋"/>
                <w:b/>
                <w:bCs/>
                <w:color w:val="auto"/>
                <w:sz w:val="24"/>
                <w:szCs w:val="24"/>
                <w:highlight w:val="none"/>
                <w:u w:val="single"/>
              </w:rPr>
            </w:pPr>
          </w:p>
        </w:tc>
      </w:tr>
      <w:tr w14:paraId="0DCBFDEC">
        <w:tblPrEx>
          <w:tblCellMar>
            <w:top w:w="0" w:type="dxa"/>
            <w:left w:w="108" w:type="dxa"/>
            <w:bottom w:w="0" w:type="dxa"/>
            <w:right w:w="108" w:type="dxa"/>
          </w:tblCellMar>
        </w:tblPrEx>
        <w:trPr>
          <w:trHeight w:val="564" w:hRule="exact"/>
        </w:trPr>
        <w:tc>
          <w:tcPr>
            <w:tcW w:w="4530" w:type="dxa"/>
            <w:noWrap w:val="0"/>
            <w:vAlign w:val="top"/>
          </w:tcPr>
          <w:p w14:paraId="6C040ECA">
            <w:pPr>
              <w:spacing w:before="100" w:beforeAutospacing="1" w:after="100" w:afterAutospacing="1"/>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p>
        </w:tc>
        <w:tc>
          <w:tcPr>
            <w:tcW w:w="4530" w:type="dxa"/>
            <w:noWrap w:val="0"/>
            <w:vAlign w:val="top"/>
          </w:tcPr>
          <w:p w14:paraId="67CB82FC">
            <w:pPr>
              <w:spacing w:before="100" w:beforeAutospacing="1" w:after="100" w:afterAutospacing="1"/>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r>
      <w:tr w14:paraId="15428A31">
        <w:tblPrEx>
          <w:tblCellMar>
            <w:top w:w="0" w:type="dxa"/>
            <w:left w:w="108" w:type="dxa"/>
            <w:bottom w:w="0" w:type="dxa"/>
            <w:right w:w="108" w:type="dxa"/>
          </w:tblCellMar>
        </w:tblPrEx>
        <w:trPr>
          <w:trHeight w:val="595" w:hRule="exact"/>
        </w:trPr>
        <w:tc>
          <w:tcPr>
            <w:tcW w:w="4530" w:type="dxa"/>
            <w:noWrap w:val="0"/>
            <w:vAlign w:val="top"/>
          </w:tcPr>
          <w:p w14:paraId="7F65DC39">
            <w:pPr>
              <w:spacing w:before="100" w:beforeAutospacing="1" w:after="100" w:afterAutospacing="1"/>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74978205">
            <w:pPr>
              <w:spacing w:before="100" w:beforeAutospacing="1" w:after="100" w:afterAutospacing="1"/>
              <w:rPr>
                <w:rFonts w:hint="eastAsia" w:ascii="仿宋" w:hAnsi="仿宋" w:eastAsia="仿宋" w:cs="仿宋"/>
                <w:color w:val="auto"/>
                <w:sz w:val="24"/>
                <w:szCs w:val="24"/>
                <w:highlight w:val="none"/>
                <w:u w:val="single"/>
              </w:rPr>
            </w:pPr>
          </w:p>
        </w:tc>
        <w:tc>
          <w:tcPr>
            <w:tcW w:w="4530" w:type="dxa"/>
            <w:noWrap w:val="0"/>
            <w:vAlign w:val="top"/>
          </w:tcPr>
          <w:p w14:paraId="35115A0B">
            <w:pPr>
              <w:spacing w:before="100" w:beforeAutospacing="1" w:after="100" w:afterAutospacing="1"/>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r w14:paraId="7B26FFBA">
        <w:tblPrEx>
          <w:tblCellMar>
            <w:top w:w="0" w:type="dxa"/>
            <w:left w:w="108" w:type="dxa"/>
            <w:bottom w:w="0" w:type="dxa"/>
            <w:right w:w="108" w:type="dxa"/>
          </w:tblCellMar>
        </w:tblPrEx>
        <w:trPr>
          <w:trHeight w:val="549" w:hRule="exact"/>
        </w:trPr>
        <w:tc>
          <w:tcPr>
            <w:tcW w:w="4530" w:type="dxa"/>
            <w:noWrap w:val="0"/>
            <w:vAlign w:val="top"/>
          </w:tcPr>
          <w:p w14:paraId="5A4B9C2D">
            <w:pPr>
              <w:spacing w:before="100" w:beforeAutospacing="1" w:after="100" w:afterAutospacing="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p>
        </w:tc>
        <w:tc>
          <w:tcPr>
            <w:tcW w:w="4530" w:type="dxa"/>
            <w:noWrap w:val="0"/>
            <w:vAlign w:val="top"/>
          </w:tcPr>
          <w:p w14:paraId="41E73A9A">
            <w:pPr>
              <w:spacing w:before="100" w:beforeAutospacing="1" w:after="100" w:afterAutospacing="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r w14:paraId="3447EE02">
        <w:tblPrEx>
          <w:tblCellMar>
            <w:top w:w="0" w:type="dxa"/>
            <w:left w:w="108" w:type="dxa"/>
            <w:bottom w:w="0" w:type="dxa"/>
            <w:right w:w="108" w:type="dxa"/>
          </w:tblCellMar>
        </w:tblPrEx>
        <w:trPr>
          <w:trHeight w:val="741" w:hRule="exact"/>
        </w:trPr>
        <w:tc>
          <w:tcPr>
            <w:tcW w:w="4530" w:type="dxa"/>
            <w:noWrap w:val="0"/>
            <w:vAlign w:val="top"/>
          </w:tcPr>
          <w:p w14:paraId="04919DA7">
            <w:pPr>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p>
        </w:tc>
        <w:tc>
          <w:tcPr>
            <w:tcW w:w="4530" w:type="dxa"/>
            <w:noWrap w:val="0"/>
            <w:vAlign w:val="top"/>
          </w:tcPr>
          <w:p w14:paraId="659E551D">
            <w:pPr>
              <w:adjustRightInd w:val="0"/>
              <w:snapToGrid w:val="0"/>
              <w:ind w:left="1080" w:hanging="1080" w:hangingChars="450"/>
              <w:rPr>
                <w:rFonts w:hint="eastAsia" w:ascii="仿宋" w:hAnsi="仿宋" w:eastAsia="仿宋" w:cs="仿宋"/>
                <w:b/>
                <w:bCs/>
                <w:color w:val="auto"/>
                <w:kern w:val="0"/>
                <w:sz w:val="24"/>
                <w:szCs w:val="24"/>
                <w:highlight w:val="none"/>
                <w:u w:val="singl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r w14:paraId="78459ACD">
        <w:tblPrEx>
          <w:tblCellMar>
            <w:top w:w="0" w:type="dxa"/>
            <w:left w:w="108" w:type="dxa"/>
            <w:bottom w:w="0" w:type="dxa"/>
            <w:right w:w="108" w:type="dxa"/>
          </w:tblCellMar>
        </w:tblPrEx>
        <w:trPr>
          <w:trHeight w:val="611" w:hRule="exact"/>
        </w:trPr>
        <w:tc>
          <w:tcPr>
            <w:tcW w:w="4530" w:type="dxa"/>
            <w:noWrap w:val="0"/>
            <w:vAlign w:val="top"/>
          </w:tcPr>
          <w:p w14:paraId="2A2ACABB">
            <w:pPr>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tc>
        <w:tc>
          <w:tcPr>
            <w:tcW w:w="4530" w:type="dxa"/>
            <w:noWrap w:val="0"/>
            <w:vAlign w:val="top"/>
          </w:tcPr>
          <w:p w14:paraId="76856EC7">
            <w:pPr>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bl>
    <w:p w14:paraId="1B7E156E">
      <w:pPr>
        <w:pStyle w:val="13"/>
        <w:ind w:firstLine="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  </w:t>
      </w:r>
    </w:p>
    <w:p w14:paraId="5F406AE2">
      <w:pPr>
        <w:spacing w:line="44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 </w:t>
      </w:r>
    </w:p>
    <w:p w14:paraId="2796C243">
      <w:pPr>
        <w:pageBreakBefore w:val="0"/>
        <w:widowControl/>
        <w:kinsoku/>
        <w:wordWrap/>
        <w:overflowPunct/>
        <w:topLinePunct w:val="0"/>
        <w:bidi w:val="0"/>
        <w:snapToGrid/>
        <w:jc w:val="lef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6AB01B4F">
      <w:pPr>
        <w:spacing w:line="440" w:lineRule="exact"/>
        <w:jc w:val="center"/>
        <w:outlineLvl w:val="0"/>
        <w:rPr>
          <w:rFonts w:hint="eastAsia" w:ascii="仿宋" w:hAnsi="仿宋" w:eastAsia="仿宋" w:cs="仿宋"/>
          <w:b/>
          <w:color w:val="auto"/>
          <w:sz w:val="24"/>
          <w:szCs w:val="24"/>
          <w:highlight w:val="none"/>
        </w:rPr>
      </w:pPr>
      <w:bookmarkStart w:id="645" w:name="_Toc20724"/>
      <w:r>
        <w:rPr>
          <w:rFonts w:hint="eastAsia" w:ascii="仿宋" w:hAnsi="仿宋" w:eastAsia="仿宋" w:cs="仿宋"/>
          <w:b/>
          <w:color w:val="auto"/>
          <w:sz w:val="24"/>
          <w:szCs w:val="24"/>
          <w:highlight w:val="none"/>
        </w:rPr>
        <w:t>第四章 技术标准和要求</w:t>
      </w:r>
      <w:bookmarkEnd w:id="645"/>
    </w:p>
    <w:p w14:paraId="5DAC3E05">
      <w:pPr>
        <w:adjustRightInd w:val="0"/>
        <w:snapToGrid w:val="0"/>
        <w:spacing w:line="312" w:lineRule="auto"/>
        <w:ind w:firstLine="480" w:firstLineChars="200"/>
        <w:rPr>
          <w:rFonts w:hint="eastAsia" w:ascii="仿宋" w:hAnsi="仿宋" w:eastAsia="仿宋" w:cs="仿宋"/>
          <w:color w:val="auto"/>
          <w:sz w:val="24"/>
          <w:szCs w:val="24"/>
          <w:highlight w:val="none"/>
          <w:lang w:bidi="ar"/>
        </w:rPr>
      </w:pPr>
    </w:p>
    <w:p w14:paraId="1FAE7124">
      <w:pPr>
        <w:adjustRightInd w:val="0"/>
        <w:snapToGrid w:val="0"/>
        <w:spacing w:line="312" w:lineRule="auto"/>
        <w:ind w:firstLine="480" w:firstLineChars="200"/>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1.1、本工程完成必须符合国家和地方现行相关质量评定标准和施工技术规范、施工图设计要求。</w:t>
      </w:r>
    </w:p>
    <w:p w14:paraId="61B3E88C">
      <w:pPr>
        <w:adjustRightInd w:val="0"/>
        <w:snapToGrid w:val="0"/>
        <w:spacing w:line="312" w:lineRule="auto"/>
        <w:ind w:firstLine="480" w:firstLineChars="200"/>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1.2、本工程的材料检验和质量、工艺试验按国家、地方现行相关规定执行。</w:t>
      </w:r>
    </w:p>
    <w:p w14:paraId="391CFABD">
      <w:pPr>
        <w:adjustRightInd w:val="0"/>
        <w:snapToGrid w:val="0"/>
        <w:spacing w:line="312" w:lineRule="auto"/>
        <w:ind w:firstLine="480" w:firstLineChars="200"/>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1.3、工程量清单及</w:t>
      </w:r>
      <w:r>
        <w:rPr>
          <w:rFonts w:hint="eastAsia" w:ascii="仿宋" w:hAnsi="仿宋" w:eastAsia="仿宋" w:cs="仿宋"/>
          <w:color w:val="auto"/>
          <w:sz w:val="24"/>
          <w:szCs w:val="24"/>
          <w:highlight w:val="none"/>
          <w:lang w:eastAsia="zh-CN" w:bidi="ar"/>
        </w:rPr>
        <w:t>已标价工程量清单</w:t>
      </w:r>
      <w:r>
        <w:rPr>
          <w:rFonts w:hint="eastAsia" w:ascii="仿宋" w:hAnsi="仿宋" w:eastAsia="仿宋" w:cs="仿宋"/>
          <w:color w:val="auto"/>
          <w:sz w:val="24"/>
          <w:szCs w:val="24"/>
          <w:highlight w:val="none"/>
          <w:lang w:bidi="ar"/>
        </w:rPr>
        <w:t>应当按照《建设工程工程量清单计价规范》（GB50500-2013）有关规定编制。</w:t>
      </w:r>
    </w:p>
    <w:p w14:paraId="65394F4A">
      <w:pPr>
        <w:adjustRightInd w:val="0"/>
        <w:snapToGrid w:val="0"/>
        <w:spacing w:line="312" w:lineRule="auto"/>
        <w:ind w:firstLine="480" w:firstLineChars="200"/>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1.4、供应商编制已标价工程量清单须严格按照本采购文件附件（工程量清单）提供的表格填列。</w:t>
      </w:r>
    </w:p>
    <w:p w14:paraId="1FCABF26">
      <w:pPr>
        <w:adjustRightInd w:val="0"/>
        <w:snapToGrid w:val="0"/>
        <w:spacing w:line="312" w:lineRule="auto"/>
        <w:ind w:firstLine="480" w:firstLineChars="200"/>
        <w:rPr>
          <w:rFonts w:hint="eastAsia" w:ascii="仿宋" w:hAnsi="仿宋" w:eastAsia="仿宋" w:cs="仿宋"/>
          <w:color w:val="auto"/>
          <w:sz w:val="24"/>
          <w:szCs w:val="24"/>
          <w:highlight w:val="none"/>
          <w:lang w:val="en-US" w:eastAsia="zh-CN" w:bidi="ar"/>
        </w:rPr>
      </w:pPr>
    </w:p>
    <w:p w14:paraId="1992F4BA">
      <w:pPr>
        <w:adjustRightInd w:val="0"/>
        <w:snapToGrid w:val="0"/>
        <w:spacing w:line="312" w:lineRule="auto"/>
        <w:ind w:firstLine="480" w:firstLineChars="200"/>
        <w:rPr>
          <w:rFonts w:hint="eastAsia" w:ascii="仿宋" w:hAnsi="仿宋" w:eastAsia="仿宋" w:cs="仿宋"/>
          <w:color w:val="auto"/>
          <w:sz w:val="24"/>
          <w:szCs w:val="24"/>
          <w:highlight w:val="none"/>
          <w:lang w:bidi="ar"/>
        </w:rPr>
      </w:pPr>
    </w:p>
    <w:p w14:paraId="54935EB1">
      <w:pPr>
        <w:adjustRightInd w:val="0"/>
        <w:snapToGrid w:val="0"/>
        <w:spacing w:line="312" w:lineRule="auto"/>
        <w:ind w:firstLine="420" w:firstLineChars="200"/>
        <w:rPr>
          <w:rFonts w:hint="eastAsia" w:ascii="仿宋" w:hAnsi="仿宋" w:eastAsia="仿宋" w:cs="仿宋"/>
          <w:color w:val="auto"/>
          <w:highlight w:val="none"/>
        </w:rPr>
      </w:pPr>
    </w:p>
    <w:p w14:paraId="41935119">
      <w:pPr>
        <w:snapToGrid w:val="0"/>
        <w:spacing w:line="312" w:lineRule="auto"/>
        <w:rPr>
          <w:rFonts w:hint="eastAsia" w:ascii="仿宋" w:hAnsi="仿宋" w:eastAsia="仿宋" w:cs="仿宋"/>
          <w:b/>
          <w:bCs/>
          <w:color w:val="auto"/>
          <w:sz w:val="24"/>
          <w:szCs w:val="24"/>
          <w:highlight w:val="none"/>
        </w:rPr>
        <w:sectPr>
          <w:headerReference r:id="rId7" w:type="default"/>
          <w:footerReference r:id="rId8" w:type="default"/>
          <w:pgSz w:w="11905" w:h="16838"/>
          <w:pgMar w:top="1440" w:right="1080" w:bottom="1440" w:left="1080" w:header="850" w:footer="992" w:gutter="0"/>
          <w:pgNumType w:fmt="decimal"/>
          <w:cols w:space="0" w:num="1"/>
          <w:docGrid w:type="linesAndChars" w:linePitch="312" w:charSpace="0"/>
        </w:sectPr>
      </w:pPr>
    </w:p>
    <w:p w14:paraId="1B566C53">
      <w:pPr>
        <w:spacing w:line="360" w:lineRule="auto"/>
        <w:jc w:val="center"/>
        <w:outlineLvl w:val="0"/>
        <w:rPr>
          <w:rFonts w:ascii="仿宋" w:hAnsi="仿宋" w:eastAsia="仿宋" w:cs="仿宋"/>
          <w:b/>
          <w:color w:val="auto"/>
          <w:sz w:val="24"/>
          <w:szCs w:val="24"/>
          <w:highlight w:val="none"/>
          <w:shd w:val="clear" w:color="auto" w:fill="FFFFFF" w:themeFill="background1"/>
        </w:rPr>
      </w:pPr>
      <w:bookmarkStart w:id="646" w:name="_Toc27363"/>
      <w:bookmarkStart w:id="647" w:name="_Toc4127"/>
      <w:r>
        <w:rPr>
          <w:rFonts w:hint="eastAsia" w:ascii="仿宋" w:hAnsi="仿宋" w:eastAsia="仿宋" w:cs="仿宋"/>
          <w:b/>
          <w:color w:val="auto"/>
          <w:sz w:val="24"/>
          <w:szCs w:val="24"/>
          <w:highlight w:val="none"/>
          <w:shd w:val="clear" w:color="auto" w:fill="FFFFFF" w:themeFill="background1"/>
        </w:rPr>
        <w:t>第五章 响应文件格式</w:t>
      </w:r>
      <w:bookmarkEnd w:id="646"/>
      <w:bookmarkEnd w:id="647"/>
    </w:p>
    <w:p w14:paraId="1ACB4099">
      <w:pPr>
        <w:spacing w:line="360" w:lineRule="auto"/>
        <w:rPr>
          <w:rFonts w:ascii="仿宋" w:hAnsi="仿宋" w:eastAsia="仿宋" w:cs="仿宋"/>
          <w:b/>
          <w:color w:val="auto"/>
          <w:sz w:val="24"/>
          <w:szCs w:val="24"/>
          <w:highlight w:val="none"/>
          <w:shd w:val="clear" w:color="auto" w:fill="FFFFFF" w:themeFill="background1"/>
        </w:rPr>
      </w:pPr>
    </w:p>
    <w:p w14:paraId="78037508">
      <w:pPr>
        <w:spacing w:line="360" w:lineRule="auto"/>
        <w:rPr>
          <w:rFonts w:ascii="仿宋" w:hAnsi="仿宋" w:eastAsia="仿宋" w:cs="仿宋"/>
          <w:color w:val="auto"/>
          <w:sz w:val="24"/>
          <w:szCs w:val="24"/>
          <w:highlight w:val="none"/>
          <w:u w:val="single"/>
          <w:shd w:val="clear" w:color="auto" w:fill="FFFFFF" w:themeFill="background1"/>
        </w:rPr>
      </w:pPr>
      <w:r>
        <w:rPr>
          <w:rFonts w:hint="eastAsia" w:ascii="仿宋" w:hAnsi="仿宋" w:eastAsia="仿宋" w:cs="仿宋"/>
          <w:color w:val="auto"/>
          <w:sz w:val="24"/>
          <w:szCs w:val="24"/>
          <w:highlight w:val="none"/>
          <w:u w:val="single"/>
          <w:shd w:val="clear" w:color="auto" w:fill="FFFFFF" w:themeFill="background1"/>
        </w:rPr>
        <w:t>响应文件封面示例</w:t>
      </w:r>
    </w:p>
    <w:p w14:paraId="3DBC4862">
      <w:pPr>
        <w:spacing w:line="360" w:lineRule="auto"/>
        <w:jc w:val="center"/>
        <w:rPr>
          <w:rFonts w:ascii="仿宋" w:hAnsi="仿宋" w:eastAsia="仿宋" w:cs="仿宋"/>
          <w:b/>
          <w:color w:val="auto"/>
          <w:sz w:val="24"/>
          <w:szCs w:val="24"/>
          <w:highlight w:val="none"/>
          <w:bdr w:val="single" w:color="auto" w:sz="4" w:space="0"/>
          <w:shd w:val="clear" w:color="auto" w:fill="FFFFFF" w:themeFill="background1"/>
        </w:rPr>
      </w:pPr>
    </w:p>
    <w:p w14:paraId="5CEE6D3C">
      <w:pPr>
        <w:spacing w:line="360" w:lineRule="auto"/>
        <w:jc w:val="center"/>
        <w:rPr>
          <w:rFonts w:ascii="仿宋" w:hAnsi="仿宋" w:eastAsia="仿宋" w:cs="仿宋"/>
          <w:b/>
          <w:color w:val="auto"/>
          <w:sz w:val="24"/>
          <w:szCs w:val="24"/>
          <w:highlight w:val="none"/>
          <w:bdr w:val="single" w:color="auto" w:sz="4" w:space="0"/>
          <w:shd w:val="clear" w:color="auto" w:fill="FFFFFF" w:themeFill="background1"/>
        </w:rPr>
      </w:pPr>
    </w:p>
    <w:p w14:paraId="5377DDED">
      <w:pPr>
        <w:spacing w:line="360" w:lineRule="auto"/>
        <w:jc w:val="center"/>
        <w:rPr>
          <w:rFonts w:ascii="仿宋" w:hAnsi="仿宋" w:eastAsia="仿宋" w:cs="仿宋"/>
          <w:b/>
          <w:color w:val="auto"/>
          <w:sz w:val="24"/>
          <w:szCs w:val="24"/>
          <w:highlight w:val="none"/>
          <w:bdr w:val="single" w:color="auto" w:sz="4" w:space="0"/>
          <w:shd w:val="clear" w:color="auto" w:fill="FFFFFF" w:themeFill="background1"/>
        </w:rPr>
      </w:pPr>
    </w:p>
    <w:p w14:paraId="6FA505FA">
      <w:pPr>
        <w:spacing w:line="360" w:lineRule="auto"/>
        <w:jc w:val="center"/>
        <w:rPr>
          <w:rFonts w:ascii="仿宋" w:hAnsi="仿宋" w:eastAsia="仿宋" w:cs="仿宋"/>
          <w:b/>
          <w:bCs/>
          <w:color w:val="auto"/>
          <w:sz w:val="24"/>
          <w:szCs w:val="24"/>
          <w:highlight w:val="none"/>
          <w:u w:val="single"/>
          <w:shd w:val="clear" w:color="auto" w:fill="FFFFFF" w:themeFill="background1"/>
        </w:rPr>
      </w:pPr>
      <w:r>
        <w:rPr>
          <w:rFonts w:hint="eastAsia" w:ascii="仿宋" w:hAnsi="仿宋" w:eastAsia="仿宋" w:cs="仿宋"/>
          <w:b/>
          <w:bCs/>
          <w:color w:val="auto"/>
          <w:sz w:val="24"/>
          <w:szCs w:val="24"/>
          <w:highlight w:val="none"/>
          <w:u w:val="single"/>
          <w:shd w:val="clear" w:color="auto" w:fill="FFFFFF" w:themeFill="background1"/>
        </w:rPr>
        <w:t>（项目名称）</w:t>
      </w:r>
    </w:p>
    <w:p w14:paraId="0E70F1BB">
      <w:pPr>
        <w:spacing w:line="360" w:lineRule="auto"/>
        <w:jc w:val="center"/>
        <w:rPr>
          <w:rFonts w:ascii="仿宋" w:hAnsi="仿宋" w:eastAsia="仿宋" w:cs="仿宋"/>
          <w:b/>
          <w:bCs/>
          <w:color w:val="auto"/>
          <w:sz w:val="24"/>
          <w:szCs w:val="24"/>
          <w:highlight w:val="none"/>
          <w:u w:val="single"/>
          <w:shd w:val="clear" w:color="auto" w:fill="FFFFFF" w:themeFill="background1"/>
        </w:rPr>
      </w:pPr>
      <w:r>
        <w:rPr>
          <w:rFonts w:hint="eastAsia" w:ascii="仿宋" w:hAnsi="仿宋" w:eastAsia="仿宋" w:cs="仿宋"/>
          <w:b/>
          <w:bCs/>
          <w:color w:val="auto"/>
          <w:sz w:val="24"/>
          <w:szCs w:val="24"/>
          <w:highlight w:val="none"/>
          <w:u w:val="single"/>
          <w:shd w:val="clear" w:color="auto" w:fill="FFFFFF" w:themeFill="background1"/>
        </w:rPr>
        <w:t>（项目编号）</w:t>
      </w:r>
    </w:p>
    <w:p w14:paraId="1780A3BC">
      <w:pPr>
        <w:spacing w:line="360" w:lineRule="auto"/>
        <w:jc w:val="center"/>
        <w:rPr>
          <w:rFonts w:ascii="仿宋" w:hAnsi="仿宋" w:eastAsia="仿宋" w:cs="仿宋"/>
          <w:b/>
          <w:bCs/>
          <w:color w:val="auto"/>
          <w:sz w:val="24"/>
          <w:szCs w:val="24"/>
          <w:highlight w:val="none"/>
          <w:shd w:val="clear" w:color="auto" w:fill="FFFFFF" w:themeFill="background1"/>
        </w:rPr>
      </w:pPr>
    </w:p>
    <w:p w14:paraId="3FA06A38">
      <w:pPr>
        <w:spacing w:line="360" w:lineRule="auto"/>
        <w:jc w:val="center"/>
        <w:rPr>
          <w:rFonts w:ascii="仿宋" w:hAnsi="仿宋" w:eastAsia="仿宋" w:cs="仿宋"/>
          <w:b/>
          <w:bCs/>
          <w:color w:val="auto"/>
          <w:sz w:val="24"/>
          <w:szCs w:val="24"/>
          <w:highlight w:val="none"/>
          <w:shd w:val="clear" w:color="auto" w:fill="FFFFFF" w:themeFill="background1"/>
        </w:rPr>
      </w:pPr>
    </w:p>
    <w:p w14:paraId="007DFBC9">
      <w:pPr>
        <w:spacing w:line="360" w:lineRule="auto"/>
        <w:jc w:val="center"/>
        <w:rPr>
          <w:rFonts w:ascii="仿宋" w:hAnsi="仿宋" w:eastAsia="仿宋" w:cs="仿宋"/>
          <w:b/>
          <w:bCs/>
          <w:color w:val="auto"/>
          <w:sz w:val="24"/>
          <w:szCs w:val="24"/>
          <w:highlight w:val="none"/>
          <w:shd w:val="clear" w:color="auto" w:fill="FFFFFF" w:themeFill="background1"/>
        </w:rPr>
      </w:pPr>
      <w:r>
        <w:rPr>
          <w:rFonts w:hint="eastAsia" w:ascii="仿宋" w:hAnsi="仿宋" w:eastAsia="仿宋" w:cs="仿宋"/>
          <w:b/>
          <w:bCs/>
          <w:color w:val="auto"/>
          <w:sz w:val="24"/>
          <w:szCs w:val="24"/>
          <w:highlight w:val="none"/>
          <w:shd w:val="clear" w:color="auto" w:fill="FFFFFF" w:themeFill="background1"/>
        </w:rPr>
        <w:t>响应文件</w:t>
      </w:r>
    </w:p>
    <w:p w14:paraId="1DDCDB2B">
      <w:pPr>
        <w:spacing w:line="360" w:lineRule="auto"/>
        <w:rPr>
          <w:rFonts w:ascii="仿宋" w:hAnsi="仿宋" w:eastAsia="仿宋" w:cs="仿宋"/>
          <w:color w:val="auto"/>
          <w:sz w:val="24"/>
          <w:szCs w:val="24"/>
          <w:highlight w:val="none"/>
          <w:shd w:val="clear" w:color="auto" w:fill="FFFFFF" w:themeFill="background1"/>
        </w:rPr>
      </w:pPr>
    </w:p>
    <w:p w14:paraId="349E3978">
      <w:pPr>
        <w:spacing w:line="360" w:lineRule="auto"/>
        <w:rPr>
          <w:rFonts w:ascii="仿宋" w:hAnsi="仿宋" w:eastAsia="仿宋" w:cs="仿宋"/>
          <w:color w:val="auto"/>
          <w:sz w:val="24"/>
          <w:szCs w:val="24"/>
          <w:highlight w:val="none"/>
          <w:shd w:val="clear" w:color="auto" w:fill="FFFFFF" w:themeFill="background1"/>
        </w:rPr>
      </w:pPr>
    </w:p>
    <w:p w14:paraId="1800F5A9">
      <w:pPr>
        <w:spacing w:line="360" w:lineRule="auto"/>
        <w:rPr>
          <w:rFonts w:ascii="仿宋" w:hAnsi="仿宋" w:eastAsia="仿宋" w:cs="仿宋"/>
          <w:color w:val="auto"/>
          <w:sz w:val="24"/>
          <w:szCs w:val="24"/>
          <w:highlight w:val="none"/>
          <w:shd w:val="clear" w:color="auto" w:fill="FFFFFF" w:themeFill="background1"/>
        </w:rPr>
      </w:pPr>
    </w:p>
    <w:p w14:paraId="15660F9F">
      <w:pPr>
        <w:spacing w:line="360" w:lineRule="auto"/>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供应商：（盖章）</w:t>
      </w:r>
    </w:p>
    <w:p w14:paraId="7761DE5F">
      <w:pPr>
        <w:spacing w:line="360" w:lineRule="auto"/>
        <w:rPr>
          <w:rFonts w:ascii="仿宋" w:hAnsi="仿宋" w:eastAsia="仿宋" w:cs="仿宋"/>
          <w:color w:val="auto"/>
          <w:sz w:val="24"/>
          <w:szCs w:val="24"/>
          <w:highlight w:val="none"/>
          <w:shd w:val="clear" w:color="auto" w:fill="FFFFFF" w:themeFill="background1"/>
        </w:rPr>
      </w:pPr>
    </w:p>
    <w:p w14:paraId="5FE3A484">
      <w:pPr>
        <w:spacing w:line="360" w:lineRule="auto"/>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shd w:val="clear" w:color="auto" w:fill="FFFFFF" w:themeFill="background1"/>
          <w:lang w:val="en-US" w:eastAsia="zh-CN"/>
        </w:rPr>
        <w:t>或签名</w:t>
      </w:r>
      <w:r>
        <w:rPr>
          <w:rFonts w:hint="eastAsia" w:ascii="仿宋" w:hAnsi="仿宋" w:eastAsia="仿宋" w:cs="仿宋"/>
          <w:color w:val="auto"/>
          <w:kern w:val="0"/>
          <w:sz w:val="24"/>
          <w:szCs w:val="24"/>
          <w:highlight w:val="none"/>
          <w:shd w:val="clear" w:color="auto" w:fill="FFFFFF" w:themeFill="background1"/>
        </w:rPr>
        <w:t>）</w:t>
      </w:r>
    </w:p>
    <w:p w14:paraId="2FD14D6A">
      <w:pPr>
        <w:spacing w:line="360" w:lineRule="auto"/>
        <w:rPr>
          <w:rFonts w:ascii="仿宋" w:hAnsi="仿宋" w:eastAsia="仿宋" w:cs="仿宋"/>
          <w:color w:val="auto"/>
          <w:sz w:val="24"/>
          <w:szCs w:val="24"/>
          <w:highlight w:val="none"/>
          <w:shd w:val="clear" w:color="auto" w:fill="FFFFFF" w:themeFill="background1"/>
        </w:rPr>
      </w:pPr>
    </w:p>
    <w:p w14:paraId="7711C1C4">
      <w:pPr>
        <w:spacing w:line="360" w:lineRule="auto"/>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单位地址：</w:t>
      </w:r>
    </w:p>
    <w:p w14:paraId="01B29B6D">
      <w:pPr>
        <w:spacing w:line="360" w:lineRule="auto"/>
        <w:rPr>
          <w:rFonts w:ascii="仿宋" w:hAnsi="仿宋" w:eastAsia="仿宋" w:cs="仿宋"/>
          <w:color w:val="auto"/>
          <w:sz w:val="24"/>
          <w:szCs w:val="24"/>
          <w:highlight w:val="none"/>
          <w:shd w:val="clear" w:color="auto" w:fill="FFFFFF" w:themeFill="background1"/>
        </w:rPr>
      </w:pPr>
    </w:p>
    <w:p w14:paraId="1DDE1C8A">
      <w:pPr>
        <w:spacing w:line="360" w:lineRule="auto"/>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邮政编码：</w:t>
      </w:r>
    </w:p>
    <w:p w14:paraId="4AC7E8F4">
      <w:pPr>
        <w:spacing w:line="360" w:lineRule="auto"/>
        <w:rPr>
          <w:rFonts w:ascii="仿宋" w:hAnsi="仿宋" w:eastAsia="仿宋" w:cs="仿宋"/>
          <w:color w:val="auto"/>
          <w:sz w:val="24"/>
          <w:szCs w:val="24"/>
          <w:highlight w:val="none"/>
          <w:shd w:val="clear" w:color="auto" w:fill="FFFFFF" w:themeFill="background1"/>
        </w:rPr>
      </w:pPr>
    </w:p>
    <w:p w14:paraId="370AA6AC">
      <w:pPr>
        <w:spacing w:line="360" w:lineRule="auto"/>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联系人：</w:t>
      </w:r>
    </w:p>
    <w:p w14:paraId="13A0A830">
      <w:pPr>
        <w:spacing w:line="360" w:lineRule="auto"/>
        <w:rPr>
          <w:rFonts w:ascii="仿宋" w:hAnsi="仿宋" w:eastAsia="仿宋" w:cs="仿宋"/>
          <w:color w:val="auto"/>
          <w:sz w:val="24"/>
          <w:szCs w:val="24"/>
          <w:highlight w:val="none"/>
          <w:shd w:val="clear" w:color="auto" w:fill="FFFFFF" w:themeFill="background1"/>
        </w:rPr>
      </w:pPr>
    </w:p>
    <w:p w14:paraId="596F60F3">
      <w:pPr>
        <w:spacing w:line="360" w:lineRule="auto"/>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联系电话：</w:t>
      </w:r>
    </w:p>
    <w:p w14:paraId="077F19D2">
      <w:pPr>
        <w:spacing w:line="360" w:lineRule="auto"/>
        <w:rPr>
          <w:rFonts w:ascii="仿宋" w:hAnsi="仿宋" w:eastAsia="仿宋" w:cs="仿宋"/>
          <w:color w:val="auto"/>
          <w:sz w:val="24"/>
          <w:szCs w:val="24"/>
          <w:highlight w:val="none"/>
          <w:shd w:val="clear" w:color="auto" w:fill="FFFFFF" w:themeFill="background1"/>
        </w:rPr>
      </w:pPr>
    </w:p>
    <w:p w14:paraId="39E06089">
      <w:pPr>
        <w:spacing w:line="360" w:lineRule="auto"/>
        <w:ind w:firstLine="2" w:firstLineChars="1"/>
        <w:jc w:val="center"/>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年  月  日</w:t>
      </w:r>
    </w:p>
    <w:p w14:paraId="383F6E7D">
      <w:pPr>
        <w:spacing w:line="360" w:lineRule="auto"/>
        <w:ind w:firstLine="2" w:firstLineChars="1"/>
        <w:jc w:val="center"/>
        <w:rPr>
          <w:rFonts w:ascii="仿宋" w:hAnsi="仿宋" w:eastAsia="仿宋" w:cs="仿宋"/>
          <w:color w:val="auto"/>
          <w:sz w:val="24"/>
          <w:szCs w:val="24"/>
          <w:highlight w:val="none"/>
          <w:shd w:val="clear" w:color="auto" w:fill="FFFFFF" w:themeFill="background1"/>
        </w:rPr>
      </w:pPr>
    </w:p>
    <w:p w14:paraId="43A33B7D">
      <w:pPr>
        <w:spacing w:line="360" w:lineRule="auto"/>
        <w:jc w:val="center"/>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bookmarkStart w:id="648" w:name="_Toc38910521"/>
      <w:bookmarkStart w:id="649" w:name="_Toc38446469"/>
      <w:r>
        <w:rPr>
          <w:rFonts w:hint="eastAsia" w:ascii="仿宋" w:hAnsi="仿宋" w:eastAsia="仿宋" w:cs="仿宋"/>
          <w:color w:val="auto"/>
          <w:sz w:val="24"/>
          <w:szCs w:val="24"/>
          <w:highlight w:val="none"/>
          <w:shd w:val="clear" w:color="auto" w:fill="FFFFFF" w:themeFill="background1"/>
        </w:rPr>
        <w:t>目录</w:t>
      </w:r>
      <w:bookmarkEnd w:id="648"/>
      <w:bookmarkEnd w:id="649"/>
    </w:p>
    <w:p w14:paraId="1D157A26">
      <w:pPr>
        <w:spacing w:line="360" w:lineRule="auto"/>
        <w:rPr>
          <w:rFonts w:ascii="仿宋" w:hAnsi="仿宋" w:eastAsia="仿宋" w:cs="仿宋"/>
          <w:bCs/>
          <w:color w:val="auto"/>
          <w:sz w:val="24"/>
          <w:szCs w:val="24"/>
          <w:highlight w:val="none"/>
          <w:shd w:val="clear" w:color="auto" w:fill="FFFFFF" w:themeFill="background1"/>
        </w:rPr>
      </w:pPr>
    </w:p>
    <w:p w14:paraId="28F6829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）、开启一览表</w:t>
      </w:r>
    </w:p>
    <w:p w14:paraId="178FD793">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）、响应函</w:t>
      </w:r>
    </w:p>
    <w:p w14:paraId="558DE7B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）、商务条款偏离表</w:t>
      </w:r>
    </w:p>
    <w:p w14:paraId="2D5FD36D">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）、技术条款偏离表</w:t>
      </w:r>
    </w:p>
    <w:p w14:paraId="59C4865E">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）、法定代表人身份证明书</w:t>
      </w:r>
    </w:p>
    <w:p w14:paraId="1934B353">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）、法定代表人授权委托书</w:t>
      </w:r>
    </w:p>
    <w:p w14:paraId="6F142DD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7</w:t>
      </w:r>
      <w:r>
        <w:rPr>
          <w:rFonts w:hint="eastAsia" w:ascii="仿宋" w:hAnsi="仿宋" w:eastAsia="仿宋" w:cs="仿宋"/>
          <w:b w:val="0"/>
          <w:bCs w:val="0"/>
          <w:color w:val="auto"/>
          <w:sz w:val="24"/>
          <w:szCs w:val="24"/>
          <w:highlight w:val="none"/>
        </w:rPr>
        <w:t>）、供应商资格要求证明材料</w:t>
      </w:r>
    </w:p>
    <w:p w14:paraId="58F4EDD1">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rPr>
        <w:t>）、供应商类似项目业绩表</w:t>
      </w:r>
    </w:p>
    <w:p w14:paraId="0A323D8B">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rPr>
        <w:t>）、项目负责人简历表</w:t>
      </w:r>
    </w:p>
    <w:p w14:paraId="652030B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b w:val="0"/>
          <w:bCs w:val="0"/>
          <w:color w:val="auto"/>
          <w:sz w:val="24"/>
          <w:szCs w:val="24"/>
          <w:highlight w:val="none"/>
        </w:rPr>
        <w:t>）、主要项目管理人员表</w:t>
      </w:r>
    </w:p>
    <w:p w14:paraId="742497A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11</w:t>
      </w:r>
      <w:r>
        <w:rPr>
          <w:rFonts w:hint="eastAsia" w:ascii="仿宋" w:hAnsi="仿宋" w:eastAsia="仿宋" w:cs="仿宋"/>
          <w:b w:val="0"/>
          <w:bCs w:val="0"/>
          <w:color w:val="auto"/>
          <w:sz w:val="24"/>
          <w:szCs w:val="24"/>
          <w:highlight w:val="none"/>
        </w:rPr>
        <w:t>）、施工组织设计</w:t>
      </w:r>
    </w:p>
    <w:p w14:paraId="4900780E">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12</w:t>
      </w:r>
      <w:r>
        <w:rPr>
          <w:rFonts w:hint="eastAsia" w:ascii="仿宋" w:hAnsi="仿宋" w:eastAsia="仿宋" w:cs="仿宋"/>
          <w:b w:val="0"/>
          <w:bCs w:val="0"/>
          <w:color w:val="auto"/>
          <w:sz w:val="24"/>
          <w:szCs w:val="24"/>
          <w:highlight w:val="none"/>
        </w:rPr>
        <w:t>）、已标价工程量清单</w:t>
      </w:r>
    </w:p>
    <w:p w14:paraId="4F6960C0">
      <w:pPr>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13</w:t>
      </w:r>
      <w:r>
        <w:rPr>
          <w:rFonts w:hint="eastAsia" w:ascii="仿宋" w:hAnsi="仿宋" w:eastAsia="仿宋" w:cs="仿宋"/>
          <w:b w:val="0"/>
          <w:bCs w:val="0"/>
          <w:color w:val="auto"/>
          <w:sz w:val="24"/>
          <w:szCs w:val="24"/>
          <w:highlight w:val="none"/>
        </w:rPr>
        <w:t>）、</w:t>
      </w:r>
      <w:r>
        <w:rPr>
          <w:rFonts w:hint="eastAsia" w:ascii="仿宋" w:hAnsi="仿宋" w:eastAsia="仿宋" w:cs="仿宋"/>
          <w:color w:val="auto"/>
          <w:kern w:val="0"/>
          <w:sz w:val="24"/>
          <w:szCs w:val="24"/>
          <w:highlight w:val="none"/>
        </w:rPr>
        <w:t>保证金缴纳证明材料</w:t>
      </w:r>
    </w:p>
    <w:p w14:paraId="4BFCC1B3">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14</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eastAsia="zh-CN"/>
        </w:rPr>
        <w:t>其它需要</w:t>
      </w:r>
      <w:r>
        <w:rPr>
          <w:rFonts w:hint="eastAsia" w:ascii="仿宋" w:hAnsi="仿宋" w:eastAsia="仿宋" w:cs="仿宋"/>
          <w:b w:val="0"/>
          <w:bCs w:val="0"/>
          <w:color w:val="auto"/>
          <w:sz w:val="24"/>
          <w:szCs w:val="24"/>
          <w:highlight w:val="none"/>
        </w:rPr>
        <w:t>提交的资料</w:t>
      </w:r>
    </w:p>
    <w:p w14:paraId="14FB34E5">
      <w:pPr>
        <w:spacing w:line="360" w:lineRule="auto"/>
        <w:rPr>
          <w:rFonts w:ascii="仿宋" w:hAnsi="仿宋" w:eastAsia="仿宋" w:cs="仿宋"/>
          <w:bCs/>
          <w:color w:val="auto"/>
          <w:sz w:val="24"/>
          <w:szCs w:val="24"/>
          <w:highlight w:val="none"/>
          <w:shd w:val="clear" w:color="auto" w:fill="FFFFFF" w:themeFill="background1"/>
        </w:rPr>
      </w:pPr>
    </w:p>
    <w:p w14:paraId="55CC241A">
      <w:pPr>
        <w:spacing w:line="360" w:lineRule="auto"/>
        <w:rPr>
          <w:rFonts w:ascii="仿宋" w:hAnsi="仿宋" w:eastAsia="仿宋" w:cs="仿宋"/>
          <w:bCs/>
          <w:color w:val="auto"/>
          <w:sz w:val="24"/>
          <w:szCs w:val="24"/>
          <w:highlight w:val="none"/>
          <w:shd w:val="clear" w:color="auto" w:fill="FFFFFF" w:themeFill="background1"/>
        </w:rPr>
      </w:pPr>
      <w:r>
        <w:rPr>
          <w:rFonts w:hint="eastAsia" w:ascii="仿宋" w:hAnsi="仿宋" w:eastAsia="仿宋" w:cs="仿宋"/>
          <w:bCs/>
          <w:color w:val="auto"/>
          <w:sz w:val="24"/>
          <w:szCs w:val="24"/>
          <w:highlight w:val="none"/>
          <w:shd w:val="clear" w:color="auto" w:fill="FFFFFF" w:themeFill="background1"/>
        </w:rPr>
        <w:t>注：为了便于查找，请按上述顺序编制</w:t>
      </w:r>
      <w:r>
        <w:rPr>
          <w:rFonts w:hint="eastAsia" w:ascii="仿宋" w:hAnsi="仿宋" w:eastAsia="仿宋" w:cs="仿宋"/>
          <w:color w:val="auto"/>
          <w:sz w:val="24"/>
          <w:szCs w:val="24"/>
          <w:highlight w:val="none"/>
          <w:shd w:val="clear" w:color="auto" w:fill="FFFFFF" w:themeFill="background1"/>
        </w:rPr>
        <w:t>响应文件</w:t>
      </w:r>
      <w:r>
        <w:rPr>
          <w:rFonts w:hint="eastAsia" w:ascii="仿宋" w:hAnsi="仿宋" w:eastAsia="仿宋" w:cs="仿宋"/>
          <w:bCs/>
          <w:color w:val="auto"/>
          <w:sz w:val="24"/>
          <w:szCs w:val="24"/>
          <w:highlight w:val="none"/>
          <w:shd w:val="clear" w:color="auto" w:fill="FFFFFF" w:themeFill="background1"/>
        </w:rPr>
        <w:t>内容，并在目录</w:t>
      </w:r>
      <w:r>
        <w:rPr>
          <w:rFonts w:hint="eastAsia" w:ascii="仿宋" w:hAnsi="仿宋" w:eastAsia="仿宋" w:cs="仿宋"/>
          <w:bCs/>
          <w:color w:val="auto"/>
          <w:sz w:val="24"/>
          <w:szCs w:val="24"/>
          <w:highlight w:val="none"/>
          <w:shd w:val="clear" w:color="auto" w:fill="FFFFFF" w:themeFill="background1"/>
          <w:lang w:eastAsia="zh-CN"/>
        </w:rPr>
        <w:t>成交</w:t>
      </w:r>
      <w:r>
        <w:rPr>
          <w:rFonts w:hint="eastAsia" w:ascii="仿宋" w:hAnsi="仿宋" w:eastAsia="仿宋" w:cs="仿宋"/>
          <w:bCs/>
          <w:color w:val="auto"/>
          <w:sz w:val="24"/>
          <w:szCs w:val="24"/>
          <w:highlight w:val="none"/>
          <w:shd w:val="clear" w:color="auto" w:fill="FFFFFF" w:themeFill="background1"/>
        </w:rPr>
        <w:t>明每项内容的起始页码。</w:t>
      </w:r>
    </w:p>
    <w:p w14:paraId="7EA029E8">
      <w:pPr>
        <w:tabs>
          <w:tab w:val="center" w:pos="4832"/>
          <w:tab w:val="left" w:pos="7140"/>
        </w:tabs>
        <w:spacing w:line="360" w:lineRule="auto"/>
        <w:jc w:val="center"/>
        <w:outlineLvl w:val="1"/>
        <w:rPr>
          <w:rFonts w:hint="eastAsia" w:ascii="仿宋" w:hAnsi="仿宋" w:eastAsia="仿宋" w:cs="仿宋"/>
          <w:b/>
          <w:color w:val="auto"/>
          <w:sz w:val="24"/>
          <w:szCs w:val="24"/>
          <w:highlight w:val="none"/>
          <w:shd w:val="clear" w:color="auto" w:fill="FFFFFF" w:themeFill="background1"/>
          <w:lang w:eastAsia="zh-CN"/>
        </w:rPr>
      </w:pPr>
      <w:r>
        <w:rPr>
          <w:rFonts w:hint="eastAsia" w:ascii="仿宋" w:hAnsi="仿宋" w:eastAsia="仿宋" w:cs="仿宋"/>
          <w:b/>
          <w:color w:val="auto"/>
          <w:sz w:val="24"/>
          <w:szCs w:val="24"/>
          <w:highlight w:val="none"/>
          <w:shd w:val="clear" w:color="auto" w:fill="FFFFFF" w:themeFill="background1"/>
        </w:rPr>
        <w:br w:type="page"/>
      </w:r>
      <w:bookmarkStart w:id="650" w:name="_Toc38446470"/>
      <w:bookmarkStart w:id="651" w:name="_Toc533503181"/>
      <w:bookmarkStart w:id="652" w:name="_Toc8529"/>
      <w:bookmarkStart w:id="653" w:name="_Toc507586166"/>
      <w:bookmarkStart w:id="654" w:name="_Toc27588"/>
      <w:r>
        <w:rPr>
          <w:rFonts w:hint="eastAsia" w:ascii="仿宋" w:hAnsi="仿宋" w:eastAsia="仿宋" w:cs="仿宋"/>
          <w:b/>
          <w:color w:val="auto"/>
          <w:sz w:val="24"/>
          <w:szCs w:val="24"/>
          <w:highlight w:val="none"/>
          <w:shd w:val="clear" w:color="auto" w:fill="FFFFFF" w:themeFill="background1"/>
        </w:rPr>
        <w:t>一、</w:t>
      </w:r>
      <w:bookmarkEnd w:id="650"/>
      <w:bookmarkEnd w:id="651"/>
      <w:bookmarkEnd w:id="652"/>
      <w:bookmarkEnd w:id="653"/>
      <w:r>
        <w:rPr>
          <w:rFonts w:hint="eastAsia" w:ascii="仿宋" w:hAnsi="仿宋" w:eastAsia="仿宋" w:cs="仿宋"/>
          <w:b/>
          <w:color w:val="auto"/>
          <w:sz w:val="24"/>
          <w:szCs w:val="24"/>
          <w:highlight w:val="none"/>
          <w:shd w:val="clear" w:color="auto" w:fill="FFFFFF" w:themeFill="background1"/>
          <w:lang w:eastAsia="zh-CN"/>
        </w:rPr>
        <w:t>开启一览表</w:t>
      </w:r>
      <w:bookmarkEnd w:id="654"/>
    </w:p>
    <w:p w14:paraId="056FFFA5">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tbl>
      <w:tblPr>
        <w:tblStyle w:val="48"/>
        <w:tblW w:w="48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0"/>
        <w:gridCol w:w="6251"/>
      </w:tblGrid>
      <w:tr w14:paraId="366A9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500" w:type="pct"/>
            <w:tcBorders>
              <w:top w:val="single" w:color="auto" w:sz="4" w:space="0"/>
              <w:left w:val="single" w:color="auto" w:sz="4" w:space="0"/>
              <w:bottom w:val="single" w:color="auto" w:sz="4" w:space="0"/>
              <w:right w:val="single" w:color="auto" w:sz="4" w:space="0"/>
            </w:tcBorders>
            <w:vAlign w:val="center"/>
          </w:tcPr>
          <w:p w14:paraId="2F78EDC1">
            <w:pPr>
              <w:spacing w:line="240" w:lineRule="auto"/>
              <w:jc w:val="center"/>
              <w:rPr>
                <w:rFonts w:hint="eastAsia" w:ascii="仿宋" w:hAnsi="仿宋" w:eastAsia="仿宋" w:cs="仿宋"/>
                <w:b w:val="0"/>
                <w:bCs/>
                <w:i w:val="0"/>
                <w:iCs w:val="0"/>
                <w:color w:val="auto"/>
                <w:kern w:val="2"/>
                <w:sz w:val="24"/>
                <w:szCs w:val="24"/>
                <w:highlight w:val="none"/>
              </w:rPr>
            </w:pPr>
            <w:r>
              <w:rPr>
                <w:rFonts w:hint="eastAsia" w:ascii="仿宋" w:hAnsi="仿宋" w:eastAsia="仿宋" w:cs="仿宋"/>
                <w:b w:val="0"/>
                <w:bCs/>
                <w:i w:val="0"/>
                <w:iCs w:val="0"/>
                <w:color w:val="auto"/>
                <w:kern w:val="2"/>
                <w:sz w:val="24"/>
                <w:szCs w:val="24"/>
                <w:highlight w:val="none"/>
                <w:lang w:val="en-US" w:eastAsia="zh-CN"/>
              </w:rPr>
              <w:t>项目</w:t>
            </w:r>
            <w:r>
              <w:rPr>
                <w:rFonts w:hint="eastAsia" w:ascii="仿宋" w:hAnsi="仿宋" w:eastAsia="仿宋" w:cs="仿宋"/>
                <w:b w:val="0"/>
                <w:bCs/>
                <w:i w:val="0"/>
                <w:iCs w:val="0"/>
                <w:color w:val="auto"/>
                <w:kern w:val="2"/>
                <w:sz w:val="24"/>
                <w:szCs w:val="24"/>
                <w:highlight w:val="none"/>
              </w:rPr>
              <w:t>名称</w:t>
            </w:r>
          </w:p>
        </w:tc>
        <w:tc>
          <w:tcPr>
            <w:tcW w:w="3499" w:type="pct"/>
            <w:tcBorders>
              <w:left w:val="single" w:color="auto" w:sz="4" w:space="0"/>
            </w:tcBorders>
            <w:vAlign w:val="center"/>
          </w:tcPr>
          <w:p w14:paraId="37CB85C6">
            <w:pPr>
              <w:spacing w:line="240" w:lineRule="auto"/>
              <w:jc w:val="both"/>
              <w:rPr>
                <w:rFonts w:hint="default" w:ascii="仿宋" w:hAnsi="仿宋" w:eastAsia="仿宋" w:cs="仿宋"/>
                <w:b w:val="0"/>
                <w:bCs/>
                <w:i w:val="0"/>
                <w:iCs w:val="0"/>
                <w:color w:val="auto"/>
                <w:kern w:val="2"/>
                <w:sz w:val="24"/>
                <w:szCs w:val="24"/>
                <w:highlight w:val="none"/>
                <w:lang w:val="en-US" w:eastAsia="zh-CN"/>
              </w:rPr>
            </w:pPr>
          </w:p>
        </w:tc>
      </w:tr>
      <w:tr w14:paraId="1E664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500" w:type="pct"/>
            <w:tcBorders>
              <w:top w:val="single" w:color="auto" w:sz="4" w:space="0"/>
              <w:left w:val="single" w:color="auto" w:sz="4" w:space="0"/>
              <w:bottom w:val="single" w:color="auto" w:sz="4" w:space="0"/>
              <w:right w:val="single" w:color="auto" w:sz="4" w:space="0"/>
            </w:tcBorders>
            <w:vAlign w:val="center"/>
          </w:tcPr>
          <w:p w14:paraId="64C55037">
            <w:pPr>
              <w:spacing w:line="240" w:lineRule="auto"/>
              <w:jc w:val="center"/>
              <w:rPr>
                <w:rFonts w:hint="eastAsia" w:ascii="仿宋" w:hAnsi="仿宋" w:eastAsia="仿宋" w:cs="仿宋"/>
                <w:b w:val="0"/>
                <w:bCs/>
                <w:i w:val="0"/>
                <w:iCs w:val="0"/>
                <w:color w:val="auto"/>
                <w:kern w:val="2"/>
                <w:sz w:val="24"/>
                <w:szCs w:val="24"/>
                <w:highlight w:val="none"/>
                <w:lang w:val="en-US" w:eastAsia="zh-CN"/>
              </w:rPr>
            </w:pPr>
            <w:r>
              <w:rPr>
                <w:rFonts w:hint="eastAsia" w:ascii="仿宋" w:hAnsi="仿宋" w:eastAsia="仿宋" w:cs="仿宋"/>
                <w:b w:val="0"/>
                <w:bCs/>
                <w:i w:val="0"/>
                <w:iCs w:val="0"/>
                <w:color w:val="auto"/>
                <w:kern w:val="2"/>
                <w:sz w:val="24"/>
                <w:szCs w:val="24"/>
                <w:highlight w:val="none"/>
                <w:lang w:val="en-US" w:eastAsia="zh-CN"/>
              </w:rPr>
              <w:t>项目编号</w:t>
            </w:r>
          </w:p>
        </w:tc>
        <w:tc>
          <w:tcPr>
            <w:tcW w:w="3499" w:type="pct"/>
            <w:tcBorders>
              <w:left w:val="single" w:color="auto" w:sz="4" w:space="0"/>
            </w:tcBorders>
            <w:vAlign w:val="center"/>
          </w:tcPr>
          <w:p w14:paraId="5642448B">
            <w:pPr>
              <w:spacing w:line="240" w:lineRule="auto"/>
              <w:jc w:val="both"/>
              <w:rPr>
                <w:rFonts w:hint="eastAsia" w:ascii="仿宋" w:hAnsi="仿宋" w:eastAsia="仿宋" w:cs="仿宋"/>
                <w:b w:val="0"/>
                <w:bCs/>
                <w:i w:val="0"/>
                <w:iCs w:val="0"/>
                <w:color w:val="auto"/>
                <w:kern w:val="2"/>
                <w:sz w:val="24"/>
                <w:szCs w:val="24"/>
                <w:highlight w:val="none"/>
              </w:rPr>
            </w:pPr>
          </w:p>
        </w:tc>
      </w:tr>
      <w:tr w14:paraId="6038C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500" w:type="pct"/>
            <w:tcBorders>
              <w:top w:val="single" w:color="auto" w:sz="4" w:space="0"/>
            </w:tcBorders>
            <w:vAlign w:val="center"/>
          </w:tcPr>
          <w:p w14:paraId="5F388EDB">
            <w:pPr>
              <w:spacing w:line="240" w:lineRule="auto"/>
              <w:jc w:val="center"/>
              <w:rPr>
                <w:rFonts w:hint="eastAsia" w:ascii="仿宋" w:hAnsi="仿宋" w:eastAsia="仿宋" w:cs="仿宋"/>
                <w:b w:val="0"/>
                <w:bCs/>
                <w:i w:val="0"/>
                <w:iCs w:val="0"/>
                <w:color w:val="auto"/>
                <w:kern w:val="2"/>
                <w:sz w:val="24"/>
                <w:szCs w:val="24"/>
                <w:highlight w:val="none"/>
                <w:lang w:eastAsia="zh-CN"/>
              </w:rPr>
            </w:pPr>
            <w:r>
              <w:rPr>
                <w:rFonts w:hint="eastAsia" w:ascii="仿宋" w:hAnsi="仿宋" w:eastAsia="仿宋" w:cs="仿宋"/>
                <w:b w:val="0"/>
                <w:bCs/>
                <w:i w:val="0"/>
                <w:iCs w:val="0"/>
                <w:color w:val="auto"/>
                <w:kern w:val="2"/>
                <w:sz w:val="24"/>
                <w:szCs w:val="24"/>
                <w:highlight w:val="none"/>
                <w:lang w:val="en-US" w:eastAsia="zh-CN"/>
              </w:rPr>
              <w:t>响应价格</w:t>
            </w:r>
            <w:r>
              <w:rPr>
                <w:rFonts w:hint="eastAsia" w:ascii="仿宋" w:hAnsi="仿宋" w:eastAsia="仿宋" w:cs="仿宋"/>
                <w:b w:val="0"/>
                <w:bCs/>
                <w:i w:val="0"/>
                <w:iCs w:val="0"/>
                <w:color w:val="auto"/>
                <w:kern w:val="2"/>
                <w:sz w:val="24"/>
                <w:szCs w:val="24"/>
                <w:highlight w:val="none"/>
                <w:lang w:eastAsia="zh-CN"/>
              </w:rPr>
              <w:t>（</w:t>
            </w:r>
            <w:r>
              <w:rPr>
                <w:rFonts w:hint="eastAsia" w:ascii="仿宋" w:hAnsi="仿宋" w:eastAsia="仿宋" w:cs="仿宋"/>
                <w:b w:val="0"/>
                <w:bCs/>
                <w:i w:val="0"/>
                <w:iCs w:val="0"/>
                <w:color w:val="auto"/>
                <w:kern w:val="2"/>
                <w:sz w:val="24"/>
                <w:szCs w:val="24"/>
                <w:highlight w:val="none"/>
                <w:lang w:val="en-US" w:eastAsia="zh-CN"/>
              </w:rPr>
              <w:t>元</w:t>
            </w:r>
            <w:r>
              <w:rPr>
                <w:rFonts w:hint="eastAsia" w:ascii="仿宋" w:hAnsi="仿宋" w:eastAsia="仿宋" w:cs="仿宋"/>
                <w:b w:val="0"/>
                <w:bCs/>
                <w:i w:val="0"/>
                <w:iCs w:val="0"/>
                <w:color w:val="auto"/>
                <w:kern w:val="2"/>
                <w:sz w:val="24"/>
                <w:szCs w:val="24"/>
                <w:highlight w:val="none"/>
                <w:lang w:eastAsia="zh-CN"/>
              </w:rPr>
              <w:t>）</w:t>
            </w:r>
          </w:p>
        </w:tc>
        <w:tc>
          <w:tcPr>
            <w:tcW w:w="3499" w:type="pct"/>
            <w:vAlign w:val="center"/>
          </w:tcPr>
          <w:p w14:paraId="3D4F3E9E">
            <w:pPr>
              <w:snapToGrid w:val="0"/>
              <w:spacing w:line="240" w:lineRule="auto"/>
              <w:jc w:val="both"/>
              <w:rPr>
                <w:rFonts w:hint="eastAsia" w:ascii="仿宋" w:hAnsi="仿宋" w:eastAsia="仿宋" w:cs="仿宋"/>
                <w:b w:val="0"/>
                <w:bCs/>
                <w:i w:val="0"/>
                <w:iCs w:val="0"/>
                <w:color w:val="auto"/>
                <w:sz w:val="24"/>
                <w:szCs w:val="24"/>
                <w:highlight w:val="none"/>
                <w:u w:val="single"/>
              </w:rPr>
            </w:pPr>
            <w:r>
              <w:rPr>
                <w:rFonts w:hint="eastAsia" w:ascii="仿宋" w:hAnsi="仿宋" w:eastAsia="仿宋" w:cs="仿宋"/>
                <w:b w:val="0"/>
                <w:bCs/>
                <w:i w:val="0"/>
                <w:iCs w:val="0"/>
                <w:color w:val="auto"/>
                <w:sz w:val="24"/>
                <w:szCs w:val="24"/>
                <w:highlight w:val="none"/>
              </w:rPr>
              <w:t>大写：</w:t>
            </w:r>
            <w:r>
              <w:rPr>
                <w:rFonts w:hint="eastAsia" w:ascii="仿宋" w:hAnsi="仿宋" w:eastAsia="仿宋" w:cs="仿宋"/>
                <w:b w:val="0"/>
                <w:bCs/>
                <w:i w:val="0"/>
                <w:iCs w:val="0"/>
                <w:color w:val="auto"/>
                <w:sz w:val="24"/>
                <w:szCs w:val="24"/>
                <w:highlight w:val="none"/>
                <w:u w:val="single"/>
              </w:rPr>
              <w:t xml:space="preserve">                     </w:t>
            </w:r>
          </w:p>
          <w:p w14:paraId="075AE9A8">
            <w:pPr>
              <w:snapToGrid w:val="0"/>
              <w:spacing w:line="240" w:lineRule="auto"/>
              <w:jc w:val="both"/>
              <w:rPr>
                <w:rFonts w:hint="eastAsia" w:ascii="仿宋" w:hAnsi="仿宋" w:eastAsia="仿宋" w:cs="仿宋"/>
                <w:b w:val="0"/>
                <w:bCs/>
                <w:i w:val="0"/>
                <w:iCs w:val="0"/>
                <w:color w:val="auto"/>
                <w:sz w:val="24"/>
                <w:szCs w:val="24"/>
                <w:highlight w:val="none"/>
                <w:u w:val="single"/>
              </w:rPr>
            </w:pPr>
          </w:p>
          <w:p w14:paraId="3A1569B3">
            <w:pPr>
              <w:spacing w:line="240" w:lineRule="auto"/>
              <w:ind w:right="-670"/>
              <w:jc w:val="both"/>
              <w:rPr>
                <w:rFonts w:hint="eastAsia" w:ascii="仿宋" w:hAnsi="仿宋" w:eastAsia="仿宋" w:cs="仿宋"/>
                <w:b w:val="0"/>
                <w:bCs/>
                <w:i w:val="0"/>
                <w:iCs w:val="0"/>
                <w:color w:val="auto"/>
                <w:kern w:val="2"/>
                <w:sz w:val="24"/>
                <w:szCs w:val="24"/>
                <w:highlight w:val="none"/>
              </w:rPr>
            </w:pPr>
            <w:r>
              <w:rPr>
                <w:rFonts w:hint="eastAsia" w:ascii="仿宋" w:hAnsi="仿宋" w:eastAsia="仿宋" w:cs="仿宋"/>
                <w:b w:val="0"/>
                <w:bCs/>
                <w:i w:val="0"/>
                <w:iCs w:val="0"/>
                <w:color w:val="auto"/>
                <w:sz w:val="24"/>
                <w:szCs w:val="24"/>
                <w:highlight w:val="none"/>
              </w:rPr>
              <w:t>小写：</w:t>
            </w:r>
            <w:r>
              <w:rPr>
                <w:rFonts w:hint="eastAsia" w:ascii="仿宋" w:hAnsi="仿宋" w:eastAsia="仿宋" w:cs="仿宋"/>
                <w:b w:val="0"/>
                <w:bCs/>
                <w:i w:val="0"/>
                <w:iCs w:val="0"/>
                <w:color w:val="auto"/>
                <w:sz w:val="24"/>
                <w:szCs w:val="24"/>
                <w:highlight w:val="none"/>
                <w:u w:val="single"/>
              </w:rPr>
              <w:t xml:space="preserve">                     </w:t>
            </w:r>
          </w:p>
        </w:tc>
      </w:tr>
      <w:tr w14:paraId="37D4B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500" w:type="pct"/>
            <w:tcBorders>
              <w:top w:val="single" w:color="auto" w:sz="4" w:space="0"/>
            </w:tcBorders>
            <w:vAlign w:val="center"/>
          </w:tcPr>
          <w:p w14:paraId="179A7373">
            <w:pPr>
              <w:snapToGrid w:val="0"/>
              <w:spacing w:line="240" w:lineRule="auto"/>
              <w:jc w:val="center"/>
              <w:rPr>
                <w:rFonts w:hint="eastAsia" w:ascii="仿宋" w:hAnsi="仿宋" w:eastAsia="仿宋" w:cs="仿宋"/>
                <w:b w:val="0"/>
                <w:bCs/>
                <w:i w:val="0"/>
                <w:iCs w:val="0"/>
                <w:color w:val="auto"/>
                <w:kern w:val="2"/>
                <w:sz w:val="24"/>
                <w:szCs w:val="24"/>
                <w:highlight w:val="none"/>
              </w:rPr>
            </w:pPr>
            <w:r>
              <w:rPr>
                <w:rFonts w:hint="eastAsia" w:ascii="仿宋" w:hAnsi="仿宋" w:eastAsia="仿宋" w:cs="仿宋"/>
                <w:b w:val="0"/>
                <w:bCs/>
                <w:i w:val="0"/>
                <w:iCs w:val="0"/>
                <w:color w:val="auto"/>
                <w:kern w:val="2"/>
                <w:sz w:val="24"/>
                <w:szCs w:val="24"/>
                <w:highlight w:val="none"/>
              </w:rPr>
              <w:t>质量标准</w:t>
            </w:r>
          </w:p>
        </w:tc>
        <w:tc>
          <w:tcPr>
            <w:tcW w:w="3499" w:type="pct"/>
            <w:vAlign w:val="center"/>
          </w:tcPr>
          <w:p w14:paraId="1E5D469E">
            <w:pPr>
              <w:snapToGrid w:val="0"/>
              <w:spacing w:line="240" w:lineRule="auto"/>
              <w:jc w:val="both"/>
              <w:rPr>
                <w:rFonts w:hint="eastAsia" w:ascii="仿宋" w:hAnsi="仿宋" w:eastAsia="仿宋" w:cs="仿宋"/>
                <w:b w:val="0"/>
                <w:bCs/>
                <w:i w:val="0"/>
                <w:iCs w:val="0"/>
                <w:color w:val="auto"/>
                <w:kern w:val="2"/>
                <w:sz w:val="24"/>
                <w:szCs w:val="24"/>
                <w:highlight w:val="none"/>
              </w:rPr>
            </w:pPr>
          </w:p>
        </w:tc>
      </w:tr>
      <w:tr w14:paraId="22223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500" w:type="pct"/>
            <w:tcBorders>
              <w:top w:val="single" w:color="auto" w:sz="4" w:space="0"/>
            </w:tcBorders>
            <w:vAlign w:val="center"/>
          </w:tcPr>
          <w:p w14:paraId="4E204255">
            <w:pPr>
              <w:snapToGrid w:val="0"/>
              <w:spacing w:line="240" w:lineRule="auto"/>
              <w:jc w:val="center"/>
              <w:rPr>
                <w:rFonts w:hint="eastAsia" w:ascii="仿宋" w:hAnsi="仿宋" w:eastAsia="仿宋" w:cs="仿宋"/>
                <w:b w:val="0"/>
                <w:bCs/>
                <w:i w:val="0"/>
                <w:iCs w:val="0"/>
                <w:color w:val="auto"/>
                <w:kern w:val="2"/>
                <w:sz w:val="24"/>
                <w:szCs w:val="24"/>
                <w:highlight w:val="none"/>
              </w:rPr>
            </w:pPr>
            <w:r>
              <w:rPr>
                <w:rFonts w:hint="eastAsia" w:ascii="仿宋" w:hAnsi="仿宋" w:eastAsia="仿宋" w:cs="仿宋"/>
                <w:b w:val="0"/>
                <w:bCs/>
                <w:i w:val="0"/>
                <w:iCs w:val="0"/>
                <w:color w:val="auto"/>
                <w:kern w:val="2"/>
                <w:sz w:val="24"/>
                <w:szCs w:val="24"/>
                <w:highlight w:val="none"/>
              </w:rPr>
              <w:t>工    期</w:t>
            </w:r>
          </w:p>
        </w:tc>
        <w:tc>
          <w:tcPr>
            <w:tcW w:w="3499" w:type="pct"/>
            <w:vAlign w:val="center"/>
          </w:tcPr>
          <w:p w14:paraId="78146B7E">
            <w:pPr>
              <w:snapToGrid w:val="0"/>
              <w:spacing w:line="240" w:lineRule="auto"/>
              <w:jc w:val="both"/>
              <w:rPr>
                <w:rFonts w:hint="eastAsia" w:ascii="仿宋" w:hAnsi="仿宋" w:eastAsia="仿宋" w:cs="仿宋"/>
                <w:b w:val="0"/>
                <w:bCs/>
                <w:i w:val="0"/>
                <w:iCs w:val="0"/>
                <w:color w:val="auto"/>
                <w:kern w:val="2"/>
                <w:sz w:val="24"/>
                <w:szCs w:val="24"/>
                <w:highlight w:val="none"/>
              </w:rPr>
            </w:pPr>
          </w:p>
        </w:tc>
      </w:tr>
      <w:tr w14:paraId="4A6D6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500" w:type="pct"/>
            <w:tcBorders>
              <w:top w:val="single" w:color="auto" w:sz="4" w:space="0"/>
            </w:tcBorders>
            <w:vAlign w:val="center"/>
          </w:tcPr>
          <w:p w14:paraId="20B01FB6">
            <w:pPr>
              <w:snapToGrid w:val="0"/>
              <w:spacing w:line="240" w:lineRule="auto"/>
              <w:jc w:val="center"/>
              <w:rPr>
                <w:rFonts w:hint="eastAsia" w:ascii="仿宋" w:hAnsi="仿宋" w:eastAsia="仿宋" w:cs="仿宋"/>
                <w:b w:val="0"/>
                <w:bCs/>
                <w:i w:val="0"/>
                <w:iCs w:val="0"/>
                <w:color w:val="auto"/>
                <w:kern w:val="2"/>
                <w:sz w:val="24"/>
                <w:szCs w:val="24"/>
                <w:highlight w:val="none"/>
              </w:rPr>
            </w:pPr>
            <w:r>
              <w:rPr>
                <w:rFonts w:hint="eastAsia" w:ascii="仿宋" w:hAnsi="仿宋" w:eastAsia="仿宋" w:cs="仿宋"/>
                <w:color w:val="auto"/>
                <w:kern w:val="0"/>
                <w:sz w:val="24"/>
                <w:szCs w:val="24"/>
                <w:highlight w:val="none"/>
                <w:lang w:val="en-US" w:eastAsia="zh-CN"/>
              </w:rPr>
              <w:t>项目负责人</w:t>
            </w:r>
          </w:p>
        </w:tc>
        <w:tc>
          <w:tcPr>
            <w:tcW w:w="3499" w:type="pct"/>
            <w:vAlign w:val="center"/>
          </w:tcPr>
          <w:p w14:paraId="7B357AB1">
            <w:pPr>
              <w:snapToGrid w:val="0"/>
              <w:spacing w:line="240" w:lineRule="auto"/>
              <w:jc w:val="both"/>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姓名：</w:t>
            </w:r>
            <w:r>
              <w:rPr>
                <w:rFonts w:hint="eastAsia" w:ascii="仿宋" w:hAnsi="仿宋" w:eastAsia="仿宋" w:cs="仿宋"/>
                <w:b w:val="0"/>
                <w:bCs/>
                <w:i w:val="0"/>
                <w:iCs w:val="0"/>
                <w:color w:val="auto"/>
                <w:kern w:val="2"/>
                <w:sz w:val="24"/>
                <w:szCs w:val="24"/>
                <w:highlight w:val="none"/>
                <w:u w:val="single"/>
                <w:lang w:val="en-US" w:eastAsia="zh-CN"/>
              </w:rPr>
              <w:t xml:space="preserve">               </w:t>
            </w:r>
          </w:p>
          <w:p w14:paraId="1BEA839A">
            <w:pPr>
              <w:snapToGrid w:val="0"/>
              <w:spacing w:line="240" w:lineRule="auto"/>
              <w:jc w:val="both"/>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证书名称：</w:t>
            </w:r>
            <w:r>
              <w:rPr>
                <w:rFonts w:hint="eastAsia" w:ascii="仿宋" w:hAnsi="仿宋" w:eastAsia="仿宋" w:cs="仿宋"/>
                <w:b w:val="0"/>
                <w:bCs/>
                <w:i w:val="0"/>
                <w:iCs w:val="0"/>
                <w:color w:val="auto"/>
                <w:kern w:val="2"/>
                <w:sz w:val="24"/>
                <w:szCs w:val="24"/>
                <w:highlight w:val="none"/>
                <w:u w:val="single"/>
                <w:lang w:val="en-US" w:eastAsia="zh-CN"/>
              </w:rPr>
              <w:t xml:space="preserve">           </w:t>
            </w:r>
          </w:p>
          <w:p w14:paraId="04AA15FF">
            <w:pPr>
              <w:snapToGrid w:val="0"/>
              <w:spacing w:line="240" w:lineRule="auto"/>
              <w:jc w:val="both"/>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证书编号：</w:t>
            </w:r>
            <w:r>
              <w:rPr>
                <w:rFonts w:hint="eastAsia" w:ascii="仿宋" w:hAnsi="仿宋" w:eastAsia="仿宋" w:cs="仿宋"/>
                <w:b w:val="0"/>
                <w:bCs/>
                <w:i w:val="0"/>
                <w:iCs w:val="0"/>
                <w:color w:val="auto"/>
                <w:kern w:val="2"/>
                <w:sz w:val="24"/>
                <w:szCs w:val="24"/>
                <w:highlight w:val="none"/>
                <w:u w:val="single"/>
                <w:lang w:val="en-US" w:eastAsia="zh-CN"/>
              </w:rPr>
              <w:t xml:space="preserve">           </w:t>
            </w:r>
          </w:p>
        </w:tc>
      </w:tr>
      <w:tr w14:paraId="08059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500" w:type="pct"/>
            <w:vAlign w:val="center"/>
          </w:tcPr>
          <w:p w14:paraId="71B51A75">
            <w:pPr>
              <w:spacing w:line="240" w:lineRule="auto"/>
              <w:jc w:val="center"/>
              <w:rPr>
                <w:rFonts w:hint="eastAsia" w:ascii="仿宋" w:hAnsi="仿宋" w:eastAsia="仿宋" w:cs="仿宋"/>
                <w:b w:val="0"/>
                <w:bCs/>
                <w:i w:val="0"/>
                <w:iCs w:val="0"/>
                <w:color w:val="auto"/>
                <w:kern w:val="2"/>
                <w:sz w:val="24"/>
                <w:szCs w:val="24"/>
                <w:highlight w:val="none"/>
              </w:rPr>
            </w:pPr>
            <w:r>
              <w:rPr>
                <w:rFonts w:hint="eastAsia" w:ascii="仿宋" w:hAnsi="仿宋" w:eastAsia="仿宋" w:cs="仿宋"/>
                <w:b w:val="0"/>
                <w:bCs/>
                <w:i w:val="0"/>
                <w:iCs w:val="0"/>
                <w:color w:val="auto"/>
                <w:kern w:val="2"/>
                <w:sz w:val="24"/>
                <w:szCs w:val="24"/>
                <w:highlight w:val="none"/>
              </w:rPr>
              <w:t>备注</w:t>
            </w:r>
          </w:p>
        </w:tc>
        <w:tc>
          <w:tcPr>
            <w:tcW w:w="3499" w:type="pct"/>
            <w:vAlign w:val="center"/>
          </w:tcPr>
          <w:p w14:paraId="73BFA4FB">
            <w:pPr>
              <w:spacing w:line="240" w:lineRule="auto"/>
              <w:jc w:val="both"/>
              <w:rPr>
                <w:rFonts w:hint="eastAsia" w:ascii="仿宋" w:hAnsi="仿宋" w:eastAsia="仿宋" w:cs="仿宋"/>
                <w:b w:val="0"/>
                <w:bCs/>
                <w:i w:val="0"/>
                <w:iCs w:val="0"/>
                <w:color w:val="auto"/>
                <w:kern w:val="2"/>
                <w:sz w:val="24"/>
                <w:szCs w:val="24"/>
                <w:highlight w:val="none"/>
              </w:rPr>
            </w:pPr>
          </w:p>
        </w:tc>
      </w:tr>
    </w:tbl>
    <w:p w14:paraId="6870FF01">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34710077">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1E1C224C">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2CCB92BA">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634F93AA">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shd w:val="clear" w:color="auto" w:fill="FFFFFF" w:themeFill="background1"/>
          <w:lang w:val="en-US" w:eastAsia="zh-CN"/>
        </w:rPr>
        <w:t>或签名</w:t>
      </w:r>
      <w:r>
        <w:rPr>
          <w:rFonts w:hint="eastAsia" w:ascii="仿宋" w:hAnsi="仿宋" w:eastAsia="仿宋" w:cs="仿宋"/>
          <w:color w:val="auto"/>
          <w:kern w:val="0"/>
          <w:sz w:val="24"/>
          <w:szCs w:val="24"/>
          <w:highlight w:val="none"/>
          <w:shd w:val="clear" w:color="auto" w:fill="FFFFFF" w:themeFill="background1"/>
        </w:rPr>
        <w:t xml:space="preserve">）                       </w:t>
      </w:r>
    </w:p>
    <w:p w14:paraId="2FA1727B">
      <w:pPr>
        <w:widowControl/>
        <w:shd w:val="clear" w:color="auto" w:fill="FFFFFF"/>
        <w:snapToGrid w:val="0"/>
        <w:spacing w:line="360" w:lineRule="auto"/>
        <w:jc w:val="righ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日期：年 月 日</w:t>
      </w:r>
    </w:p>
    <w:p w14:paraId="58AAF73F">
      <w:pP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br w:type="page"/>
      </w:r>
    </w:p>
    <w:p w14:paraId="4FF0C393">
      <w:pPr>
        <w:tabs>
          <w:tab w:val="center" w:pos="4832"/>
          <w:tab w:val="left" w:pos="7140"/>
        </w:tabs>
        <w:spacing w:line="360" w:lineRule="auto"/>
        <w:jc w:val="center"/>
        <w:outlineLvl w:val="1"/>
        <w:rPr>
          <w:rFonts w:hint="eastAsia" w:ascii="仿宋" w:hAnsi="仿宋" w:eastAsia="仿宋" w:cs="仿宋"/>
          <w:b/>
          <w:color w:val="auto"/>
          <w:sz w:val="24"/>
          <w:szCs w:val="24"/>
          <w:highlight w:val="none"/>
          <w:shd w:val="clear" w:color="auto" w:fill="FFFFFF" w:themeFill="background1"/>
          <w:lang w:eastAsia="zh-CN"/>
        </w:rPr>
      </w:pPr>
      <w:bookmarkStart w:id="655" w:name="_Toc19649"/>
      <w:r>
        <w:rPr>
          <w:rFonts w:hint="eastAsia" w:ascii="仿宋" w:hAnsi="仿宋" w:eastAsia="仿宋" w:cs="仿宋"/>
          <w:b/>
          <w:color w:val="auto"/>
          <w:sz w:val="24"/>
          <w:szCs w:val="24"/>
          <w:highlight w:val="none"/>
          <w:shd w:val="clear" w:color="auto" w:fill="FFFFFF" w:themeFill="background1"/>
          <w:lang w:val="en-US" w:eastAsia="zh-CN"/>
        </w:rPr>
        <w:t>二</w:t>
      </w:r>
      <w:r>
        <w:rPr>
          <w:rFonts w:hint="eastAsia" w:ascii="仿宋" w:hAnsi="仿宋" w:eastAsia="仿宋" w:cs="仿宋"/>
          <w:b/>
          <w:color w:val="auto"/>
          <w:sz w:val="24"/>
          <w:szCs w:val="24"/>
          <w:highlight w:val="none"/>
          <w:shd w:val="clear" w:color="auto" w:fill="FFFFFF" w:themeFill="background1"/>
        </w:rPr>
        <w:t>、</w:t>
      </w:r>
      <w:r>
        <w:rPr>
          <w:rFonts w:hint="eastAsia" w:ascii="仿宋" w:hAnsi="仿宋" w:eastAsia="仿宋" w:cs="仿宋"/>
          <w:b/>
          <w:color w:val="auto"/>
          <w:sz w:val="24"/>
          <w:szCs w:val="24"/>
          <w:highlight w:val="none"/>
          <w:shd w:val="clear" w:color="auto" w:fill="FFFFFF" w:themeFill="background1"/>
          <w:lang w:val="en-US" w:eastAsia="zh-CN"/>
        </w:rPr>
        <w:t>响应函</w:t>
      </w:r>
      <w:bookmarkEnd w:id="655"/>
    </w:p>
    <w:p w14:paraId="021EEEB0">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lang w:val="en-US" w:eastAsia="zh-CN"/>
        </w:rPr>
      </w:pPr>
    </w:p>
    <w:p w14:paraId="130319AA">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（采购人名称）</w:t>
      </w:r>
    </w:p>
    <w:p w14:paraId="62E9ED98">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shd w:val="clear" w:color="auto" w:fill="FFFFFF" w:themeFill="background1"/>
        </w:rPr>
        <w:t>根据已收到的</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项目的</w:t>
      </w:r>
      <w:r>
        <w:rPr>
          <w:rFonts w:hint="eastAsia" w:ascii="仿宋" w:hAnsi="仿宋" w:eastAsia="仿宋" w:cs="仿宋"/>
          <w:color w:val="auto"/>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，遵照《中华人民共和国政府采购法》等有关法律法规的规定，经考察现场和充分研究贵方的</w:t>
      </w:r>
      <w:r>
        <w:rPr>
          <w:rFonts w:hint="eastAsia" w:ascii="仿宋" w:hAnsi="仿宋" w:eastAsia="仿宋" w:cs="仿宋"/>
          <w:color w:val="auto"/>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的全部内容后，我方郑重承诺如下：</w:t>
      </w:r>
    </w:p>
    <w:p w14:paraId="67754A59">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lang w:val="zh-CN" w:eastAsia="zh-CN"/>
        </w:rPr>
      </w:pP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lang w:val="zh-CN" w:eastAsia="zh-CN"/>
        </w:rPr>
        <w:t xml:space="preserve">、不向项目有关人员及部门赠送礼金礼物、有价证券、回扣以及中介费、介绍费、咨询费等好处费；不为项目有关人员及部门报销应由你方单位或个人支付的费用。 </w:t>
      </w:r>
    </w:p>
    <w:p w14:paraId="29B9F72C">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lang w:val="zh-CN" w:eastAsia="zh-CN"/>
        </w:rPr>
      </w:pP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lang w:val="zh-CN" w:eastAsia="zh-CN"/>
        </w:rPr>
        <w:t>、不向项目有关人员及部门提供有可能影响公正的宴请和健身娱乐等活动；不为项目有关人员及部门出国（境）、旅游等提供方便；不为项目有关人员个人装修住房、婚丧嫁娶、配偶子女工作安排等提供好处。</w:t>
      </w:r>
    </w:p>
    <w:p w14:paraId="502561A1">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lang w:val="zh-CN" w:eastAsia="zh-CN"/>
        </w:rPr>
        <w:t xml:space="preserve">、严格遵守《中华人民共和国政府采购法》、《中华人民共和国民法典》等法律法规，诚实守信，合法经营，坚决抵制各种违法违纪行为。 </w:t>
      </w:r>
    </w:p>
    <w:p w14:paraId="39BF2FFC">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lang w:val="en-US" w:eastAsia="zh-CN"/>
        </w:rPr>
        <w:t>4、我方所递交的响应文件及有关资料内容完整、真实和准确，且不存在供应商须知前附表规定的供应商不得存在的任何一种情形。</w:t>
      </w:r>
    </w:p>
    <w:p w14:paraId="7F8B25B8">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val="en-US" w:eastAsia="zh-CN"/>
        </w:rPr>
        <w:t>5、</w:t>
      </w:r>
      <w:r>
        <w:rPr>
          <w:rFonts w:hint="eastAsia" w:ascii="仿宋" w:hAnsi="仿宋" w:eastAsia="仿宋" w:cs="仿宋"/>
          <w:color w:val="auto"/>
          <w:kern w:val="0"/>
          <w:sz w:val="24"/>
          <w:szCs w:val="24"/>
          <w:highlight w:val="none"/>
          <w:shd w:val="clear" w:color="auto" w:fill="FFFFFF" w:themeFill="background1"/>
        </w:rPr>
        <w:t>本</w:t>
      </w:r>
      <w:r>
        <w:rPr>
          <w:rFonts w:hint="eastAsia" w:ascii="仿宋" w:hAnsi="仿宋" w:eastAsia="仿宋" w:cs="仿宋"/>
          <w:color w:val="auto"/>
          <w:sz w:val="24"/>
          <w:szCs w:val="24"/>
          <w:highlight w:val="none"/>
          <w:shd w:val="clear" w:color="auto" w:fill="FFFFFF" w:themeFill="background1"/>
        </w:rPr>
        <w:t>响应文件</w:t>
      </w:r>
      <w:r>
        <w:rPr>
          <w:rFonts w:hint="eastAsia" w:ascii="仿宋" w:hAnsi="仿宋" w:eastAsia="仿宋" w:cs="仿宋"/>
          <w:color w:val="auto"/>
          <w:kern w:val="0"/>
          <w:sz w:val="24"/>
          <w:szCs w:val="24"/>
          <w:highlight w:val="none"/>
          <w:shd w:val="clear" w:color="auto" w:fill="FFFFFF" w:themeFill="background1"/>
        </w:rPr>
        <w:t>在</w:t>
      </w:r>
      <w:r>
        <w:rPr>
          <w:rFonts w:hint="eastAsia" w:ascii="仿宋" w:hAnsi="仿宋" w:eastAsia="仿宋" w:cs="仿宋"/>
          <w:color w:val="auto"/>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规定的</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有效期内对我方具有约束力，如果我方在</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有效期内撤销</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，其</w:t>
      </w:r>
      <w:r>
        <w:rPr>
          <w:rFonts w:hint="eastAsia" w:ascii="仿宋" w:hAnsi="仿宋" w:eastAsia="仿宋" w:cs="仿宋"/>
          <w:color w:val="auto"/>
          <w:kern w:val="0"/>
          <w:sz w:val="24"/>
          <w:szCs w:val="24"/>
          <w:highlight w:val="none"/>
          <w:shd w:val="clear" w:color="auto" w:fill="FFFFFF" w:themeFill="background1"/>
          <w:lang w:eastAsia="zh-CN"/>
        </w:rPr>
        <w:t>响应担保</w:t>
      </w:r>
      <w:r>
        <w:rPr>
          <w:rFonts w:hint="eastAsia" w:ascii="仿宋" w:hAnsi="仿宋" w:eastAsia="仿宋" w:cs="仿宋"/>
          <w:color w:val="auto"/>
          <w:kern w:val="0"/>
          <w:sz w:val="24"/>
          <w:szCs w:val="24"/>
          <w:highlight w:val="none"/>
          <w:shd w:val="clear" w:color="auto" w:fill="FFFFFF" w:themeFill="background1"/>
        </w:rPr>
        <w:t>将被贵方没收。</w:t>
      </w:r>
    </w:p>
    <w:p w14:paraId="4757CF3F">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shd w:val="clear" w:color="auto" w:fill="FFFFFF" w:themeFill="background1"/>
          <w:lang w:val="en-US" w:eastAsia="zh-CN"/>
        </w:rPr>
        <w:t>6、</w:t>
      </w:r>
      <w:r>
        <w:rPr>
          <w:rFonts w:hint="eastAsia" w:ascii="仿宋" w:hAnsi="仿宋" w:eastAsia="仿宋" w:cs="仿宋"/>
          <w:color w:val="auto"/>
          <w:kern w:val="0"/>
          <w:sz w:val="24"/>
          <w:szCs w:val="24"/>
          <w:highlight w:val="none"/>
        </w:rPr>
        <w:t>我方已完全理解</w:t>
      </w:r>
      <w:r>
        <w:rPr>
          <w:rFonts w:hint="eastAsia" w:ascii="仿宋" w:hAnsi="仿宋" w:eastAsia="仿宋" w:cs="仿宋"/>
          <w:color w:val="auto"/>
          <w:kern w:val="0"/>
          <w:sz w:val="24"/>
          <w:szCs w:val="24"/>
          <w:highlight w:val="none"/>
          <w:lang w:eastAsia="zh-CN"/>
        </w:rPr>
        <w:t>采购文件</w:t>
      </w:r>
      <w:r>
        <w:rPr>
          <w:rFonts w:hint="eastAsia" w:ascii="仿宋" w:hAnsi="仿宋" w:eastAsia="仿宋" w:cs="仿宋"/>
          <w:color w:val="auto"/>
          <w:kern w:val="0"/>
          <w:sz w:val="24"/>
          <w:szCs w:val="24"/>
          <w:highlight w:val="none"/>
        </w:rPr>
        <w:t>的全部内容，并无异议</w:t>
      </w:r>
      <w:r>
        <w:rPr>
          <w:rFonts w:hint="eastAsia" w:ascii="仿宋" w:hAnsi="仿宋" w:eastAsia="仿宋" w:cs="仿宋"/>
          <w:color w:val="auto"/>
          <w:kern w:val="0"/>
          <w:sz w:val="24"/>
          <w:szCs w:val="24"/>
          <w:highlight w:val="none"/>
          <w:lang w:eastAsia="zh-CN"/>
        </w:rPr>
        <w:t>。</w:t>
      </w:r>
    </w:p>
    <w:p w14:paraId="7B2E3C08">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val="en-US" w:eastAsia="zh-CN"/>
        </w:rPr>
        <w:t>7</w:t>
      </w:r>
      <w:r>
        <w:rPr>
          <w:rFonts w:hint="eastAsia" w:ascii="仿宋" w:hAnsi="仿宋" w:eastAsia="仿宋" w:cs="仿宋"/>
          <w:color w:val="auto"/>
          <w:kern w:val="0"/>
          <w:sz w:val="24"/>
          <w:szCs w:val="24"/>
          <w:highlight w:val="none"/>
          <w:shd w:val="clear" w:color="auto" w:fill="FFFFFF" w:themeFill="background1"/>
          <w:lang w:eastAsia="zh-CN"/>
        </w:rPr>
        <w:t>、</w:t>
      </w:r>
      <w:r>
        <w:rPr>
          <w:rFonts w:hint="eastAsia" w:ascii="仿宋" w:hAnsi="仿宋" w:eastAsia="仿宋" w:cs="仿宋"/>
          <w:color w:val="auto"/>
          <w:kern w:val="0"/>
          <w:sz w:val="24"/>
          <w:szCs w:val="24"/>
          <w:highlight w:val="none"/>
          <w:shd w:val="clear" w:color="auto" w:fill="FFFFFF" w:themeFill="background1"/>
        </w:rPr>
        <w:t>我方愿意提供贵方可能要求的与</w:t>
      </w:r>
      <w:r>
        <w:rPr>
          <w:rFonts w:hint="eastAsia" w:ascii="仿宋" w:hAnsi="仿宋" w:eastAsia="仿宋" w:cs="仿宋"/>
          <w:color w:val="auto"/>
          <w:kern w:val="0"/>
          <w:sz w:val="24"/>
          <w:szCs w:val="24"/>
          <w:highlight w:val="none"/>
          <w:shd w:val="clear" w:color="auto" w:fill="FFFFFF" w:themeFill="background1"/>
          <w:lang w:val="en-US" w:eastAsia="zh-CN"/>
        </w:rPr>
        <w:t>采购</w:t>
      </w:r>
      <w:r>
        <w:rPr>
          <w:rFonts w:hint="eastAsia" w:ascii="仿宋" w:hAnsi="仿宋" w:eastAsia="仿宋" w:cs="仿宋"/>
          <w:color w:val="auto"/>
          <w:kern w:val="0"/>
          <w:sz w:val="24"/>
          <w:szCs w:val="24"/>
          <w:highlight w:val="none"/>
          <w:shd w:val="clear" w:color="auto" w:fill="FFFFFF" w:themeFill="background1"/>
        </w:rPr>
        <w:t>有关的一切数据或资料，完全理解贵方不一定接受最低</w:t>
      </w:r>
      <w:r>
        <w:rPr>
          <w:rFonts w:hint="eastAsia" w:ascii="仿宋" w:hAnsi="仿宋" w:eastAsia="仿宋" w:cs="仿宋"/>
          <w:color w:val="auto"/>
          <w:kern w:val="0"/>
          <w:sz w:val="24"/>
          <w:szCs w:val="24"/>
          <w:highlight w:val="none"/>
          <w:shd w:val="clear" w:color="auto" w:fill="FFFFFF" w:themeFill="background1"/>
          <w:lang w:eastAsia="zh-CN"/>
        </w:rPr>
        <w:t>响应价格</w:t>
      </w:r>
      <w:r>
        <w:rPr>
          <w:rFonts w:hint="eastAsia" w:ascii="仿宋" w:hAnsi="仿宋" w:eastAsia="仿宋" w:cs="仿宋"/>
          <w:color w:val="auto"/>
          <w:kern w:val="0"/>
          <w:sz w:val="24"/>
          <w:szCs w:val="24"/>
          <w:highlight w:val="none"/>
          <w:shd w:val="clear" w:color="auto" w:fill="FFFFFF" w:themeFill="background1"/>
        </w:rPr>
        <w:t>的</w:t>
      </w:r>
      <w:r>
        <w:rPr>
          <w:rFonts w:hint="eastAsia" w:ascii="仿宋" w:hAnsi="仿宋" w:eastAsia="仿宋" w:cs="仿宋"/>
          <w:color w:val="auto"/>
          <w:kern w:val="0"/>
          <w:sz w:val="24"/>
          <w:szCs w:val="24"/>
          <w:highlight w:val="none"/>
          <w:lang w:val="en-US" w:eastAsia="zh-CN"/>
        </w:rPr>
        <w:t>响应</w:t>
      </w:r>
      <w:r>
        <w:rPr>
          <w:rFonts w:hint="eastAsia" w:ascii="仿宋" w:hAnsi="仿宋" w:eastAsia="仿宋" w:cs="仿宋"/>
          <w:color w:val="auto"/>
          <w:kern w:val="0"/>
          <w:sz w:val="24"/>
          <w:szCs w:val="24"/>
          <w:highlight w:val="none"/>
          <w:shd w:val="clear" w:color="auto" w:fill="FFFFFF" w:themeFill="background1"/>
        </w:rPr>
        <w:t>或收到的任何</w:t>
      </w:r>
      <w:r>
        <w:rPr>
          <w:rFonts w:hint="eastAsia" w:ascii="仿宋" w:hAnsi="仿宋" w:eastAsia="仿宋" w:cs="仿宋"/>
          <w:color w:val="auto"/>
          <w:kern w:val="0"/>
          <w:sz w:val="24"/>
          <w:szCs w:val="24"/>
          <w:highlight w:val="none"/>
          <w:lang w:val="en-US" w:eastAsia="zh-CN"/>
        </w:rPr>
        <w:t>响应</w:t>
      </w:r>
      <w:r>
        <w:rPr>
          <w:rFonts w:hint="eastAsia" w:ascii="仿宋" w:hAnsi="仿宋" w:eastAsia="仿宋" w:cs="仿宋"/>
          <w:color w:val="auto"/>
          <w:kern w:val="0"/>
          <w:sz w:val="24"/>
          <w:szCs w:val="24"/>
          <w:highlight w:val="none"/>
          <w:shd w:val="clear" w:color="auto" w:fill="FFFFFF" w:themeFill="background1"/>
        </w:rPr>
        <w:t>。</w:t>
      </w:r>
    </w:p>
    <w:p w14:paraId="0EBD575E">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val="en-US" w:eastAsia="zh-CN"/>
        </w:rPr>
        <w:t>8</w:t>
      </w:r>
      <w:r>
        <w:rPr>
          <w:rFonts w:hint="eastAsia" w:ascii="仿宋" w:hAnsi="仿宋" w:eastAsia="仿宋" w:cs="仿宋"/>
          <w:color w:val="auto"/>
          <w:kern w:val="0"/>
          <w:sz w:val="24"/>
          <w:szCs w:val="24"/>
          <w:highlight w:val="none"/>
          <w:shd w:val="clear" w:color="auto" w:fill="FFFFFF" w:themeFill="background1"/>
          <w:lang w:eastAsia="zh-CN"/>
        </w:rPr>
        <w:t>、</w:t>
      </w:r>
      <w:r>
        <w:rPr>
          <w:rFonts w:hint="eastAsia" w:ascii="仿宋" w:hAnsi="仿宋" w:eastAsia="仿宋" w:cs="仿宋"/>
          <w:color w:val="auto"/>
          <w:kern w:val="0"/>
          <w:sz w:val="24"/>
          <w:szCs w:val="24"/>
          <w:highlight w:val="none"/>
          <w:shd w:val="clear" w:color="auto" w:fill="FFFFFF" w:themeFill="background1"/>
        </w:rPr>
        <w:t>如我方成交，我方自愿向采购代理机构支付咨询费，并在合同签订后</w:t>
      </w:r>
      <w:r>
        <w:rPr>
          <w:rFonts w:hint="eastAsia" w:ascii="仿宋" w:hAnsi="仿宋" w:eastAsia="仿宋" w:cs="仿宋"/>
          <w:color w:val="auto"/>
          <w:kern w:val="0"/>
          <w:sz w:val="24"/>
          <w:szCs w:val="24"/>
          <w:highlight w:val="none"/>
          <w:shd w:val="clear" w:color="auto" w:fill="FFFFFF" w:themeFill="background1"/>
          <w:lang w:val="en-US" w:eastAsia="zh-CN"/>
        </w:rPr>
        <w:t>1</w:t>
      </w:r>
      <w:r>
        <w:rPr>
          <w:rFonts w:hint="eastAsia" w:ascii="仿宋" w:hAnsi="仿宋" w:eastAsia="仿宋" w:cs="仿宋"/>
          <w:color w:val="auto"/>
          <w:kern w:val="0"/>
          <w:sz w:val="24"/>
          <w:szCs w:val="24"/>
          <w:highlight w:val="none"/>
          <w:shd w:val="clear" w:color="auto" w:fill="FFFFFF" w:themeFill="background1"/>
        </w:rPr>
        <w:t>个工作日内向采购代理机构提供采购合同原件一份用于采购资料备案工作。</w:t>
      </w:r>
    </w:p>
    <w:p w14:paraId="4EB8863C">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shd w:val="clear" w:color="auto" w:fill="FFFFFF" w:themeFill="background1"/>
          <w:lang w:val="zh-CN"/>
        </w:rPr>
      </w:pPr>
      <w:r>
        <w:rPr>
          <w:rFonts w:hint="eastAsia" w:ascii="仿宋" w:hAnsi="仿宋" w:eastAsia="仿宋" w:cs="仿宋"/>
          <w:color w:val="auto"/>
          <w:kern w:val="0"/>
          <w:sz w:val="24"/>
          <w:szCs w:val="24"/>
          <w:highlight w:val="none"/>
          <w:shd w:val="clear" w:color="auto" w:fill="FFFFFF" w:themeFill="background1"/>
          <w:lang w:val="zh-CN"/>
        </w:rPr>
        <w:t>如违反上述承诺，你单位有权立即取消我单位</w:t>
      </w:r>
      <w:r>
        <w:rPr>
          <w:rFonts w:hint="eastAsia" w:ascii="仿宋" w:hAnsi="仿宋" w:eastAsia="仿宋" w:cs="仿宋"/>
          <w:color w:val="auto"/>
          <w:kern w:val="0"/>
          <w:sz w:val="24"/>
          <w:szCs w:val="24"/>
          <w:highlight w:val="none"/>
          <w:shd w:val="clear" w:color="auto" w:fill="FFFFFF" w:themeFill="background1"/>
          <w:lang w:val="zh-CN" w:eastAsia="zh-CN"/>
        </w:rPr>
        <w:t>磋商响应</w:t>
      </w:r>
      <w:r>
        <w:rPr>
          <w:rFonts w:hint="eastAsia" w:ascii="仿宋" w:hAnsi="仿宋" w:eastAsia="仿宋" w:cs="仿宋"/>
          <w:color w:val="auto"/>
          <w:kern w:val="0"/>
          <w:sz w:val="24"/>
          <w:szCs w:val="24"/>
          <w:highlight w:val="none"/>
          <w:shd w:val="clear" w:color="auto" w:fill="FFFFFF" w:themeFill="background1"/>
          <w:lang w:val="en-US" w:eastAsia="zh-CN"/>
        </w:rPr>
        <w:t>或</w:t>
      </w:r>
      <w:r>
        <w:rPr>
          <w:rFonts w:hint="eastAsia" w:ascii="仿宋" w:hAnsi="仿宋" w:eastAsia="仿宋" w:cs="仿宋"/>
          <w:color w:val="auto"/>
          <w:kern w:val="0"/>
          <w:sz w:val="24"/>
          <w:szCs w:val="24"/>
          <w:highlight w:val="none"/>
          <w:shd w:val="clear" w:color="auto" w:fill="FFFFFF" w:themeFill="background1"/>
          <w:lang w:val="zh-CN" w:eastAsia="zh-CN"/>
        </w:rPr>
        <w:t>成交</w:t>
      </w:r>
      <w:r>
        <w:rPr>
          <w:rFonts w:hint="eastAsia" w:ascii="仿宋" w:hAnsi="仿宋" w:eastAsia="仿宋" w:cs="仿宋"/>
          <w:color w:val="auto"/>
          <w:kern w:val="0"/>
          <w:sz w:val="24"/>
          <w:szCs w:val="24"/>
          <w:highlight w:val="none"/>
          <w:shd w:val="clear" w:color="auto" w:fill="FFFFFF" w:themeFill="background1"/>
          <w:lang w:val="zh-CN"/>
        </w:rPr>
        <w:t>资格，并通报</w:t>
      </w:r>
      <w:r>
        <w:rPr>
          <w:rFonts w:hint="eastAsia" w:ascii="仿宋" w:hAnsi="仿宋" w:eastAsia="仿宋" w:cs="仿宋"/>
          <w:color w:val="auto"/>
          <w:kern w:val="0"/>
          <w:sz w:val="24"/>
          <w:szCs w:val="24"/>
          <w:highlight w:val="none"/>
          <w:shd w:val="clear" w:color="auto" w:fill="FFFFFF" w:themeFill="background1"/>
          <w:lang w:val="en-US" w:eastAsia="zh-CN"/>
        </w:rPr>
        <w:t>财政监管部门</w:t>
      </w:r>
      <w:r>
        <w:rPr>
          <w:rFonts w:hint="eastAsia" w:ascii="仿宋" w:hAnsi="仿宋" w:eastAsia="仿宋" w:cs="仿宋"/>
          <w:color w:val="auto"/>
          <w:kern w:val="0"/>
          <w:sz w:val="24"/>
          <w:szCs w:val="24"/>
          <w:highlight w:val="none"/>
          <w:shd w:val="clear" w:color="auto" w:fill="FFFFFF" w:themeFill="background1"/>
          <w:lang w:val="zh-CN"/>
        </w:rPr>
        <w:t>。由此引起的相应损失均由我单位承担。</w:t>
      </w:r>
    </w:p>
    <w:p w14:paraId="0E80F033">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06F934A2">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46B935A2">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1DF5F615">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shd w:val="clear" w:color="auto" w:fill="FFFFFF" w:themeFill="background1"/>
          <w:lang w:val="en-US" w:eastAsia="zh-CN"/>
        </w:rPr>
        <w:t>或签名</w:t>
      </w:r>
      <w:r>
        <w:rPr>
          <w:rFonts w:hint="eastAsia" w:ascii="仿宋" w:hAnsi="仿宋" w:eastAsia="仿宋" w:cs="仿宋"/>
          <w:color w:val="auto"/>
          <w:kern w:val="0"/>
          <w:sz w:val="24"/>
          <w:szCs w:val="24"/>
          <w:highlight w:val="none"/>
          <w:shd w:val="clear" w:color="auto" w:fill="FFFFFF" w:themeFill="background1"/>
        </w:rPr>
        <w:t xml:space="preserve">）                       </w:t>
      </w:r>
    </w:p>
    <w:p w14:paraId="433DF6DF">
      <w:pPr>
        <w:widowControl/>
        <w:shd w:val="clear" w:color="auto" w:fill="FFFFFF"/>
        <w:snapToGrid w:val="0"/>
        <w:spacing w:line="360" w:lineRule="auto"/>
        <w:jc w:val="righ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日期：年 月 日</w:t>
      </w:r>
    </w:p>
    <w:p w14:paraId="41BF2494">
      <w:pPr>
        <w:widowControl/>
        <w:spacing w:line="360" w:lineRule="auto"/>
        <w:jc w:val="left"/>
        <w:rPr>
          <w:rFonts w:ascii="仿宋" w:hAnsi="仿宋" w:eastAsia="仿宋" w:cs="仿宋"/>
          <w:b/>
          <w:color w:val="auto"/>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br w:type="page"/>
      </w:r>
      <w:bookmarkStart w:id="656" w:name="_Toc533503184"/>
      <w:bookmarkStart w:id="657" w:name="_Toc507586169"/>
      <w:bookmarkStart w:id="658" w:name="_Toc38446474"/>
    </w:p>
    <w:p w14:paraId="3885A278">
      <w:pPr>
        <w:widowControl/>
        <w:spacing w:line="360" w:lineRule="auto"/>
        <w:jc w:val="left"/>
        <w:rPr>
          <w:rFonts w:ascii="仿宋" w:hAnsi="仿宋" w:eastAsia="仿宋" w:cs="仿宋"/>
          <w:b/>
          <w:color w:val="auto"/>
          <w:sz w:val="24"/>
          <w:szCs w:val="24"/>
          <w:highlight w:val="none"/>
          <w:shd w:val="clear" w:color="auto" w:fill="FFFFFF" w:themeFill="background1"/>
        </w:rPr>
      </w:pPr>
    </w:p>
    <w:p w14:paraId="754B1494">
      <w:pPr>
        <w:tabs>
          <w:tab w:val="center" w:pos="4832"/>
          <w:tab w:val="left" w:pos="7140"/>
        </w:tabs>
        <w:spacing w:line="360" w:lineRule="auto"/>
        <w:jc w:val="center"/>
        <w:outlineLvl w:val="1"/>
        <w:rPr>
          <w:rFonts w:ascii="仿宋" w:hAnsi="仿宋" w:eastAsia="仿宋" w:cs="仿宋"/>
          <w:color w:val="auto"/>
          <w:kern w:val="0"/>
          <w:sz w:val="24"/>
          <w:szCs w:val="24"/>
          <w:highlight w:val="none"/>
          <w:shd w:val="clear" w:color="auto" w:fill="FFFFFF" w:themeFill="background1"/>
        </w:rPr>
      </w:pPr>
      <w:bookmarkStart w:id="659" w:name="_Toc20445"/>
      <w:bookmarkStart w:id="660" w:name="_Toc24021"/>
      <w:r>
        <w:rPr>
          <w:rFonts w:hint="eastAsia" w:ascii="仿宋" w:hAnsi="仿宋" w:eastAsia="仿宋" w:cs="仿宋"/>
          <w:b/>
          <w:color w:val="auto"/>
          <w:sz w:val="24"/>
          <w:szCs w:val="24"/>
          <w:highlight w:val="none"/>
          <w:shd w:val="clear" w:color="auto" w:fill="FFFFFF" w:themeFill="background1"/>
          <w:lang w:val="en-US" w:eastAsia="zh-CN"/>
        </w:rPr>
        <w:t>三</w:t>
      </w:r>
      <w:r>
        <w:rPr>
          <w:rFonts w:hint="eastAsia" w:ascii="仿宋" w:hAnsi="仿宋" w:eastAsia="仿宋" w:cs="仿宋"/>
          <w:b/>
          <w:color w:val="auto"/>
          <w:sz w:val="24"/>
          <w:szCs w:val="24"/>
          <w:highlight w:val="none"/>
          <w:shd w:val="clear" w:color="auto" w:fill="FFFFFF" w:themeFill="background1"/>
        </w:rPr>
        <w:t>、商务条款偏离表</w:t>
      </w:r>
      <w:bookmarkEnd w:id="656"/>
      <w:bookmarkEnd w:id="657"/>
      <w:bookmarkEnd w:id="658"/>
      <w:bookmarkEnd w:id="659"/>
      <w:bookmarkEnd w:id="660"/>
    </w:p>
    <w:tbl>
      <w:tblPr>
        <w:tblStyle w:val="48"/>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3"/>
        <w:gridCol w:w="1814"/>
        <w:gridCol w:w="2083"/>
        <w:gridCol w:w="2182"/>
        <w:gridCol w:w="1155"/>
        <w:gridCol w:w="1219"/>
      </w:tblGrid>
      <w:tr w14:paraId="67568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3014DFC3">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序号</w:t>
            </w:r>
          </w:p>
        </w:tc>
        <w:tc>
          <w:tcPr>
            <w:tcW w:w="1814" w:type="dxa"/>
            <w:vAlign w:val="center"/>
          </w:tcPr>
          <w:p w14:paraId="5C1C5ED7">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条目号</w:t>
            </w:r>
          </w:p>
        </w:tc>
        <w:tc>
          <w:tcPr>
            <w:tcW w:w="2083" w:type="dxa"/>
            <w:vAlign w:val="center"/>
          </w:tcPr>
          <w:p w14:paraId="36572255">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的商务条款</w:t>
            </w:r>
          </w:p>
        </w:tc>
        <w:tc>
          <w:tcPr>
            <w:tcW w:w="2182" w:type="dxa"/>
            <w:vAlign w:val="center"/>
          </w:tcPr>
          <w:p w14:paraId="21F3E9A3">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响应文件的商务条款</w:t>
            </w:r>
          </w:p>
        </w:tc>
        <w:tc>
          <w:tcPr>
            <w:tcW w:w="1155" w:type="dxa"/>
            <w:vAlign w:val="center"/>
          </w:tcPr>
          <w:p w14:paraId="75BB446C">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偏离</w:t>
            </w:r>
          </w:p>
        </w:tc>
        <w:tc>
          <w:tcPr>
            <w:tcW w:w="1219" w:type="dxa"/>
            <w:vAlign w:val="center"/>
          </w:tcPr>
          <w:p w14:paraId="6B55028C">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说明</w:t>
            </w:r>
          </w:p>
        </w:tc>
      </w:tr>
      <w:tr w14:paraId="00618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4E2034BE">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5142A7E8">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4DA5E194">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677B6AFA">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6A903957">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07436736">
            <w:pPr>
              <w:spacing w:line="360" w:lineRule="auto"/>
              <w:jc w:val="center"/>
              <w:rPr>
                <w:rFonts w:ascii="仿宋" w:hAnsi="仿宋" w:eastAsia="仿宋" w:cs="仿宋"/>
                <w:b/>
                <w:bCs/>
                <w:color w:val="auto"/>
                <w:szCs w:val="21"/>
                <w:highlight w:val="none"/>
                <w:shd w:val="clear" w:color="auto" w:fill="FFFFFF" w:themeFill="background1"/>
              </w:rPr>
            </w:pPr>
          </w:p>
        </w:tc>
      </w:tr>
      <w:tr w14:paraId="5305A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60555442">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62A72774">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35E3668F">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724AAD3B">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22E86F46">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08AA293D">
            <w:pPr>
              <w:spacing w:line="360" w:lineRule="auto"/>
              <w:jc w:val="center"/>
              <w:rPr>
                <w:rFonts w:ascii="仿宋" w:hAnsi="仿宋" w:eastAsia="仿宋" w:cs="仿宋"/>
                <w:b/>
                <w:bCs/>
                <w:color w:val="auto"/>
                <w:szCs w:val="21"/>
                <w:highlight w:val="none"/>
                <w:shd w:val="clear" w:color="auto" w:fill="FFFFFF" w:themeFill="background1"/>
              </w:rPr>
            </w:pPr>
          </w:p>
        </w:tc>
      </w:tr>
      <w:tr w14:paraId="47897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6F27E9A8">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07DEC3F0">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7E4B88C7">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012C0E9D">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6BFAF002">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785BA0BC">
            <w:pPr>
              <w:spacing w:line="360" w:lineRule="auto"/>
              <w:jc w:val="center"/>
              <w:rPr>
                <w:rFonts w:ascii="仿宋" w:hAnsi="仿宋" w:eastAsia="仿宋" w:cs="仿宋"/>
                <w:b/>
                <w:bCs/>
                <w:color w:val="auto"/>
                <w:szCs w:val="21"/>
                <w:highlight w:val="none"/>
                <w:shd w:val="clear" w:color="auto" w:fill="FFFFFF" w:themeFill="background1"/>
              </w:rPr>
            </w:pPr>
          </w:p>
        </w:tc>
      </w:tr>
      <w:tr w14:paraId="7F7EB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6238B4E9">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3B573A59">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75165202">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4E80AA22">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7FD61586">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2CCD7BA9">
            <w:pPr>
              <w:spacing w:line="360" w:lineRule="auto"/>
              <w:jc w:val="center"/>
              <w:rPr>
                <w:rFonts w:ascii="仿宋" w:hAnsi="仿宋" w:eastAsia="仿宋" w:cs="仿宋"/>
                <w:b/>
                <w:bCs/>
                <w:color w:val="auto"/>
                <w:szCs w:val="21"/>
                <w:highlight w:val="none"/>
                <w:shd w:val="clear" w:color="auto" w:fill="FFFFFF" w:themeFill="background1"/>
              </w:rPr>
            </w:pPr>
          </w:p>
        </w:tc>
      </w:tr>
      <w:tr w14:paraId="0A2BB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29BC8106">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329FE78C">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77BB7CC5">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08BF0592">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41F4EF16">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335ED7D8">
            <w:pPr>
              <w:spacing w:line="360" w:lineRule="auto"/>
              <w:jc w:val="center"/>
              <w:rPr>
                <w:rFonts w:ascii="仿宋" w:hAnsi="仿宋" w:eastAsia="仿宋" w:cs="仿宋"/>
                <w:b/>
                <w:bCs/>
                <w:color w:val="auto"/>
                <w:szCs w:val="21"/>
                <w:highlight w:val="none"/>
                <w:shd w:val="clear" w:color="auto" w:fill="FFFFFF" w:themeFill="background1"/>
              </w:rPr>
            </w:pPr>
          </w:p>
        </w:tc>
      </w:tr>
    </w:tbl>
    <w:p w14:paraId="52D9A4F9">
      <w:pPr>
        <w:spacing w:line="360" w:lineRule="auto"/>
        <w:ind w:firstLine="420" w:firstLineChars="200"/>
        <w:jc w:val="left"/>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备注：供应商对</w:t>
      </w:r>
      <w:r>
        <w:rPr>
          <w:rFonts w:hint="eastAsia" w:ascii="仿宋" w:hAnsi="仿宋" w:eastAsia="仿宋" w:cs="仿宋"/>
          <w:color w:val="auto"/>
          <w:szCs w:val="24"/>
          <w:highlight w:val="none"/>
          <w:shd w:val="clear" w:color="auto" w:fill="FFFFFF" w:themeFill="background1"/>
          <w:lang w:eastAsia="zh-CN"/>
        </w:rPr>
        <w:t>采购文件</w:t>
      </w:r>
      <w:r>
        <w:rPr>
          <w:rFonts w:hint="eastAsia" w:ascii="仿宋" w:hAnsi="仿宋" w:eastAsia="仿宋" w:cs="仿宋"/>
          <w:color w:val="auto"/>
          <w:szCs w:val="24"/>
          <w:highlight w:val="none"/>
          <w:shd w:val="clear" w:color="auto" w:fill="FFFFFF" w:themeFill="background1"/>
        </w:rPr>
        <w:t>商务条款有偏离的，应在此表中列明实际响应的内容并加以说明，以便查对。请在此偏离表“偏离”中填写无偏离或正偏离或负偏离。</w:t>
      </w:r>
    </w:p>
    <w:p w14:paraId="70B502BD">
      <w:pPr>
        <w:spacing w:line="360" w:lineRule="auto"/>
        <w:ind w:firstLine="480" w:firstLineChars="200"/>
        <w:jc w:val="left"/>
        <w:rPr>
          <w:rFonts w:ascii="仿宋" w:hAnsi="仿宋" w:eastAsia="仿宋" w:cs="仿宋"/>
          <w:color w:val="auto"/>
          <w:sz w:val="24"/>
          <w:szCs w:val="24"/>
          <w:highlight w:val="none"/>
          <w:shd w:val="clear" w:color="auto" w:fill="FFFFFF" w:themeFill="background1"/>
        </w:rPr>
      </w:pPr>
    </w:p>
    <w:p w14:paraId="3311A33A">
      <w:pPr>
        <w:spacing w:line="360" w:lineRule="auto"/>
        <w:ind w:firstLine="480" w:firstLineChars="200"/>
        <w:jc w:val="left"/>
        <w:rPr>
          <w:rFonts w:ascii="仿宋" w:hAnsi="仿宋" w:eastAsia="仿宋" w:cs="仿宋"/>
          <w:color w:val="auto"/>
          <w:sz w:val="24"/>
          <w:szCs w:val="24"/>
          <w:highlight w:val="none"/>
          <w:shd w:val="clear" w:color="auto" w:fill="FFFFFF" w:themeFill="background1"/>
        </w:rPr>
      </w:pPr>
    </w:p>
    <w:p w14:paraId="407D64D3">
      <w:pPr>
        <w:spacing w:line="360" w:lineRule="auto"/>
        <w:jc w:val="left"/>
        <w:rPr>
          <w:rFonts w:ascii="仿宋" w:hAnsi="仿宋" w:eastAsia="仿宋" w:cs="仿宋"/>
          <w:color w:val="auto"/>
          <w:sz w:val="24"/>
          <w:szCs w:val="24"/>
          <w:highlight w:val="none"/>
          <w:shd w:val="clear" w:color="auto" w:fill="FFFFFF" w:themeFill="background1"/>
        </w:rPr>
      </w:pPr>
    </w:p>
    <w:p w14:paraId="7D220D97">
      <w:pPr>
        <w:spacing w:line="360" w:lineRule="auto"/>
        <w:jc w:val="left"/>
        <w:rPr>
          <w:rFonts w:ascii="仿宋" w:hAnsi="仿宋" w:eastAsia="仿宋" w:cs="仿宋"/>
          <w:color w:val="auto"/>
          <w:sz w:val="24"/>
          <w:szCs w:val="24"/>
          <w:highlight w:val="none"/>
          <w:shd w:val="clear" w:color="auto" w:fill="FFFFFF" w:themeFill="background1"/>
        </w:rPr>
      </w:pPr>
    </w:p>
    <w:p w14:paraId="0F1023B7">
      <w:pPr>
        <w:spacing w:line="360" w:lineRule="auto"/>
        <w:jc w:val="left"/>
        <w:rPr>
          <w:rFonts w:ascii="仿宋" w:hAnsi="仿宋" w:eastAsia="仿宋" w:cs="仿宋"/>
          <w:color w:val="auto"/>
          <w:sz w:val="24"/>
          <w:szCs w:val="24"/>
          <w:highlight w:val="none"/>
          <w:shd w:val="clear" w:color="auto" w:fill="FFFFFF" w:themeFill="background1"/>
        </w:rPr>
      </w:pPr>
    </w:p>
    <w:p w14:paraId="3BA1F129">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43A2ACA1">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05EEDF49">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shd w:val="clear" w:color="auto" w:fill="FFFFFF" w:themeFill="background1"/>
          <w:lang w:val="en-US" w:eastAsia="zh-CN"/>
        </w:rPr>
        <w:t>或签名</w:t>
      </w:r>
      <w:r>
        <w:rPr>
          <w:rFonts w:hint="eastAsia" w:ascii="仿宋" w:hAnsi="仿宋" w:eastAsia="仿宋" w:cs="仿宋"/>
          <w:color w:val="auto"/>
          <w:kern w:val="0"/>
          <w:sz w:val="24"/>
          <w:szCs w:val="24"/>
          <w:highlight w:val="none"/>
          <w:shd w:val="clear" w:color="auto" w:fill="FFFFFF" w:themeFill="background1"/>
        </w:rPr>
        <w:t>）</w:t>
      </w:r>
    </w:p>
    <w:p w14:paraId="33338EC0">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5AEFA1B2">
      <w:pPr>
        <w:widowControl/>
        <w:spacing w:line="360" w:lineRule="auto"/>
        <w:jc w:val="left"/>
        <w:rPr>
          <w:rFonts w:ascii="仿宋" w:hAnsi="仿宋" w:eastAsia="仿宋" w:cs="仿宋"/>
          <w:b/>
          <w:bCs/>
          <w:color w:val="auto"/>
          <w:kern w:val="36"/>
          <w:sz w:val="24"/>
          <w:szCs w:val="24"/>
          <w:highlight w:val="none"/>
          <w:shd w:val="clear" w:color="auto" w:fill="FFFFFF" w:themeFill="background1"/>
        </w:rPr>
      </w:pPr>
      <w:r>
        <w:rPr>
          <w:rFonts w:hint="eastAsia" w:ascii="仿宋" w:hAnsi="仿宋" w:eastAsia="仿宋" w:cs="仿宋"/>
          <w:b/>
          <w:bCs/>
          <w:color w:val="auto"/>
          <w:kern w:val="36"/>
          <w:sz w:val="24"/>
          <w:szCs w:val="24"/>
          <w:highlight w:val="none"/>
          <w:shd w:val="clear" w:color="auto" w:fill="FFFFFF" w:themeFill="background1"/>
        </w:rPr>
        <w:br w:type="page"/>
      </w:r>
    </w:p>
    <w:p w14:paraId="6B3E58A6">
      <w:pPr>
        <w:tabs>
          <w:tab w:val="center" w:pos="4832"/>
          <w:tab w:val="left" w:pos="7140"/>
        </w:tabs>
        <w:spacing w:line="360" w:lineRule="auto"/>
        <w:jc w:val="center"/>
        <w:outlineLvl w:val="1"/>
        <w:rPr>
          <w:rFonts w:ascii="仿宋" w:hAnsi="仿宋" w:eastAsia="仿宋" w:cs="仿宋"/>
          <w:color w:val="auto"/>
          <w:kern w:val="0"/>
          <w:sz w:val="24"/>
          <w:szCs w:val="24"/>
          <w:highlight w:val="none"/>
          <w:shd w:val="clear" w:color="auto" w:fill="FFFFFF" w:themeFill="background1"/>
        </w:rPr>
      </w:pPr>
      <w:bookmarkStart w:id="661" w:name="_Toc8579"/>
      <w:bookmarkStart w:id="662" w:name="_Toc24936"/>
      <w:r>
        <w:rPr>
          <w:rFonts w:hint="eastAsia" w:ascii="仿宋" w:hAnsi="仿宋" w:eastAsia="仿宋" w:cs="仿宋"/>
          <w:b/>
          <w:color w:val="auto"/>
          <w:sz w:val="24"/>
          <w:szCs w:val="24"/>
          <w:highlight w:val="none"/>
          <w:shd w:val="clear" w:color="auto" w:fill="FFFFFF" w:themeFill="background1"/>
          <w:lang w:val="en-US" w:eastAsia="zh-CN"/>
        </w:rPr>
        <w:t>四</w:t>
      </w:r>
      <w:r>
        <w:rPr>
          <w:rFonts w:hint="eastAsia" w:ascii="仿宋" w:hAnsi="仿宋" w:eastAsia="仿宋" w:cs="仿宋"/>
          <w:b/>
          <w:color w:val="auto"/>
          <w:sz w:val="24"/>
          <w:szCs w:val="24"/>
          <w:highlight w:val="none"/>
          <w:shd w:val="clear" w:color="auto" w:fill="FFFFFF" w:themeFill="background1"/>
        </w:rPr>
        <w:t>、技术条款偏离表</w:t>
      </w:r>
      <w:bookmarkEnd w:id="661"/>
      <w:bookmarkEnd w:id="662"/>
    </w:p>
    <w:tbl>
      <w:tblPr>
        <w:tblStyle w:val="48"/>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3"/>
        <w:gridCol w:w="1814"/>
        <w:gridCol w:w="2083"/>
        <w:gridCol w:w="2182"/>
        <w:gridCol w:w="1155"/>
        <w:gridCol w:w="1219"/>
      </w:tblGrid>
      <w:tr w14:paraId="28EB6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6C935FD9">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序号</w:t>
            </w:r>
          </w:p>
        </w:tc>
        <w:tc>
          <w:tcPr>
            <w:tcW w:w="1814" w:type="dxa"/>
            <w:vAlign w:val="center"/>
          </w:tcPr>
          <w:p w14:paraId="290C52A6">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条目号</w:t>
            </w:r>
          </w:p>
        </w:tc>
        <w:tc>
          <w:tcPr>
            <w:tcW w:w="2083" w:type="dxa"/>
            <w:vAlign w:val="center"/>
          </w:tcPr>
          <w:p w14:paraId="7CEDBEA9">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的技术条款</w:t>
            </w:r>
          </w:p>
        </w:tc>
        <w:tc>
          <w:tcPr>
            <w:tcW w:w="2182" w:type="dxa"/>
            <w:vAlign w:val="center"/>
          </w:tcPr>
          <w:p w14:paraId="67AB2226">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响应文件的技术条款</w:t>
            </w:r>
          </w:p>
        </w:tc>
        <w:tc>
          <w:tcPr>
            <w:tcW w:w="1155" w:type="dxa"/>
            <w:vAlign w:val="center"/>
          </w:tcPr>
          <w:p w14:paraId="0941261A">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偏离</w:t>
            </w:r>
          </w:p>
        </w:tc>
        <w:tc>
          <w:tcPr>
            <w:tcW w:w="1219" w:type="dxa"/>
            <w:vAlign w:val="center"/>
          </w:tcPr>
          <w:p w14:paraId="35D40026">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说明</w:t>
            </w:r>
          </w:p>
        </w:tc>
      </w:tr>
      <w:tr w14:paraId="36A44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2F17E378">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7852FCA1">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3DACA4AA">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3DA38617">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302E6BFE">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5EACDF5D">
            <w:pPr>
              <w:spacing w:line="360" w:lineRule="auto"/>
              <w:jc w:val="center"/>
              <w:rPr>
                <w:rFonts w:ascii="仿宋" w:hAnsi="仿宋" w:eastAsia="仿宋" w:cs="仿宋"/>
                <w:b/>
                <w:bCs/>
                <w:color w:val="auto"/>
                <w:szCs w:val="21"/>
                <w:highlight w:val="none"/>
                <w:shd w:val="clear" w:color="auto" w:fill="FFFFFF" w:themeFill="background1"/>
              </w:rPr>
            </w:pPr>
          </w:p>
        </w:tc>
      </w:tr>
      <w:tr w14:paraId="0F166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3ABCFDAA">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75AEA835">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283F42ED">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01783FC5">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436E9BCF">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12954489">
            <w:pPr>
              <w:spacing w:line="360" w:lineRule="auto"/>
              <w:jc w:val="center"/>
              <w:rPr>
                <w:rFonts w:ascii="仿宋" w:hAnsi="仿宋" w:eastAsia="仿宋" w:cs="仿宋"/>
                <w:b/>
                <w:bCs/>
                <w:color w:val="auto"/>
                <w:szCs w:val="21"/>
                <w:highlight w:val="none"/>
                <w:shd w:val="clear" w:color="auto" w:fill="FFFFFF" w:themeFill="background1"/>
              </w:rPr>
            </w:pPr>
          </w:p>
        </w:tc>
      </w:tr>
      <w:tr w14:paraId="2635F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5B4BB4C3">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6DABA54F">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683AE3E5">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01B9A446">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1A0C8B24">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6D6F1023">
            <w:pPr>
              <w:spacing w:line="360" w:lineRule="auto"/>
              <w:jc w:val="center"/>
              <w:rPr>
                <w:rFonts w:ascii="仿宋" w:hAnsi="仿宋" w:eastAsia="仿宋" w:cs="仿宋"/>
                <w:b/>
                <w:bCs/>
                <w:color w:val="auto"/>
                <w:szCs w:val="21"/>
                <w:highlight w:val="none"/>
                <w:shd w:val="clear" w:color="auto" w:fill="FFFFFF" w:themeFill="background1"/>
              </w:rPr>
            </w:pPr>
          </w:p>
        </w:tc>
      </w:tr>
      <w:tr w14:paraId="194CF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045A1897">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604287E8">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49050BC8">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4FC064F7">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0CB3FB91">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112511F4">
            <w:pPr>
              <w:spacing w:line="360" w:lineRule="auto"/>
              <w:jc w:val="center"/>
              <w:rPr>
                <w:rFonts w:ascii="仿宋" w:hAnsi="仿宋" w:eastAsia="仿宋" w:cs="仿宋"/>
                <w:b/>
                <w:bCs/>
                <w:color w:val="auto"/>
                <w:szCs w:val="21"/>
                <w:highlight w:val="none"/>
                <w:shd w:val="clear" w:color="auto" w:fill="FFFFFF" w:themeFill="background1"/>
              </w:rPr>
            </w:pPr>
          </w:p>
        </w:tc>
      </w:tr>
      <w:tr w14:paraId="7CDD5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1E974094">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0536EA66">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30802A39">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214ECC61">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0B5382B2">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587A5F67">
            <w:pPr>
              <w:spacing w:line="360" w:lineRule="auto"/>
              <w:jc w:val="center"/>
              <w:rPr>
                <w:rFonts w:ascii="仿宋" w:hAnsi="仿宋" w:eastAsia="仿宋" w:cs="仿宋"/>
                <w:b/>
                <w:bCs/>
                <w:color w:val="auto"/>
                <w:szCs w:val="21"/>
                <w:highlight w:val="none"/>
                <w:shd w:val="clear" w:color="auto" w:fill="FFFFFF" w:themeFill="background1"/>
              </w:rPr>
            </w:pPr>
          </w:p>
        </w:tc>
      </w:tr>
    </w:tbl>
    <w:p w14:paraId="61B61A62">
      <w:pPr>
        <w:spacing w:line="360" w:lineRule="auto"/>
        <w:ind w:firstLine="420" w:firstLineChars="200"/>
        <w:jc w:val="left"/>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备注：供应商对</w:t>
      </w:r>
      <w:r>
        <w:rPr>
          <w:rFonts w:hint="eastAsia" w:ascii="仿宋" w:hAnsi="仿宋" w:eastAsia="仿宋" w:cs="仿宋"/>
          <w:color w:val="auto"/>
          <w:szCs w:val="24"/>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技术</w:t>
      </w:r>
      <w:r>
        <w:rPr>
          <w:rFonts w:hint="eastAsia" w:ascii="仿宋" w:hAnsi="仿宋" w:eastAsia="仿宋" w:cs="仿宋"/>
          <w:color w:val="auto"/>
          <w:szCs w:val="24"/>
          <w:highlight w:val="none"/>
          <w:shd w:val="clear" w:color="auto" w:fill="FFFFFF" w:themeFill="background1"/>
        </w:rPr>
        <w:t>条款有偏离的，应在此表中列明实际响应的内容并加以说明，以便查对。请在此偏离表“偏离”中填写无偏离或正偏离或负偏离。</w:t>
      </w:r>
    </w:p>
    <w:p w14:paraId="669ED6ED">
      <w:pPr>
        <w:spacing w:line="360" w:lineRule="auto"/>
        <w:ind w:firstLine="480" w:firstLineChars="200"/>
        <w:jc w:val="left"/>
        <w:rPr>
          <w:rFonts w:ascii="仿宋" w:hAnsi="仿宋" w:eastAsia="仿宋" w:cs="仿宋"/>
          <w:color w:val="auto"/>
          <w:sz w:val="24"/>
          <w:szCs w:val="24"/>
          <w:highlight w:val="none"/>
          <w:shd w:val="clear" w:color="auto" w:fill="FFFFFF" w:themeFill="background1"/>
        </w:rPr>
      </w:pPr>
    </w:p>
    <w:p w14:paraId="463AF9FC">
      <w:pPr>
        <w:spacing w:line="360" w:lineRule="auto"/>
        <w:ind w:firstLine="480" w:firstLineChars="200"/>
        <w:jc w:val="left"/>
        <w:rPr>
          <w:rFonts w:ascii="仿宋" w:hAnsi="仿宋" w:eastAsia="仿宋" w:cs="仿宋"/>
          <w:color w:val="auto"/>
          <w:sz w:val="24"/>
          <w:szCs w:val="24"/>
          <w:highlight w:val="none"/>
          <w:shd w:val="clear" w:color="auto" w:fill="FFFFFF" w:themeFill="background1"/>
        </w:rPr>
      </w:pPr>
    </w:p>
    <w:p w14:paraId="0593F900">
      <w:pPr>
        <w:spacing w:line="360" w:lineRule="auto"/>
        <w:jc w:val="left"/>
        <w:rPr>
          <w:rFonts w:ascii="仿宋" w:hAnsi="仿宋" w:eastAsia="仿宋" w:cs="仿宋"/>
          <w:color w:val="auto"/>
          <w:sz w:val="24"/>
          <w:szCs w:val="24"/>
          <w:highlight w:val="none"/>
          <w:shd w:val="clear" w:color="auto" w:fill="FFFFFF" w:themeFill="background1"/>
        </w:rPr>
      </w:pPr>
    </w:p>
    <w:p w14:paraId="1519E959">
      <w:pPr>
        <w:spacing w:line="360" w:lineRule="auto"/>
        <w:jc w:val="left"/>
        <w:rPr>
          <w:rFonts w:ascii="仿宋" w:hAnsi="仿宋" w:eastAsia="仿宋" w:cs="仿宋"/>
          <w:color w:val="auto"/>
          <w:sz w:val="24"/>
          <w:szCs w:val="24"/>
          <w:highlight w:val="none"/>
          <w:shd w:val="clear" w:color="auto" w:fill="FFFFFF" w:themeFill="background1"/>
        </w:rPr>
      </w:pPr>
    </w:p>
    <w:p w14:paraId="4502A128">
      <w:pPr>
        <w:spacing w:line="360" w:lineRule="auto"/>
        <w:jc w:val="left"/>
        <w:rPr>
          <w:rFonts w:ascii="仿宋" w:hAnsi="仿宋" w:eastAsia="仿宋" w:cs="仿宋"/>
          <w:color w:val="auto"/>
          <w:sz w:val="24"/>
          <w:szCs w:val="24"/>
          <w:highlight w:val="none"/>
          <w:shd w:val="clear" w:color="auto" w:fill="FFFFFF" w:themeFill="background1"/>
        </w:rPr>
      </w:pPr>
    </w:p>
    <w:p w14:paraId="6D540506">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7AA74EC6">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035C4DE3">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shd w:val="clear" w:color="auto" w:fill="FFFFFF" w:themeFill="background1"/>
          <w:lang w:val="en-US" w:eastAsia="zh-CN"/>
        </w:rPr>
        <w:t>或签名</w:t>
      </w:r>
      <w:r>
        <w:rPr>
          <w:rFonts w:hint="eastAsia" w:ascii="仿宋" w:hAnsi="仿宋" w:eastAsia="仿宋" w:cs="仿宋"/>
          <w:color w:val="auto"/>
          <w:kern w:val="0"/>
          <w:sz w:val="24"/>
          <w:szCs w:val="24"/>
          <w:highlight w:val="none"/>
          <w:shd w:val="clear" w:color="auto" w:fill="FFFFFF" w:themeFill="background1"/>
        </w:rPr>
        <w:t>）</w:t>
      </w:r>
    </w:p>
    <w:p w14:paraId="241CDFCC">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35449785">
      <w:pPr>
        <w:tabs>
          <w:tab w:val="center" w:pos="4832"/>
          <w:tab w:val="left" w:pos="7140"/>
        </w:tabs>
        <w:spacing w:line="360" w:lineRule="auto"/>
        <w:jc w:val="center"/>
        <w:outlineLvl w:val="1"/>
        <w:rPr>
          <w:rFonts w:ascii="仿宋" w:hAnsi="仿宋" w:eastAsia="仿宋" w:cs="仿宋"/>
          <w:b/>
          <w:color w:val="auto"/>
          <w:sz w:val="24"/>
          <w:szCs w:val="24"/>
          <w:highlight w:val="none"/>
          <w:shd w:val="clear" w:color="auto" w:fill="FFFFFF" w:themeFill="background1"/>
        </w:rPr>
      </w:pPr>
      <w:r>
        <w:rPr>
          <w:rFonts w:hint="eastAsia" w:ascii="仿宋" w:hAnsi="仿宋" w:eastAsia="仿宋" w:cs="仿宋"/>
          <w:b/>
          <w:bCs/>
          <w:color w:val="auto"/>
          <w:kern w:val="36"/>
          <w:sz w:val="24"/>
          <w:szCs w:val="24"/>
          <w:highlight w:val="none"/>
          <w:shd w:val="clear" w:color="auto" w:fill="FFFFFF" w:themeFill="background1"/>
        </w:rPr>
        <w:br w:type="page"/>
      </w:r>
      <w:bookmarkStart w:id="663" w:name="_Toc38446475"/>
      <w:bookmarkStart w:id="664" w:name="_Toc29711"/>
      <w:bookmarkStart w:id="665" w:name="_Toc8007"/>
      <w:bookmarkStart w:id="666" w:name="_Toc507586170"/>
      <w:bookmarkStart w:id="667" w:name="_Toc533503185"/>
      <w:r>
        <w:rPr>
          <w:rFonts w:hint="eastAsia" w:ascii="仿宋" w:hAnsi="仿宋" w:eastAsia="仿宋" w:cs="仿宋"/>
          <w:b/>
          <w:color w:val="auto"/>
          <w:sz w:val="24"/>
          <w:szCs w:val="24"/>
          <w:highlight w:val="none"/>
          <w:shd w:val="clear" w:color="auto" w:fill="FFFFFF" w:themeFill="background1"/>
          <w:lang w:val="en-US" w:eastAsia="zh-CN"/>
        </w:rPr>
        <w:t>五</w:t>
      </w:r>
      <w:r>
        <w:rPr>
          <w:rFonts w:hint="eastAsia" w:ascii="仿宋" w:hAnsi="仿宋" w:eastAsia="仿宋" w:cs="仿宋"/>
          <w:b/>
          <w:color w:val="auto"/>
          <w:sz w:val="24"/>
          <w:szCs w:val="24"/>
          <w:highlight w:val="none"/>
          <w:shd w:val="clear" w:color="auto" w:fill="FFFFFF" w:themeFill="background1"/>
        </w:rPr>
        <w:t>、法定代表人身份证明书</w:t>
      </w:r>
      <w:bookmarkEnd w:id="663"/>
      <w:bookmarkEnd w:id="664"/>
      <w:bookmarkEnd w:id="665"/>
      <w:bookmarkEnd w:id="666"/>
      <w:bookmarkEnd w:id="667"/>
    </w:p>
    <w:p w14:paraId="0E282E6E">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676DF89A">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val="en-US" w:eastAsia="zh-CN"/>
        </w:rPr>
        <w:t>供 应 商</w:t>
      </w:r>
      <w:r>
        <w:rPr>
          <w:rFonts w:hint="eastAsia" w:ascii="仿宋" w:hAnsi="仿宋" w:eastAsia="仿宋" w:cs="仿宋"/>
          <w:color w:val="auto"/>
          <w:kern w:val="0"/>
          <w:sz w:val="24"/>
          <w:szCs w:val="24"/>
          <w:highlight w:val="none"/>
          <w:shd w:val="clear" w:color="auto" w:fill="FFFFFF" w:themeFill="background1"/>
        </w:rPr>
        <w:t>：</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76A5D02A">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单位性质：</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0E53115A">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地    址：</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13128C49">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成立时间：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月</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日</w:t>
      </w:r>
    </w:p>
    <w:p w14:paraId="56D8F874">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经营期限：</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1DA81B58">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0AB09707">
      <w:pPr>
        <w:widowControl/>
        <w:shd w:val="clear" w:color="auto" w:fill="FFFFFF"/>
        <w:snapToGri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姓名：</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性别：</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年龄：</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职务：</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系</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（供应商名称）的法定代表人。</w:t>
      </w:r>
    </w:p>
    <w:p w14:paraId="6E4A9D63">
      <w:pPr>
        <w:widowControl/>
        <w:shd w:val="clear" w:color="auto" w:fill="FFFFFF"/>
        <w:snapToGri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特此证明。</w:t>
      </w:r>
    </w:p>
    <w:p w14:paraId="0C181849">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16517DBE">
      <w:pPr>
        <w:widowControl/>
        <w:shd w:val="clear" w:color="auto" w:fill="FFFFFF"/>
        <w:snapToGri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附：法定代表人身份证明</w:t>
      </w:r>
    </w:p>
    <w:p w14:paraId="6CF6DB83">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tbl>
      <w:tblPr>
        <w:tblStyle w:val="48"/>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6CF1F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7CBC334A">
            <w:pPr>
              <w:spacing w:line="360" w:lineRule="auto"/>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法定代表人身份证复印件（正面）</w:t>
            </w:r>
          </w:p>
        </w:tc>
      </w:tr>
    </w:tbl>
    <w:p w14:paraId="5830E3EA">
      <w:pPr>
        <w:spacing w:line="360" w:lineRule="auto"/>
        <w:rPr>
          <w:rFonts w:ascii="仿宋" w:hAnsi="仿宋" w:eastAsia="仿宋" w:cs="仿宋"/>
          <w:vanish/>
          <w:color w:val="auto"/>
          <w:sz w:val="24"/>
          <w:szCs w:val="24"/>
          <w:highlight w:val="none"/>
          <w:shd w:val="clear" w:color="auto" w:fill="FFFFFF" w:themeFill="background1"/>
        </w:rPr>
      </w:pPr>
    </w:p>
    <w:tbl>
      <w:tblPr>
        <w:tblStyle w:val="48"/>
        <w:tblpPr w:leftFromText="180" w:rightFromText="180" w:vertAnchor="text" w:horzAnchor="page" w:tblpX="5971" w:tblpY="-2431"/>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14039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357E970C">
            <w:pPr>
              <w:spacing w:line="360" w:lineRule="auto"/>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法定代表人身份证复印件（反面）</w:t>
            </w:r>
          </w:p>
        </w:tc>
      </w:tr>
    </w:tbl>
    <w:p w14:paraId="2DCD11A6">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w:t>
      </w:r>
    </w:p>
    <w:p w14:paraId="172D06B5">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2E7FFEB9">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70C18E5D">
      <w:pPr>
        <w:widowControl/>
        <w:shd w:val="clear" w:color="auto" w:fill="FFFFFF"/>
        <w:wordWrap w:val="0"/>
        <w:snapToGrid w:val="0"/>
        <w:spacing w:line="360" w:lineRule="auto"/>
        <w:jc w:val="righ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日期：</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月</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 xml:space="preserve">日 </w:t>
      </w:r>
    </w:p>
    <w:p w14:paraId="7B8D7234">
      <w:pPr>
        <w:widowControl/>
        <w:shd w:val="clear" w:color="auto" w:fill="FFFFFF"/>
        <w:snapToGrid w:val="0"/>
        <w:spacing w:line="360" w:lineRule="auto"/>
        <w:jc w:val="right"/>
        <w:rPr>
          <w:rFonts w:ascii="仿宋" w:hAnsi="仿宋" w:eastAsia="仿宋" w:cs="仿宋"/>
          <w:color w:val="auto"/>
          <w:kern w:val="0"/>
          <w:sz w:val="24"/>
          <w:szCs w:val="24"/>
          <w:highlight w:val="none"/>
          <w:shd w:val="clear" w:color="auto" w:fill="FFFFFF" w:themeFill="background1"/>
        </w:rPr>
      </w:pPr>
    </w:p>
    <w:p w14:paraId="3BF65405">
      <w:pPr>
        <w:widowControl/>
        <w:shd w:val="clear" w:color="auto" w:fill="FFFFFF"/>
        <w:snapToGrid w:val="0"/>
        <w:spacing w:line="360" w:lineRule="auto"/>
        <w:jc w:val="right"/>
        <w:rPr>
          <w:rFonts w:ascii="仿宋" w:hAnsi="仿宋" w:eastAsia="仿宋" w:cs="仿宋"/>
          <w:color w:val="auto"/>
          <w:kern w:val="0"/>
          <w:sz w:val="24"/>
          <w:szCs w:val="24"/>
          <w:highlight w:val="none"/>
          <w:shd w:val="clear" w:color="auto" w:fill="FFFFFF" w:themeFill="background1"/>
        </w:rPr>
      </w:pPr>
    </w:p>
    <w:p w14:paraId="38C80E8D">
      <w:pPr>
        <w:widowControl/>
        <w:shd w:val="clear" w:color="auto" w:fill="FFFFFF"/>
        <w:snapToGrid w:val="0"/>
        <w:spacing w:line="360" w:lineRule="auto"/>
        <w:jc w:val="right"/>
        <w:rPr>
          <w:rFonts w:ascii="仿宋" w:hAnsi="仿宋" w:eastAsia="仿宋" w:cs="仿宋"/>
          <w:color w:val="auto"/>
          <w:kern w:val="0"/>
          <w:sz w:val="24"/>
          <w:szCs w:val="24"/>
          <w:highlight w:val="none"/>
          <w:shd w:val="clear" w:color="auto" w:fill="FFFFFF" w:themeFill="background1"/>
        </w:rPr>
      </w:pPr>
    </w:p>
    <w:p w14:paraId="5100ECB4">
      <w:pPr>
        <w:tabs>
          <w:tab w:val="center" w:pos="4832"/>
          <w:tab w:val="left" w:pos="7140"/>
        </w:tabs>
        <w:spacing w:line="360" w:lineRule="auto"/>
        <w:jc w:val="center"/>
        <w:outlineLvl w:val="1"/>
        <w:rPr>
          <w:rFonts w:ascii="仿宋" w:hAnsi="仿宋" w:eastAsia="仿宋" w:cs="仿宋"/>
          <w:b/>
          <w:color w:val="auto"/>
          <w:sz w:val="24"/>
          <w:szCs w:val="24"/>
          <w:highlight w:val="none"/>
          <w:shd w:val="clear" w:color="auto" w:fill="FFFFFF" w:themeFill="background1"/>
        </w:rPr>
      </w:pPr>
      <w:r>
        <w:rPr>
          <w:rFonts w:hint="eastAsia" w:ascii="仿宋" w:hAnsi="仿宋" w:eastAsia="仿宋" w:cs="仿宋"/>
          <w:b/>
          <w:bCs/>
          <w:color w:val="auto"/>
          <w:kern w:val="0"/>
          <w:sz w:val="24"/>
          <w:szCs w:val="24"/>
          <w:highlight w:val="none"/>
          <w:shd w:val="clear" w:color="auto" w:fill="FFFFFF" w:themeFill="background1"/>
        </w:rPr>
        <w:br w:type="page"/>
      </w:r>
      <w:bookmarkStart w:id="668" w:name="_Toc24919"/>
      <w:bookmarkStart w:id="669" w:name="_Toc507586171"/>
      <w:bookmarkStart w:id="670" w:name="_Toc23714"/>
      <w:bookmarkStart w:id="671" w:name="_Toc533503186"/>
      <w:bookmarkStart w:id="672" w:name="_Toc38446476"/>
      <w:r>
        <w:rPr>
          <w:rFonts w:hint="eastAsia" w:ascii="仿宋" w:hAnsi="仿宋" w:eastAsia="仿宋" w:cs="仿宋"/>
          <w:b/>
          <w:color w:val="auto"/>
          <w:sz w:val="24"/>
          <w:szCs w:val="24"/>
          <w:highlight w:val="none"/>
          <w:shd w:val="clear" w:color="auto" w:fill="FFFFFF" w:themeFill="background1"/>
          <w:lang w:val="en-US" w:eastAsia="zh-CN"/>
        </w:rPr>
        <w:t>六</w:t>
      </w:r>
      <w:r>
        <w:rPr>
          <w:rFonts w:hint="eastAsia" w:ascii="仿宋" w:hAnsi="仿宋" w:eastAsia="仿宋" w:cs="仿宋"/>
          <w:b/>
          <w:color w:val="auto"/>
          <w:sz w:val="24"/>
          <w:szCs w:val="24"/>
          <w:highlight w:val="none"/>
          <w:shd w:val="clear" w:color="auto" w:fill="FFFFFF" w:themeFill="background1"/>
        </w:rPr>
        <w:t>、法定代表人授权委托书</w:t>
      </w:r>
      <w:bookmarkEnd w:id="668"/>
      <w:bookmarkEnd w:id="669"/>
      <w:bookmarkEnd w:id="670"/>
      <w:bookmarkEnd w:id="671"/>
      <w:bookmarkEnd w:id="672"/>
    </w:p>
    <w:p w14:paraId="58819A5D">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77D24BDB">
      <w:pPr>
        <w:widowControl/>
        <w:shd w:val="clear" w:color="auto" w:fill="FFFFFF"/>
        <w:snapToGri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（姓名）系</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 xml:space="preserve"> （供应商名称）的法定代表人，现拟派我单位</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（姓名）为我方委托代理人。委托代理人根据授权，就</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w:t>
      </w:r>
      <w:r>
        <w:rPr>
          <w:rFonts w:hint="eastAsia" w:ascii="仿宋" w:hAnsi="仿宋" w:eastAsia="仿宋" w:cs="仿宋"/>
          <w:color w:val="auto"/>
          <w:kern w:val="0"/>
          <w:sz w:val="24"/>
          <w:szCs w:val="24"/>
          <w:highlight w:val="none"/>
          <w:shd w:val="clear" w:color="auto" w:fill="FFFFFF" w:themeFill="background1"/>
          <w:lang w:val="en-US" w:eastAsia="zh-CN"/>
        </w:rPr>
        <w:t>采购</w:t>
      </w:r>
      <w:r>
        <w:rPr>
          <w:rFonts w:hint="eastAsia" w:ascii="仿宋" w:hAnsi="仿宋" w:eastAsia="仿宋" w:cs="仿宋"/>
          <w:color w:val="auto"/>
          <w:kern w:val="0"/>
          <w:sz w:val="24"/>
          <w:szCs w:val="24"/>
          <w:highlight w:val="none"/>
          <w:shd w:val="clear" w:color="auto" w:fill="FFFFFF" w:themeFill="background1"/>
        </w:rPr>
        <w:t>项目名称）的</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，以本公司名义处理一切与之有关的事务，其法律后果由我方承担。</w:t>
      </w:r>
    </w:p>
    <w:p w14:paraId="147EF7EA">
      <w:pPr>
        <w:widowControl/>
        <w:shd w:val="clear" w:color="auto" w:fill="FFFFFF"/>
        <w:snapToGrid w:val="0"/>
        <w:spacing w:line="360" w:lineRule="auto"/>
        <w:ind w:firstLine="480" w:firstLineChars="200"/>
        <w:jc w:val="left"/>
        <w:rPr>
          <w:rFonts w:ascii="仿宋" w:hAnsi="仿宋" w:eastAsia="仿宋" w:cs="仿宋"/>
          <w:color w:val="auto"/>
          <w:kern w:val="0"/>
          <w:sz w:val="24"/>
          <w:szCs w:val="24"/>
          <w:highlight w:val="none"/>
          <w:u w:val="singl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代理人：</w:t>
      </w:r>
      <w:r>
        <w:rPr>
          <w:rFonts w:hint="eastAsia" w:ascii="仿宋" w:hAnsi="仿宋" w:eastAsia="仿宋" w:cs="仿宋"/>
          <w:i/>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性别：</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 xml:space="preserve"> 年龄：</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3C0C9AD4">
      <w:pPr>
        <w:widowControl/>
        <w:shd w:val="clear" w:color="auto" w:fill="FFFFFF"/>
        <w:snapToGri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单  位：</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部门：</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 xml:space="preserve"> 职务：</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3D992511">
      <w:pPr>
        <w:widowControl/>
        <w:shd w:val="clear" w:color="auto" w:fill="FFFFFF"/>
        <w:snapToGri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代理人无转委权，特此申明。</w:t>
      </w:r>
    </w:p>
    <w:p w14:paraId="7840A0A3">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44A32EEC">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附：委托代理人身份证明。</w:t>
      </w:r>
    </w:p>
    <w:tbl>
      <w:tblPr>
        <w:tblStyle w:val="48"/>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5106D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6BCB21FB">
            <w:pPr>
              <w:spacing w:line="360" w:lineRule="auto"/>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委托代理人身份证复印件（正面）</w:t>
            </w:r>
          </w:p>
        </w:tc>
      </w:tr>
    </w:tbl>
    <w:p w14:paraId="2E298E8A">
      <w:pPr>
        <w:spacing w:line="360" w:lineRule="auto"/>
        <w:rPr>
          <w:rFonts w:ascii="仿宋" w:hAnsi="仿宋" w:eastAsia="仿宋" w:cs="仿宋"/>
          <w:vanish/>
          <w:color w:val="auto"/>
          <w:sz w:val="24"/>
          <w:szCs w:val="24"/>
          <w:highlight w:val="none"/>
          <w:shd w:val="clear" w:color="auto" w:fill="FFFFFF" w:themeFill="background1"/>
        </w:rPr>
      </w:pPr>
    </w:p>
    <w:tbl>
      <w:tblPr>
        <w:tblStyle w:val="48"/>
        <w:tblpPr w:leftFromText="180" w:rightFromText="180" w:vertAnchor="text" w:horzAnchor="page" w:tblpX="5711" w:tblpY="-2431"/>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395C7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776FC611">
            <w:pPr>
              <w:spacing w:line="360" w:lineRule="auto"/>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委托代理人身份证复印件（反面）</w:t>
            </w:r>
          </w:p>
        </w:tc>
      </w:tr>
    </w:tbl>
    <w:p w14:paraId="21DEAC9B">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6ABEC16F">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13BCC2D7">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1ECA6E47">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43E93C5E">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5D5966C1">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shd w:val="clear" w:color="auto" w:fill="FFFFFF" w:themeFill="background1"/>
          <w:lang w:val="en-US" w:eastAsia="zh-CN"/>
        </w:rPr>
        <w:t>或签名</w:t>
      </w:r>
      <w:r>
        <w:rPr>
          <w:rFonts w:hint="eastAsia" w:ascii="仿宋" w:hAnsi="仿宋" w:eastAsia="仿宋" w:cs="仿宋"/>
          <w:color w:val="auto"/>
          <w:kern w:val="0"/>
          <w:sz w:val="24"/>
          <w:szCs w:val="24"/>
          <w:highlight w:val="none"/>
          <w:shd w:val="clear" w:color="auto" w:fill="FFFFFF" w:themeFill="background1"/>
        </w:rPr>
        <w:t>）</w:t>
      </w:r>
    </w:p>
    <w:p w14:paraId="427545CA">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51B7E852">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233E1F6C">
      <w:pPr>
        <w:spacing w:line="360" w:lineRule="auto"/>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 xml:space="preserve"> </w:t>
      </w:r>
    </w:p>
    <w:p w14:paraId="005A9600">
      <w:pPr>
        <w:tabs>
          <w:tab w:val="center" w:pos="4832"/>
          <w:tab w:val="left" w:pos="7140"/>
        </w:tabs>
        <w:spacing w:line="360" w:lineRule="auto"/>
        <w:jc w:val="center"/>
        <w:outlineLvl w:val="1"/>
        <w:rPr>
          <w:rFonts w:ascii="仿宋" w:hAnsi="仿宋" w:eastAsia="仿宋" w:cs="仿宋"/>
          <w:b/>
          <w:color w:val="auto"/>
          <w:sz w:val="24"/>
          <w:szCs w:val="24"/>
          <w:highlight w:val="none"/>
          <w:shd w:val="clear" w:color="auto" w:fill="FFFFFF" w:themeFill="background1"/>
        </w:rPr>
      </w:pPr>
      <w:bookmarkStart w:id="673" w:name="_Toc507586173"/>
      <w:r>
        <w:rPr>
          <w:rFonts w:hint="eastAsia" w:ascii="仿宋" w:hAnsi="仿宋" w:eastAsia="仿宋" w:cs="仿宋"/>
          <w:b/>
          <w:color w:val="auto"/>
          <w:sz w:val="24"/>
          <w:szCs w:val="24"/>
          <w:highlight w:val="none"/>
          <w:shd w:val="clear" w:color="auto" w:fill="FFFFFF" w:themeFill="background1"/>
        </w:rPr>
        <w:br w:type="page"/>
      </w:r>
      <w:bookmarkStart w:id="674" w:name="_Toc7734"/>
      <w:bookmarkStart w:id="675" w:name="_Toc26579"/>
      <w:bookmarkStart w:id="676" w:name="_Toc38446478"/>
      <w:bookmarkStart w:id="677" w:name="_Toc533503189"/>
      <w:r>
        <w:rPr>
          <w:rFonts w:hint="eastAsia" w:ascii="仿宋" w:hAnsi="仿宋" w:eastAsia="仿宋" w:cs="仿宋"/>
          <w:b/>
          <w:color w:val="auto"/>
          <w:sz w:val="24"/>
          <w:szCs w:val="24"/>
          <w:highlight w:val="none"/>
          <w:shd w:val="clear" w:color="auto" w:fill="FFFFFF" w:themeFill="background1"/>
          <w:lang w:val="en-US" w:eastAsia="zh-CN"/>
        </w:rPr>
        <w:t>七</w:t>
      </w:r>
      <w:r>
        <w:rPr>
          <w:rFonts w:hint="eastAsia" w:ascii="仿宋" w:hAnsi="仿宋" w:eastAsia="仿宋" w:cs="仿宋"/>
          <w:b/>
          <w:color w:val="auto"/>
          <w:sz w:val="24"/>
          <w:szCs w:val="24"/>
          <w:highlight w:val="none"/>
          <w:shd w:val="clear" w:color="auto" w:fill="FFFFFF" w:themeFill="background1"/>
        </w:rPr>
        <w:t>、</w:t>
      </w:r>
      <w:r>
        <w:rPr>
          <w:rFonts w:hint="eastAsia" w:ascii="仿宋" w:hAnsi="仿宋" w:eastAsia="仿宋" w:cs="仿宋"/>
          <w:b/>
          <w:bCs/>
          <w:color w:val="auto"/>
          <w:sz w:val="24"/>
          <w:szCs w:val="24"/>
          <w:highlight w:val="none"/>
          <w:shd w:val="clear" w:color="auto" w:fill="FFFFFF" w:themeFill="background1"/>
          <w:lang w:eastAsia="zh-CN"/>
        </w:rPr>
        <w:t>供应商资格要求</w:t>
      </w:r>
      <w:r>
        <w:rPr>
          <w:rFonts w:hint="eastAsia" w:ascii="仿宋" w:hAnsi="仿宋" w:eastAsia="仿宋" w:cs="仿宋"/>
          <w:b/>
          <w:bCs/>
          <w:color w:val="auto"/>
          <w:sz w:val="24"/>
          <w:szCs w:val="24"/>
          <w:highlight w:val="none"/>
          <w:shd w:val="clear" w:color="auto" w:fill="FFFFFF" w:themeFill="background1"/>
        </w:rPr>
        <w:t>证明材料</w:t>
      </w:r>
      <w:bookmarkEnd w:id="673"/>
      <w:bookmarkEnd w:id="674"/>
      <w:bookmarkEnd w:id="675"/>
      <w:bookmarkEnd w:id="676"/>
      <w:bookmarkEnd w:id="677"/>
    </w:p>
    <w:p w14:paraId="0F504377">
      <w:pPr>
        <w:spacing w:line="360" w:lineRule="auto"/>
        <w:jc w:val="left"/>
        <w:rPr>
          <w:rFonts w:ascii="仿宋" w:hAnsi="仿宋" w:eastAsia="仿宋" w:cs="仿宋"/>
          <w:color w:val="auto"/>
          <w:sz w:val="24"/>
          <w:szCs w:val="24"/>
          <w:highlight w:val="none"/>
          <w:shd w:val="clear" w:color="auto" w:fill="FFFFFF" w:themeFill="background1"/>
        </w:rPr>
      </w:pPr>
    </w:p>
    <w:tbl>
      <w:tblPr>
        <w:tblStyle w:val="48"/>
        <w:tblW w:w="8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65"/>
        <w:gridCol w:w="3165"/>
        <w:gridCol w:w="1995"/>
        <w:gridCol w:w="2140"/>
      </w:tblGrid>
      <w:tr w14:paraId="26ADF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5B8D0EE9">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供应商名称</w:t>
            </w:r>
          </w:p>
        </w:tc>
        <w:tc>
          <w:tcPr>
            <w:tcW w:w="7300" w:type="dxa"/>
            <w:gridSpan w:val="3"/>
            <w:vAlign w:val="center"/>
          </w:tcPr>
          <w:p w14:paraId="0D49CE5C">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r>
      <w:tr w14:paraId="501F0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5777EACD">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注册地址</w:t>
            </w:r>
          </w:p>
        </w:tc>
        <w:tc>
          <w:tcPr>
            <w:tcW w:w="3165" w:type="dxa"/>
            <w:vAlign w:val="center"/>
          </w:tcPr>
          <w:p w14:paraId="0417712A">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0EF1D324">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邮政编码</w:t>
            </w:r>
          </w:p>
        </w:tc>
        <w:tc>
          <w:tcPr>
            <w:tcW w:w="2140" w:type="dxa"/>
            <w:vAlign w:val="center"/>
          </w:tcPr>
          <w:p w14:paraId="34C7F910">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793DF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0617F03C">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成立时间</w:t>
            </w:r>
          </w:p>
        </w:tc>
        <w:tc>
          <w:tcPr>
            <w:tcW w:w="3165" w:type="dxa"/>
            <w:vAlign w:val="center"/>
          </w:tcPr>
          <w:p w14:paraId="6819EF9D">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5299DE29">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企业性质</w:t>
            </w:r>
          </w:p>
        </w:tc>
        <w:tc>
          <w:tcPr>
            <w:tcW w:w="2140" w:type="dxa"/>
            <w:vAlign w:val="center"/>
          </w:tcPr>
          <w:p w14:paraId="32275427">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79286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72F7BB01">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营业执照号</w:t>
            </w:r>
          </w:p>
        </w:tc>
        <w:tc>
          <w:tcPr>
            <w:tcW w:w="3165" w:type="dxa"/>
            <w:vAlign w:val="center"/>
          </w:tcPr>
          <w:p w14:paraId="732D305C">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0B9460CC">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注册资金</w:t>
            </w:r>
          </w:p>
        </w:tc>
        <w:tc>
          <w:tcPr>
            <w:tcW w:w="2140" w:type="dxa"/>
            <w:vAlign w:val="center"/>
          </w:tcPr>
          <w:p w14:paraId="02CAB37F">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37EF9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18B903F2">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法定代表人</w:t>
            </w:r>
          </w:p>
        </w:tc>
        <w:tc>
          <w:tcPr>
            <w:tcW w:w="3165" w:type="dxa"/>
            <w:vAlign w:val="center"/>
          </w:tcPr>
          <w:p w14:paraId="02C1332E">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0A477235">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4852C658">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004D5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2C707D4B">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联系人</w:t>
            </w:r>
          </w:p>
        </w:tc>
        <w:tc>
          <w:tcPr>
            <w:tcW w:w="3165" w:type="dxa"/>
            <w:vAlign w:val="center"/>
          </w:tcPr>
          <w:p w14:paraId="19C9EC0F">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40646B4C">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65D7D612">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6A41C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0D9534A3">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传真</w:t>
            </w:r>
          </w:p>
        </w:tc>
        <w:tc>
          <w:tcPr>
            <w:tcW w:w="3165" w:type="dxa"/>
            <w:vAlign w:val="center"/>
          </w:tcPr>
          <w:p w14:paraId="3BDDAC6A">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4194998B">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网址</w:t>
            </w:r>
          </w:p>
        </w:tc>
        <w:tc>
          <w:tcPr>
            <w:tcW w:w="2140" w:type="dxa"/>
            <w:vAlign w:val="center"/>
          </w:tcPr>
          <w:p w14:paraId="5C71EEEA">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32DD0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70D9DC8D">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开户银行</w:t>
            </w:r>
          </w:p>
        </w:tc>
        <w:tc>
          <w:tcPr>
            <w:tcW w:w="3165" w:type="dxa"/>
            <w:vAlign w:val="center"/>
          </w:tcPr>
          <w:p w14:paraId="22DEB632">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3ABEA577">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银行帐号</w:t>
            </w:r>
          </w:p>
        </w:tc>
        <w:tc>
          <w:tcPr>
            <w:tcW w:w="2140" w:type="dxa"/>
            <w:vAlign w:val="center"/>
          </w:tcPr>
          <w:p w14:paraId="34C1C7C4">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18BBE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01E3ACF5">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职工概况</w:t>
            </w:r>
          </w:p>
        </w:tc>
        <w:tc>
          <w:tcPr>
            <w:tcW w:w="7300" w:type="dxa"/>
            <w:gridSpan w:val="3"/>
            <w:vAlign w:val="center"/>
          </w:tcPr>
          <w:p w14:paraId="54C0629C">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69B5B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17CFA202">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经营范围</w:t>
            </w:r>
          </w:p>
        </w:tc>
        <w:tc>
          <w:tcPr>
            <w:tcW w:w="7300" w:type="dxa"/>
            <w:gridSpan w:val="3"/>
            <w:vAlign w:val="center"/>
          </w:tcPr>
          <w:p w14:paraId="087ED125">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5CAB9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3CCB4668">
            <w:pPr>
              <w:autoSpaceDE w:val="0"/>
              <w:autoSpaceDN w:val="0"/>
              <w:adjustRightInd w:val="0"/>
              <w:snapToGrid w:val="0"/>
              <w:spacing w:line="52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关联单位</w:t>
            </w:r>
          </w:p>
          <w:p w14:paraId="40B5120D">
            <w:pPr>
              <w:autoSpaceDE w:val="0"/>
              <w:autoSpaceDN w:val="0"/>
              <w:adjustRightInd w:val="0"/>
              <w:snapToGrid w:val="0"/>
              <w:spacing w:line="520" w:lineRule="exact"/>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如有</w:t>
            </w:r>
            <w:r>
              <w:rPr>
                <w:rFonts w:hint="eastAsia" w:ascii="仿宋" w:hAnsi="仿宋" w:eastAsia="仿宋" w:cs="仿宋"/>
                <w:color w:val="auto"/>
                <w:kern w:val="0"/>
                <w:sz w:val="24"/>
                <w:szCs w:val="24"/>
                <w:highlight w:val="none"/>
                <w:lang w:eastAsia="zh-CN"/>
              </w:rPr>
              <w:t>）</w:t>
            </w:r>
          </w:p>
        </w:tc>
        <w:tc>
          <w:tcPr>
            <w:tcW w:w="7300" w:type="dxa"/>
            <w:gridSpan w:val="3"/>
            <w:vAlign w:val="center"/>
          </w:tcPr>
          <w:p w14:paraId="35D51774">
            <w:pPr>
              <w:autoSpaceDE w:val="0"/>
              <w:autoSpaceDN w:val="0"/>
              <w:adjustRightInd w:val="0"/>
              <w:snapToGrid w:val="0"/>
              <w:spacing w:line="520" w:lineRule="exact"/>
              <w:jc w:val="both"/>
              <w:rPr>
                <w:rFonts w:hint="eastAsia" w:ascii="仿宋" w:hAnsi="仿宋" w:eastAsia="仿宋" w:cs="仿宋"/>
                <w:color w:val="auto"/>
                <w:kern w:val="0"/>
                <w:sz w:val="24"/>
                <w:szCs w:val="24"/>
                <w:highlight w:val="none"/>
                <w:lang w:val="en-US" w:eastAsia="zh-CN"/>
              </w:rPr>
            </w:pPr>
          </w:p>
          <w:p w14:paraId="7CD2DC87">
            <w:pPr>
              <w:autoSpaceDE w:val="0"/>
              <w:autoSpaceDN w:val="0"/>
              <w:adjustRightInd w:val="0"/>
              <w:snapToGrid w:val="0"/>
              <w:spacing w:line="520" w:lineRule="exact"/>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1"/>
                <w:szCs w:val="21"/>
                <w:highlight w:val="none"/>
                <w:lang w:val="en-US" w:eastAsia="zh-CN"/>
              </w:rPr>
              <w:t>注：此处</w:t>
            </w:r>
            <w:r>
              <w:rPr>
                <w:rFonts w:hint="eastAsia" w:ascii="仿宋" w:hAnsi="仿宋" w:eastAsia="仿宋" w:cs="仿宋"/>
                <w:color w:val="auto"/>
                <w:kern w:val="0"/>
                <w:sz w:val="21"/>
                <w:szCs w:val="21"/>
                <w:highlight w:val="none"/>
              </w:rPr>
              <w:t>关联单位</w:t>
            </w:r>
            <w:r>
              <w:rPr>
                <w:rFonts w:hint="eastAsia" w:ascii="仿宋" w:hAnsi="仿宋" w:eastAsia="仿宋" w:cs="仿宋"/>
                <w:color w:val="auto"/>
                <w:kern w:val="0"/>
                <w:sz w:val="21"/>
                <w:szCs w:val="21"/>
                <w:highlight w:val="none"/>
                <w:lang w:val="en-US" w:eastAsia="zh-CN"/>
              </w:rPr>
              <w:t>指单位负责人为同一人或者存在直接控股、管理关系的不同</w:t>
            </w:r>
            <w:r>
              <w:rPr>
                <w:rFonts w:hint="eastAsia" w:ascii="仿宋" w:hAnsi="仿宋" w:eastAsia="仿宋" w:cs="仿宋"/>
                <w:color w:val="auto"/>
                <w:kern w:val="0"/>
                <w:sz w:val="21"/>
                <w:szCs w:val="21"/>
                <w:highlight w:val="none"/>
              </w:rPr>
              <w:t>单位</w:t>
            </w:r>
            <w:r>
              <w:rPr>
                <w:rFonts w:hint="eastAsia" w:ascii="仿宋" w:hAnsi="仿宋" w:eastAsia="仿宋" w:cs="仿宋"/>
                <w:color w:val="auto"/>
                <w:kern w:val="0"/>
                <w:sz w:val="21"/>
                <w:szCs w:val="21"/>
                <w:highlight w:val="none"/>
                <w:lang w:eastAsia="zh-CN"/>
              </w:rPr>
              <w:t>。</w:t>
            </w:r>
          </w:p>
        </w:tc>
      </w:tr>
    </w:tbl>
    <w:p w14:paraId="423567D4">
      <w:pPr>
        <w:spacing w:line="360" w:lineRule="auto"/>
        <w:ind w:firstLine="504" w:firstLineChars="200"/>
        <w:rPr>
          <w:rFonts w:ascii="仿宋" w:hAnsi="仿宋" w:eastAsia="仿宋" w:cs="仿宋"/>
          <w:color w:val="auto"/>
          <w:spacing w:val="6"/>
          <w:sz w:val="24"/>
          <w:szCs w:val="24"/>
          <w:highlight w:val="none"/>
          <w:shd w:val="clear" w:color="auto" w:fill="FFFFFF" w:themeFill="background1"/>
        </w:rPr>
      </w:pPr>
    </w:p>
    <w:p w14:paraId="6B70DA9A">
      <w:pPr>
        <w:widowControl/>
        <w:jc w:val="left"/>
        <w:rPr>
          <w:rFonts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br w:type="page"/>
      </w:r>
    </w:p>
    <w:p w14:paraId="3B71AF0F">
      <w:pPr>
        <w:rPr>
          <w:rFonts w:ascii="仿宋" w:hAnsi="仿宋" w:eastAsia="仿宋" w:cs="仿宋"/>
          <w:color w:val="auto"/>
          <w:highlight w:val="none"/>
          <w:shd w:val="clear" w:color="auto" w:fill="FFFFFF" w:themeFill="background1"/>
        </w:rPr>
      </w:pPr>
      <w:bookmarkStart w:id="678" w:name="_Toc109143671"/>
      <w:bookmarkStart w:id="679" w:name="_Toc32366"/>
      <w:bookmarkStart w:id="680" w:name="_Toc11207"/>
      <w:bookmarkStart w:id="681" w:name="_Toc107422184"/>
      <w:bookmarkStart w:id="682" w:name="_Toc111556487"/>
    </w:p>
    <w:p w14:paraId="22AB6765">
      <w:pPr>
        <w:spacing w:line="360" w:lineRule="auto"/>
        <w:jc w:val="center"/>
        <w:outlineLvl w:val="1"/>
        <w:rPr>
          <w:rFonts w:ascii="仿宋" w:hAnsi="仿宋" w:eastAsia="仿宋" w:cs="仿宋"/>
          <w:b/>
          <w:color w:val="auto"/>
          <w:sz w:val="24"/>
          <w:szCs w:val="24"/>
          <w:highlight w:val="none"/>
          <w:shd w:val="clear" w:color="auto" w:fill="FFFFFF" w:themeFill="background1"/>
        </w:rPr>
      </w:pPr>
      <w:bookmarkStart w:id="683" w:name="_Toc211"/>
      <w:bookmarkStart w:id="684" w:name="_Toc22963"/>
      <w:bookmarkStart w:id="685" w:name="_Toc18811"/>
      <w:bookmarkStart w:id="686" w:name="_Toc113901849"/>
      <w:bookmarkStart w:id="687" w:name="_Toc25322"/>
      <w:bookmarkStart w:id="688" w:name="_Toc20683"/>
      <w:bookmarkStart w:id="689" w:name="_Toc21441"/>
      <w:bookmarkStart w:id="690" w:name="_Toc28492"/>
      <w:bookmarkStart w:id="691" w:name="_Toc13020"/>
      <w:bookmarkStart w:id="692" w:name="_Toc4934"/>
      <w:bookmarkStart w:id="693" w:name="_Toc13075"/>
      <w:bookmarkStart w:id="694" w:name="_Toc8668"/>
      <w:bookmarkStart w:id="695" w:name="_Toc23342"/>
      <w:bookmarkStart w:id="696" w:name="_Toc15547"/>
      <w:bookmarkStart w:id="697" w:name="_Toc128476878"/>
      <w:bookmarkStart w:id="698" w:name="_Toc26949"/>
      <w:bookmarkStart w:id="699" w:name="_Toc31889"/>
      <w:bookmarkStart w:id="700" w:name="_Toc18936"/>
      <w:r>
        <w:rPr>
          <w:rFonts w:hint="eastAsia" w:ascii="仿宋" w:hAnsi="仿宋" w:eastAsia="仿宋" w:cs="仿宋"/>
          <w:b/>
          <w:color w:val="auto"/>
          <w:sz w:val="24"/>
          <w:szCs w:val="24"/>
          <w:highlight w:val="none"/>
          <w:shd w:val="clear" w:color="auto" w:fill="FFFFFF" w:themeFill="background1"/>
          <w:lang w:val="en-US" w:eastAsia="zh-CN"/>
        </w:rPr>
        <w:t>7.</w:t>
      </w:r>
      <w:r>
        <w:rPr>
          <w:rFonts w:hint="eastAsia" w:ascii="仿宋" w:hAnsi="仿宋" w:eastAsia="仿宋" w:cs="仿宋"/>
          <w:b/>
          <w:color w:val="auto"/>
          <w:sz w:val="24"/>
          <w:szCs w:val="24"/>
          <w:highlight w:val="none"/>
          <w:shd w:val="clear" w:color="auto" w:fill="FFFFFF" w:themeFill="background1"/>
        </w:rPr>
        <w:t>1、</w:t>
      </w:r>
      <w:bookmarkEnd w:id="678"/>
      <w:bookmarkEnd w:id="679"/>
      <w:bookmarkEnd w:id="680"/>
      <w:bookmarkEnd w:id="681"/>
      <w:r>
        <w:rPr>
          <w:rFonts w:hint="eastAsia" w:ascii="仿宋" w:hAnsi="仿宋" w:eastAsia="仿宋" w:cs="仿宋"/>
          <w:b/>
          <w:color w:val="auto"/>
          <w:sz w:val="24"/>
          <w:szCs w:val="24"/>
          <w:highlight w:val="none"/>
          <w:shd w:val="clear" w:color="auto" w:fill="FFFFFF" w:themeFill="background1"/>
        </w:rPr>
        <w:t>法人或者其他组织的营业执照等证明文件，自然人的身份证明</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p>
    <w:p w14:paraId="21F8DA96">
      <w:pPr>
        <w:spacing w:line="360" w:lineRule="auto"/>
        <w:rPr>
          <w:rFonts w:ascii="仿宋" w:hAnsi="仿宋" w:eastAsia="仿宋" w:cs="仿宋"/>
          <w:color w:val="auto"/>
          <w:sz w:val="24"/>
          <w:szCs w:val="24"/>
          <w:highlight w:val="none"/>
          <w:shd w:val="clear" w:color="auto" w:fill="FFFFFF" w:themeFill="background1"/>
        </w:rPr>
      </w:pPr>
    </w:p>
    <w:p w14:paraId="003F5A03">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一、如供应商是企业（包括合伙企业)，应提供在工商部门注册的有效“企业法人营业执照”或“营业执照”;</w:t>
      </w:r>
    </w:p>
    <w:p w14:paraId="4A6695CE">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二、如供应商是事业单位，应提供有效的“事业单位法人证书”;</w:t>
      </w:r>
    </w:p>
    <w:p w14:paraId="48CA18B6">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三、供应商是非企业专业服务机构的，应提供执业许可证等证明文件;</w:t>
      </w:r>
    </w:p>
    <w:p w14:paraId="62D8B936">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四、如供应商是个体工商户，应提供有效的“个体工商户营业执照”;</w:t>
      </w:r>
    </w:p>
    <w:p w14:paraId="0695905F">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五、如供应商是自然人，应提供有效的自然人身份证明。</w:t>
      </w:r>
    </w:p>
    <w:p w14:paraId="77D43201">
      <w:pPr>
        <w:spacing w:line="360" w:lineRule="auto"/>
        <w:rPr>
          <w:rFonts w:ascii="仿宋" w:hAnsi="仿宋" w:eastAsia="仿宋" w:cs="仿宋"/>
          <w:color w:val="auto"/>
          <w:sz w:val="24"/>
          <w:szCs w:val="24"/>
          <w:highlight w:val="none"/>
          <w:shd w:val="clear" w:color="auto" w:fill="FFFFFF" w:themeFill="background1"/>
        </w:rPr>
      </w:pPr>
    </w:p>
    <w:p w14:paraId="0F3D4842">
      <w:pPr>
        <w:spacing w:line="360" w:lineRule="auto"/>
        <w:rPr>
          <w:rFonts w:ascii="仿宋" w:hAnsi="仿宋" w:eastAsia="仿宋" w:cs="仿宋"/>
          <w:color w:val="auto"/>
          <w:sz w:val="24"/>
          <w:szCs w:val="24"/>
          <w:highlight w:val="none"/>
          <w:shd w:val="clear" w:color="auto" w:fill="FFFFFF" w:themeFill="background1"/>
        </w:rPr>
      </w:pPr>
    </w:p>
    <w:p w14:paraId="460CAB90">
      <w:pPr>
        <w:widowControl/>
        <w:spacing w:line="360" w:lineRule="auto"/>
        <w:jc w:val="left"/>
        <w:rPr>
          <w:rFonts w:ascii="仿宋" w:hAnsi="仿宋" w:eastAsia="仿宋" w:cs="仿宋"/>
          <w:b/>
          <w:color w:val="auto"/>
          <w:sz w:val="24"/>
          <w:szCs w:val="24"/>
          <w:highlight w:val="none"/>
          <w:shd w:val="clear" w:color="auto" w:fill="FFFFFF" w:themeFill="background1"/>
        </w:rPr>
      </w:pPr>
      <w:r>
        <w:rPr>
          <w:rFonts w:hint="eastAsia" w:ascii="仿宋" w:hAnsi="仿宋" w:eastAsia="仿宋" w:cs="仿宋"/>
          <w:b/>
          <w:color w:val="auto"/>
          <w:sz w:val="24"/>
          <w:szCs w:val="24"/>
          <w:highlight w:val="none"/>
          <w:shd w:val="clear" w:color="auto" w:fill="FFFFFF" w:themeFill="background1"/>
        </w:rPr>
        <w:br w:type="page"/>
      </w:r>
    </w:p>
    <w:p w14:paraId="1BBCD3A4">
      <w:pPr>
        <w:rPr>
          <w:rFonts w:ascii="仿宋" w:hAnsi="仿宋" w:eastAsia="仿宋" w:cs="仿宋"/>
          <w:color w:val="auto"/>
          <w:highlight w:val="none"/>
          <w:shd w:val="clear" w:color="auto" w:fill="FFFFFF" w:themeFill="background1"/>
        </w:rPr>
      </w:pPr>
    </w:p>
    <w:p w14:paraId="504F0974">
      <w:pPr>
        <w:spacing w:line="360" w:lineRule="auto"/>
        <w:jc w:val="center"/>
        <w:outlineLvl w:val="1"/>
        <w:rPr>
          <w:rFonts w:ascii="仿宋" w:hAnsi="仿宋" w:eastAsia="仿宋" w:cs="仿宋"/>
          <w:b/>
          <w:color w:val="auto"/>
          <w:sz w:val="24"/>
          <w:szCs w:val="24"/>
          <w:highlight w:val="none"/>
          <w:shd w:val="clear" w:color="auto" w:fill="FFFFFF" w:themeFill="background1"/>
        </w:rPr>
      </w:pPr>
      <w:bookmarkStart w:id="701" w:name="_Toc128476879"/>
      <w:bookmarkStart w:id="702" w:name="_Toc15658"/>
      <w:bookmarkStart w:id="703" w:name="_Toc16312"/>
      <w:bookmarkStart w:id="704" w:name="_Toc481"/>
      <w:bookmarkStart w:id="705" w:name="_Toc113901850"/>
      <w:bookmarkStart w:id="706" w:name="_Toc15083"/>
      <w:bookmarkStart w:id="707" w:name="_Toc18676"/>
      <w:bookmarkStart w:id="708" w:name="_Toc12356"/>
      <w:bookmarkStart w:id="709" w:name="_Toc17680"/>
      <w:bookmarkStart w:id="710" w:name="_Toc27333"/>
      <w:bookmarkStart w:id="711" w:name="_Toc13041"/>
      <w:bookmarkStart w:id="712" w:name="_Toc17385"/>
      <w:bookmarkStart w:id="713" w:name="_Toc22376"/>
      <w:bookmarkStart w:id="714" w:name="_Toc17734"/>
      <w:bookmarkStart w:id="715" w:name="_Toc24497"/>
      <w:bookmarkStart w:id="716" w:name="_Toc6482"/>
      <w:bookmarkStart w:id="717" w:name="_Toc10010"/>
      <w:bookmarkStart w:id="718" w:name="_Toc14049"/>
      <w:r>
        <w:rPr>
          <w:rFonts w:hint="eastAsia" w:ascii="仿宋" w:hAnsi="仿宋" w:eastAsia="仿宋" w:cs="仿宋"/>
          <w:b/>
          <w:color w:val="auto"/>
          <w:sz w:val="24"/>
          <w:szCs w:val="24"/>
          <w:highlight w:val="none"/>
          <w:shd w:val="clear" w:color="auto" w:fill="FFFFFF" w:themeFill="background1"/>
          <w:lang w:val="en-US" w:eastAsia="zh-CN"/>
        </w:rPr>
        <w:t>7</w:t>
      </w:r>
      <w:r>
        <w:rPr>
          <w:rFonts w:hint="eastAsia" w:ascii="仿宋" w:hAnsi="仿宋" w:eastAsia="仿宋" w:cs="仿宋"/>
          <w:b/>
          <w:color w:val="auto"/>
          <w:sz w:val="24"/>
          <w:szCs w:val="24"/>
          <w:highlight w:val="none"/>
          <w:shd w:val="clear" w:color="auto" w:fill="FFFFFF" w:themeFill="background1"/>
        </w:rPr>
        <w:t>.2、</w:t>
      </w:r>
      <w:bookmarkEnd w:id="682"/>
      <w:r>
        <w:rPr>
          <w:rFonts w:hint="eastAsia" w:ascii="仿宋" w:hAnsi="仿宋" w:eastAsia="仿宋" w:cs="仿宋"/>
          <w:b/>
          <w:color w:val="auto"/>
          <w:sz w:val="24"/>
          <w:szCs w:val="24"/>
          <w:highlight w:val="none"/>
          <w:shd w:val="clear" w:color="auto" w:fill="FFFFFF" w:themeFill="background1"/>
        </w:rPr>
        <w:t>财务状况报告，依法缴纳税收和社会保障资金的相关材料</w:t>
      </w:r>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 w14:paraId="7AEAF3F1">
      <w:pPr>
        <w:pStyle w:val="18"/>
        <w:spacing w:line="360" w:lineRule="auto"/>
        <w:rPr>
          <w:rFonts w:ascii="仿宋" w:hAnsi="仿宋" w:eastAsia="仿宋" w:cs="仿宋"/>
          <w:color w:val="auto"/>
          <w:spacing w:val="10"/>
          <w:szCs w:val="24"/>
          <w:highlight w:val="none"/>
          <w:shd w:val="clear" w:color="auto" w:fill="FFFFFF" w:themeFill="background1"/>
        </w:rPr>
      </w:pPr>
    </w:p>
    <w:p w14:paraId="2335A46B">
      <w:pPr>
        <w:pStyle w:val="18"/>
        <w:spacing w:line="360" w:lineRule="auto"/>
        <w:ind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一、财务状况报告（</w:t>
      </w:r>
      <w:r>
        <w:rPr>
          <w:rFonts w:hint="eastAsia" w:ascii="仿宋" w:hAnsi="仿宋" w:eastAsia="仿宋" w:cs="仿宋"/>
          <w:color w:val="auto"/>
          <w:szCs w:val="24"/>
          <w:highlight w:val="none"/>
          <w:shd w:val="clear" w:color="auto" w:fill="FFFFFF" w:themeFill="background1"/>
        </w:rPr>
        <w:t>满足下述一条要求即可</w:t>
      </w:r>
      <w:r>
        <w:rPr>
          <w:rFonts w:hint="eastAsia" w:ascii="仿宋" w:hAnsi="仿宋" w:eastAsia="仿宋" w:cs="仿宋"/>
          <w:color w:val="auto"/>
          <w:spacing w:val="10"/>
          <w:szCs w:val="24"/>
          <w:highlight w:val="none"/>
          <w:shd w:val="clear" w:color="auto" w:fill="FFFFFF" w:themeFill="background1"/>
        </w:rPr>
        <w:t>）：</w:t>
      </w:r>
    </w:p>
    <w:p w14:paraId="003B3272">
      <w:pPr>
        <w:pStyle w:val="18"/>
        <w:spacing w:line="360" w:lineRule="auto"/>
        <w:ind w:firstLine="480" w:firstLineChars="200"/>
        <w:rPr>
          <w:rFonts w:hint="eastAsia" w:ascii="仿宋" w:hAnsi="仿宋" w:eastAsia="仿宋" w:cs="仿宋"/>
          <w:color w:val="auto"/>
          <w:spacing w:val="10"/>
          <w:kern w:val="0"/>
          <w:sz w:val="24"/>
          <w:szCs w:val="24"/>
          <w:highlight w:val="none"/>
        </w:rPr>
      </w:pPr>
      <w:r>
        <w:rPr>
          <w:rFonts w:hint="eastAsia" w:ascii="仿宋" w:hAnsi="仿宋" w:eastAsia="仿宋" w:cs="仿宋"/>
          <w:color w:val="auto"/>
          <w:szCs w:val="24"/>
          <w:highlight w:val="none"/>
          <w:shd w:val="clear" w:color="auto" w:fill="FFFFFF" w:themeFill="background1"/>
        </w:rPr>
        <w:t>要求1、经审计的财务报告（202</w:t>
      </w:r>
      <w:r>
        <w:rPr>
          <w:rFonts w:hint="eastAsia" w:ascii="仿宋" w:hAnsi="仿宋" w:eastAsia="仿宋" w:cs="仿宋"/>
          <w:color w:val="auto"/>
          <w:szCs w:val="24"/>
          <w:highlight w:val="none"/>
          <w:shd w:val="clear" w:color="auto" w:fill="FFFFFF" w:themeFill="background1"/>
          <w:lang w:val="en-US" w:eastAsia="zh-CN"/>
        </w:rPr>
        <w:t>4</w:t>
      </w:r>
      <w:r>
        <w:rPr>
          <w:rFonts w:hint="eastAsia" w:ascii="仿宋" w:hAnsi="仿宋" w:eastAsia="仿宋" w:cs="仿宋"/>
          <w:color w:val="auto"/>
          <w:szCs w:val="24"/>
          <w:highlight w:val="none"/>
          <w:shd w:val="clear" w:color="auto" w:fill="FFFFFF" w:themeFill="background1"/>
        </w:rPr>
        <w:t>年度</w:t>
      </w:r>
      <w:r>
        <w:rPr>
          <w:rFonts w:hint="eastAsia" w:ascii="仿宋" w:hAnsi="仿宋" w:eastAsia="仿宋" w:cs="仿宋"/>
          <w:color w:val="auto"/>
          <w:szCs w:val="24"/>
          <w:highlight w:val="none"/>
          <w:shd w:val="clear" w:color="auto" w:fill="FFFFFF" w:themeFill="background1"/>
          <w:lang w:val="en-US" w:eastAsia="zh-CN"/>
        </w:rPr>
        <w:t>或2025年度</w:t>
      </w:r>
      <w:r>
        <w:rPr>
          <w:rFonts w:hint="eastAsia" w:ascii="仿宋" w:hAnsi="仿宋" w:eastAsia="仿宋" w:cs="仿宋"/>
          <w:color w:val="auto"/>
          <w:szCs w:val="24"/>
          <w:highlight w:val="none"/>
          <w:shd w:val="clear" w:color="auto" w:fill="FFFFFF" w:themeFill="background1"/>
        </w:rPr>
        <w:t>，包括“四表-注”，即资产负债表、利润表、现金流量表、所有者权益变动表及其附注）或银行出具的资信证明</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响应</w:t>
      </w:r>
      <w:r>
        <w:rPr>
          <w:rFonts w:hint="eastAsia" w:ascii="仿宋" w:hAnsi="仿宋" w:eastAsia="仿宋" w:cs="仿宋"/>
          <w:color w:val="auto"/>
          <w:kern w:val="0"/>
          <w:sz w:val="24"/>
          <w:szCs w:val="24"/>
          <w:highlight w:val="none"/>
        </w:rPr>
        <w:t>文件递交截止之日前六个月内</w:t>
      </w:r>
      <w:r>
        <w:rPr>
          <w:rFonts w:hint="eastAsia" w:ascii="仿宋" w:hAnsi="仿宋" w:eastAsia="仿宋" w:cs="仿宋"/>
          <w:color w:val="auto"/>
          <w:kern w:val="0"/>
          <w:sz w:val="24"/>
          <w:szCs w:val="24"/>
          <w:highlight w:val="none"/>
          <w:lang w:val="en-US" w:eastAsia="zh-CN"/>
        </w:rPr>
        <w:t>任意</w:t>
      </w:r>
      <w:r>
        <w:rPr>
          <w:rFonts w:hint="eastAsia" w:ascii="仿宋" w:hAnsi="仿宋" w:eastAsia="仿宋" w:cs="仿宋"/>
          <w:color w:val="auto"/>
          <w:kern w:val="0"/>
          <w:sz w:val="24"/>
          <w:szCs w:val="24"/>
          <w:highlight w:val="none"/>
        </w:rPr>
        <w:t>一个月）</w:t>
      </w:r>
      <w:r>
        <w:rPr>
          <w:rFonts w:hint="eastAsia" w:ascii="仿宋" w:hAnsi="仿宋" w:eastAsia="仿宋" w:cs="仿宋"/>
          <w:color w:val="auto"/>
          <w:spacing w:val="10"/>
          <w:kern w:val="0"/>
          <w:sz w:val="24"/>
          <w:szCs w:val="24"/>
          <w:highlight w:val="none"/>
        </w:rPr>
        <w:t>。</w:t>
      </w:r>
    </w:p>
    <w:p w14:paraId="353FCA14">
      <w:pPr>
        <w:pStyle w:val="18"/>
        <w:spacing w:line="360" w:lineRule="auto"/>
        <w:ind w:firstLine="48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要求</w:t>
      </w:r>
      <w:r>
        <w:rPr>
          <w:rFonts w:hint="eastAsia" w:ascii="仿宋" w:hAnsi="仿宋" w:eastAsia="仿宋" w:cs="仿宋"/>
          <w:color w:val="auto"/>
          <w:szCs w:val="24"/>
          <w:highlight w:val="none"/>
          <w:shd w:val="clear" w:color="auto" w:fill="FFFFFF" w:themeFill="background1"/>
          <w:lang w:val="en-US" w:eastAsia="zh-CN"/>
        </w:rPr>
        <w:t>2</w:t>
      </w:r>
      <w:r>
        <w:rPr>
          <w:rFonts w:hint="eastAsia" w:ascii="仿宋" w:hAnsi="仿宋" w:eastAsia="仿宋" w:cs="仿宋"/>
          <w:color w:val="auto"/>
          <w:spacing w:val="10"/>
          <w:szCs w:val="24"/>
          <w:highlight w:val="none"/>
          <w:shd w:val="clear" w:color="auto" w:fill="FFFFFF" w:themeFill="background1"/>
        </w:rPr>
        <w:t>、</w:t>
      </w:r>
      <w:r>
        <w:rPr>
          <w:rFonts w:hint="eastAsia" w:ascii="仿宋" w:hAnsi="仿宋" w:eastAsia="仿宋" w:cs="仿宋"/>
          <w:color w:val="auto"/>
          <w:szCs w:val="24"/>
          <w:highlight w:val="none"/>
          <w:shd w:val="clear" w:color="auto" w:fill="FFFFFF" w:themeFill="background1"/>
        </w:rPr>
        <w:t>成立不足一个月（</w:t>
      </w:r>
      <w:r>
        <w:rPr>
          <w:rFonts w:hint="eastAsia" w:ascii="仿宋" w:hAnsi="仿宋" w:eastAsia="仿宋" w:cs="仿宋"/>
          <w:color w:val="auto"/>
          <w:spacing w:val="10"/>
          <w:szCs w:val="24"/>
          <w:highlight w:val="none"/>
          <w:shd w:val="clear" w:color="auto" w:fill="FFFFFF" w:themeFill="background1"/>
        </w:rPr>
        <w:t>以响应文件递交截止之日为期限</w:t>
      </w:r>
      <w:r>
        <w:rPr>
          <w:rFonts w:hint="eastAsia" w:ascii="仿宋" w:hAnsi="仿宋" w:eastAsia="仿宋" w:cs="仿宋"/>
          <w:color w:val="auto"/>
          <w:szCs w:val="24"/>
          <w:highlight w:val="none"/>
          <w:shd w:val="clear" w:color="auto" w:fill="FFFFFF" w:themeFill="background1"/>
        </w:rPr>
        <w:t>）的供应商无需提供。</w:t>
      </w:r>
    </w:p>
    <w:p w14:paraId="348C9C40">
      <w:pPr>
        <w:pStyle w:val="18"/>
        <w:spacing w:line="360" w:lineRule="auto"/>
        <w:ind w:firstLine="520" w:firstLineChars="200"/>
        <w:rPr>
          <w:rFonts w:hint="eastAsia" w:ascii="仿宋" w:hAnsi="仿宋" w:eastAsia="仿宋" w:cs="仿宋"/>
          <w:color w:val="auto"/>
          <w:spacing w:val="10"/>
          <w:szCs w:val="24"/>
          <w:highlight w:val="none"/>
          <w:shd w:val="clear" w:color="auto" w:fill="FFFFFF" w:themeFill="background1"/>
        </w:rPr>
      </w:pPr>
    </w:p>
    <w:p w14:paraId="04599BC1">
      <w:pPr>
        <w:pStyle w:val="18"/>
        <w:spacing w:line="360" w:lineRule="auto"/>
        <w:ind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二、依法缴纳税收和社会保障资金的相关材料</w:t>
      </w:r>
    </w:p>
    <w:p w14:paraId="7EC2B1C0">
      <w:pPr>
        <w:pStyle w:val="18"/>
        <w:spacing w:line="360" w:lineRule="auto"/>
        <w:ind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2.1、依法缴纳税收的证明材料：</w:t>
      </w:r>
    </w:p>
    <w:p w14:paraId="5C7FFC22">
      <w:pPr>
        <w:pStyle w:val="18"/>
        <w:spacing w:line="360" w:lineRule="auto"/>
        <w:ind w:firstLine="48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供应商参加政府采购活动前一段时间（响应文件递交截止之日前六个月内任一个月）内缴纳税收的完税凭证（指各种完税证、缴款书、印花税票、扣（收）税凭证以及其他完税证明）。</w:t>
      </w:r>
    </w:p>
    <w:p w14:paraId="456B13EC">
      <w:pPr>
        <w:pStyle w:val="18"/>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2.2、依法缴纳社会保障资金的证明材料：</w:t>
      </w:r>
    </w:p>
    <w:p w14:paraId="548F097B">
      <w:pPr>
        <w:pStyle w:val="18"/>
        <w:spacing w:line="360" w:lineRule="auto"/>
        <w:ind w:right="516" w:firstLine="48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供应商参加政府采购活动前一段时间（响应文件递交截止之日前六个月内任一个月）内缴纳社会保险的凭据，其他组织和自然人也需要提供缴纳税收的凭据和缴纳社会保险的凭据。</w:t>
      </w:r>
    </w:p>
    <w:p w14:paraId="1C3EF9D4">
      <w:pPr>
        <w:pStyle w:val="18"/>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2.3、依法免税或不需要缴纳社会保障资金的供应商，应提供相应文件证明其依法免税或不需要缴纳社会保障资金。</w:t>
      </w:r>
    </w:p>
    <w:p w14:paraId="1405CAF2">
      <w:pPr>
        <w:pStyle w:val="18"/>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p>
    <w:p w14:paraId="461CA062">
      <w:pPr>
        <w:pStyle w:val="18"/>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三、注：</w:t>
      </w:r>
    </w:p>
    <w:p w14:paraId="54835218">
      <w:pPr>
        <w:pStyle w:val="18"/>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3.1、如因有关主管部门政策调整，部分证明材料有所增减，以最新政策要求为准；</w:t>
      </w:r>
    </w:p>
    <w:p w14:paraId="127A9451">
      <w:pPr>
        <w:pStyle w:val="18"/>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3.2、如供应商所在地有关主管部门反馈的证明材料与本文中要求不一致时，以当地要求为准，但须供应商提供文字说明。</w:t>
      </w:r>
    </w:p>
    <w:p w14:paraId="5519E9EF">
      <w:pPr>
        <w:rPr>
          <w:rFonts w:ascii="仿宋" w:hAnsi="仿宋" w:eastAsia="仿宋" w:cs="仿宋"/>
          <w:b/>
          <w:color w:val="auto"/>
          <w:sz w:val="24"/>
          <w:szCs w:val="24"/>
          <w:highlight w:val="none"/>
          <w:shd w:val="clear" w:color="auto" w:fill="FFFFFF" w:themeFill="background1"/>
        </w:rPr>
      </w:pPr>
      <w:bookmarkStart w:id="719" w:name="_Toc128476880"/>
      <w:bookmarkStart w:id="720" w:name="_Toc30348"/>
      <w:bookmarkStart w:id="721" w:name="_Toc23152"/>
      <w:bookmarkStart w:id="722" w:name="_Toc113901851"/>
      <w:bookmarkStart w:id="723" w:name="_Toc7014"/>
      <w:bookmarkStart w:id="724" w:name="_Toc111556488"/>
      <w:r>
        <w:rPr>
          <w:rFonts w:hint="eastAsia" w:ascii="仿宋" w:hAnsi="仿宋" w:eastAsia="仿宋" w:cs="仿宋"/>
          <w:b/>
          <w:color w:val="auto"/>
          <w:sz w:val="24"/>
          <w:szCs w:val="24"/>
          <w:highlight w:val="none"/>
          <w:shd w:val="clear" w:color="auto" w:fill="FFFFFF" w:themeFill="background1"/>
        </w:rPr>
        <w:br w:type="page"/>
      </w:r>
    </w:p>
    <w:p w14:paraId="4F7E8582">
      <w:pPr>
        <w:tabs>
          <w:tab w:val="center" w:pos="4832"/>
          <w:tab w:val="left" w:pos="7140"/>
        </w:tabs>
        <w:spacing w:line="360" w:lineRule="auto"/>
        <w:jc w:val="center"/>
        <w:outlineLvl w:val="1"/>
        <w:rPr>
          <w:rFonts w:ascii="仿宋" w:hAnsi="仿宋" w:eastAsia="仿宋" w:cs="仿宋"/>
          <w:b/>
          <w:color w:val="auto"/>
          <w:sz w:val="24"/>
          <w:szCs w:val="24"/>
          <w:highlight w:val="none"/>
          <w:shd w:val="clear" w:color="auto" w:fill="FFFFFF" w:themeFill="background1"/>
        </w:rPr>
      </w:pPr>
      <w:bookmarkStart w:id="725" w:name="_Toc14528"/>
      <w:bookmarkStart w:id="726" w:name="_Toc7221"/>
      <w:bookmarkStart w:id="727" w:name="_Toc1683"/>
      <w:bookmarkStart w:id="728" w:name="_Toc11810"/>
      <w:bookmarkStart w:id="729" w:name="_Toc9149"/>
      <w:bookmarkStart w:id="730" w:name="_Toc32630"/>
      <w:bookmarkStart w:id="731" w:name="_Toc1335"/>
      <w:bookmarkStart w:id="732" w:name="_Toc7058"/>
      <w:bookmarkStart w:id="733" w:name="_Toc20131"/>
      <w:bookmarkStart w:id="734" w:name="_Toc26103"/>
      <w:bookmarkStart w:id="735" w:name="_Toc19397"/>
      <w:bookmarkStart w:id="736" w:name="_Toc7344"/>
      <w:bookmarkStart w:id="737" w:name="_Toc17714"/>
      <w:r>
        <w:rPr>
          <w:rFonts w:hint="eastAsia" w:ascii="仿宋" w:hAnsi="仿宋" w:eastAsia="仿宋" w:cs="仿宋"/>
          <w:b/>
          <w:color w:val="auto"/>
          <w:sz w:val="24"/>
          <w:szCs w:val="24"/>
          <w:highlight w:val="none"/>
          <w:shd w:val="clear" w:color="auto" w:fill="FFFFFF" w:themeFill="background1"/>
          <w:lang w:val="en-US" w:eastAsia="zh-CN"/>
        </w:rPr>
        <w:t>7</w:t>
      </w:r>
      <w:r>
        <w:rPr>
          <w:rFonts w:hint="eastAsia" w:ascii="仿宋" w:hAnsi="仿宋" w:eastAsia="仿宋" w:cs="仿宋"/>
          <w:b/>
          <w:color w:val="auto"/>
          <w:sz w:val="24"/>
          <w:szCs w:val="24"/>
          <w:highlight w:val="none"/>
          <w:shd w:val="clear" w:color="auto" w:fill="FFFFFF" w:themeFill="background1"/>
        </w:rPr>
        <w:t>.3、具备履行合同所必需的设备和专业技术能力的证明材料</w:t>
      </w:r>
      <w:bookmarkEnd w:id="719"/>
      <w:bookmarkEnd w:id="720"/>
      <w:bookmarkEnd w:id="721"/>
      <w:bookmarkEnd w:id="722"/>
      <w:bookmarkEnd w:id="723"/>
      <w:bookmarkEnd w:id="725"/>
      <w:bookmarkEnd w:id="726"/>
      <w:bookmarkEnd w:id="727"/>
      <w:bookmarkEnd w:id="728"/>
      <w:bookmarkEnd w:id="729"/>
      <w:bookmarkEnd w:id="730"/>
      <w:bookmarkEnd w:id="731"/>
      <w:bookmarkEnd w:id="732"/>
      <w:bookmarkEnd w:id="733"/>
      <w:bookmarkEnd w:id="734"/>
      <w:bookmarkEnd w:id="735"/>
      <w:bookmarkEnd w:id="736"/>
      <w:bookmarkEnd w:id="737"/>
    </w:p>
    <w:p w14:paraId="1DD51139">
      <w:pPr>
        <w:spacing w:line="360" w:lineRule="auto"/>
        <w:rPr>
          <w:rFonts w:ascii="仿宋" w:hAnsi="仿宋" w:eastAsia="仿宋" w:cs="仿宋"/>
          <w:color w:val="auto"/>
          <w:sz w:val="24"/>
          <w:szCs w:val="24"/>
          <w:highlight w:val="none"/>
          <w:shd w:val="clear" w:color="auto" w:fill="FFFFFF" w:themeFill="background1"/>
        </w:rPr>
      </w:pPr>
    </w:p>
    <w:p w14:paraId="7B0EB2AB">
      <w:pPr>
        <w:spacing w:line="360" w:lineRule="auto"/>
        <w:rPr>
          <w:rFonts w:ascii="仿宋" w:hAnsi="仿宋" w:eastAsia="仿宋" w:cs="仿宋"/>
          <w:color w:val="auto"/>
          <w:sz w:val="24"/>
          <w:szCs w:val="24"/>
          <w:highlight w:val="none"/>
          <w:shd w:val="clear" w:color="auto" w:fill="FFFFFF" w:themeFill="background1"/>
        </w:rPr>
      </w:pPr>
    </w:p>
    <w:p w14:paraId="300E7401">
      <w:pPr>
        <w:spacing w:line="360" w:lineRule="auto"/>
        <w:jc w:val="center"/>
        <w:rPr>
          <w:rFonts w:ascii="仿宋" w:hAnsi="仿宋" w:eastAsia="仿宋" w:cs="仿宋"/>
          <w:b/>
          <w:color w:val="auto"/>
          <w:sz w:val="24"/>
          <w:szCs w:val="24"/>
          <w:highlight w:val="none"/>
          <w:shd w:val="clear" w:color="auto" w:fill="FFFFFF" w:themeFill="background1"/>
        </w:rPr>
      </w:pPr>
      <w:r>
        <w:rPr>
          <w:rFonts w:hint="eastAsia" w:ascii="仿宋" w:hAnsi="仿宋" w:eastAsia="仿宋" w:cs="仿宋"/>
          <w:b/>
          <w:color w:val="auto"/>
          <w:sz w:val="24"/>
          <w:szCs w:val="24"/>
          <w:highlight w:val="none"/>
          <w:shd w:val="clear" w:color="auto" w:fill="FFFFFF" w:themeFill="background1"/>
        </w:rPr>
        <w:t>具有履行合同所必需的设备和专业技术能力的承诺</w:t>
      </w:r>
      <w:bookmarkEnd w:id="724"/>
      <w:r>
        <w:rPr>
          <w:rFonts w:hint="eastAsia" w:ascii="仿宋" w:hAnsi="仿宋" w:eastAsia="仿宋" w:cs="仿宋"/>
          <w:b/>
          <w:color w:val="auto"/>
          <w:sz w:val="24"/>
          <w:szCs w:val="24"/>
          <w:highlight w:val="none"/>
          <w:shd w:val="clear" w:color="auto" w:fill="FFFFFF" w:themeFill="background1"/>
        </w:rPr>
        <w:t>函</w:t>
      </w:r>
    </w:p>
    <w:p w14:paraId="5784E59A">
      <w:pPr>
        <w:adjustRightInd w:val="0"/>
        <w:snapToGrid w:val="0"/>
        <w:spacing w:line="360" w:lineRule="auto"/>
        <w:ind w:firstLine="480" w:firstLineChars="200"/>
        <w:jc w:val="center"/>
        <w:rPr>
          <w:rFonts w:ascii="仿宋" w:hAnsi="仿宋" w:eastAsia="仿宋" w:cs="仿宋"/>
          <w:color w:val="auto"/>
          <w:sz w:val="24"/>
          <w:szCs w:val="24"/>
          <w:highlight w:val="none"/>
          <w:shd w:val="clear" w:color="auto" w:fill="FFFFFF" w:themeFill="background1"/>
        </w:rPr>
      </w:pPr>
    </w:p>
    <w:p w14:paraId="19DB9156">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（采购人名称）</w:t>
      </w:r>
    </w:p>
    <w:p w14:paraId="270041C9">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p>
    <w:p w14:paraId="0C673053">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我单位郑重承诺： </w:t>
      </w:r>
    </w:p>
    <w:p w14:paraId="088C99F7">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我单位具备履行</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（项目名称）合同所必需的设备和专业技术能力；</w:t>
      </w:r>
    </w:p>
    <w:p w14:paraId="1E0A84BB">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特此承诺。 </w:t>
      </w:r>
    </w:p>
    <w:p w14:paraId="2DF137E3">
      <w:pPr>
        <w:autoSpaceDE w:val="0"/>
        <w:autoSpaceDN w:val="0"/>
        <w:adjustRightInd w:val="0"/>
        <w:spacing w:line="360" w:lineRule="auto"/>
        <w:jc w:val="left"/>
        <w:rPr>
          <w:rFonts w:ascii="仿宋" w:hAnsi="仿宋" w:eastAsia="仿宋" w:cs="仿宋"/>
          <w:color w:val="auto"/>
          <w:kern w:val="0"/>
          <w:sz w:val="24"/>
          <w:szCs w:val="24"/>
          <w:highlight w:val="none"/>
          <w:shd w:val="clear" w:color="auto" w:fill="FFFFFF" w:themeFill="background1"/>
        </w:rPr>
      </w:pPr>
    </w:p>
    <w:p w14:paraId="623D4E2F">
      <w:pPr>
        <w:autoSpaceDE w:val="0"/>
        <w:autoSpaceDN w:val="0"/>
        <w:adjustRightInd w:val="0"/>
        <w:spacing w:line="360" w:lineRule="auto"/>
        <w:jc w:val="left"/>
        <w:rPr>
          <w:rFonts w:ascii="仿宋" w:hAnsi="仿宋" w:eastAsia="仿宋" w:cs="仿宋"/>
          <w:color w:val="auto"/>
          <w:kern w:val="0"/>
          <w:sz w:val="24"/>
          <w:szCs w:val="24"/>
          <w:highlight w:val="none"/>
          <w:shd w:val="clear" w:color="auto" w:fill="FFFFFF" w:themeFill="background1"/>
        </w:rPr>
      </w:pPr>
    </w:p>
    <w:p w14:paraId="0B235C6D">
      <w:pPr>
        <w:autoSpaceDE w:val="0"/>
        <w:autoSpaceDN w:val="0"/>
        <w:adjustRightInd w:val="0"/>
        <w:spacing w:line="360" w:lineRule="auto"/>
        <w:jc w:val="left"/>
        <w:rPr>
          <w:rFonts w:ascii="仿宋" w:hAnsi="仿宋" w:eastAsia="仿宋" w:cs="仿宋"/>
          <w:color w:val="auto"/>
          <w:kern w:val="0"/>
          <w:sz w:val="24"/>
          <w:szCs w:val="24"/>
          <w:highlight w:val="none"/>
          <w:shd w:val="clear" w:color="auto" w:fill="FFFFFF" w:themeFill="background1"/>
        </w:rPr>
      </w:pPr>
    </w:p>
    <w:p w14:paraId="0ADBAFA7">
      <w:pPr>
        <w:autoSpaceDE w:val="0"/>
        <w:autoSpaceDN w:val="0"/>
        <w:adjustRightInd w:val="0"/>
        <w:spacing w:line="360" w:lineRule="auto"/>
        <w:jc w:val="left"/>
        <w:rPr>
          <w:rFonts w:ascii="仿宋" w:hAnsi="仿宋" w:eastAsia="仿宋" w:cs="仿宋"/>
          <w:color w:val="auto"/>
          <w:kern w:val="0"/>
          <w:sz w:val="24"/>
          <w:szCs w:val="24"/>
          <w:highlight w:val="none"/>
          <w:shd w:val="clear" w:color="auto" w:fill="FFFFFF" w:themeFill="background1"/>
        </w:rPr>
      </w:pPr>
    </w:p>
    <w:p w14:paraId="3995F7B0">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60F6EC21">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5AABA8A5">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7A26D581">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112CC93C">
      <w:pPr>
        <w:adjustRightInd w:val="0"/>
        <w:snapToGrid w:val="0"/>
        <w:spacing w:line="360" w:lineRule="auto"/>
        <w:rPr>
          <w:rFonts w:ascii="仿宋" w:hAnsi="仿宋" w:eastAsia="仿宋" w:cs="仿宋"/>
          <w:bCs/>
          <w:color w:val="auto"/>
          <w:sz w:val="24"/>
          <w:szCs w:val="24"/>
          <w:highlight w:val="none"/>
          <w:shd w:val="clear" w:color="auto" w:fill="FFFFFF" w:themeFill="background1"/>
        </w:rPr>
      </w:pPr>
    </w:p>
    <w:p w14:paraId="658C2B0B">
      <w:pPr>
        <w:spacing w:line="360" w:lineRule="auto"/>
        <w:rPr>
          <w:rFonts w:ascii="仿宋" w:hAnsi="仿宋" w:eastAsia="仿宋" w:cs="仿宋"/>
          <w:color w:val="auto"/>
          <w:sz w:val="24"/>
          <w:szCs w:val="24"/>
          <w:highlight w:val="none"/>
          <w:shd w:val="clear" w:color="auto" w:fill="FFFFFF" w:themeFill="background1"/>
        </w:rPr>
      </w:pPr>
    </w:p>
    <w:p w14:paraId="14F05B91">
      <w:pPr>
        <w:spacing w:line="360" w:lineRule="auto"/>
        <w:rPr>
          <w:rFonts w:ascii="仿宋" w:hAnsi="仿宋" w:eastAsia="仿宋" w:cs="仿宋"/>
          <w:color w:val="auto"/>
          <w:sz w:val="24"/>
          <w:szCs w:val="24"/>
          <w:highlight w:val="none"/>
          <w:shd w:val="clear" w:color="auto" w:fill="FFFFFF" w:themeFill="background1"/>
        </w:rPr>
      </w:pPr>
    </w:p>
    <w:p w14:paraId="1314A3EA">
      <w:pPr>
        <w:spacing w:line="360" w:lineRule="auto"/>
        <w:rPr>
          <w:rFonts w:ascii="仿宋" w:hAnsi="仿宋" w:eastAsia="仿宋" w:cs="仿宋"/>
          <w:color w:val="auto"/>
          <w:sz w:val="24"/>
          <w:szCs w:val="24"/>
          <w:highlight w:val="none"/>
          <w:shd w:val="clear" w:color="auto" w:fill="FFFFFF" w:themeFill="background1"/>
        </w:rPr>
      </w:pPr>
    </w:p>
    <w:p w14:paraId="4E6C9F78">
      <w:pPr>
        <w:spacing w:line="360" w:lineRule="auto"/>
        <w:rPr>
          <w:rFonts w:ascii="仿宋" w:hAnsi="仿宋" w:eastAsia="仿宋" w:cs="仿宋"/>
          <w:color w:val="auto"/>
          <w:sz w:val="24"/>
          <w:szCs w:val="24"/>
          <w:highlight w:val="none"/>
          <w:shd w:val="clear" w:color="auto" w:fill="FFFFFF" w:themeFill="background1"/>
        </w:rPr>
      </w:pPr>
    </w:p>
    <w:p w14:paraId="7C07B243">
      <w:pPr>
        <w:spacing w:line="360" w:lineRule="auto"/>
        <w:rPr>
          <w:rFonts w:ascii="仿宋" w:hAnsi="仿宋" w:eastAsia="仿宋" w:cs="仿宋"/>
          <w:color w:val="auto"/>
          <w:sz w:val="24"/>
          <w:szCs w:val="24"/>
          <w:highlight w:val="none"/>
          <w:shd w:val="clear" w:color="auto" w:fill="FFFFFF" w:themeFill="background1"/>
        </w:rPr>
      </w:pPr>
    </w:p>
    <w:p w14:paraId="291C132D">
      <w:pPr>
        <w:spacing w:line="360" w:lineRule="auto"/>
        <w:rPr>
          <w:rFonts w:ascii="仿宋" w:hAnsi="仿宋" w:eastAsia="仿宋" w:cs="仿宋"/>
          <w:color w:val="auto"/>
          <w:sz w:val="24"/>
          <w:szCs w:val="24"/>
          <w:highlight w:val="none"/>
          <w:shd w:val="clear" w:color="auto" w:fill="FFFFFF" w:themeFill="background1"/>
        </w:rPr>
      </w:pPr>
    </w:p>
    <w:p w14:paraId="6FD282B1">
      <w:pPr>
        <w:widowControl/>
        <w:spacing w:line="360" w:lineRule="auto"/>
        <w:jc w:val="left"/>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13FA8CD2">
      <w:pPr>
        <w:spacing w:line="360" w:lineRule="auto"/>
        <w:rPr>
          <w:rFonts w:ascii="仿宋" w:hAnsi="仿宋" w:eastAsia="仿宋" w:cs="仿宋"/>
          <w:color w:val="auto"/>
          <w:sz w:val="24"/>
          <w:szCs w:val="24"/>
          <w:highlight w:val="none"/>
          <w:shd w:val="clear" w:color="auto" w:fill="FFFFFF" w:themeFill="background1"/>
        </w:rPr>
      </w:pPr>
    </w:p>
    <w:p w14:paraId="6EE43988">
      <w:pPr>
        <w:adjustRightInd w:val="0"/>
        <w:snapToGrid w:val="0"/>
        <w:spacing w:line="360" w:lineRule="auto"/>
        <w:jc w:val="center"/>
        <w:outlineLvl w:val="1"/>
        <w:rPr>
          <w:rFonts w:ascii="仿宋" w:hAnsi="仿宋" w:eastAsia="仿宋" w:cs="仿宋"/>
          <w:b/>
          <w:color w:val="auto"/>
          <w:sz w:val="24"/>
          <w:szCs w:val="24"/>
          <w:highlight w:val="none"/>
          <w:shd w:val="clear" w:color="auto" w:fill="FFFFFF" w:themeFill="background1"/>
        </w:rPr>
      </w:pPr>
      <w:bookmarkStart w:id="738" w:name="_Toc29504"/>
      <w:bookmarkStart w:id="739" w:name="_Toc19387"/>
      <w:bookmarkStart w:id="740" w:name="_Toc11746"/>
      <w:bookmarkStart w:id="741" w:name="_Toc24374"/>
      <w:bookmarkStart w:id="742" w:name="_Toc27598"/>
      <w:bookmarkStart w:id="743" w:name="_Toc31646"/>
      <w:bookmarkStart w:id="744" w:name="_Toc8111"/>
      <w:bookmarkStart w:id="745" w:name="_Toc27308"/>
      <w:bookmarkStart w:id="746" w:name="_Toc3358"/>
      <w:bookmarkStart w:id="747" w:name="_Toc22242"/>
      <w:bookmarkStart w:id="748" w:name="_Toc113901852"/>
      <w:bookmarkStart w:id="749" w:name="_Toc128476881"/>
      <w:bookmarkStart w:id="750" w:name="_Toc16561"/>
      <w:bookmarkStart w:id="751" w:name="_Toc12542"/>
      <w:bookmarkStart w:id="752" w:name="_Toc7500"/>
      <w:bookmarkStart w:id="753" w:name="_Toc5703"/>
      <w:bookmarkStart w:id="754" w:name="_Toc10000"/>
      <w:bookmarkStart w:id="755" w:name="_Toc5252"/>
      <w:bookmarkStart w:id="756" w:name="_Toc111556490"/>
      <w:r>
        <w:rPr>
          <w:rFonts w:hint="eastAsia" w:ascii="仿宋" w:hAnsi="仿宋" w:eastAsia="仿宋" w:cs="仿宋"/>
          <w:b/>
          <w:color w:val="auto"/>
          <w:sz w:val="24"/>
          <w:szCs w:val="24"/>
          <w:highlight w:val="none"/>
          <w:shd w:val="clear" w:color="auto" w:fill="FFFFFF" w:themeFill="background1"/>
          <w:lang w:val="en-US" w:eastAsia="zh-CN"/>
        </w:rPr>
        <w:t>7</w:t>
      </w:r>
      <w:r>
        <w:rPr>
          <w:rFonts w:hint="eastAsia" w:ascii="仿宋" w:hAnsi="仿宋" w:eastAsia="仿宋" w:cs="仿宋"/>
          <w:b/>
          <w:color w:val="auto"/>
          <w:sz w:val="24"/>
          <w:szCs w:val="24"/>
          <w:highlight w:val="none"/>
          <w:shd w:val="clear" w:color="auto" w:fill="FFFFFF" w:themeFill="background1"/>
        </w:rPr>
        <w:t>.4、参加政府采购活动前3年内在经营活动中没有重大违法记录的书面声明</w:t>
      </w:r>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bookmarkEnd w:id="756"/>
    <w:p w14:paraId="7CBB7EE1">
      <w:pPr>
        <w:widowControl/>
        <w:adjustRightInd w:val="0"/>
        <w:snapToGrid w:val="0"/>
        <w:spacing w:line="360" w:lineRule="auto"/>
        <w:rPr>
          <w:rFonts w:ascii="仿宋" w:hAnsi="仿宋" w:eastAsia="仿宋" w:cs="仿宋"/>
          <w:color w:val="auto"/>
          <w:sz w:val="24"/>
          <w:szCs w:val="24"/>
          <w:highlight w:val="none"/>
          <w:shd w:val="clear" w:color="auto" w:fill="FFFFFF" w:themeFill="background1"/>
        </w:rPr>
      </w:pPr>
    </w:p>
    <w:p w14:paraId="6D2D247E">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（采购人名称）</w:t>
      </w:r>
    </w:p>
    <w:p w14:paraId="483BDCAF">
      <w:pPr>
        <w:adjustRightInd w:val="0"/>
        <w:snapToGrid w:val="0"/>
        <w:spacing w:line="360" w:lineRule="auto"/>
        <w:ind w:firstLine="480" w:firstLineChars="200"/>
        <w:rPr>
          <w:rFonts w:ascii="仿宋" w:hAnsi="仿宋" w:eastAsia="仿宋" w:cs="仿宋"/>
          <w:color w:val="auto"/>
          <w:sz w:val="24"/>
          <w:szCs w:val="24"/>
          <w:highlight w:val="none"/>
          <w:shd w:val="clear" w:color="auto" w:fill="FFFFFF" w:themeFill="background1"/>
        </w:rPr>
      </w:pPr>
    </w:p>
    <w:p w14:paraId="703BDCCE">
      <w:pPr>
        <w:adjustRightInd w:val="0"/>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我单位在参与</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sz w:val="24"/>
          <w:szCs w:val="24"/>
          <w:highlight w:val="none"/>
          <w:shd w:val="clear" w:color="auto" w:fill="FFFFFF" w:themeFill="background1"/>
        </w:rPr>
        <w:t>（项目名称）</w:t>
      </w:r>
      <w:r>
        <w:rPr>
          <w:rFonts w:hint="eastAsia" w:ascii="仿宋" w:hAnsi="仿宋" w:eastAsia="仿宋" w:cs="仿宋"/>
          <w:color w:val="auto"/>
          <w:kern w:val="0"/>
          <w:sz w:val="24"/>
          <w:szCs w:val="24"/>
          <w:highlight w:val="none"/>
          <w:shd w:val="clear" w:color="auto" w:fill="FFFFFF" w:themeFill="background1"/>
        </w:rPr>
        <w:t>前三年内（以</w:t>
      </w:r>
      <w:r>
        <w:rPr>
          <w:rFonts w:hint="eastAsia" w:ascii="仿宋" w:hAnsi="仿宋" w:eastAsia="仿宋" w:cs="仿宋"/>
          <w:color w:val="auto"/>
          <w:sz w:val="24"/>
          <w:szCs w:val="24"/>
          <w:highlight w:val="none"/>
          <w:shd w:val="clear" w:color="auto" w:fill="FFFFFF" w:themeFill="background1"/>
        </w:rPr>
        <w:t>响应文件递交截止之日为期限</w:t>
      </w:r>
      <w:r>
        <w:rPr>
          <w:rFonts w:hint="eastAsia" w:ascii="仿宋" w:hAnsi="仿宋" w:eastAsia="仿宋" w:cs="仿宋"/>
          <w:color w:val="auto"/>
          <w:kern w:val="0"/>
          <w:sz w:val="24"/>
          <w:szCs w:val="24"/>
          <w:highlight w:val="none"/>
          <w:shd w:val="clear" w:color="auto" w:fill="FFFFFF" w:themeFill="background1"/>
        </w:rPr>
        <w:t>）在经营活动中没有重大违法记录。</w:t>
      </w:r>
    </w:p>
    <w:p w14:paraId="77A70069">
      <w:pPr>
        <w:adjustRightInd w:val="0"/>
        <w:snapToGrid w:val="0"/>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若贵方在本项目采购过程中发现我方参加政府采购活动前三年内有重大违法记录；</w:t>
      </w:r>
      <w:r>
        <w:rPr>
          <w:rFonts w:hint="eastAsia" w:ascii="仿宋" w:hAnsi="仿宋" w:eastAsia="仿宋" w:cs="仿宋"/>
          <w:color w:val="auto"/>
          <w:kern w:val="0"/>
          <w:sz w:val="24"/>
          <w:szCs w:val="24"/>
          <w:highlight w:val="none"/>
          <w:shd w:val="clear" w:color="auto" w:fill="FFFFFF" w:themeFill="background1"/>
        </w:rPr>
        <w:t>我单位</w:t>
      </w:r>
      <w:r>
        <w:rPr>
          <w:rFonts w:hint="eastAsia" w:ascii="仿宋" w:hAnsi="仿宋" w:eastAsia="仿宋" w:cs="仿宋"/>
          <w:color w:val="auto"/>
          <w:sz w:val="24"/>
          <w:szCs w:val="24"/>
          <w:highlight w:val="none"/>
          <w:shd w:val="clear" w:color="auto" w:fill="FFFFFF" w:themeFill="background1"/>
        </w:rPr>
        <w:t>将无条件退出本项目的</w:t>
      </w:r>
      <w:r>
        <w:rPr>
          <w:rFonts w:hint="eastAsia" w:ascii="仿宋" w:hAnsi="仿宋" w:eastAsia="仿宋" w:cs="仿宋"/>
          <w:color w:val="auto"/>
          <w:sz w:val="24"/>
          <w:szCs w:val="24"/>
          <w:highlight w:val="none"/>
          <w:shd w:val="clear" w:color="auto" w:fill="FFFFFF" w:themeFill="background1"/>
          <w:lang w:eastAsia="zh-CN"/>
        </w:rPr>
        <w:t>响应</w:t>
      </w:r>
      <w:r>
        <w:rPr>
          <w:rFonts w:hint="eastAsia" w:ascii="仿宋" w:hAnsi="仿宋" w:eastAsia="仿宋" w:cs="仿宋"/>
          <w:color w:val="auto"/>
          <w:sz w:val="24"/>
          <w:szCs w:val="24"/>
          <w:highlight w:val="none"/>
          <w:shd w:val="clear" w:color="auto" w:fill="FFFFFF" w:themeFill="background1"/>
        </w:rPr>
        <w:t>，并承担因此引起的一切后果。我方对此声明负全部法律责任。</w:t>
      </w:r>
    </w:p>
    <w:p w14:paraId="33689241">
      <w:pPr>
        <w:adjustRightInd w:val="0"/>
        <w:snapToGrid w:val="0"/>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特此声明！</w:t>
      </w:r>
    </w:p>
    <w:p w14:paraId="4F566CE2">
      <w:pPr>
        <w:adjustRightInd w:val="0"/>
        <w:snapToGrid w:val="0"/>
        <w:spacing w:line="360" w:lineRule="auto"/>
        <w:ind w:firstLine="480" w:firstLineChars="200"/>
        <w:rPr>
          <w:rFonts w:ascii="仿宋" w:hAnsi="仿宋" w:eastAsia="仿宋" w:cs="仿宋"/>
          <w:color w:val="auto"/>
          <w:sz w:val="24"/>
          <w:szCs w:val="24"/>
          <w:highlight w:val="none"/>
          <w:shd w:val="clear" w:color="auto" w:fill="FFFFFF" w:themeFill="background1"/>
        </w:rPr>
      </w:pPr>
    </w:p>
    <w:p w14:paraId="74DA0BD6">
      <w:pPr>
        <w:adjustRightInd w:val="0"/>
        <w:snapToGrid w:val="0"/>
        <w:spacing w:line="360" w:lineRule="auto"/>
        <w:ind w:firstLine="480" w:firstLineChars="200"/>
        <w:rPr>
          <w:rFonts w:ascii="仿宋" w:hAnsi="仿宋" w:eastAsia="仿宋" w:cs="仿宋"/>
          <w:color w:val="auto"/>
          <w:sz w:val="24"/>
          <w:szCs w:val="24"/>
          <w:highlight w:val="none"/>
          <w:shd w:val="clear" w:color="auto" w:fill="FFFFFF" w:themeFill="background1"/>
        </w:rPr>
      </w:pPr>
    </w:p>
    <w:p w14:paraId="5852F0BA">
      <w:pPr>
        <w:adjustRightInd w:val="0"/>
        <w:snapToGrid w:val="0"/>
        <w:spacing w:line="360" w:lineRule="auto"/>
        <w:ind w:firstLine="420" w:firstLineChars="200"/>
        <w:rPr>
          <w:rFonts w:ascii="仿宋" w:hAnsi="仿宋" w:eastAsia="仿宋" w:cs="仿宋"/>
          <w:color w:val="auto"/>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备注：</w:t>
      </w:r>
    </w:p>
    <w:p w14:paraId="005A8030">
      <w:pPr>
        <w:adjustRightInd w:val="0"/>
        <w:snapToGrid w:val="0"/>
        <w:spacing w:line="360" w:lineRule="auto"/>
        <w:ind w:firstLine="42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若供应商在响应文件递交截止之日成立时间不足三年，以自成立以来的时间计取。</w:t>
      </w:r>
    </w:p>
    <w:p w14:paraId="3C1D2031">
      <w:pPr>
        <w:adjustRightInd w:val="0"/>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p>
    <w:p w14:paraId="2C5C2153">
      <w:pPr>
        <w:adjustRightInd w:val="0"/>
        <w:snapToGrid w:val="0"/>
        <w:spacing w:line="360" w:lineRule="auto"/>
        <w:ind w:firstLine="3112" w:firstLineChars="1297"/>
        <w:rPr>
          <w:rFonts w:ascii="仿宋" w:hAnsi="仿宋" w:eastAsia="仿宋" w:cs="仿宋"/>
          <w:color w:val="auto"/>
          <w:sz w:val="24"/>
          <w:szCs w:val="24"/>
          <w:highlight w:val="none"/>
          <w:shd w:val="clear" w:color="auto" w:fill="FFFFFF" w:themeFill="background1"/>
        </w:rPr>
      </w:pPr>
    </w:p>
    <w:p w14:paraId="5912FB2E">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7B79A2C0">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shd w:val="clear" w:color="auto" w:fill="FFFFFF" w:themeFill="background1"/>
        </w:rPr>
      </w:pPr>
    </w:p>
    <w:p w14:paraId="11F21A05">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shd w:val="clear" w:color="auto" w:fill="FFFFFF" w:themeFill="background1"/>
        </w:rPr>
      </w:pPr>
    </w:p>
    <w:p w14:paraId="02774916">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57BC5A12">
      <w:pPr>
        <w:widowControl/>
        <w:shd w:val="clear" w:color="auto" w:fill="FFFFFF"/>
        <w:snapToGrid w:val="0"/>
        <w:spacing w:line="360" w:lineRule="auto"/>
        <w:ind w:firstLine="420"/>
        <w:rPr>
          <w:rFonts w:ascii="仿宋" w:hAnsi="仿宋" w:eastAsia="仿宋" w:cs="仿宋"/>
          <w:color w:val="auto"/>
          <w:kern w:val="0"/>
          <w:sz w:val="24"/>
          <w:szCs w:val="24"/>
          <w:highlight w:val="none"/>
          <w:shd w:val="clear" w:color="auto" w:fill="FFFFFF" w:themeFill="background1"/>
        </w:rPr>
      </w:pPr>
    </w:p>
    <w:p w14:paraId="1EA5DEA2">
      <w:pPr>
        <w:widowControl/>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br w:type="page"/>
      </w:r>
    </w:p>
    <w:p w14:paraId="3243DA24">
      <w:pPr>
        <w:spacing w:line="360" w:lineRule="auto"/>
        <w:rPr>
          <w:rFonts w:ascii="仿宋" w:hAnsi="仿宋" w:eastAsia="仿宋" w:cs="仿宋"/>
          <w:color w:val="auto"/>
          <w:sz w:val="24"/>
          <w:szCs w:val="24"/>
          <w:highlight w:val="none"/>
          <w:shd w:val="clear" w:color="auto" w:fill="FFFFFF" w:themeFill="background1"/>
        </w:rPr>
      </w:pPr>
    </w:p>
    <w:p w14:paraId="7480C1B9">
      <w:pPr>
        <w:adjustRightInd w:val="0"/>
        <w:snapToGrid w:val="0"/>
        <w:spacing w:line="360" w:lineRule="auto"/>
        <w:jc w:val="center"/>
        <w:outlineLvl w:val="1"/>
        <w:rPr>
          <w:rFonts w:ascii="仿宋" w:hAnsi="仿宋" w:eastAsia="仿宋" w:cs="仿宋"/>
          <w:b/>
          <w:color w:val="auto"/>
          <w:sz w:val="24"/>
          <w:szCs w:val="24"/>
          <w:highlight w:val="none"/>
          <w:shd w:val="clear" w:color="auto" w:fill="FFFFFF" w:themeFill="background1"/>
        </w:rPr>
      </w:pPr>
      <w:bookmarkStart w:id="757" w:name="_Toc128476882"/>
      <w:bookmarkStart w:id="758" w:name="_Toc27347"/>
      <w:bookmarkStart w:id="759" w:name="_Toc13660"/>
      <w:bookmarkStart w:id="760" w:name="_Toc6658"/>
      <w:bookmarkStart w:id="761" w:name="_Toc3900"/>
      <w:bookmarkStart w:id="762" w:name="_Toc2473"/>
      <w:bookmarkStart w:id="763" w:name="_Toc9405"/>
      <w:bookmarkStart w:id="764" w:name="_Toc15699"/>
      <w:bookmarkStart w:id="765" w:name="_Toc25153"/>
      <w:bookmarkStart w:id="766" w:name="_Toc10637"/>
      <w:bookmarkStart w:id="767" w:name="_Toc7301"/>
      <w:bookmarkStart w:id="768" w:name="_Toc23300"/>
      <w:bookmarkStart w:id="769" w:name="_Toc5985"/>
      <w:bookmarkStart w:id="770" w:name="_Toc5962"/>
      <w:bookmarkStart w:id="771" w:name="_Toc31056"/>
      <w:bookmarkStart w:id="772" w:name="_Toc113901853"/>
      <w:bookmarkStart w:id="773" w:name="_Toc16712"/>
      <w:bookmarkStart w:id="774" w:name="_Toc2371"/>
      <w:r>
        <w:rPr>
          <w:rFonts w:hint="eastAsia" w:ascii="仿宋" w:hAnsi="仿宋" w:eastAsia="仿宋" w:cs="仿宋"/>
          <w:b/>
          <w:color w:val="auto"/>
          <w:sz w:val="24"/>
          <w:szCs w:val="24"/>
          <w:highlight w:val="none"/>
          <w:shd w:val="clear" w:color="auto" w:fill="FFFFFF" w:themeFill="background1"/>
          <w:lang w:val="en-US" w:eastAsia="zh-CN"/>
        </w:rPr>
        <w:t>7</w:t>
      </w:r>
      <w:r>
        <w:rPr>
          <w:rFonts w:hint="eastAsia" w:ascii="仿宋" w:hAnsi="仿宋" w:eastAsia="仿宋" w:cs="仿宋"/>
          <w:b/>
          <w:color w:val="auto"/>
          <w:sz w:val="24"/>
          <w:szCs w:val="24"/>
          <w:highlight w:val="none"/>
          <w:shd w:val="clear" w:color="auto" w:fill="FFFFFF" w:themeFill="background1"/>
        </w:rPr>
        <w:t>.5、具备法律、行政法规规定的其他条件的证明材料</w:t>
      </w:r>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p w14:paraId="4EB6A566">
      <w:pPr>
        <w:widowControl/>
        <w:adjustRightInd w:val="0"/>
        <w:snapToGrid w:val="0"/>
        <w:spacing w:line="360" w:lineRule="auto"/>
        <w:rPr>
          <w:rFonts w:ascii="仿宋" w:hAnsi="仿宋" w:eastAsia="仿宋" w:cs="仿宋"/>
          <w:color w:val="auto"/>
          <w:sz w:val="24"/>
          <w:szCs w:val="24"/>
          <w:highlight w:val="none"/>
          <w:shd w:val="clear" w:color="auto" w:fill="FFFFFF" w:themeFill="background1"/>
        </w:rPr>
      </w:pPr>
    </w:p>
    <w:p w14:paraId="594CE736">
      <w:pPr>
        <w:widowControl/>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lang w:val="en-US" w:eastAsia="zh-CN"/>
        </w:rPr>
        <w:t>一、</w:t>
      </w:r>
      <w:r>
        <w:rPr>
          <w:rFonts w:hint="eastAsia" w:ascii="仿宋" w:hAnsi="仿宋" w:eastAsia="仿宋" w:cs="仿宋"/>
          <w:color w:val="auto"/>
          <w:sz w:val="24"/>
          <w:szCs w:val="24"/>
          <w:highlight w:val="none"/>
          <w:shd w:val="clear" w:color="auto" w:fill="FFFFFF" w:themeFill="background1"/>
        </w:rPr>
        <w:t>国家有关主管部门的行政许可（如有时）。</w:t>
      </w:r>
    </w:p>
    <w:p w14:paraId="09D73695">
      <w:pPr>
        <w:widowControl/>
        <w:adjustRightInd w:val="0"/>
        <w:snapToGrid w:val="0"/>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lang w:val="en-US" w:eastAsia="zh-CN"/>
        </w:rPr>
        <w:t>二</w:t>
      </w:r>
      <w:r>
        <w:rPr>
          <w:rFonts w:hint="eastAsia" w:ascii="仿宋" w:hAnsi="仿宋" w:eastAsia="仿宋" w:cs="仿宋"/>
          <w:color w:val="auto"/>
          <w:sz w:val="24"/>
          <w:szCs w:val="24"/>
          <w:highlight w:val="none"/>
          <w:shd w:val="clear" w:color="auto" w:fill="FFFFFF" w:themeFill="background1"/>
        </w:rPr>
        <w:t>、中小企业声明函/残疾人福利性单位声明函/监狱企业证明文件（如有时）。</w:t>
      </w:r>
    </w:p>
    <w:p w14:paraId="59462BEB">
      <w:pPr>
        <w:widowControl/>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16AC7F6C">
      <w:pPr>
        <w:pStyle w:val="44"/>
        <w:spacing w:line="360" w:lineRule="auto"/>
        <w:rPr>
          <w:rStyle w:val="51"/>
          <w:rFonts w:ascii="仿宋" w:hAnsi="仿宋" w:eastAsia="仿宋" w:cs="仿宋"/>
          <w:color w:val="auto"/>
          <w:highlight w:val="none"/>
          <w:shd w:val="clear" w:color="auto" w:fill="FFFFFF" w:themeFill="background1"/>
        </w:rPr>
      </w:pPr>
      <w:r>
        <w:rPr>
          <w:rFonts w:hint="eastAsia" w:ascii="仿宋" w:hAnsi="仿宋" w:eastAsia="仿宋" w:cs="仿宋"/>
          <w:color w:val="auto"/>
          <w:highlight w:val="none"/>
          <w:shd w:val="clear" w:color="auto" w:fill="FFFFFF" w:themeFill="background1"/>
        </w:rPr>
        <w:t xml:space="preserve"> </w:t>
      </w:r>
      <w:r>
        <w:rPr>
          <w:rStyle w:val="51"/>
          <w:rFonts w:hint="eastAsia" w:ascii="仿宋" w:hAnsi="仿宋" w:eastAsia="仿宋" w:cs="仿宋"/>
          <w:color w:val="auto"/>
          <w:highlight w:val="none"/>
          <w:shd w:val="clear" w:color="auto" w:fill="FFFFFF" w:themeFill="background1"/>
        </w:rPr>
        <w:t xml:space="preserve">附表一、                  </w:t>
      </w:r>
    </w:p>
    <w:p w14:paraId="3C238916">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b/>
          <w:color w:val="auto"/>
          <w:spacing w:val="6"/>
          <w:sz w:val="24"/>
          <w:szCs w:val="24"/>
          <w:highlight w:val="none"/>
          <w:shd w:val="clear" w:color="auto" w:fill="FFFFFF" w:themeFill="background1"/>
        </w:rPr>
      </w:pPr>
      <w:r>
        <w:rPr>
          <w:rFonts w:hint="eastAsia" w:ascii="仿宋" w:hAnsi="仿宋" w:eastAsia="仿宋" w:cs="仿宋"/>
          <w:b/>
          <w:color w:val="auto"/>
          <w:spacing w:val="6"/>
          <w:sz w:val="24"/>
          <w:szCs w:val="24"/>
          <w:highlight w:val="none"/>
          <w:shd w:val="clear" w:color="auto" w:fill="FFFFFF" w:themeFill="background1"/>
        </w:rPr>
        <w:t>中小企业声明函（工程、服务）</w:t>
      </w:r>
    </w:p>
    <w:p w14:paraId="1A01F5C3">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b/>
          <w:color w:val="auto"/>
          <w:spacing w:val="6"/>
          <w:sz w:val="24"/>
          <w:szCs w:val="24"/>
          <w:highlight w:val="none"/>
          <w:shd w:val="clear" w:color="auto" w:fill="FFFFFF" w:themeFill="background1"/>
        </w:rPr>
      </w:pPr>
    </w:p>
    <w:p w14:paraId="07A2E7E2">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本公司（联合体）郑重声明，根据《政府采购促进中小企业发展管理办法》（财库﹝2020﹞46 号）的规定，本公司</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（联合体）</w:t>
      </w:r>
      <w:r>
        <w:rPr>
          <w:rFonts w:hint="eastAsia" w:ascii="仿宋" w:hAnsi="仿宋" w:eastAsia="仿宋" w:cs="仿宋"/>
          <w:color w:val="auto"/>
          <w:kern w:val="0"/>
          <w:sz w:val="24"/>
          <w:szCs w:val="24"/>
          <w:highlight w:val="none"/>
          <w:shd w:val="clear" w:color="auto" w:fill="FFFFFF" w:themeFill="background1"/>
        </w:rPr>
        <w:t>参加</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（单位名称）</w:t>
      </w:r>
      <w:r>
        <w:rPr>
          <w:rFonts w:hint="eastAsia" w:ascii="仿宋" w:hAnsi="仿宋" w:eastAsia="仿宋" w:cs="仿宋"/>
          <w:color w:val="auto"/>
          <w:kern w:val="0"/>
          <w:sz w:val="24"/>
          <w:szCs w:val="24"/>
          <w:highlight w:val="none"/>
          <w:shd w:val="clear" w:color="auto" w:fill="FFFFFF" w:themeFill="background1"/>
        </w:rPr>
        <w:t>的</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（项目名称）</w:t>
      </w:r>
      <w:r>
        <w:rPr>
          <w:rFonts w:hint="eastAsia" w:ascii="仿宋" w:hAnsi="仿宋" w:eastAsia="仿宋" w:cs="仿宋"/>
          <w:color w:val="auto"/>
          <w:kern w:val="0"/>
          <w:sz w:val="24"/>
          <w:szCs w:val="24"/>
          <w:highlight w:val="none"/>
          <w:shd w:val="clear" w:color="auto" w:fill="FFFFFF" w:themeFill="background1"/>
        </w:rPr>
        <w:t>采购活动，工程的施工单位全部为符合政策要求的中小企业（或者：服务全部由符合政策要求的中小企业承接）。相关企业（含联合体中的中小企业、签订分包意向协议的中小企业）的具体情况如下：</w:t>
      </w:r>
    </w:p>
    <w:p w14:paraId="60E09EDD">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1. </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（标的名称）</w:t>
      </w:r>
      <w:r>
        <w:rPr>
          <w:rFonts w:hint="eastAsia" w:ascii="仿宋" w:hAnsi="仿宋" w:eastAsia="仿宋" w:cs="仿宋"/>
          <w:color w:val="auto"/>
          <w:kern w:val="0"/>
          <w:sz w:val="24"/>
          <w:szCs w:val="24"/>
          <w:highlight w:val="none"/>
          <w:shd w:val="clear" w:color="auto" w:fill="FFFFFF" w:themeFill="background1"/>
        </w:rPr>
        <w:t xml:space="preserve"> ，属于</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（采购文件中明确的所属行业）</w:t>
      </w:r>
      <w:r>
        <w:rPr>
          <w:rFonts w:hint="eastAsia" w:ascii="仿宋" w:hAnsi="仿宋" w:eastAsia="仿宋" w:cs="仿宋"/>
          <w:color w:val="auto"/>
          <w:kern w:val="0"/>
          <w:sz w:val="24"/>
          <w:szCs w:val="24"/>
          <w:highlight w:val="none"/>
          <w:shd w:val="clear" w:color="auto" w:fill="FFFFFF" w:themeFill="background1"/>
        </w:rPr>
        <w:t>；承建（承接）企业为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（企业名称）</w:t>
      </w:r>
      <w:r>
        <w:rPr>
          <w:rFonts w:hint="eastAsia" w:ascii="仿宋" w:hAnsi="仿宋" w:eastAsia="仿宋" w:cs="仿宋"/>
          <w:color w:val="auto"/>
          <w:kern w:val="0"/>
          <w:sz w:val="24"/>
          <w:szCs w:val="24"/>
          <w:highlight w:val="none"/>
          <w:shd w:val="clear" w:color="auto" w:fill="FFFFFF" w:themeFill="background1"/>
        </w:rPr>
        <w:t>，从业人员</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人，营业收入为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万元，资产总额为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万元，属于</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（中型企业、小型企业、微型企业</w:t>
      </w:r>
      <w:r>
        <w:rPr>
          <w:rFonts w:hint="eastAsia" w:ascii="仿宋" w:hAnsi="仿宋" w:eastAsia="仿宋" w:cs="仿宋"/>
          <w:color w:val="auto"/>
          <w:kern w:val="0"/>
          <w:sz w:val="24"/>
          <w:szCs w:val="24"/>
          <w:highlight w:val="none"/>
          <w:shd w:val="clear" w:color="auto" w:fill="FFFFFF" w:themeFill="background1"/>
        </w:rPr>
        <w:t>）；</w:t>
      </w:r>
    </w:p>
    <w:p w14:paraId="4BBA2011">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2.  </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（标的名称）</w:t>
      </w:r>
      <w:r>
        <w:rPr>
          <w:rFonts w:hint="eastAsia" w:ascii="仿宋" w:hAnsi="仿宋" w:eastAsia="仿宋" w:cs="仿宋"/>
          <w:color w:val="auto"/>
          <w:kern w:val="0"/>
          <w:sz w:val="24"/>
          <w:szCs w:val="24"/>
          <w:highlight w:val="none"/>
          <w:shd w:val="clear" w:color="auto" w:fill="FFFFFF" w:themeFill="background1"/>
        </w:rPr>
        <w:t xml:space="preserve"> ，属于</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（采购文件中明确的所属行业）</w:t>
      </w:r>
      <w:r>
        <w:rPr>
          <w:rFonts w:hint="eastAsia" w:ascii="仿宋" w:hAnsi="仿宋" w:eastAsia="仿宋" w:cs="仿宋"/>
          <w:color w:val="auto"/>
          <w:kern w:val="0"/>
          <w:sz w:val="24"/>
          <w:szCs w:val="24"/>
          <w:highlight w:val="none"/>
          <w:shd w:val="clear" w:color="auto" w:fill="FFFFFF" w:themeFill="background1"/>
        </w:rPr>
        <w:t>；承建（承接）企业为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（企业名称）</w:t>
      </w:r>
      <w:r>
        <w:rPr>
          <w:rFonts w:hint="eastAsia" w:ascii="仿宋" w:hAnsi="仿宋" w:eastAsia="仿宋" w:cs="仿宋"/>
          <w:color w:val="auto"/>
          <w:kern w:val="0"/>
          <w:sz w:val="24"/>
          <w:szCs w:val="24"/>
          <w:highlight w:val="none"/>
          <w:shd w:val="clear" w:color="auto" w:fill="FFFFFF" w:themeFill="background1"/>
        </w:rPr>
        <w:t>，从业人员</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人，营业收入为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万元，资产总额为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万元，属于</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（中型企业、小型企业、微型企业</w:t>
      </w:r>
      <w:r>
        <w:rPr>
          <w:rFonts w:hint="eastAsia" w:ascii="仿宋" w:hAnsi="仿宋" w:eastAsia="仿宋" w:cs="仿宋"/>
          <w:color w:val="auto"/>
          <w:kern w:val="0"/>
          <w:sz w:val="24"/>
          <w:szCs w:val="24"/>
          <w:highlight w:val="none"/>
          <w:shd w:val="clear" w:color="auto" w:fill="FFFFFF" w:themeFill="background1"/>
        </w:rPr>
        <w:t>）；</w:t>
      </w:r>
    </w:p>
    <w:p w14:paraId="7C9BC3DC">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w:t>
      </w:r>
    </w:p>
    <w:p w14:paraId="1AF11BEC">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以上企业，不属于大企业的分支机构，不存在控股股东为大企业的情形，也不存在与大企业的负责人为同一人的情形。</w:t>
      </w:r>
    </w:p>
    <w:p w14:paraId="742B25D9">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本企业对上述声明内容的真实性负责。如有虚假，将依法承担相应责任。</w:t>
      </w:r>
    </w:p>
    <w:p w14:paraId="31ABE044">
      <w:pPr>
        <w:keepLines w:val="0"/>
        <w:pageBreakBefore w:val="0"/>
        <w:kinsoku/>
        <w:overflowPunct/>
        <w:topLinePunct w:val="0"/>
        <w:bidi w:val="0"/>
        <w:spacing w:beforeAutospacing="0" w:afterAutospacing="0" w:line="360" w:lineRule="auto"/>
        <w:ind w:firstLine="480" w:firstLineChars="200"/>
        <w:jc w:val="right"/>
        <w:textAlignment w:val="auto"/>
        <w:rPr>
          <w:rFonts w:hint="eastAsia" w:ascii="仿宋" w:hAnsi="仿宋" w:eastAsia="仿宋" w:cs="仿宋"/>
          <w:color w:val="auto"/>
          <w:kern w:val="0"/>
          <w:sz w:val="24"/>
          <w:szCs w:val="24"/>
          <w:highlight w:val="none"/>
          <w:shd w:val="clear" w:color="auto" w:fill="FFFFFF" w:themeFill="background1"/>
        </w:rPr>
      </w:pPr>
    </w:p>
    <w:p w14:paraId="7DFF115E">
      <w:pPr>
        <w:keepLines w:val="0"/>
        <w:pageBreakBefore w:val="0"/>
        <w:kinsoku/>
        <w:overflowPunct/>
        <w:topLinePunct w:val="0"/>
        <w:bidi w:val="0"/>
        <w:spacing w:beforeAutospacing="0" w:afterAutospacing="0" w:line="360" w:lineRule="auto"/>
        <w:ind w:firstLine="480" w:firstLineChars="200"/>
        <w:jc w:val="center"/>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企业名称（盖章）：</w:t>
      </w:r>
    </w:p>
    <w:p w14:paraId="20C312E2">
      <w:pPr>
        <w:keepLines w:val="0"/>
        <w:pageBreakBefore w:val="0"/>
        <w:kinsoku/>
        <w:overflowPunct/>
        <w:topLinePunct w:val="0"/>
        <w:bidi w:val="0"/>
        <w:spacing w:beforeAutospacing="0" w:afterAutospacing="0" w:line="360" w:lineRule="auto"/>
        <w:ind w:right="480" w:firstLine="480" w:firstLineChars="200"/>
        <w:jc w:val="center"/>
        <w:textAlignment w:val="auto"/>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日期：</w:t>
      </w:r>
    </w:p>
    <w:p w14:paraId="6295B58C">
      <w:pPr>
        <w:keepLines w:val="0"/>
        <w:pageBreakBefore w:val="0"/>
        <w:kinsoku/>
        <w:overflowPunct/>
        <w:topLinePunct w:val="0"/>
        <w:bidi w:val="0"/>
        <w:spacing w:beforeAutospacing="0" w:afterAutospacing="0" w:line="360" w:lineRule="auto"/>
        <w:textAlignment w:val="auto"/>
        <w:rPr>
          <w:rFonts w:hint="eastAsia" w:ascii="仿宋" w:hAnsi="仿宋" w:eastAsia="仿宋" w:cs="仿宋"/>
          <w:color w:val="auto"/>
          <w:kern w:val="0"/>
          <w:sz w:val="24"/>
          <w:szCs w:val="24"/>
          <w:highlight w:val="none"/>
          <w:shd w:val="clear" w:color="auto" w:fill="FFFFFF" w:themeFill="background1"/>
        </w:rPr>
      </w:pPr>
    </w:p>
    <w:p w14:paraId="7D5190C0">
      <w:pPr>
        <w:keepLines w:val="0"/>
        <w:pageBreakBefore w:val="0"/>
        <w:kinsoku/>
        <w:overflowPunct/>
        <w:topLinePunct w:val="0"/>
        <w:bidi w:val="0"/>
        <w:spacing w:beforeAutospacing="0" w:afterAutospacing="0" w:line="360" w:lineRule="auto"/>
        <w:textAlignment w:val="auto"/>
        <w:rPr>
          <w:rStyle w:val="51"/>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注：人员、营业收入、资产总额填报上一年度数据，无上一年度数据的新成立企业可不填报。</w:t>
      </w:r>
    </w:p>
    <w:p w14:paraId="1F491522">
      <w:pPr>
        <w:spacing w:line="360" w:lineRule="auto"/>
        <w:rPr>
          <w:rStyle w:val="51"/>
          <w:rFonts w:ascii="仿宋" w:hAnsi="仿宋" w:eastAsia="仿宋" w:cs="仿宋"/>
          <w:color w:val="auto"/>
          <w:kern w:val="0"/>
          <w:sz w:val="24"/>
          <w:szCs w:val="24"/>
          <w:highlight w:val="none"/>
          <w:shd w:val="clear" w:color="auto" w:fill="FFFFFF" w:themeFill="background1"/>
        </w:rPr>
      </w:pPr>
    </w:p>
    <w:p w14:paraId="6B9D81F9">
      <w:pPr>
        <w:widowControl/>
        <w:spacing w:line="360" w:lineRule="auto"/>
        <w:jc w:val="left"/>
        <w:rPr>
          <w:rStyle w:val="51"/>
          <w:rFonts w:ascii="仿宋" w:hAnsi="仿宋" w:eastAsia="仿宋" w:cs="仿宋"/>
          <w:color w:val="auto"/>
          <w:kern w:val="0"/>
          <w:sz w:val="24"/>
          <w:szCs w:val="24"/>
          <w:highlight w:val="none"/>
          <w:shd w:val="clear" w:color="auto" w:fill="FFFFFF" w:themeFill="background1"/>
        </w:rPr>
      </w:pPr>
      <w:r>
        <w:rPr>
          <w:rStyle w:val="51"/>
          <w:rFonts w:hint="eastAsia" w:ascii="仿宋" w:hAnsi="仿宋" w:eastAsia="仿宋" w:cs="仿宋"/>
          <w:color w:val="auto"/>
          <w:kern w:val="0"/>
          <w:sz w:val="24"/>
          <w:szCs w:val="24"/>
          <w:highlight w:val="none"/>
          <w:shd w:val="clear" w:color="auto" w:fill="FFFFFF" w:themeFill="background1"/>
        </w:rPr>
        <w:br w:type="page"/>
      </w:r>
    </w:p>
    <w:p w14:paraId="260F46F6">
      <w:pPr>
        <w:keepLines w:val="0"/>
        <w:pageBreakBefore w:val="0"/>
        <w:widowControl/>
        <w:kinsoku/>
        <w:overflowPunct/>
        <w:topLinePunct w:val="0"/>
        <w:bidi w:val="0"/>
        <w:spacing w:beforeAutospacing="0" w:afterAutospacing="0" w:line="360" w:lineRule="auto"/>
        <w:jc w:val="left"/>
        <w:textAlignment w:val="auto"/>
        <w:rPr>
          <w:rFonts w:hint="eastAsia" w:ascii="仿宋" w:hAnsi="仿宋" w:eastAsia="仿宋" w:cs="仿宋"/>
          <w:color w:val="auto"/>
          <w:spacing w:val="6"/>
          <w:sz w:val="24"/>
          <w:szCs w:val="24"/>
          <w:highlight w:val="none"/>
          <w:shd w:val="clear" w:color="auto" w:fill="FFFFFF" w:themeFill="background1"/>
        </w:rPr>
      </w:pPr>
      <w:r>
        <w:rPr>
          <w:rStyle w:val="51"/>
          <w:rFonts w:hint="eastAsia" w:ascii="仿宋" w:hAnsi="仿宋" w:eastAsia="仿宋" w:cs="仿宋"/>
          <w:color w:val="auto"/>
          <w:kern w:val="0"/>
          <w:sz w:val="24"/>
          <w:szCs w:val="24"/>
          <w:highlight w:val="none"/>
          <w:shd w:val="clear" w:color="auto" w:fill="FFFFFF" w:themeFill="background1"/>
        </w:rPr>
        <w:t>附表二、</w:t>
      </w:r>
    </w:p>
    <w:p w14:paraId="06944F82">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b/>
          <w:color w:val="auto"/>
          <w:spacing w:val="6"/>
          <w:sz w:val="24"/>
          <w:szCs w:val="24"/>
          <w:highlight w:val="none"/>
          <w:shd w:val="clear" w:color="auto" w:fill="FFFFFF" w:themeFill="background1"/>
        </w:rPr>
      </w:pPr>
      <w:r>
        <w:rPr>
          <w:rFonts w:hint="eastAsia" w:ascii="仿宋" w:hAnsi="仿宋" w:eastAsia="仿宋" w:cs="仿宋"/>
          <w:b/>
          <w:color w:val="auto"/>
          <w:spacing w:val="6"/>
          <w:sz w:val="24"/>
          <w:szCs w:val="24"/>
          <w:highlight w:val="none"/>
          <w:shd w:val="clear" w:color="auto" w:fill="FFFFFF" w:themeFill="background1"/>
        </w:rPr>
        <w:t>残疾人福利性单位声明函</w:t>
      </w:r>
    </w:p>
    <w:p w14:paraId="733D7F29">
      <w:pPr>
        <w:keepLines w:val="0"/>
        <w:pageBreakBefore w:val="0"/>
        <w:kinsoku/>
        <w:overflowPunct/>
        <w:topLinePunct w:val="0"/>
        <w:bidi w:val="0"/>
        <w:spacing w:beforeAutospacing="0" w:afterAutospacing="0" w:line="360" w:lineRule="auto"/>
        <w:textAlignment w:val="auto"/>
        <w:rPr>
          <w:rFonts w:hint="eastAsia" w:ascii="仿宋" w:hAnsi="仿宋" w:eastAsia="仿宋" w:cs="仿宋"/>
          <w:b/>
          <w:color w:val="auto"/>
          <w:spacing w:val="6"/>
          <w:sz w:val="24"/>
          <w:szCs w:val="24"/>
          <w:highlight w:val="none"/>
          <w:shd w:val="clear" w:color="auto" w:fill="FFFFFF" w:themeFill="background1"/>
        </w:rPr>
      </w:pPr>
    </w:p>
    <w:p w14:paraId="766D551E">
      <w:pPr>
        <w:keepLines w:val="0"/>
        <w:pageBreakBefore w:val="0"/>
        <w:kinsoku/>
        <w:overflowPunct/>
        <w:topLinePunct w:val="0"/>
        <w:bidi w:val="0"/>
        <w:spacing w:beforeAutospacing="0" w:afterAutospacing="0" w:line="360" w:lineRule="auto"/>
        <w:ind w:firstLine="504" w:firstLineChars="200"/>
        <w:textAlignment w:val="auto"/>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本单位郑重声明，根据《财政部 民政部 中国残疾人联合会关于促进残疾人就业政府采购政策的通知》（财库</w:t>
      </w:r>
      <w:r>
        <w:rPr>
          <w:rFonts w:hint="eastAsia" w:ascii="仿宋" w:hAnsi="仿宋" w:eastAsia="仿宋" w:cs="仿宋"/>
          <w:color w:val="auto"/>
          <w:sz w:val="24"/>
          <w:szCs w:val="24"/>
          <w:highlight w:val="none"/>
          <w:shd w:val="clear" w:color="auto" w:fill="FFFFFF" w:themeFill="background1"/>
        </w:rPr>
        <w:t>〔2017〕 141</w:t>
      </w:r>
      <w:r>
        <w:rPr>
          <w:rFonts w:hint="eastAsia" w:ascii="仿宋" w:hAnsi="仿宋" w:eastAsia="仿宋" w:cs="仿宋"/>
          <w:color w:val="auto"/>
          <w:spacing w:val="6"/>
          <w:sz w:val="24"/>
          <w:szCs w:val="24"/>
          <w:highlight w:val="none"/>
          <w:shd w:val="clear" w:color="auto" w:fill="FFFFFF" w:themeFill="background1"/>
        </w:rPr>
        <w:t>号）的规定，本单位为符合条件的残疾人福利性单位，且本单位参加</w:t>
      </w:r>
      <w:r>
        <w:rPr>
          <w:rFonts w:hint="eastAsia" w:ascii="仿宋" w:hAnsi="仿宋" w:eastAsia="仿宋" w:cs="仿宋"/>
          <w:color w:val="auto"/>
          <w:spacing w:val="6"/>
          <w:sz w:val="24"/>
          <w:szCs w:val="24"/>
          <w:highlight w:val="none"/>
          <w:u w:val="single"/>
          <w:shd w:val="clear" w:color="auto" w:fill="FFFFFF" w:themeFill="background1"/>
          <w:lang w:val="en-US" w:eastAsia="zh-CN"/>
        </w:rPr>
        <w:t xml:space="preserve">   </w:t>
      </w:r>
      <w:r>
        <w:rPr>
          <w:rFonts w:hint="eastAsia" w:ascii="仿宋" w:hAnsi="仿宋" w:eastAsia="仿宋" w:cs="仿宋"/>
          <w:color w:val="auto"/>
          <w:spacing w:val="6"/>
          <w:sz w:val="24"/>
          <w:szCs w:val="24"/>
          <w:highlight w:val="none"/>
          <w:shd w:val="clear" w:color="auto" w:fill="FFFFFF" w:themeFill="background1"/>
        </w:rPr>
        <w:t>单位的</w:t>
      </w:r>
      <w:r>
        <w:rPr>
          <w:rFonts w:hint="eastAsia" w:ascii="仿宋" w:hAnsi="仿宋" w:eastAsia="仿宋" w:cs="仿宋"/>
          <w:color w:val="auto"/>
          <w:spacing w:val="6"/>
          <w:sz w:val="24"/>
          <w:szCs w:val="24"/>
          <w:highlight w:val="none"/>
          <w:u w:val="single"/>
          <w:shd w:val="clear" w:color="auto" w:fill="FFFFFF" w:themeFill="background1"/>
          <w:lang w:val="en-US" w:eastAsia="zh-CN"/>
        </w:rPr>
        <w:t xml:space="preserve">   </w:t>
      </w:r>
      <w:r>
        <w:rPr>
          <w:rFonts w:hint="eastAsia" w:ascii="仿宋" w:hAnsi="仿宋" w:eastAsia="仿宋" w:cs="仿宋"/>
          <w:color w:val="auto"/>
          <w:spacing w:val="6"/>
          <w:sz w:val="24"/>
          <w:szCs w:val="24"/>
          <w:highlight w:val="none"/>
          <w:shd w:val="clear" w:color="auto" w:fill="FFFFFF" w:themeFill="background1"/>
        </w:rPr>
        <w:t>项目采购活动提供本单位制造的货物（由本单位承担工程/提供服务），或者提供其他残疾人福利性单位制造的货物（不包括使用非残疾人福利性单位注册商标的货物）。</w:t>
      </w:r>
    </w:p>
    <w:p w14:paraId="682E2E90">
      <w:pPr>
        <w:keepLines w:val="0"/>
        <w:pageBreakBefore w:val="0"/>
        <w:kinsoku/>
        <w:overflowPunct/>
        <w:topLinePunct w:val="0"/>
        <w:bidi w:val="0"/>
        <w:spacing w:beforeAutospacing="0" w:afterAutospacing="0" w:line="360" w:lineRule="auto"/>
        <w:ind w:firstLine="504" w:firstLineChars="200"/>
        <w:textAlignment w:val="auto"/>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本单位对上述声明的真实性负责。如有虚假，将依法承担相应责任。</w:t>
      </w:r>
    </w:p>
    <w:p w14:paraId="16513C4D">
      <w:pPr>
        <w:keepLines w:val="0"/>
        <w:pageBreakBefore w:val="0"/>
        <w:kinsoku/>
        <w:overflowPunct/>
        <w:topLinePunct w:val="0"/>
        <w:bidi w:val="0"/>
        <w:spacing w:beforeAutospacing="0" w:afterAutospacing="0" w:line="360" w:lineRule="auto"/>
        <w:ind w:firstLine="504" w:firstLineChars="200"/>
        <w:textAlignment w:val="auto"/>
        <w:rPr>
          <w:rFonts w:hint="eastAsia" w:ascii="仿宋" w:hAnsi="仿宋" w:eastAsia="仿宋" w:cs="仿宋"/>
          <w:color w:val="auto"/>
          <w:spacing w:val="6"/>
          <w:sz w:val="24"/>
          <w:szCs w:val="24"/>
          <w:highlight w:val="none"/>
          <w:shd w:val="clear" w:color="auto" w:fill="FFFFFF" w:themeFill="background1"/>
        </w:rPr>
      </w:pPr>
    </w:p>
    <w:p w14:paraId="0144CAD3">
      <w:pPr>
        <w:keepLines w:val="0"/>
        <w:pageBreakBefore w:val="0"/>
        <w:kinsoku/>
        <w:overflowPunct/>
        <w:topLinePunct w:val="0"/>
        <w:bidi w:val="0"/>
        <w:spacing w:beforeAutospacing="0" w:afterAutospacing="0" w:line="360" w:lineRule="auto"/>
        <w:ind w:firstLine="504" w:firstLineChars="200"/>
        <w:textAlignment w:val="auto"/>
        <w:rPr>
          <w:rFonts w:hint="eastAsia" w:ascii="仿宋" w:hAnsi="仿宋" w:eastAsia="仿宋" w:cs="仿宋"/>
          <w:color w:val="auto"/>
          <w:spacing w:val="6"/>
          <w:sz w:val="24"/>
          <w:szCs w:val="24"/>
          <w:highlight w:val="none"/>
          <w:shd w:val="clear" w:color="auto" w:fill="FFFFFF" w:themeFill="background1"/>
        </w:rPr>
      </w:pPr>
    </w:p>
    <w:p w14:paraId="5D530EE1">
      <w:pPr>
        <w:keepLines w:val="0"/>
        <w:pageBreakBefore w:val="0"/>
        <w:tabs>
          <w:tab w:val="left" w:pos="4860"/>
        </w:tabs>
        <w:kinsoku/>
        <w:overflowPunct/>
        <w:topLinePunct w:val="0"/>
        <w:bidi w:val="0"/>
        <w:spacing w:beforeAutospacing="0" w:afterAutospacing="0" w:line="360" w:lineRule="auto"/>
        <w:ind w:right="1560" w:firstLine="504" w:firstLineChars="200"/>
        <w:textAlignment w:val="auto"/>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单位名称（盖章）：</w:t>
      </w:r>
    </w:p>
    <w:p w14:paraId="67F068F5">
      <w:pPr>
        <w:keepLines w:val="0"/>
        <w:pageBreakBefore w:val="0"/>
        <w:tabs>
          <w:tab w:val="left" w:pos="4860"/>
        </w:tabs>
        <w:kinsoku/>
        <w:overflowPunct/>
        <w:topLinePunct w:val="0"/>
        <w:bidi w:val="0"/>
        <w:spacing w:beforeAutospacing="0" w:afterAutospacing="0" w:line="360" w:lineRule="auto"/>
        <w:ind w:right="1560" w:firstLine="504" w:firstLineChars="200"/>
        <w:jc w:val="center"/>
        <w:textAlignment w:val="auto"/>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 xml:space="preserve">                                           日  期：</w:t>
      </w:r>
    </w:p>
    <w:p w14:paraId="266712F0">
      <w:pPr>
        <w:keepLines w:val="0"/>
        <w:pageBreakBefore w:val="0"/>
        <w:kinsoku/>
        <w:overflowPunct/>
        <w:topLinePunct w:val="0"/>
        <w:bidi w:val="0"/>
        <w:spacing w:beforeAutospacing="0" w:afterAutospacing="0" w:line="360" w:lineRule="auto"/>
        <w:textAlignment w:val="auto"/>
        <w:rPr>
          <w:rFonts w:hint="eastAsia" w:ascii="仿宋" w:hAnsi="仿宋" w:eastAsia="仿宋" w:cs="仿宋"/>
          <w:color w:val="auto"/>
          <w:sz w:val="24"/>
          <w:szCs w:val="24"/>
          <w:highlight w:val="none"/>
          <w:shd w:val="clear" w:color="auto" w:fill="FFFFFF" w:themeFill="background1"/>
        </w:rPr>
      </w:pPr>
    </w:p>
    <w:p w14:paraId="0BDD7EAA">
      <w:pPr>
        <w:keepLines w:val="0"/>
        <w:pageBreakBefore w:val="0"/>
        <w:kinsoku/>
        <w:overflowPunct/>
        <w:topLinePunct w:val="0"/>
        <w:bidi w:val="0"/>
        <w:spacing w:beforeAutospacing="0" w:afterAutospacing="0" w:line="360" w:lineRule="auto"/>
        <w:textAlignment w:val="auto"/>
        <w:rPr>
          <w:rFonts w:hint="eastAsia" w:ascii="仿宋" w:hAnsi="仿宋" w:eastAsia="仿宋" w:cs="仿宋"/>
          <w:color w:val="auto"/>
          <w:sz w:val="24"/>
          <w:szCs w:val="24"/>
          <w:highlight w:val="none"/>
          <w:shd w:val="clear" w:color="auto" w:fill="FFFFFF" w:themeFill="background1"/>
        </w:rPr>
      </w:pPr>
    </w:p>
    <w:p w14:paraId="3D835BE4">
      <w:pPr>
        <w:keepLines w:val="0"/>
        <w:pageBreakBefore w:val="0"/>
        <w:kinsoku/>
        <w:overflowPunct/>
        <w:topLinePunct w:val="0"/>
        <w:bidi w:val="0"/>
        <w:spacing w:beforeAutospacing="0" w:afterAutospacing="0" w:line="360" w:lineRule="auto"/>
        <w:textAlignment w:val="auto"/>
        <w:rPr>
          <w:rFonts w:hint="eastAsia" w:ascii="仿宋" w:hAnsi="仿宋" w:eastAsia="仿宋" w:cs="仿宋"/>
          <w:color w:val="auto"/>
          <w:sz w:val="24"/>
          <w:szCs w:val="24"/>
          <w:highlight w:val="none"/>
          <w:shd w:val="clear" w:color="auto" w:fill="FFFFFF" w:themeFill="background1"/>
        </w:rPr>
      </w:pPr>
    </w:p>
    <w:p w14:paraId="5833483C">
      <w:pPr>
        <w:keepLines w:val="0"/>
        <w:pageBreakBefore w:val="0"/>
        <w:widowControl/>
        <w:kinsoku/>
        <w:overflowPunct/>
        <w:topLinePunct w:val="0"/>
        <w:bidi w:val="0"/>
        <w:spacing w:beforeAutospacing="0" w:afterAutospacing="0" w:line="360" w:lineRule="auto"/>
        <w:jc w:val="left"/>
        <w:textAlignment w:val="auto"/>
        <w:rPr>
          <w:rStyle w:val="51"/>
          <w:rFonts w:hint="eastAsia" w:ascii="仿宋" w:hAnsi="仿宋" w:eastAsia="仿宋" w:cs="仿宋"/>
          <w:b w:val="0"/>
          <w:color w:val="auto"/>
          <w:sz w:val="24"/>
          <w:szCs w:val="24"/>
          <w:highlight w:val="none"/>
          <w:shd w:val="clear" w:color="auto" w:fill="FFFFFF" w:themeFill="background1"/>
        </w:rPr>
      </w:pPr>
      <w:r>
        <w:rPr>
          <w:rStyle w:val="51"/>
          <w:rFonts w:hint="eastAsia" w:ascii="仿宋" w:hAnsi="仿宋" w:eastAsia="仿宋" w:cs="仿宋"/>
          <w:color w:val="auto"/>
          <w:kern w:val="0"/>
          <w:sz w:val="24"/>
          <w:szCs w:val="24"/>
          <w:highlight w:val="none"/>
          <w:shd w:val="clear" w:color="auto" w:fill="FFFFFF" w:themeFill="background1"/>
        </w:rPr>
        <w:t>附表三、</w:t>
      </w:r>
    </w:p>
    <w:p w14:paraId="7FAA2313">
      <w:pPr>
        <w:keepLines w:val="0"/>
        <w:pageBreakBefore w:val="0"/>
        <w:kinsoku/>
        <w:overflowPunct/>
        <w:topLinePunct w:val="0"/>
        <w:bidi w:val="0"/>
        <w:spacing w:beforeAutospacing="0" w:afterAutospacing="0" w:line="360" w:lineRule="auto"/>
        <w:jc w:val="center"/>
        <w:textAlignment w:val="auto"/>
        <w:rPr>
          <w:rStyle w:val="51"/>
          <w:rFonts w:hint="eastAsia" w:ascii="仿宋" w:hAnsi="仿宋" w:eastAsia="仿宋" w:cs="仿宋"/>
          <w:b w:val="0"/>
          <w:color w:val="auto"/>
          <w:kern w:val="0"/>
          <w:sz w:val="24"/>
          <w:szCs w:val="24"/>
          <w:highlight w:val="none"/>
          <w:shd w:val="clear" w:color="auto" w:fill="FFFFFF" w:themeFill="background1"/>
        </w:rPr>
      </w:pPr>
      <w:r>
        <w:rPr>
          <w:rStyle w:val="51"/>
          <w:rFonts w:hint="eastAsia" w:ascii="仿宋" w:hAnsi="仿宋" w:eastAsia="仿宋" w:cs="仿宋"/>
          <w:color w:val="auto"/>
          <w:kern w:val="0"/>
          <w:sz w:val="24"/>
          <w:szCs w:val="24"/>
          <w:highlight w:val="none"/>
          <w:shd w:val="clear" w:color="auto" w:fill="FFFFFF" w:themeFill="background1"/>
        </w:rPr>
        <w:t>监狱企业证明文件</w:t>
      </w:r>
    </w:p>
    <w:p w14:paraId="0A2F6C17">
      <w:pPr>
        <w:keepLines w:val="0"/>
        <w:pageBreakBefore w:val="0"/>
        <w:kinsoku/>
        <w:overflowPunct/>
        <w:topLinePunct w:val="0"/>
        <w:bidi w:val="0"/>
        <w:spacing w:beforeAutospacing="0" w:afterAutospacing="0" w:line="360" w:lineRule="auto"/>
        <w:ind w:firstLine="504" w:firstLineChars="200"/>
        <w:textAlignment w:val="auto"/>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监狱企业参加政府采购活动时，应当提供由省级以上监狱管理局、戒毒管理局（含新疆生产建设兵团）出具的属于监狱企业的证明文件。</w:t>
      </w:r>
    </w:p>
    <w:p w14:paraId="38A1F61C">
      <w:pPr>
        <w:spacing w:line="360" w:lineRule="auto"/>
        <w:ind w:firstLine="504" w:firstLineChars="200"/>
        <w:rPr>
          <w:rFonts w:ascii="仿宋" w:hAnsi="仿宋" w:eastAsia="仿宋" w:cs="仿宋"/>
          <w:color w:val="auto"/>
          <w:spacing w:val="6"/>
          <w:sz w:val="24"/>
          <w:szCs w:val="24"/>
          <w:highlight w:val="none"/>
          <w:shd w:val="clear" w:color="auto" w:fill="FFFFFF" w:themeFill="background1"/>
        </w:rPr>
      </w:pPr>
    </w:p>
    <w:p w14:paraId="2C85882D">
      <w:pPr>
        <w:widowControl/>
        <w:adjustRightInd w:val="0"/>
        <w:snapToGrid w:val="0"/>
        <w:spacing w:line="360" w:lineRule="auto"/>
        <w:rPr>
          <w:rFonts w:ascii="仿宋" w:hAnsi="仿宋" w:eastAsia="仿宋" w:cs="仿宋"/>
          <w:color w:val="auto"/>
          <w:sz w:val="24"/>
          <w:szCs w:val="24"/>
          <w:highlight w:val="none"/>
          <w:shd w:val="clear" w:color="auto" w:fill="FFFFFF" w:themeFill="background1"/>
        </w:rPr>
      </w:pPr>
    </w:p>
    <w:p w14:paraId="382BD7DB">
      <w:pPr>
        <w:widowControl/>
        <w:shd w:val="clear" w:color="auto" w:fill="FFFFFF"/>
        <w:snapToGrid w:val="0"/>
        <w:spacing w:line="360" w:lineRule="auto"/>
        <w:ind w:firstLine="420"/>
        <w:rPr>
          <w:rFonts w:ascii="仿宋" w:hAnsi="仿宋" w:eastAsia="仿宋" w:cs="仿宋"/>
          <w:color w:val="auto"/>
          <w:kern w:val="0"/>
          <w:sz w:val="24"/>
          <w:szCs w:val="24"/>
          <w:highlight w:val="none"/>
          <w:shd w:val="clear" w:color="auto" w:fill="FFFFFF" w:themeFill="background1"/>
        </w:rPr>
      </w:pPr>
    </w:p>
    <w:p w14:paraId="13D7925A">
      <w:pPr>
        <w:widowControl/>
        <w:spacing w:line="360" w:lineRule="auto"/>
        <w:jc w:val="left"/>
        <w:rPr>
          <w:rFonts w:ascii="仿宋" w:hAnsi="仿宋" w:eastAsia="仿宋" w:cs="仿宋"/>
          <w:color w:val="auto"/>
          <w:sz w:val="24"/>
          <w:szCs w:val="24"/>
          <w:highlight w:val="none"/>
          <w:shd w:val="clear" w:color="auto" w:fill="FFFFFF" w:themeFill="background1"/>
        </w:rPr>
      </w:pPr>
    </w:p>
    <w:p w14:paraId="12068DC6">
      <w:pPr>
        <w:widowControl/>
        <w:spacing w:line="360" w:lineRule="auto"/>
        <w:jc w:val="left"/>
        <w:rPr>
          <w:rFonts w:ascii="仿宋" w:hAnsi="仿宋" w:eastAsia="仿宋" w:cs="仿宋"/>
          <w:b/>
          <w:color w:val="auto"/>
          <w:sz w:val="24"/>
          <w:szCs w:val="24"/>
          <w:highlight w:val="none"/>
          <w:shd w:val="clear" w:color="auto" w:fill="FFFFFF" w:themeFill="background1"/>
        </w:rPr>
      </w:pPr>
    </w:p>
    <w:p w14:paraId="02F3B6E4">
      <w:pPr>
        <w:widowControl/>
        <w:spacing w:line="360" w:lineRule="auto"/>
        <w:jc w:val="left"/>
        <w:rPr>
          <w:rFonts w:ascii="仿宋" w:hAnsi="仿宋" w:eastAsia="仿宋" w:cs="仿宋"/>
          <w:b/>
          <w:color w:val="auto"/>
          <w:sz w:val="24"/>
          <w:szCs w:val="24"/>
          <w:highlight w:val="none"/>
          <w:shd w:val="clear" w:color="auto" w:fill="FFFFFF" w:themeFill="background1"/>
        </w:rPr>
      </w:pPr>
    </w:p>
    <w:p w14:paraId="4D859335">
      <w:pPr>
        <w:widowControl/>
        <w:spacing w:line="360" w:lineRule="auto"/>
        <w:jc w:val="left"/>
        <w:rPr>
          <w:rFonts w:ascii="仿宋" w:hAnsi="仿宋" w:eastAsia="仿宋" w:cs="仿宋"/>
          <w:b/>
          <w:color w:val="auto"/>
          <w:sz w:val="24"/>
          <w:szCs w:val="24"/>
          <w:highlight w:val="none"/>
          <w:shd w:val="clear" w:color="auto" w:fill="FFFFFF" w:themeFill="background1"/>
        </w:rPr>
      </w:pPr>
    </w:p>
    <w:p w14:paraId="6EC6A978">
      <w:pPr>
        <w:widowControl/>
        <w:spacing w:line="360" w:lineRule="auto"/>
        <w:jc w:val="left"/>
        <w:rPr>
          <w:rFonts w:ascii="仿宋" w:hAnsi="仿宋" w:eastAsia="仿宋" w:cs="仿宋"/>
          <w:b/>
          <w:color w:val="auto"/>
          <w:sz w:val="24"/>
          <w:szCs w:val="24"/>
          <w:highlight w:val="none"/>
          <w:shd w:val="clear" w:color="auto" w:fill="FFFFFF" w:themeFill="background1"/>
        </w:rPr>
      </w:pPr>
    </w:p>
    <w:p w14:paraId="4934247C">
      <w:pPr>
        <w:widowControl/>
        <w:spacing w:line="360" w:lineRule="auto"/>
        <w:jc w:val="left"/>
        <w:rPr>
          <w:rFonts w:ascii="仿宋" w:hAnsi="仿宋" w:eastAsia="仿宋" w:cs="仿宋"/>
          <w:b/>
          <w:color w:val="auto"/>
          <w:sz w:val="24"/>
          <w:szCs w:val="24"/>
          <w:highlight w:val="none"/>
          <w:shd w:val="clear" w:color="auto" w:fill="FFFFFF" w:themeFill="background1"/>
        </w:rPr>
      </w:pPr>
    </w:p>
    <w:p w14:paraId="27C1C452">
      <w:pPr>
        <w:widowControl/>
        <w:spacing w:line="360" w:lineRule="auto"/>
        <w:jc w:val="left"/>
        <w:rPr>
          <w:rFonts w:ascii="仿宋" w:hAnsi="仿宋" w:eastAsia="仿宋" w:cs="仿宋"/>
          <w:b/>
          <w:color w:val="auto"/>
          <w:sz w:val="24"/>
          <w:szCs w:val="24"/>
          <w:highlight w:val="none"/>
          <w:shd w:val="clear" w:color="auto" w:fill="FFFFFF" w:themeFill="background1"/>
        </w:rPr>
      </w:pPr>
    </w:p>
    <w:p w14:paraId="365FFFBD">
      <w:pPr>
        <w:widowControl/>
        <w:jc w:val="left"/>
        <w:rPr>
          <w:rFonts w:ascii="仿宋" w:hAnsi="仿宋" w:eastAsia="仿宋" w:cs="仿宋"/>
          <w:b/>
          <w:color w:val="auto"/>
          <w:sz w:val="24"/>
          <w:szCs w:val="24"/>
          <w:highlight w:val="none"/>
          <w:shd w:val="clear" w:color="auto" w:fill="FFFFFF" w:themeFill="background1"/>
        </w:rPr>
      </w:pPr>
      <w:bookmarkStart w:id="775" w:name="_Toc533503190"/>
      <w:bookmarkStart w:id="776" w:name="_Toc38446479"/>
      <w:bookmarkStart w:id="777" w:name="_Toc507586174"/>
      <w:r>
        <w:rPr>
          <w:rFonts w:hint="eastAsia" w:ascii="仿宋" w:hAnsi="仿宋" w:eastAsia="仿宋" w:cs="仿宋"/>
          <w:b/>
          <w:color w:val="auto"/>
          <w:sz w:val="24"/>
          <w:szCs w:val="24"/>
          <w:highlight w:val="none"/>
          <w:shd w:val="clear" w:color="auto" w:fill="FFFFFF" w:themeFill="background1"/>
        </w:rPr>
        <w:br w:type="page"/>
      </w:r>
    </w:p>
    <w:p w14:paraId="4C313285">
      <w:pPr>
        <w:tabs>
          <w:tab w:val="center" w:pos="4832"/>
          <w:tab w:val="left" w:pos="7140"/>
        </w:tabs>
        <w:spacing w:line="360" w:lineRule="auto"/>
        <w:jc w:val="center"/>
        <w:outlineLvl w:val="1"/>
        <w:rPr>
          <w:rFonts w:ascii="仿宋" w:hAnsi="仿宋" w:eastAsia="仿宋" w:cs="仿宋"/>
          <w:b/>
          <w:bCs/>
          <w:color w:val="auto"/>
          <w:sz w:val="24"/>
          <w:szCs w:val="24"/>
          <w:highlight w:val="none"/>
          <w:shd w:val="clear" w:color="auto" w:fill="FFFFFF" w:themeFill="background1"/>
        </w:rPr>
      </w:pPr>
      <w:bookmarkStart w:id="778" w:name="_Toc1116"/>
      <w:bookmarkStart w:id="779" w:name="_Toc2557"/>
      <w:bookmarkStart w:id="780" w:name="_Toc5096"/>
      <w:r>
        <w:rPr>
          <w:rFonts w:hint="eastAsia" w:ascii="仿宋" w:hAnsi="仿宋" w:eastAsia="仿宋" w:cs="仿宋"/>
          <w:b/>
          <w:color w:val="auto"/>
          <w:sz w:val="24"/>
          <w:szCs w:val="24"/>
          <w:highlight w:val="none"/>
          <w:shd w:val="clear" w:color="auto" w:fill="FFFFFF" w:themeFill="background1"/>
          <w:lang w:val="en-US" w:eastAsia="zh-CN"/>
        </w:rPr>
        <w:t>八</w:t>
      </w:r>
      <w:r>
        <w:rPr>
          <w:rFonts w:hint="eastAsia" w:ascii="仿宋" w:hAnsi="仿宋" w:eastAsia="仿宋" w:cs="仿宋"/>
          <w:b/>
          <w:color w:val="auto"/>
          <w:sz w:val="24"/>
          <w:szCs w:val="24"/>
          <w:highlight w:val="none"/>
          <w:shd w:val="clear" w:color="auto" w:fill="FFFFFF" w:themeFill="background1"/>
        </w:rPr>
        <w:t>、</w:t>
      </w:r>
      <w:r>
        <w:rPr>
          <w:rFonts w:hint="eastAsia" w:ascii="仿宋" w:hAnsi="仿宋" w:eastAsia="仿宋" w:cs="仿宋"/>
          <w:b/>
          <w:color w:val="auto"/>
          <w:sz w:val="24"/>
          <w:szCs w:val="24"/>
          <w:highlight w:val="none"/>
          <w:shd w:val="clear" w:color="auto" w:fill="FFFFFF" w:themeFill="background1"/>
          <w:lang w:val="en-US" w:eastAsia="zh-CN"/>
        </w:rPr>
        <w:t>供应商</w:t>
      </w:r>
      <w:r>
        <w:rPr>
          <w:rFonts w:hint="eastAsia" w:ascii="仿宋" w:hAnsi="仿宋" w:eastAsia="仿宋" w:cs="仿宋"/>
          <w:b/>
          <w:bCs/>
          <w:color w:val="auto"/>
          <w:sz w:val="24"/>
          <w:szCs w:val="24"/>
          <w:highlight w:val="none"/>
          <w:shd w:val="clear" w:color="auto" w:fill="FFFFFF" w:themeFill="background1"/>
        </w:rPr>
        <w:t>类似项目业绩表</w:t>
      </w:r>
      <w:bookmarkEnd w:id="775"/>
      <w:bookmarkEnd w:id="776"/>
      <w:bookmarkEnd w:id="777"/>
      <w:bookmarkEnd w:id="778"/>
      <w:bookmarkEnd w:id="779"/>
      <w:bookmarkEnd w:id="780"/>
    </w:p>
    <w:p w14:paraId="68D67FCF">
      <w:pPr>
        <w:spacing w:line="360" w:lineRule="auto"/>
        <w:jc w:val="left"/>
        <w:rPr>
          <w:rFonts w:ascii="仿宋" w:hAnsi="仿宋" w:eastAsia="仿宋" w:cs="仿宋"/>
          <w:color w:val="auto"/>
          <w:sz w:val="24"/>
          <w:szCs w:val="24"/>
          <w:highlight w:val="none"/>
          <w:shd w:val="clear" w:color="auto" w:fill="FFFFFF" w:themeFill="background1"/>
        </w:rPr>
      </w:pPr>
    </w:p>
    <w:tbl>
      <w:tblPr>
        <w:tblStyle w:val="49"/>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1"/>
        <w:gridCol w:w="1549"/>
        <w:gridCol w:w="1134"/>
        <w:gridCol w:w="1369"/>
        <w:gridCol w:w="1194"/>
        <w:gridCol w:w="1213"/>
        <w:gridCol w:w="1213"/>
        <w:gridCol w:w="787"/>
      </w:tblGrid>
      <w:tr w14:paraId="43957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158EE3BB">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序号</w:t>
            </w:r>
          </w:p>
        </w:tc>
        <w:tc>
          <w:tcPr>
            <w:tcW w:w="1549" w:type="dxa"/>
            <w:tcBorders>
              <w:top w:val="single" w:color="000000" w:sz="4" w:space="0"/>
              <w:left w:val="single" w:color="000000" w:sz="4" w:space="0"/>
              <w:bottom w:val="single" w:color="000000" w:sz="4" w:space="0"/>
              <w:right w:val="single" w:color="000000" w:sz="4" w:space="0"/>
            </w:tcBorders>
            <w:vAlign w:val="center"/>
          </w:tcPr>
          <w:p w14:paraId="547EF9E7">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项目名称</w:t>
            </w:r>
          </w:p>
        </w:tc>
        <w:tc>
          <w:tcPr>
            <w:tcW w:w="1134" w:type="dxa"/>
            <w:tcBorders>
              <w:top w:val="single" w:color="000000" w:sz="4" w:space="0"/>
              <w:left w:val="single" w:color="000000" w:sz="4" w:space="0"/>
              <w:bottom w:val="single" w:color="000000" w:sz="4" w:space="0"/>
              <w:right w:val="single" w:color="000000" w:sz="4" w:space="0"/>
            </w:tcBorders>
            <w:vAlign w:val="center"/>
          </w:tcPr>
          <w:p w14:paraId="530CC87D">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采购人</w:t>
            </w:r>
          </w:p>
        </w:tc>
        <w:tc>
          <w:tcPr>
            <w:tcW w:w="1369" w:type="dxa"/>
            <w:tcBorders>
              <w:top w:val="single" w:color="000000" w:sz="4" w:space="0"/>
              <w:left w:val="single" w:color="000000" w:sz="4" w:space="0"/>
              <w:bottom w:val="single" w:color="000000" w:sz="4" w:space="0"/>
              <w:right w:val="single" w:color="000000" w:sz="4" w:space="0"/>
            </w:tcBorders>
            <w:vAlign w:val="center"/>
          </w:tcPr>
          <w:p w14:paraId="3129526E">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采购人</w:t>
            </w:r>
          </w:p>
          <w:p w14:paraId="71E96973">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联系方式</w:t>
            </w:r>
          </w:p>
        </w:tc>
        <w:tc>
          <w:tcPr>
            <w:tcW w:w="1194" w:type="dxa"/>
            <w:tcBorders>
              <w:top w:val="single" w:color="000000" w:sz="4" w:space="0"/>
              <w:left w:val="single" w:color="000000" w:sz="4" w:space="0"/>
              <w:bottom w:val="single" w:color="000000" w:sz="4" w:space="0"/>
              <w:right w:val="single" w:color="000000" w:sz="4" w:space="0"/>
            </w:tcBorders>
            <w:vAlign w:val="center"/>
          </w:tcPr>
          <w:p w14:paraId="283593AA">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项目规模</w:t>
            </w:r>
          </w:p>
        </w:tc>
        <w:tc>
          <w:tcPr>
            <w:tcW w:w="1213" w:type="dxa"/>
            <w:tcBorders>
              <w:top w:val="single" w:color="000000" w:sz="4" w:space="0"/>
              <w:left w:val="single" w:color="000000" w:sz="4" w:space="0"/>
              <w:bottom w:val="single" w:color="000000" w:sz="4" w:space="0"/>
              <w:right w:val="single" w:color="000000" w:sz="4" w:space="0"/>
            </w:tcBorders>
            <w:vAlign w:val="center"/>
          </w:tcPr>
          <w:p w14:paraId="5C6B73EE">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合同金额</w:t>
            </w:r>
          </w:p>
        </w:tc>
        <w:tc>
          <w:tcPr>
            <w:tcW w:w="1213" w:type="dxa"/>
            <w:tcBorders>
              <w:top w:val="single" w:color="000000" w:sz="4" w:space="0"/>
              <w:left w:val="single" w:color="000000" w:sz="4" w:space="0"/>
              <w:bottom w:val="single" w:color="000000" w:sz="4" w:space="0"/>
              <w:right w:val="single" w:color="000000" w:sz="4" w:space="0"/>
            </w:tcBorders>
            <w:vAlign w:val="center"/>
          </w:tcPr>
          <w:p w14:paraId="32E3C5B9">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合同日期</w:t>
            </w:r>
          </w:p>
        </w:tc>
        <w:tc>
          <w:tcPr>
            <w:tcW w:w="787" w:type="dxa"/>
            <w:tcBorders>
              <w:top w:val="single" w:color="000000" w:sz="4" w:space="0"/>
              <w:left w:val="single" w:color="000000" w:sz="4" w:space="0"/>
              <w:bottom w:val="single" w:color="000000" w:sz="4" w:space="0"/>
              <w:right w:val="single" w:color="000000" w:sz="4" w:space="0"/>
            </w:tcBorders>
            <w:vAlign w:val="center"/>
          </w:tcPr>
          <w:p w14:paraId="02B7A9A2">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备注</w:t>
            </w:r>
          </w:p>
        </w:tc>
      </w:tr>
      <w:tr w14:paraId="71826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62F3739F">
            <w:pPr>
              <w:jc w:val="center"/>
              <w:rPr>
                <w:rFonts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64AE7B18">
            <w:pPr>
              <w:jc w:val="center"/>
              <w:rPr>
                <w:rFonts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3AA5401">
            <w:pPr>
              <w:jc w:val="center"/>
              <w:rPr>
                <w:rFonts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364F79C3">
            <w:pPr>
              <w:jc w:val="center"/>
              <w:rPr>
                <w:rFonts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16E86E90">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307D26F2">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41C96AFA">
            <w:pPr>
              <w:jc w:val="center"/>
              <w:rPr>
                <w:rFonts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295E4412">
            <w:pPr>
              <w:jc w:val="center"/>
              <w:rPr>
                <w:rFonts w:ascii="仿宋" w:hAnsi="仿宋" w:eastAsia="仿宋" w:cs="仿宋"/>
                <w:color w:val="auto"/>
                <w:kern w:val="0"/>
                <w:sz w:val="24"/>
                <w:szCs w:val="24"/>
                <w:highlight w:val="none"/>
                <w:shd w:val="clear" w:color="auto" w:fill="FFFFFF" w:themeFill="background1"/>
              </w:rPr>
            </w:pPr>
          </w:p>
        </w:tc>
      </w:tr>
      <w:tr w14:paraId="0D9CD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1327DE8C">
            <w:pPr>
              <w:jc w:val="center"/>
              <w:rPr>
                <w:rFonts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49B12FE4">
            <w:pPr>
              <w:jc w:val="center"/>
              <w:rPr>
                <w:rFonts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B56D52C">
            <w:pPr>
              <w:jc w:val="center"/>
              <w:rPr>
                <w:rFonts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72A47183">
            <w:pPr>
              <w:jc w:val="center"/>
              <w:rPr>
                <w:rFonts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72FF80D3">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0CF76D8A">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6324AD37">
            <w:pPr>
              <w:jc w:val="center"/>
              <w:rPr>
                <w:rFonts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1E8BBB32">
            <w:pPr>
              <w:jc w:val="center"/>
              <w:rPr>
                <w:rFonts w:ascii="仿宋" w:hAnsi="仿宋" w:eastAsia="仿宋" w:cs="仿宋"/>
                <w:color w:val="auto"/>
                <w:kern w:val="0"/>
                <w:sz w:val="24"/>
                <w:szCs w:val="24"/>
                <w:highlight w:val="none"/>
                <w:shd w:val="clear" w:color="auto" w:fill="FFFFFF" w:themeFill="background1"/>
              </w:rPr>
            </w:pPr>
          </w:p>
        </w:tc>
      </w:tr>
      <w:tr w14:paraId="2E4CC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52B6F6B5">
            <w:pPr>
              <w:jc w:val="center"/>
              <w:rPr>
                <w:rFonts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56440932">
            <w:pPr>
              <w:jc w:val="center"/>
              <w:rPr>
                <w:rFonts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1F609E47">
            <w:pPr>
              <w:jc w:val="center"/>
              <w:rPr>
                <w:rFonts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4476C3C5">
            <w:pPr>
              <w:jc w:val="center"/>
              <w:rPr>
                <w:rFonts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2D2F925C">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61581F93">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1C1AD435">
            <w:pPr>
              <w:jc w:val="center"/>
              <w:rPr>
                <w:rFonts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03713C28">
            <w:pPr>
              <w:jc w:val="center"/>
              <w:rPr>
                <w:rFonts w:ascii="仿宋" w:hAnsi="仿宋" w:eastAsia="仿宋" w:cs="仿宋"/>
                <w:color w:val="auto"/>
                <w:kern w:val="0"/>
                <w:sz w:val="24"/>
                <w:szCs w:val="24"/>
                <w:highlight w:val="none"/>
                <w:shd w:val="clear" w:color="auto" w:fill="FFFFFF" w:themeFill="background1"/>
              </w:rPr>
            </w:pPr>
          </w:p>
        </w:tc>
      </w:tr>
      <w:tr w14:paraId="21949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5EEFC9DB">
            <w:pPr>
              <w:jc w:val="center"/>
              <w:rPr>
                <w:rFonts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4727DD42">
            <w:pPr>
              <w:jc w:val="center"/>
              <w:rPr>
                <w:rFonts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F99D6F6">
            <w:pPr>
              <w:jc w:val="center"/>
              <w:rPr>
                <w:rFonts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64C66242">
            <w:pPr>
              <w:jc w:val="center"/>
              <w:rPr>
                <w:rFonts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54DE8342">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1E5C5E69">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54BAE7DF">
            <w:pPr>
              <w:jc w:val="center"/>
              <w:rPr>
                <w:rFonts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78202A73">
            <w:pPr>
              <w:jc w:val="center"/>
              <w:rPr>
                <w:rFonts w:ascii="仿宋" w:hAnsi="仿宋" w:eastAsia="仿宋" w:cs="仿宋"/>
                <w:color w:val="auto"/>
                <w:kern w:val="0"/>
                <w:sz w:val="24"/>
                <w:szCs w:val="24"/>
                <w:highlight w:val="none"/>
                <w:shd w:val="clear" w:color="auto" w:fill="FFFFFF" w:themeFill="background1"/>
              </w:rPr>
            </w:pPr>
          </w:p>
        </w:tc>
      </w:tr>
      <w:tr w14:paraId="7DE2A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28F98246">
            <w:pPr>
              <w:jc w:val="center"/>
              <w:rPr>
                <w:rFonts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4D5552AC">
            <w:pPr>
              <w:jc w:val="center"/>
              <w:rPr>
                <w:rFonts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1DF1B153">
            <w:pPr>
              <w:jc w:val="center"/>
              <w:rPr>
                <w:rFonts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0E7EA5D6">
            <w:pPr>
              <w:jc w:val="center"/>
              <w:rPr>
                <w:rFonts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79FC2415">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35BB25D9">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3A37427B">
            <w:pPr>
              <w:jc w:val="center"/>
              <w:rPr>
                <w:rFonts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1FCD6FC3">
            <w:pPr>
              <w:jc w:val="center"/>
              <w:rPr>
                <w:rFonts w:ascii="仿宋" w:hAnsi="仿宋" w:eastAsia="仿宋" w:cs="仿宋"/>
                <w:color w:val="auto"/>
                <w:kern w:val="0"/>
                <w:sz w:val="24"/>
                <w:szCs w:val="24"/>
                <w:highlight w:val="none"/>
                <w:shd w:val="clear" w:color="auto" w:fill="FFFFFF" w:themeFill="background1"/>
              </w:rPr>
            </w:pPr>
          </w:p>
        </w:tc>
      </w:tr>
    </w:tbl>
    <w:p w14:paraId="0A93489C">
      <w:pPr>
        <w:spacing w:line="360" w:lineRule="auto"/>
        <w:ind w:firstLine="420" w:firstLineChars="200"/>
        <w:rPr>
          <w:rFonts w:ascii="仿宋" w:hAnsi="仿宋" w:eastAsia="仿宋" w:cs="仿宋"/>
          <w:color w:val="auto"/>
          <w:szCs w:val="24"/>
          <w:highlight w:val="none"/>
          <w:u w:val="single"/>
          <w:shd w:val="clear" w:color="auto" w:fill="FFFFFF" w:themeFill="background1"/>
        </w:rPr>
      </w:pPr>
    </w:p>
    <w:p w14:paraId="4D3F73E4">
      <w:pPr>
        <w:spacing w:line="360" w:lineRule="auto"/>
        <w:ind w:firstLine="480" w:firstLineChars="200"/>
        <w:rPr>
          <w:rFonts w:ascii="仿宋" w:hAnsi="仿宋" w:eastAsia="仿宋" w:cs="仿宋"/>
          <w:color w:val="auto"/>
          <w:sz w:val="24"/>
          <w:szCs w:val="24"/>
          <w:highlight w:val="none"/>
          <w:u w:val="single"/>
          <w:shd w:val="clear" w:color="auto" w:fill="FFFFFF" w:themeFill="background1"/>
        </w:rPr>
      </w:pPr>
    </w:p>
    <w:p w14:paraId="6CCB0F16">
      <w:pPr>
        <w:widowControl/>
        <w:spacing w:line="360" w:lineRule="auto"/>
        <w:jc w:val="left"/>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5DD01E9C">
      <w:pPr>
        <w:tabs>
          <w:tab w:val="center" w:pos="4832"/>
          <w:tab w:val="left" w:pos="7140"/>
        </w:tabs>
        <w:spacing w:line="360" w:lineRule="auto"/>
        <w:jc w:val="center"/>
        <w:outlineLvl w:val="1"/>
        <w:rPr>
          <w:rFonts w:ascii="仿宋" w:hAnsi="仿宋" w:eastAsia="仿宋" w:cs="仿宋"/>
          <w:b/>
          <w:bCs/>
          <w:color w:val="auto"/>
          <w:sz w:val="24"/>
          <w:szCs w:val="24"/>
          <w:highlight w:val="none"/>
          <w:shd w:val="clear" w:color="auto" w:fill="FFFFFF" w:themeFill="background1"/>
        </w:rPr>
      </w:pPr>
      <w:bookmarkStart w:id="781" w:name="_Toc507586175"/>
      <w:bookmarkStart w:id="782" w:name="_Toc38446480"/>
      <w:bookmarkStart w:id="783" w:name="_Toc533503191"/>
      <w:bookmarkStart w:id="784" w:name="_Toc31457"/>
      <w:bookmarkStart w:id="785" w:name="_Toc31690"/>
      <w:r>
        <w:rPr>
          <w:rFonts w:hint="eastAsia" w:ascii="仿宋" w:hAnsi="仿宋" w:eastAsia="仿宋" w:cs="仿宋"/>
          <w:b/>
          <w:color w:val="auto"/>
          <w:sz w:val="24"/>
          <w:szCs w:val="24"/>
          <w:highlight w:val="none"/>
          <w:shd w:val="clear" w:color="auto" w:fill="FFFFFF" w:themeFill="background1"/>
          <w:lang w:val="en-US" w:eastAsia="zh-CN"/>
        </w:rPr>
        <w:t>九</w:t>
      </w:r>
      <w:r>
        <w:rPr>
          <w:rFonts w:hint="eastAsia" w:ascii="仿宋" w:hAnsi="仿宋" w:eastAsia="仿宋" w:cs="仿宋"/>
          <w:b/>
          <w:color w:val="auto"/>
          <w:sz w:val="24"/>
          <w:szCs w:val="24"/>
          <w:highlight w:val="none"/>
          <w:shd w:val="clear" w:color="auto" w:fill="FFFFFF" w:themeFill="background1"/>
        </w:rPr>
        <w:t>、</w:t>
      </w:r>
      <w:r>
        <w:rPr>
          <w:rFonts w:hint="eastAsia" w:ascii="仿宋" w:hAnsi="仿宋" w:eastAsia="仿宋" w:cs="仿宋"/>
          <w:b/>
          <w:bCs/>
          <w:color w:val="auto"/>
          <w:sz w:val="24"/>
          <w:szCs w:val="24"/>
          <w:highlight w:val="none"/>
          <w:shd w:val="clear" w:color="auto" w:fill="FFFFFF" w:themeFill="background1"/>
        </w:rPr>
        <w:t>项目负责人简历表</w:t>
      </w:r>
      <w:bookmarkEnd w:id="781"/>
      <w:bookmarkEnd w:id="782"/>
      <w:bookmarkEnd w:id="783"/>
      <w:bookmarkEnd w:id="784"/>
      <w:bookmarkEnd w:id="785"/>
    </w:p>
    <w:p w14:paraId="5D73877F">
      <w:pPr>
        <w:spacing w:line="360" w:lineRule="auto"/>
        <w:jc w:val="left"/>
        <w:rPr>
          <w:rFonts w:ascii="仿宋" w:hAnsi="仿宋" w:eastAsia="仿宋" w:cs="仿宋"/>
          <w:color w:val="auto"/>
          <w:sz w:val="24"/>
          <w:szCs w:val="24"/>
          <w:highlight w:val="none"/>
          <w:shd w:val="clear" w:color="auto" w:fill="FFFFFF" w:themeFill="background1"/>
        </w:rPr>
      </w:pPr>
    </w:p>
    <w:tbl>
      <w:tblPr>
        <w:tblStyle w:val="48"/>
        <w:tblW w:w="9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6"/>
        <w:gridCol w:w="1372"/>
        <w:gridCol w:w="1230"/>
        <w:gridCol w:w="233"/>
        <w:gridCol w:w="1702"/>
        <w:gridCol w:w="1275"/>
        <w:gridCol w:w="1364"/>
      </w:tblGrid>
      <w:tr w14:paraId="2FFF9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4C7A1F62">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姓名</w:t>
            </w:r>
          </w:p>
        </w:tc>
        <w:tc>
          <w:tcPr>
            <w:tcW w:w="2602" w:type="dxa"/>
            <w:gridSpan w:val="2"/>
            <w:vAlign w:val="center"/>
          </w:tcPr>
          <w:p w14:paraId="081A12B1">
            <w:pPr>
              <w:spacing w:line="360" w:lineRule="auto"/>
              <w:jc w:val="center"/>
              <w:rPr>
                <w:rFonts w:ascii="仿宋" w:hAnsi="仿宋" w:eastAsia="仿宋" w:cs="仿宋"/>
                <w:color w:val="auto"/>
                <w:szCs w:val="21"/>
                <w:highlight w:val="none"/>
                <w:shd w:val="clear" w:color="auto" w:fill="FFFFFF" w:themeFill="background1"/>
              </w:rPr>
            </w:pPr>
          </w:p>
        </w:tc>
        <w:tc>
          <w:tcPr>
            <w:tcW w:w="1935" w:type="dxa"/>
            <w:gridSpan w:val="2"/>
            <w:vAlign w:val="center"/>
          </w:tcPr>
          <w:p w14:paraId="4C486D64">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性别</w:t>
            </w:r>
          </w:p>
        </w:tc>
        <w:tc>
          <w:tcPr>
            <w:tcW w:w="2639" w:type="dxa"/>
            <w:gridSpan w:val="2"/>
            <w:vAlign w:val="center"/>
          </w:tcPr>
          <w:p w14:paraId="6C7F85B9">
            <w:pPr>
              <w:spacing w:line="360" w:lineRule="auto"/>
              <w:jc w:val="center"/>
              <w:rPr>
                <w:rFonts w:ascii="仿宋" w:hAnsi="仿宋" w:eastAsia="仿宋" w:cs="仿宋"/>
                <w:color w:val="auto"/>
                <w:szCs w:val="21"/>
                <w:highlight w:val="none"/>
                <w:shd w:val="clear" w:color="auto" w:fill="FFFFFF" w:themeFill="background1"/>
              </w:rPr>
            </w:pPr>
          </w:p>
        </w:tc>
      </w:tr>
      <w:tr w14:paraId="5D302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1ECAADE3">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身份证号码</w:t>
            </w:r>
          </w:p>
        </w:tc>
        <w:tc>
          <w:tcPr>
            <w:tcW w:w="2602" w:type="dxa"/>
            <w:gridSpan w:val="2"/>
            <w:vAlign w:val="center"/>
          </w:tcPr>
          <w:p w14:paraId="101EB04A">
            <w:pPr>
              <w:spacing w:line="360" w:lineRule="auto"/>
              <w:jc w:val="center"/>
              <w:rPr>
                <w:rFonts w:ascii="仿宋" w:hAnsi="仿宋" w:eastAsia="仿宋" w:cs="仿宋"/>
                <w:color w:val="auto"/>
                <w:szCs w:val="21"/>
                <w:highlight w:val="none"/>
                <w:shd w:val="clear" w:color="auto" w:fill="FFFFFF" w:themeFill="background1"/>
              </w:rPr>
            </w:pPr>
          </w:p>
        </w:tc>
        <w:tc>
          <w:tcPr>
            <w:tcW w:w="1935" w:type="dxa"/>
            <w:gridSpan w:val="2"/>
            <w:vAlign w:val="center"/>
          </w:tcPr>
          <w:p w14:paraId="3B922060">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学历</w:t>
            </w:r>
          </w:p>
        </w:tc>
        <w:tc>
          <w:tcPr>
            <w:tcW w:w="2639" w:type="dxa"/>
            <w:gridSpan w:val="2"/>
            <w:vAlign w:val="center"/>
          </w:tcPr>
          <w:p w14:paraId="5B2F70AA">
            <w:pPr>
              <w:spacing w:line="360" w:lineRule="auto"/>
              <w:jc w:val="center"/>
              <w:rPr>
                <w:rFonts w:ascii="仿宋" w:hAnsi="仿宋" w:eastAsia="仿宋" w:cs="仿宋"/>
                <w:color w:val="auto"/>
                <w:szCs w:val="21"/>
                <w:highlight w:val="none"/>
                <w:shd w:val="clear" w:color="auto" w:fill="FFFFFF" w:themeFill="background1"/>
              </w:rPr>
            </w:pPr>
          </w:p>
        </w:tc>
      </w:tr>
      <w:tr w14:paraId="1D003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37F3B683">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毕业学校</w:t>
            </w:r>
          </w:p>
        </w:tc>
        <w:tc>
          <w:tcPr>
            <w:tcW w:w="2602" w:type="dxa"/>
            <w:gridSpan w:val="2"/>
            <w:vAlign w:val="center"/>
          </w:tcPr>
          <w:p w14:paraId="3B95059A">
            <w:pPr>
              <w:spacing w:line="360" w:lineRule="auto"/>
              <w:jc w:val="center"/>
              <w:rPr>
                <w:rFonts w:ascii="仿宋" w:hAnsi="仿宋" w:eastAsia="仿宋" w:cs="仿宋"/>
                <w:color w:val="auto"/>
                <w:szCs w:val="21"/>
                <w:highlight w:val="none"/>
                <w:shd w:val="clear" w:color="auto" w:fill="FFFFFF" w:themeFill="background1"/>
              </w:rPr>
            </w:pPr>
          </w:p>
        </w:tc>
        <w:tc>
          <w:tcPr>
            <w:tcW w:w="1935" w:type="dxa"/>
            <w:gridSpan w:val="2"/>
            <w:vAlign w:val="center"/>
          </w:tcPr>
          <w:p w14:paraId="3AE93A60">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专业</w:t>
            </w:r>
          </w:p>
        </w:tc>
        <w:tc>
          <w:tcPr>
            <w:tcW w:w="2639" w:type="dxa"/>
            <w:gridSpan w:val="2"/>
            <w:vAlign w:val="center"/>
          </w:tcPr>
          <w:p w14:paraId="3060F5D2">
            <w:pPr>
              <w:spacing w:line="360" w:lineRule="auto"/>
              <w:jc w:val="center"/>
              <w:rPr>
                <w:rFonts w:ascii="仿宋" w:hAnsi="仿宋" w:eastAsia="仿宋" w:cs="仿宋"/>
                <w:color w:val="auto"/>
                <w:szCs w:val="21"/>
                <w:highlight w:val="none"/>
                <w:shd w:val="clear" w:color="auto" w:fill="FFFFFF" w:themeFill="background1"/>
              </w:rPr>
            </w:pPr>
          </w:p>
        </w:tc>
      </w:tr>
      <w:tr w14:paraId="04C15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2052D161">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参加工作时间</w:t>
            </w:r>
          </w:p>
        </w:tc>
        <w:tc>
          <w:tcPr>
            <w:tcW w:w="2602" w:type="dxa"/>
            <w:gridSpan w:val="2"/>
            <w:vAlign w:val="center"/>
          </w:tcPr>
          <w:p w14:paraId="78B95426">
            <w:pPr>
              <w:spacing w:line="360" w:lineRule="auto"/>
              <w:jc w:val="center"/>
              <w:rPr>
                <w:rFonts w:ascii="仿宋" w:hAnsi="仿宋" w:eastAsia="仿宋" w:cs="仿宋"/>
                <w:color w:val="auto"/>
                <w:szCs w:val="21"/>
                <w:highlight w:val="none"/>
                <w:shd w:val="clear" w:color="auto" w:fill="FFFFFF" w:themeFill="background1"/>
              </w:rPr>
            </w:pPr>
          </w:p>
        </w:tc>
        <w:tc>
          <w:tcPr>
            <w:tcW w:w="1935" w:type="dxa"/>
            <w:gridSpan w:val="2"/>
            <w:vAlign w:val="center"/>
          </w:tcPr>
          <w:p w14:paraId="6EFB4824">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highlight w:val="none"/>
              </w:rPr>
              <w:t>从事</w:t>
            </w:r>
            <w:r>
              <w:rPr>
                <w:rFonts w:hint="eastAsia" w:ascii="仿宋" w:hAnsi="仿宋" w:eastAsia="仿宋" w:cs="仿宋"/>
                <w:color w:val="auto"/>
                <w:highlight w:val="none"/>
                <w:lang w:val="en-US" w:eastAsia="zh-CN"/>
              </w:rPr>
              <w:t>相关工作</w:t>
            </w:r>
            <w:r>
              <w:rPr>
                <w:rFonts w:hint="eastAsia" w:ascii="仿宋" w:hAnsi="仿宋" w:eastAsia="仿宋" w:cs="仿宋"/>
                <w:color w:val="auto"/>
                <w:highlight w:val="none"/>
              </w:rPr>
              <w:t>年限</w:t>
            </w:r>
          </w:p>
        </w:tc>
        <w:tc>
          <w:tcPr>
            <w:tcW w:w="2639" w:type="dxa"/>
            <w:gridSpan w:val="2"/>
            <w:vAlign w:val="center"/>
          </w:tcPr>
          <w:p w14:paraId="3AA2D9AE">
            <w:pPr>
              <w:spacing w:line="360" w:lineRule="auto"/>
              <w:jc w:val="center"/>
              <w:rPr>
                <w:rFonts w:ascii="仿宋" w:hAnsi="仿宋" w:eastAsia="仿宋" w:cs="仿宋"/>
                <w:color w:val="auto"/>
                <w:szCs w:val="21"/>
                <w:highlight w:val="none"/>
                <w:shd w:val="clear" w:color="auto" w:fill="FFFFFF" w:themeFill="background1"/>
              </w:rPr>
            </w:pPr>
          </w:p>
        </w:tc>
      </w:tr>
      <w:tr w14:paraId="5DED2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75BB8C2B">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在公司担任职务</w:t>
            </w:r>
          </w:p>
        </w:tc>
        <w:tc>
          <w:tcPr>
            <w:tcW w:w="2602" w:type="dxa"/>
            <w:gridSpan w:val="2"/>
            <w:vAlign w:val="center"/>
          </w:tcPr>
          <w:p w14:paraId="57271D22">
            <w:pPr>
              <w:spacing w:line="360" w:lineRule="auto"/>
              <w:jc w:val="center"/>
              <w:rPr>
                <w:rFonts w:ascii="仿宋" w:hAnsi="仿宋" w:eastAsia="仿宋" w:cs="仿宋"/>
                <w:color w:val="auto"/>
                <w:szCs w:val="21"/>
                <w:highlight w:val="none"/>
                <w:shd w:val="clear" w:color="auto" w:fill="FFFFFF" w:themeFill="background1"/>
              </w:rPr>
            </w:pPr>
          </w:p>
        </w:tc>
        <w:tc>
          <w:tcPr>
            <w:tcW w:w="1935" w:type="dxa"/>
            <w:gridSpan w:val="2"/>
            <w:vAlign w:val="center"/>
          </w:tcPr>
          <w:p w14:paraId="2FF89311">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联系方式</w:t>
            </w:r>
          </w:p>
        </w:tc>
        <w:tc>
          <w:tcPr>
            <w:tcW w:w="2639" w:type="dxa"/>
            <w:gridSpan w:val="2"/>
            <w:vAlign w:val="center"/>
          </w:tcPr>
          <w:p w14:paraId="0AE05928">
            <w:pPr>
              <w:spacing w:line="360" w:lineRule="auto"/>
              <w:jc w:val="center"/>
              <w:rPr>
                <w:rFonts w:ascii="仿宋" w:hAnsi="仿宋" w:eastAsia="仿宋" w:cs="仿宋"/>
                <w:color w:val="auto"/>
                <w:szCs w:val="21"/>
                <w:highlight w:val="none"/>
                <w:shd w:val="clear" w:color="auto" w:fill="FFFFFF" w:themeFill="background1"/>
              </w:rPr>
            </w:pPr>
          </w:p>
        </w:tc>
      </w:tr>
      <w:tr w14:paraId="09FE7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31B4AF10">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证书名称</w:t>
            </w:r>
          </w:p>
        </w:tc>
        <w:tc>
          <w:tcPr>
            <w:tcW w:w="2602" w:type="dxa"/>
            <w:gridSpan w:val="2"/>
            <w:vAlign w:val="center"/>
          </w:tcPr>
          <w:p w14:paraId="1699046C">
            <w:pPr>
              <w:spacing w:line="360" w:lineRule="auto"/>
              <w:jc w:val="center"/>
              <w:rPr>
                <w:rFonts w:ascii="仿宋" w:hAnsi="仿宋" w:eastAsia="仿宋" w:cs="仿宋"/>
                <w:color w:val="auto"/>
                <w:szCs w:val="21"/>
                <w:highlight w:val="none"/>
                <w:shd w:val="clear" w:color="auto" w:fill="FFFFFF" w:themeFill="background1"/>
              </w:rPr>
            </w:pPr>
          </w:p>
        </w:tc>
        <w:tc>
          <w:tcPr>
            <w:tcW w:w="1935" w:type="dxa"/>
            <w:gridSpan w:val="2"/>
            <w:vAlign w:val="center"/>
          </w:tcPr>
          <w:p w14:paraId="5A0245D0">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证书编号</w:t>
            </w:r>
          </w:p>
        </w:tc>
        <w:tc>
          <w:tcPr>
            <w:tcW w:w="2639" w:type="dxa"/>
            <w:gridSpan w:val="2"/>
            <w:vAlign w:val="center"/>
          </w:tcPr>
          <w:p w14:paraId="0BA93F0A">
            <w:pPr>
              <w:spacing w:line="360" w:lineRule="auto"/>
              <w:jc w:val="center"/>
              <w:rPr>
                <w:rFonts w:ascii="仿宋" w:hAnsi="仿宋" w:eastAsia="仿宋" w:cs="仿宋"/>
                <w:color w:val="auto"/>
                <w:szCs w:val="21"/>
                <w:highlight w:val="none"/>
                <w:shd w:val="clear" w:color="auto" w:fill="FFFFFF" w:themeFill="background1"/>
              </w:rPr>
            </w:pPr>
          </w:p>
        </w:tc>
      </w:tr>
      <w:tr w14:paraId="1763B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restart"/>
            <w:vAlign w:val="center"/>
          </w:tcPr>
          <w:p w14:paraId="024E2C53">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近三年类似业绩</w:t>
            </w:r>
          </w:p>
        </w:tc>
        <w:tc>
          <w:tcPr>
            <w:tcW w:w="1372" w:type="dxa"/>
            <w:vAlign w:val="center"/>
          </w:tcPr>
          <w:p w14:paraId="0B24243A">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项目名称</w:t>
            </w:r>
          </w:p>
        </w:tc>
        <w:tc>
          <w:tcPr>
            <w:tcW w:w="1463" w:type="dxa"/>
            <w:gridSpan w:val="2"/>
            <w:vAlign w:val="center"/>
          </w:tcPr>
          <w:p w14:paraId="163F17E4">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采购人</w:t>
            </w:r>
          </w:p>
        </w:tc>
        <w:tc>
          <w:tcPr>
            <w:tcW w:w="1702" w:type="dxa"/>
            <w:vAlign w:val="center"/>
          </w:tcPr>
          <w:p w14:paraId="7DE1CFD1">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合同内容</w:t>
            </w:r>
          </w:p>
        </w:tc>
        <w:tc>
          <w:tcPr>
            <w:tcW w:w="1275" w:type="dxa"/>
            <w:vAlign w:val="center"/>
          </w:tcPr>
          <w:p w14:paraId="20CB92C2">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合同价格</w:t>
            </w:r>
          </w:p>
        </w:tc>
        <w:tc>
          <w:tcPr>
            <w:tcW w:w="1364" w:type="dxa"/>
            <w:vAlign w:val="center"/>
          </w:tcPr>
          <w:p w14:paraId="35553891">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签约日期</w:t>
            </w:r>
          </w:p>
        </w:tc>
      </w:tr>
      <w:tr w14:paraId="6A377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454CBBFC">
            <w:pPr>
              <w:spacing w:line="360" w:lineRule="auto"/>
              <w:jc w:val="center"/>
              <w:rPr>
                <w:rFonts w:ascii="仿宋" w:hAnsi="仿宋" w:eastAsia="仿宋" w:cs="仿宋"/>
                <w:color w:val="auto"/>
                <w:szCs w:val="21"/>
                <w:highlight w:val="none"/>
                <w:shd w:val="clear" w:color="auto" w:fill="FFFFFF" w:themeFill="background1"/>
              </w:rPr>
            </w:pPr>
          </w:p>
        </w:tc>
        <w:tc>
          <w:tcPr>
            <w:tcW w:w="1372" w:type="dxa"/>
            <w:vAlign w:val="center"/>
          </w:tcPr>
          <w:p w14:paraId="022C59BA">
            <w:pPr>
              <w:spacing w:line="360" w:lineRule="auto"/>
              <w:jc w:val="center"/>
              <w:rPr>
                <w:rFonts w:ascii="仿宋" w:hAnsi="仿宋" w:eastAsia="仿宋" w:cs="仿宋"/>
                <w:color w:val="auto"/>
                <w:szCs w:val="21"/>
                <w:highlight w:val="none"/>
                <w:shd w:val="clear" w:color="auto" w:fill="FFFFFF" w:themeFill="background1"/>
              </w:rPr>
            </w:pPr>
          </w:p>
        </w:tc>
        <w:tc>
          <w:tcPr>
            <w:tcW w:w="1463" w:type="dxa"/>
            <w:gridSpan w:val="2"/>
            <w:vAlign w:val="center"/>
          </w:tcPr>
          <w:p w14:paraId="2BD7C414">
            <w:pPr>
              <w:spacing w:line="360" w:lineRule="auto"/>
              <w:jc w:val="center"/>
              <w:rPr>
                <w:rFonts w:ascii="仿宋" w:hAnsi="仿宋" w:eastAsia="仿宋" w:cs="仿宋"/>
                <w:color w:val="auto"/>
                <w:szCs w:val="21"/>
                <w:highlight w:val="none"/>
                <w:shd w:val="clear" w:color="auto" w:fill="FFFFFF" w:themeFill="background1"/>
              </w:rPr>
            </w:pPr>
          </w:p>
        </w:tc>
        <w:tc>
          <w:tcPr>
            <w:tcW w:w="1702" w:type="dxa"/>
            <w:vAlign w:val="center"/>
          </w:tcPr>
          <w:p w14:paraId="1A2895C7">
            <w:pPr>
              <w:spacing w:line="360" w:lineRule="auto"/>
              <w:jc w:val="center"/>
              <w:rPr>
                <w:rFonts w:ascii="仿宋" w:hAnsi="仿宋" w:eastAsia="仿宋" w:cs="仿宋"/>
                <w:color w:val="auto"/>
                <w:szCs w:val="21"/>
                <w:highlight w:val="none"/>
                <w:shd w:val="clear" w:color="auto" w:fill="FFFFFF" w:themeFill="background1"/>
              </w:rPr>
            </w:pPr>
          </w:p>
        </w:tc>
        <w:tc>
          <w:tcPr>
            <w:tcW w:w="1275" w:type="dxa"/>
            <w:vAlign w:val="center"/>
          </w:tcPr>
          <w:p w14:paraId="01910166">
            <w:pPr>
              <w:spacing w:line="360" w:lineRule="auto"/>
              <w:jc w:val="center"/>
              <w:rPr>
                <w:rFonts w:ascii="仿宋" w:hAnsi="仿宋" w:eastAsia="仿宋" w:cs="仿宋"/>
                <w:color w:val="auto"/>
                <w:szCs w:val="21"/>
                <w:highlight w:val="none"/>
                <w:shd w:val="clear" w:color="auto" w:fill="FFFFFF" w:themeFill="background1"/>
              </w:rPr>
            </w:pPr>
          </w:p>
        </w:tc>
        <w:tc>
          <w:tcPr>
            <w:tcW w:w="1364" w:type="dxa"/>
            <w:vAlign w:val="center"/>
          </w:tcPr>
          <w:p w14:paraId="47F00F5A">
            <w:pPr>
              <w:spacing w:line="360" w:lineRule="auto"/>
              <w:jc w:val="center"/>
              <w:rPr>
                <w:rFonts w:ascii="仿宋" w:hAnsi="仿宋" w:eastAsia="仿宋" w:cs="仿宋"/>
                <w:color w:val="auto"/>
                <w:szCs w:val="21"/>
                <w:highlight w:val="none"/>
                <w:shd w:val="clear" w:color="auto" w:fill="FFFFFF" w:themeFill="background1"/>
              </w:rPr>
            </w:pPr>
          </w:p>
        </w:tc>
      </w:tr>
      <w:tr w14:paraId="54BDC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0C1ABDE1">
            <w:pPr>
              <w:spacing w:line="360" w:lineRule="auto"/>
              <w:jc w:val="center"/>
              <w:rPr>
                <w:rFonts w:ascii="仿宋" w:hAnsi="仿宋" w:eastAsia="仿宋" w:cs="仿宋"/>
                <w:color w:val="auto"/>
                <w:szCs w:val="21"/>
                <w:highlight w:val="none"/>
                <w:shd w:val="clear" w:color="auto" w:fill="FFFFFF" w:themeFill="background1"/>
              </w:rPr>
            </w:pPr>
          </w:p>
        </w:tc>
        <w:tc>
          <w:tcPr>
            <w:tcW w:w="1372" w:type="dxa"/>
            <w:vAlign w:val="center"/>
          </w:tcPr>
          <w:p w14:paraId="7B8F750E">
            <w:pPr>
              <w:spacing w:line="360" w:lineRule="auto"/>
              <w:jc w:val="center"/>
              <w:rPr>
                <w:rFonts w:ascii="仿宋" w:hAnsi="仿宋" w:eastAsia="仿宋" w:cs="仿宋"/>
                <w:color w:val="auto"/>
                <w:szCs w:val="21"/>
                <w:highlight w:val="none"/>
                <w:shd w:val="clear" w:color="auto" w:fill="FFFFFF" w:themeFill="background1"/>
              </w:rPr>
            </w:pPr>
          </w:p>
        </w:tc>
        <w:tc>
          <w:tcPr>
            <w:tcW w:w="1463" w:type="dxa"/>
            <w:gridSpan w:val="2"/>
            <w:vAlign w:val="center"/>
          </w:tcPr>
          <w:p w14:paraId="349F9F28">
            <w:pPr>
              <w:spacing w:line="360" w:lineRule="auto"/>
              <w:jc w:val="center"/>
              <w:rPr>
                <w:rFonts w:ascii="仿宋" w:hAnsi="仿宋" w:eastAsia="仿宋" w:cs="仿宋"/>
                <w:color w:val="auto"/>
                <w:szCs w:val="21"/>
                <w:highlight w:val="none"/>
                <w:shd w:val="clear" w:color="auto" w:fill="FFFFFF" w:themeFill="background1"/>
              </w:rPr>
            </w:pPr>
          </w:p>
        </w:tc>
        <w:tc>
          <w:tcPr>
            <w:tcW w:w="1702" w:type="dxa"/>
            <w:vAlign w:val="center"/>
          </w:tcPr>
          <w:p w14:paraId="65178033">
            <w:pPr>
              <w:spacing w:line="360" w:lineRule="auto"/>
              <w:jc w:val="center"/>
              <w:rPr>
                <w:rFonts w:ascii="仿宋" w:hAnsi="仿宋" w:eastAsia="仿宋" w:cs="仿宋"/>
                <w:color w:val="auto"/>
                <w:szCs w:val="21"/>
                <w:highlight w:val="none"/>
                <w:shd w:val="clear" w:color="auto" w:fill="FFFFFF" w:themeFill="background1"/>
              </w:rPr>
            </w:pPr>
          </w:p>
        </w:tc>
        <w:tc>
          <w:tcPr>
            <w:tcW w:w="1275" w:type="dxa"/>
            <w:vAlign w:val="center"/>
          </w:tcPr>
          <w:p w14:paraId="69406311">
            <w:pPr>
              <w:spacing w:line="360" w:lineRule="auto"/>
              <w:jc w:val="center"/>
              <w:rPr>
                <w:rFonts w:ascii="仿宋" w:hAnsi="仿宋" w:eastAsia="仿宋" w:cs="仿宋"/>
                <w:color w:val="auto"/>
                <w:szCs w:val="21"/>
                <w:highlight w:val="none"/>
                <w:shd w:val="clear" w:color="auto" w:fill="FFFFFF" w:themeFill="background1"/>
              </w:rPr>
            </w:pPr>
          </w:p>
        </w:tc>
        <w:tc>
          <w:tcPr>
            <w:tcW w:w="1364" w:type="dxa"/>
            <w:vAlign w:val="center"/>
          </w:tcPr>
          <w:p w14:paraId="47375020">
            <w:pPr>
              <w:spacing w:line="360" w:lineRule="auto"/>
              <w:jc w:val="center"/>
              <w:rPr>
                <w:rFonts w:ascii="仿宋" w:hAnsi="仿宋" w:eastAsia="仿宋" w:cs="仿宋"/>
                <w:color w:val="auto"/>
                <w:szCs w:val="21"/>
                <w:highlight w:val="none"/>
                <w:shd w:val="clear" w:color="auto" w:fill="FFFFFF" w:themeFill="background1"/>
              </w:rPr>
            </w:pPr>
          </w:p>
        </w:tc>
      </w:tr>
      <w:tr w14:paraId="22EC0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2647DA58">
            <w:pPr>
              <w:spacing w:line="360" w:lineRule="auto"/>
              <w:jc w:val="center"/>
              <w:rPr>
                <w:rFonts w:ascii="仿宋" w:hAnsi="仿宋" w:eastAsia="仿宋" w:cs="仿宋"/>
                <w:color w:val="auto"/>
                <w:szCs w:val="21"/>
                <w:highlight w:val="none"/>
                <w:shd w:val="clear" w:color="auto" w:fill="FFFFFF" w:themeFill="background1"/>
              </w:rPr>
            </w:pPr>
          </w:p>
        </w:tc>
        <w:tc>
          <w:tcPr>
            <w:tcW w:w="1372" w:type="dxa"/>
            <w:vAlign w:val="center"/>
          </w:tcPr>
          <w:p w14:paraId="7DBB821E">
            <w:pPr>
              <w:spacing w:line="360" w:lineRule="auto"/>
              <w:jc w:val="center"/>
              <w:rPr>
                <w:rFonts w:ascii="仿宋" w:hAnsi="仿宋" w:eastAsia="仿宋" w:cs="仿宋"/>
                <w:color w:val="auto"/>
                <w:szCs w:val="21"/>
                <w:highlight w:val="none"/>
                <w:shd w:val="clear" w:color="auto" w:fill="FFFFFF" w:themeFill="background1"/>
              </w:rPr>
            </w:pPr>
          </w:p>
        </w:tc>
        <w:tc>
          <w:tcPr>
            <w:tcW w:w="1463" w:type="dxa"/>
            <w:gridSpan w:val="2"/>
            <w:vAlign w:val="center"/>
          </w:tcPr>
          <w:p w14:paraId="32FC4A38">
            <w:pPr>
              <w:spacing w:line="360" w:lineRule="auto"/>
              <w:jc w:val="center"/>
              <w:rPr>
                <w:rFonts w:ascii="仿宋" w:hAnsi="仿宋" w:eastAsia="仿宋" w:cs="仿宋"/>
                <w:color w:val="auto"/>
                <w:szCs w:val="21"/>
                <w:highlight w:val="none"/>
                <w:shd w:val="clear" w:color="auto" w:fill="FFFFFF" w:themeFill="background1"/>
              </w:rPr>
            </w:pPr>
          </w:p>
        </w:tc>
        <w:tc>
          <w:tcPr>
            <w:tcW w:w="1702" w:type="dxa"/>
            <w:vAlign w:val="center"/>
          </w:tcPr>
          <w:p w14:paraId="78699A07">
            <w:pPr>
              <w:spacing w:line="360" w:lineRule="auto"/>
              <w:jc w:val="center"/>
              <w:rPr>
                <w:rFonts w:ascii="仿宋" w:hAnsi="仿宋" w:eastAsia="仿宋" w:cs="仿宋"/>
                <w:color w:val="auto"/>
                <w:szCs w:val="21"/>
                <w:highlight w:val="none"/>
                <w:shd w:val="clear" w:color="auto" w:fill="FFFFFF" w:themeFill="background1"/>
              </w:rPr>
            </w:pPr>
          </w:p>
        </w:tc>
        <w:tc>
          <w:tcPr>
            <w:tcW w:w="1275" w:type="dxa"/>
            <w:vAlign w:val="center"/>
          </w:tcPr>
          <w:p w14:paraId="7E33C288">
            <w:pPr>
              <w:spacing w:line="360" w:lineRule="auto"/>
              <w:jc w:val="center"/>
              <w:rPr>
                <w:rFonts w:ascii="仿宋" w:hAnsi="仿宋" w:eastAsia="仿宋" w:cs="仿宋"/>
                <w:color w:val="auto"/>
                <w:szCs w:val="21"/>
                <w:highlight w:val="none"/>
                <w:shd w:val="clear" w:color="auto" w:fill="FFFFFF" w:themeFill="background1"/>
              </w:rPr>
            </w:pPr>
          </w:p>
        </w:tc>
        <w:tc>
          <w:tcPr>
            <w:tcW w:w="1364" w:type="dxa"/>
            <w:vAlign w:val="center"/>
          </w:tcPr>
          <w:p w14:paraId="5D5154FE">
            <w:pPr>
              <w:spacing w:line="360" w:lineRule="auto"/>
              <w:jc w:val="center"/>
              <w:rPr>
                <w:rFonts w:ascii="仿宋" w:hAnsi="仿宋" w:eastAsia="仿宋" w:cs="仿宋"/>
                <w:color w:val="auto"/>
                <w:szCs w:val="21"/>
                <w:highlight w:val="none"/>
                <w:shd w:val="clear" w:color="auto" w:fill="FFFFFF" w:themeFill="background1"/>
              </w:rPr>
            </w:pPr>
          </w:p>
        </w:tc>
      </w:tr>
      <w:tr w14:paraId="008F5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7DE93552">
            <w:pPr>
              <w:spacing w:line="360" w:lineRule="auto"/>
              <w:jc w:val="center"/>
              <w:rPr>
                <w:rFonts w:ascii="仿宋" w:hAnsi="仿宋" w:eastAsia="仿宋" w:cs="仿宋"/>
                <w:color w:val="auto"/>
                <w:szCs w:val="21"/>
                <w:highlight w:val="none"/>
                <w:shd w:val="clear" w:color="auto" w:fill="FFFFFF" w:themeFill="background1"/>
              </w:rPr>
            </w:pPr>
          </w:p>
        </w:tc>
        <w:tc>
          <w:tcPr>
            <w:tcW w:w="1372" w:type="dxa"/>
            <w:vAlign w:val="center"/>
          </w:tcPr>
          <w:p w14:paraId="365D6879">
            <w:pPr>
              <w:spacing w:line="360" w:lineRule="auto"/>
              <w:jc w:val="center"/>
              <w:rPr>
                <w:rFonts w:ascii="仿宋" w:hAnsi="仿宋" w:eastAsia="仿宋" w:cs="仿宋"/>
                <w:color w:val="auto"/>
                <w:szCs w:val="21"/>
                <w:highlight w:val="none"/>
                <w:shd w:val="clear" w:color="auto" w:fill="FFFFFF" w:themeFill="background1"/>
              </w:rPr>
            </w:pPr>
          </w:p>
        </w:tc>
        <w:tc>
          <w:tcPr>
            <w:tcW w:w="1463" w:type="dxa"/>
            <w:gridSpan w:val="2"/>
            <w:vAlign w:val="center"/>
          </w:tcPr>
          <w:p w14:paraId="09F700D4">
            <w:pPr>
              <w:spacing w:line="360" w:lineRule="auto"/>
              <w:jc w:val="center"/>
              <w:rPr>
                <w:rFonts w:ascii="仿宋" w:hAnsi="仿宋" w:eastAsia="仿宋" w:cs="仿宋"/>
                <w:color w:val="auto"/>
                <w:szCs w:val="21"/>
                <w:highlight w:val="none"/>
                <w:shd w:val="clear" w:color="auto" w:fill="FFFFFF" w:themeFill="background1"/>
              </w:rPr>
            </w:pPr>
          </w:p>
        </w:tc>
        <w:tc>
          <w:tcPr>
            <w:tcW w:w="1702" w:type="dxa"/>
            <w:vAlign w:val="center"/>
          </w:tcPr>
          <w:p w14:paraId="7B315BCC">
            <w:pPr>
              <w:spacing w:line="360" w:lineRule="auto"/>
              <w:jc w:val="center"/>
              <w:rPr>
                <w:rFonts w:ascii="仿宋" w:hAnsi="仿宋" w:eastAsia="仿宋" w:cs="仿宋"/>
                <w:color w:val="auto"/>
                <w:szCs w:val="21"/>
                <w:highlight w:val="none"/>
                <w:shd w:val="clear" w:color="auto" w:fill="FFFFFF" w:themeFill="background1"/>
              </w:rPr>
            </w:pPr>
          </w:p>
        </w:tc>
        <w:tc>
          <w:tcPr>
            <w:tcW w:w="1275" w:type="dxa"/>
            <w:vAlign w:val="center"/>
          </w:tcPr>
          <w:p w14:paraId="74D353DD">
            <w:pPr>
              <w:spacing w:line="360" w:lineRule="auto"/>
              <w:jc w:val="center"/>
              <w:rPr>
                <w:rFonts w:ascii="仿宋" w:hAnsi="仿宋" w:eastAsia="仿宋" w:cs="仿宋"/>
                <w:color w:val="auto"/>
                <w:szCs w:val="21"/>
                <w:highlight w:val="none"/>
                <w:shd w:val="clear" w:color="auto" w:fill="FFFFFF" w:themeFill="background1"/>
              </w:rPr>
            </w:pPr>
          </w:p>
        </w:tc>
        <w:tc>
          <w:tcPr>
            <w:tcW w:w="1364" w:type="dxa"/>
            <w:vAlign w:val="center"/>
          </w:tcPr>
          <w:p w14:paraId="4B839E54">
            <w:pPr>
              <w:spacing w:line="360" w:lineRule="auto"/>
              <w:jc w:val="center"/>
              <w:rPr>
                <w:rFonts w:ascii="仿宋" w:hAnsi="仿宋" w:eastAsia="仿宋" w:cs="仿宋"/>
                <w:color w:val="auto"/>
                <w:szCs w:val="21"/>
                <w:highlight w:val="none"/>
                <w:shd w:val="clear" w:color="auto" w:fill="FFFFFF" w:themeFill="background1"/>
              </w:rPr>
            </w:pPr>
          </w:p>
        </w:tc>
      </w:tr>
      <w:tr w14:paraId="180A2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75E7903A">
            <w:pPr>
              <w:spacing w:line="360" w:lineRule="auto"/>
              <w:jc w:val="center"/>
              <w:rPr>
                <w:rFonts w:ascii="仿宋" w:hAnsi="仿宋" w:eastAsia="仿宋" w:cs="仿宋"/>
                <w:color w:val="auto"/>
                <w:szCs w:val="21"/>
                <w:highlight w:val="none"/>
                <w:shd w:val="clear" w:color="auto" w:fill="FFFFFF" w:themeFill="background1"/>
              </w:rPr>
            </w:pPr>
          </w:p>
        </w:tc>
        <w:tc>
          <w:tcPr>
            <w:tcW w:w="1372" w:type="dxa"/>
            <w:vAlign w:val="center"/>
          </w:tcPr>
          <w:p w14:paraId="44C5DBB7">
            <w:pPr>
              <w:spacing w:line="360" w:lineRule="auto"/>
              <w:jc w:val="center"/>
              <w:rPr>
                <w:rFonts w:ascii="仿宋" w:hAnsi="仿宋" w:eastAsia="仿宋" w:cs="仿宋"/>
                <w:color w:val="auto"/>
                <w:szCs w:val="21"/>
                <w:highlight w:val="none"/>
                <w:shd w:val="clear" w:color="auto" w:fill="FFFFFF" w:themeFill="background1"/>
              </w:rPr>
            </w:pPr>
          </w:p>
        </w:tc>
        <w:tc>
          <w:tcPr>
            <w:tcW w:w="1463" w:type="dxa"/>
            <w:gridSpan w:val="2"/>
            <w:vAlign w:val="center"/>
          </w:tcPr>
          <w:p w14:paraId="4B005197">
            <w:pPr>
              <w:spacing w:line="360" w:lineRule="auto"/>
              <w:jc w:val="center"/>
              <w:rPr>
                <w:rFonts w:ascii="仿宋" w:hAnsi="仿宋" w:eastAsia="仿宋" w:cs="仿宋"/>
                <w:color w:val="auto"/>
                <w:szCs w:val="21"/>
                <w:highlight w:val="none"/>
                <w:shd w:val="clear" w:color="auto" w:fill="FFFFFF" w:themeFill="background1"/>
              </w:rPr>
            </w:pPr>
          </w:p>
        </w:tc>
        <w:tc>
          <w:tcPr>
            <w:tcW w:w="1702" w:type="dxa"/>
            <w:vAlign w:val="center"/>
          </w:tcPr>
          <w:p w14:paraId="4CFD6B79">
            <w:pPr>
              <w:spacing w:line="360" w:lineRule="auto"/>
              <w:jc w:val="center"/>
              <w:rPr>
                <w:rFonts w:ascii="仿宋" w:hAnsi="仿宋" w:eastAsia="仿宋" w:cs="仿宋"/>
                <w:color w:val="auto"/>
                <w:szCs w:val="21"/>
                <w:highlight w:val="none"/>
                <w:shd w:val="clear" w:color="auto" w:fill="FFFFFF" w:themeFill="background1"/>
              </w:rPr>
            </w:pPr>
          </w:p>
        </w:tc>
        <w:tc>
          <w:tcPr>
            <w:tcW w:w="1275" w:type="dxa"/>
            <w:vAlign w:val="center"/>
          </w:tcPr>
          <w:p w14:paraId="388F6E0D">
            <w:pPr>
              <w:spacing w:line="360" w:lineRule="auto"/>
              <w:jc w:val="center"/>
              <w:rPr>
                <w:rFonts w:ascii="仿宋" w:hAnsi="仿宋" w:eastAsia="仿宋" w:cs="仿宋"/>
                <w:color w:val="auto"/>
                <w:szCs w:val="21"/>
                <w:highlight w:val="none"/>
                <w:shd w:val="clear" w:color="auto" w:fill="FFFFFF" w:themeFill="background1"/>
              </w:rPr>
            </w:pPr>
          </w:p>
        </w:tc>
        <w:tc>
          <w:tcPr>
            <w:tcW w:w="1364" w:type="dxa"/>
            <w:vAlign w:val="center"/>
          </w:tcPr>
          <w:p w14:paraId="5D59D28A">
            <w:pPr>
              <w:spacing w:line="360" w:lineRule="auto"/>
              <w:jc w:val="center"/>
              <w:rPr>
                <w:rFonts w:ascii="仿宋" w:hAnsi="仿宋" w:eastAsia="仿宋" w:cs="仿宋"/>
                <w:color w:val="auto"/>
                <w:szCs w:val="21"/>
                <w:highlight w:val="none"/>
                <w:shd w:val="clear" w:color="auto" w:fill="FFFFFF" w:themeFill="background1"/>
              </w:rPr>
            </w:pPr>
          </w:p>
        </w:tc>
      </w:tr>
    </w:tbl>
    <w:p w14:paraId="3EF87109">
      <w:pPr>
        <w:spacing w:line="360" w:lineRule="auto"/>
        <w:ind w:firstLine="420" w:firstLineChars="200"/>
        <w:jc w:val="left"/>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备注：附身份证、注册证等其它相关材料。</w:t>
      </w:r>
    </w:p>
    <w:p w14:paraId="4E585E1D">
      <w:pPr>
        <w:spacing w:line="360" w:lineRule="auto"/>
        <w:rPr>
          <w:rFonts w:ascii="仿宋" w:hAnsi="仿宋" w:eastAsia="仿宋" w:cs="仿宋"/>
          <w:color w:val="auto"/>
          <w:sz w:val="24"/>
          <w:szCs w:val="24"/>
          <w:highlight w:val="none"/>
          <w:shd w:val="clear" w:color="auto" w:fill="FFFFFF" w:themeFill="background1"/>
        </w:rPr>
      </w:pPr>
    </w:p>
    <w:p w14:paraId="20942407">
      <w:pPr>
        <w:tabs>
          <w:tab w:val="center" w:pos="4832"/>
          <w:tab w:val="left" w:pos="7140"/>
        </w:tabs>
        <w:spacing w:line="360" w:lineRule="auto"/>
        <w:jc w:val="center"/>
        <w:outlineLvl w:val="1"/>
        <w:rPr>
          <w:rFonts w:ascii="仿宋" w:hAnsi="仿宋" w:eastAsia="仿宋" w:cs="仿宋"/>
          <w:b/>
          <w:bCs/>
          <w:color w:val="auto"/>
          <w:sz w:val="24"/>
          <w:szCs w:val="24"/>
          <w:highlight w:val="none"/>
          <w:shd w:val="clear" w:color="auto" w:fill="FFFFFF" w:themeFill="background1"/>
        </w:rPr>
      </w:pPr>
      <w:bookmarkStart w:id="786" w:name="_Toc507586176"/>
      <w:r>
        <w:rPr>
          <w:rFonts w:hint="eastAsia" w:ascii="仿宋" w:hAnsi="仿宋" w:eastAsia="仿宋" w:cs="仿宋"/>
          <w:b/>
          <w:bCs/>
          <w:color w:val="auto"/>
          <w:sz w:val="24"/>
          <w:szCs w:val="24"/>
          <w:highlight w:val="none"/>
          <w:shd w:val="clear" w:color="auto" w:fill="FFFFFF" w:themeFill="background1"/>
        </w:rPr>
        <w:br w:type="page"/>
      </w:r>
      <w:bookmarkStart w:id="787" w:name="_Toc533503192"/>
      <w:bookmarkStart w:id="788" w:name="_Toc38446481"/>
      <w:bookmarkStart w:id="789" w:name="_Toc15626"/>
      <w:bookmarkStart w:id="790" w:name="_Toc3242"/>
      <w:r>
        <w:rPr>
          <w:rFonts w:hint="eastAsia" w:ascii="仿宋" w:hAnsi="仿宋" w:eastAsia="仿宋" w:cs="仿宋"/>
          <w:b/>
          <w:bCs/>
          <w:color w:val="auto"/>
          <w:sz w:val="24"/>
          <w:szCs w:val="24"/>
          <w:highlight w:val="none"/>
          <w:shd w:val="clear" w:color="auto" w:fill="FFFFFF" w:themeFill="background1"/>
          <w:lang w:val="en-US" w:eastAsia="zh-CN"/>
        </w:rPr>
        <w:t>十</w:t>
      </w:r>
      <w:r>
        <w:rPr>
          <w:rFonts w:hint="eastAsia" w:ascii="仿宋" w:hAnsi="仿宋" w:eastAsia="仿宋" w:cs="仿宋"/>
          <w:b/>
          <w:bCs/>
          <w:color w:val="auto"/>
          <w:sz w:val="24"/>
          <w:szCs w:val="24"/>
          <w:highlight w:val="none"/>
          <w:shd w:val="clear" w:color="auto" w:fill="FFFFFF" w:themeFill="background1"/>
        </w:rPr>
        <w:t>、</w:t>
      </w:r>
      <w:bookmarkEnd w:id="786"/>
      <w:bookmarkEnd w:id="787"/>
      <w:bookmarkEnd w:id="788"/>
      <w:r>
        <w:rPr>
          <w:rFonts w:hint="eastAsia" w:ascii="仿宋" w:hAnsi="仿宋" w:eastAsia="仿宋" w:cs="仿宋"/>
          <w:b/>
          <w:bCs/>
          <w:color w:val="auto"/>
          <w:sz w:val="24"/>
          <w:szCs w:val="24"/>
          <w:highlight w:val="none"/>
          <w:shd w:val="clear" w:color="auto" w:fill="FFFFFF" w:themeFill="background1"/>
        </w:rPr>
        <w:t>主要项目管理人员表</w:t>
      </w:r>
      <w:bookmarkEnd w:id="789"/>
      <w:bookmarkEnd w:id="790"/>
    </w:p>
    <w:tbl>
      <w:tblPr>
        <w:tblStyle w:val="48"/>
        <w:tblW w:w="9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1270"/>
        <w:gridCol w:w="1321"/>
        <w:gridCol w:w="1140"/>
        <w:gridCol w:w="1168"/>
        <w:gridCol w:w="1168"/>
        <w:gridCol w:w="1168"/>
        <w:gridCol w:w="1136"/>
      </w:tblGrid>
      <w:tr w14:paraId="5230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06" w:type="dxa"/>
            <w:vAlign w:val="center"/>
          </w:tcPr>
          <w:p w14:paraId="77417CE7">
            <w:pPr>
              <w:jc w:val="center"/>
              <w:rPr>
                <w:rFonts w:ascii="仿宋" w:hAnsi="仿宋" w:eastAsia="仿宋" w:cs="仿宋"/>
                <w:color w:val="auto"/>
                <w:highlight w:val="none"/>
              </w:rPr>
            </w:pPr>
            <w:r>
              <w:rPr>
                <w:rFonts w:hint="eastAsia" w:ascii="仿宋" w:hAnsi="仿宋" w:eastAsia="仿宋" w:cs="仿宋"/>
                <w:color w:val="auto"/>
                <w:highlight w:val="none"/>
              </w:rPr>
              <w:t>序号</w:t>
            </w:r>
          </w:p>
        </w:tc>
        <w:tc>
          <w:tcPr>
            <w:tcW w:w="1270" w:type="dxa"/>
            <w:vAlign w:val="center"/>
          </w:tcPr>
          <w:p w14:paraId="24ADC3FF">
            <w:pPr>
              <w:jc w:val="center"/>
              <w:rPr>
                <w:rFonts w:ascii="仿宋" w:hAnsi="仿宋" w:eastAsia="仿宋" w:cs="仿宋"/>
                <w:color w:val="auto"/>
                <w:highlight w:val="none"/>
              </w:rPr>
            </w:pPr>
            <w:r>
              <w:rPr>
                <w:rFonts w:hint="eastAsia" w:ascii="仿宋" w:hAnsi="仿宋" w:eastAsia="仿宋" w:cs="仿宋"/>
                <w:color w:val="auto"/>
                <w:highlight w:val="none"/>
              </w:rPr>
              <w:t>姓名</w:t>
            </w:r>
          </w:p>
        </w:tc>
        <w:tc>
          <w:tcPr>
            <w:tcW w:w="1321" w:type="dxa"/>
            <w:vAlign w:val="center"/>
          </w:tcPr>
          <w:p w14:paraId="36EB6E35">
            <w:pPr>
              <w:jc w:val="center"/>
              <w:rPr>
                <w:rFonts w:ascii="仿宋" w:hAnsi="仿宋" w:eastAsia="仿宋" w:cs="仿宋"/>
                <w:color w:val="auto"/>
                <w:highlight w:val="none"/>
              </w:rPr>
            </w:pPr>
            <w:r>
              <w:rPr>
                <w:rFonts w:hint="eastAsia" w:ascii="仿宋" w:hAnsi="仿宋" w:eastAsia="仿宋" w:cs="仿宋"/>
                <w:color w:val="auto"/>
                <w:highlight w:val="none"/>
              </w:rPr>
              <w:t>身份证号码</w:t>
            </w:r>
          </w:p>
        </w:tc>
        <w:tc>
          <w:tcPr>
            <w:tcW w:w="1140" w:type="dxa"/>
            <w:vAlign w:val="center"/>
          </w:tcPr>
          <w:p w14:paraId="3D8E6E1F">
            <w:pPr>
              <w:jc w:val="center"/>
              <w:rPr>
                <w:rFonts w:ascii="仿宋" w:hAnsi="仿宋" w:eastAsia="仿宋" w:cs="仿宋"/>
                <w:color w:val="auto"/>
                <w:highlight w:val="none"/>
              </w:rPr>
            </w:pPr>
            <w:r>
              <w:rPr>
                <w:rFonts w:hint="eastAsia" w:ascii="仿宋" w:hAnsi="仿宋" w:eastAsia="仿宋" w:cs="仿宋"/>
                <w:color w:val="auto"/>
                <w:highlight w:val="none"/>
              </w:rPr>
              <w:t>性别</w:t>
            </w:r>
          </w:p>
        </w:tc>
        <w:tc>
          <w:tcPr>
            <w:tcW w:w="1168" w:type="dxa"/>
            <w:vAlign w:val="center"/>
          </w:tcPr>
          <w:p w14:paraId="717CE2A3">
            <w:pPr>
              <w:jc w:val="center"/>
              <w:rPr>
                <w:rFonts w:ascii="仿宋" w:hAnsi="仿宋" w:eastAsia="仿宋" w:cs="仿宋"/>
                <w:color w:val="auto"/>
                <w:highlight w:val="none"/>
              </w:rPr>
            </w:pPr>
            <w:r>
              <w:rPr>
                <w:rFonts w:hint="eastAsia" w:ascii="仿宋" w:hAnsi="仿宋" w:eastAsia="仿宋" w:cs="仿宋"/>
                <w:color w:val="auto"/>
                <w:highlight w:val="none"/>
              </w:rPr>
              <w:t>职称</w:t>
            </w:r>
          </w:p>
        </w:tc>
        <w:tc>
          <w:tcPr>
            <w:tcW w:w="1168" w:type="dxa"/>
            <w:vAlign w:val="center"/>
          </w:tcPr>
          <w:p w14:paraId="7E6EDB56">
            <w:pPr>
              <w:jc w:val="center"/>
              <w:rPr>
                <w:rFonts w:ascii="仿宋" w:hAnsi="仿宋" w:eastAsia="仿宋" w:cs="仿宋"/>
                <w:color w:val="auto"/>
                <w:highlight w:val="none"/>
              </w:rPr>
            </w:pPr>
            <w:r>
              <w:rPr>
                <w:rFonts w:hint="eastAsia" w:ascii="仿宋" w:hAnsi="仿宋" w:eastAsia="仿宋" w:cs="仿宋"/>
                <w:color w:val="auto"/>
                <w:highlight w:val="none"/>
              </w:rPr>
              <w:t>学历</w:t>
            </w:r>
          </w:p>
        </w:tc>
        <w:tc>
          <w:tcPr>
            <w:tcW w:w="1168" w:type="dxa"/>
            <w:vAlign w:val="center"/>
          </w:tcPr>
          <w:p w14:paraId="668EB364">
            <w:pPr>
              <w:jc w:val="center"/>
              <w:rPr>
                <w:rFonts w:ascii="仿宋" w:hAnsi="仿宋" w:eastAsia="仿宋" w:cs="仿宋"/>
                <w:color w:val="auto"/>
                <w:highlight w:val="none"/>
              </w:rPr>
            </w:pPr>
            <w:r>
              <w:rPr>
                <w:rFonts w:hint="eastAsia" w:ascii="仿宋" w:hAnsi="仿宋" w:eastAsia="仿宋" w:cs="仿宋"/>
                <w:color w:val="auto"/>
                <w:highlight w:val="none"/>
              </w:rPr>
              <w:t>从事</w:t>
            </w:r>
            <w:r>
              <w:rPr>
                <w:rFonts w:hint="eastAsia" w:ascii="仿宋" w:hAnsi="仿宋" w:eastAsia="仿宋" w:cs="仿宋"/>
                <w:color w:val="auto"/>
                <w:highlight w:val="none"/>
                <w:lang w:val="en-US" w:eastAsia="zh-CN"/>
              </w:rPr>
              <w:t>相关工作</w:t>
            </w:r>
            <w:r>
              <w:rPr>
                <w:rFonts w:hint="eastAsia" w:ascii="仿宋" w:hAnsi="仿宋" w:eastAsia="仿宋" w:cs="仿宋"/>
                <w:color w:val="auto"/>
                <w:highlight w:val="none"/>
              </w:rPr>
              <w:t>年限</w:t>
            </w:r>
          </w:p>
        </w:tc>
        <w:tc>
          <w:tcPr>
            <w:tcW w:w="1136" w:type="dxa"/>
            <w:vAlign w:val="center"/>
          </w:tcPr>
          <w:p w14:paraId="42CD49A5">
            <w:pPr>
              <w:jc w:val="center"/>
              <w:rPr>
                <w:rFonts w:ascii="仿宋" w:hAnsi="仿宋" w:eastAsia="仿宋" w:cs="仿宋"/>
                <w:color w:val="auto"/>
                <w:highlight w:val="none"/>
              </w:rPr>
            </w:pPr>
            <w:r>
              <w:rPr>
                <w:rFonts w:hint="eastAsia" w:ascii="仿宋" w:hAnsi="仿宋" w:eastAsia="仿宋" w:cs="仿宋"/>
                <w:color w:val="auto"/>
                <w:highlight w:val="none"/>
              </w:rPr>
              <w:t>备注</w:t>
            </w:r>
          </w:p>
        </w:tc>
      </w:tr>
      <w:tr w14:paraId="55950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906" w:type="dxa"/>
          </w:tcPr>
          <w:p w14:paraId="6E2AE8BB">
            <w:pPr>
              <w:rPr>
                <w:rFonts w:ascii="仿宋" w:hAnsi="仿宋" w:eastAsia="仿宋" w:cs="仿宋"/>
                <w:color w:val="auto"/>
                <w:highlight w:val="none"/>
              </w:rPr>
            </w:pPr>
          </w:p>
        </w:tc>
        <w:tc>
          <w:tcPr>
            <w:tcW w:w="1270" w:type="dxa"/>
          </w:tcPr>
          <w:p w14:paraId="165FF4FF">
            <w:pPr>
              <w:rPr>
                <w:rFonts w:ascii="仿宋" w:hAnsi="仿宋" w:eastAsia="仿宋" w:cs="仿宋"/>
                <w:color w:val="auto"/>
                <w:highlight w:val="none"/>
              </w:rPr>
            </w:pPr>
          </w:p>
        </w:tc>
        <w:tc>
          <w:tcPr>
            <w:tcW w:w="1321" w:type="dxa"/>
          </w:tcPr>
          <w:p w14:paraId="78020309">
            <w:pPr>
              <w:rPr>
                <w:rFonts w:ascii="仿宋" w:hAnsi="仿宋" w:eastAsia="仿宋" w:cs="仿宋"/>
                <w:color w:val="auto"/>
                <w:highlight w:val="none"/>
              </w:rPr>
            </w:pPr>
          </w:p>
        </w:tc>
        <w:tc>
          <w:tcPr>
            <w:tcW w:w="1140" w:type="dxa"/>
          </w:tcPr>
          <w:p w14:paraId="2BD80518">
            <w:pPr>
              <w:rPr>
                <w:rFonts w:ascii="仿宋" w:hAnsi="仿宋" w:eastAsia="仿宋" w:cs="仿宋"/>
                <w:color w:val="auto"/>
                <w:highlight w:val="none"/>
              </w:rPr>
            </w:pPr>
          </w:p>
        </w:tc>
        <w:tc>
          <w:tcPr>
            <w:tcW w:w="1168" w:type="dxa"/>
          </w:tcPr>
          <w:p w14:paraId="4C58DF38">
            <w:pPr>
              <w:rPr>
                <w:rFonts w:ascii="仿宋" w:hAnsi="仿宋" w:eastAsia="仿宋" w:cs="仿宋"/>
                <w:color w:val="auto"/>
                <w:highlight w:val="none"/>
              </w:rPr>
            </w:pPr>
          </w:p>
        </w:tc>
        <w:tc>
          <w:tcPr>
            <w:tcW w:w="1168" w:type="dxa"/>
          </w:tcPr>
          <w:p w14:paraId="41DA37D5">
            <w:pPr>
              <w:rPr>
                <w:rFonts w:ascii="仿宋" w:hAnsi="仿宋" w:eastAsia="仿宋" w:cs="仿宋"/>
                <w:color w:val="auto"/>
                <w:highlight w:val="none"/>
              </w:rPr>
            </w:pPr>
          </w:p>
        </w:tc>
        <w:tc>
          <w:tcPr>
            <w:tcW w:w="1168" w:type="dxa"/>
          </w:tcPr>
          <w:p w14:paraId="73C5533F">
            <w:pPr>
              <w:rPr>
                <w:rFonts w:ascii="仿宋" w:hAnsi="仿宋" w:eastAsia="仿宋" w:cs="仿宋"/>
                <w:color w:val="auto"/>
                <w:highlight w:val="none"/>
              </w:rPr>
            </w:pPr>
          </w:p>
        </w:tc>
        <w:tc>
          <w:tcPr>
            <w:tcW w:w="1136" w:type="dxa"/>
          </w:tcPr>
          <w:p w14:paraId="658C95D4">
            <w:pPr>
              <w:rPr>
                <w:rFonts w:ascii="仿宋" w:hAnsi="仿宋" w:eastAsia="仿宋" w:cs="仿宋"/>
                <w:color w:val="auto"/>
                <w:highlight w:val="none"/>
              </w:rPr>
            </w:pPr>
          </w:p>
        </w:tc>
      </w:tr>
      <w:tr w14:paraId="1F0A4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906" w:type="dxa"/>
          </w:tcPr>
          <w:p w14:paraId="41794342">
            <w:pPr>
              <w:rPr>
                <w:rFonts w:ascii="仿宋" w:hAnsi="仿宋" w:eastAsia="仿宋" w:cs="仿宋"/>
                <w:color w:val="auto"/>
                <w:highlight w:val="none"/>
              </w:rPr>
            </w:pPr>
          </w:p>
        </w:tc>
        <w:tc>
          <w:tcPr>
            <w:tcW w:w="1270" w:type="dxa"/>
          </w:tcPr>
          <w:p w14:paraId="1C8213BB">
            <w:pPr>
              <w:rPr>
                <w:rFonts w:ascii="仿宋" w:hAnsi="仿宋" w:eastAsia="仿宋" w:cs="仿宋"/>
                <w:color w:val="auto"/>
                <w:highlight w:val="none"/>
              </w:rPr>
            </w:pPr>
          </w:p>
        </w:tc>
        <w:tc>
          <w:tcPr>
            <w:tcW w:w="1321" w:type="dxa"/>
          </w:tcPr>
          <w:p w14:paraId="5E64707C">
            <w:pPr>
              <w:rPr>
                <w:rFonts w:ascii="仿宋" w:hAnsi="仿宋" w:eastAsia="仿宋" w:cs="仿宋"/>
                <w:color w:val="auto"/>
                <w:highlight w:val="none"/>
              </w:rPr>
            </w:pPr>
          </w:p>
        </w:tc>
        <w:tc>
          <w:tcPr>
            <w:tcW w:w="1140" w:type="dxa"/>
          </w:tcPr>
          <w:p w14:paraId="7DF72AAE">
            <w:pPr>
              <w:rPr>
                <w:rFonts w:ascii="仿宋" w:hAnsi="仿宋" w:eastAsia="仿宋" w:cs="仿宋"/>
                <w:color w:val="auto"/>
                <w:highlight w:val="none"/>
              </w:rPr>
            </w:pPr>
          </w:p>
        </w:tc>
        <w:tc>
          <w:tcPr>
            <w:tcW w:w="1168" w:type="dxa"/>
          </w:tcPr>
          <w:p w14:paraId="41FB1865">
            <w:pPr>
              <w:rPr>
                <w:rFonts w:ascii="仿宋" w:hAnsi="仿宋" w:eastAsia="仿宋" w:cs="仿宋"/>
                <w:color w:val="auto"/>
                <w:highlight w:val="none"/>
              </w:rPr>
            </w:pPr>
          </w:p>
        </w:tc>
        <w:tc>
          <w:tcPr>
            <w:tcW w:w="1168" w:type="dxa"/>
          </w:tcPr>
          <w:p w14:paraId="76D3EA83">
            <w:pPr>
              <w:rPr>
                <w:rFonts w:ascii="仿宋" w:hAnsi="仿宋" w:eastAsia="仿宋" w:cs="仿宋"/>
                <w:color w:val="auto"/>
                <w:highlight w:val="none"/>
              </w:rPr>
            </w:pPr>
          </w:p>
        </w:tc>
        <w:tc>
          <w:tcPr>
            <w:tcW w:w="1168" w:type="dxa"/>
          </w:tcPr>
          <w:p w14:paraId="4C6A89C2">
            <w:pPr>
              <w:rPr>
                <w:rFonts w:ascii="仿宋" w:hAnsi="仿宋" w:eastAsia="仿宋" w:cs="仿宋"/>
                <w:color w:val="auto"/>
                <w:highlight w:val="none"/>
              </w:rPr>
            </w:pPr>
          </w:p>
        </w:tc>
        <w:tc>
          <w:tcPr>
            <w:tcW w:w="1136" w:type="dxa"/>
          </w:tcPr>
          <w:p w14:paraId="79677E46">
            <w:pPr>
              <w:rPr>
                <w:rFonts w:ascii="仿宋" w:hAnsi="仿宋" w:eastAsia="仿宋" w:cs="仿宋"/>
                <w:color w:val="auto"/>
                <w:highlight w:val="none"/>
              </w:rPr>
            </w:pPr>
          </w:p>
        </w:tc>
      </w:tr>
      <w:tr w14:paraId="17613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906" w:type="dxa"/>
          </w:tcPr>
          <w:p w14:paraId="023FFC5A">
            <w:pPr>
              <w:rPr>
                <w:rFonts w:ascii="仿宋" w:hAnsi="仿宋" w:eastAsia="仿宋" w:cs="仿宋"/>
                <w:color w:val="auto"/>
                <w:highlight w:val="none"/>
              </w:rPr>
            </w:pPr>
          </w:p>
        </w:tc>
        <w:tc>
          <w:tcPr>
            <w:tcW w:w="1270" w:type="dxa"/>
          </w:tcPr>
          <w:p w14:paraId="17634813">
            <w:pPr>
              <w:rPr>
                <w:rFonts w:ascii="仿宋" w:hAnsi="仿宋" w:eastAsia="仿宋" w:cs="仿宋"/>
                <w:color w:val="auto"/>
                <w:highlight w:val="none"/>
              </w:rPr>
            </w:pPr>
          </w:p>
        </w:tc>
        <w:tc>
          <w:tcPr>
            <w:tcW w:w="1321" w:type="dxa"/>
          </w:tcPr>
          <w:p w14:paraId="5B55EB41">
            <w:pPr>
              <w:rPr>
                <w:rFonts w:ascii="仿宋" w:hAnsi="仿宋" w:eastAsia="仿宋" w:cs="仿宋"/>
                <w:color w:val="auto"/>
                <w:highlight w:val="none"/>
              </w:rPr>
            </w:pPr>
          </w:p>
        </w:tc>
        <w:tc>
          <w:tcPr>
            <w:tcW w:w="1140" w:type="dxa"/>
          </w:tcPr>
          <w:p w14:paraId="6B9A6BE4">
            <w:pPr>
              <w:rPr>
                <w:rFonts w:ascii="仿宋" w:hAnsi="仿宋" w:eastAsia="仿宋" w:cs="仿宋"/>
                <w:color w:val="auto"/>
                <w:highlight w:val="none"/>
              </w:rPr>
            </w:pPr>
          </w:p>
        </w:tc>
        <w:tc>
          <w:tcPr>
            <w:tcW w:w="1168" w:type="dxa"/>
          </w:tcPr>
          <w:p w14:paraId="18D3FF09">
            <w:pPr>
              <w:rPr>
                <w:rFonts w:ascii="仿宋" w:hAnsi="仿宋" w:eastAsia="仿宋" w:cs="仿宋"/>
                <w:color w:val="auto"/>
                <w:highlight w:val="none"/>
              </w:rPr>
            </w:pPr>
          </w:p>
        </w:tc>
        <w:tc>
          <w:tcPr>
            <w:tcW w:w="1168" w:type="dxa"/>
          </w:tcPr>
          <w:p w14:paraId="1478B0BD">
            <w:pPr>
              <w:rPr>
                <w:rFonts w:ascii="仿宋" w:hAnsi="仿宋" w:eastAsia="仿宋" w:cs="仿宋"/>
                <w:color w:val="auto"/>
                <w:highlight w:val="none"/>
              </w:rPr>
            </w:pPr>
          </w:p>
        </w:tc>
        <w:tc>
          <w:tcPr>
            <w:tcW w:w="1168" w:type="dxa"/>
          </w:tcPr>
          <w:p w14:paraId="23DA0A03">
            <w:pPr>
              <w:rPr>
                <w:rFonts w:ascii="仿宋" w:hAnsi="仿宋" w:eastAsia="仿宋" w:cs="仿宋"/>
                <w:color w:val="auto"/>
                <w:highlight w:val="none"/>
              </w:rPr>
            </w:pPr>
          </w:p>
        </w:tc>
        <w:tc>
          <w:tcPr>
            <w:tcW w:w="1136" w:type="dxa"/>
          </w:tcPr>
          <w:p w14:paraId="02594443">
            <w:pPr>
              <w:rPr>
                <w:rFonts w:ascii="仿宋" w:hAnsi="仿宋" w:eastAsia="仿宋" w:cs="仿宋"/>
                <w:color w:val="auto"/>
                <w:highlight w:val="none"/>
              </w:rPr>
            </w:pPr>
          </w:p>
        </w:tc>
      </w:tr>
      <w:tr w14:paraId="45708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906" w:type="dxa"/>
          </w:tcPr>
          <w:p w14:paraId="13DF0879">
            <w:pPr>
              <w:rPr>
                <w:rFonts w:ascii="仿宋" w:hAnsi="仿宋" w:eastAsia="仿宋" w:cs="仿宋"/>
                <w:color w:val="auto"/>
                <w:highlight w:val="none"/>
              </w:rPr>
            </w:pPr>
          </w:p>
        </w:tc>
        <w:tc>
          <w:tcPr>
            <w:tcW w:w="1270" w:type="dxa"/>
          </w:tcPr>
          <w:p w14:paraId="3D999CF8">
            <w:pPr>
              <w:rPr>
                <w:rFonts w:ascii="仿宋" w:hAnsi="仿宋" w:eastAsia="仿宋" w:cs="仿宋"/>
                <w:color w:val="auto"/>
                <w:highlight w:val="none"/>
              </w:rPr>
            </w:pPr>
          </w:p>
        </w:tc>
        <w:tc>
          <w:tcPr>
            <w:tcW w:w="1321" w:type="dxa"/>
          </w:tcPr>
          <w:p w14:paraId="6C0FD2AB">
            <w:pPr>
              <w:rPr>
                <w:rFonts w:ascii="仿宋" w:hAnsi="仿宋" w:eastAsia="仿宋" w:cs="仿宋"/>
                <w:color w:val="auto"/>
                <w:highlight w:val="none"/>
              </w:rPr>
            </w:pPr>
          </w:p>
        </w:tc>
        <w:tc>
          <w:tcPr>
            <w:tcW w:w="1140" w:type="dxa"/>
          </w:tcPr>
          <w:p w14:paraId="1598596C">
            <w:pPr>
              <w:rPr>
                <w:rFonts w:ascii="仿宋" w:hAnsi="仿宋" w:eastAsia="仿宋" w:cs="仿宋"/>
                <w:color w:val="auto"/>
                <w:highlight w:val="none"/>
              </w:rPr>
            </w:pPr>
          </w:p>
        </w:tc>
        <w:tc>
          <w:tcPr>
            <w:tcW w:w="1168" w:type="dxa"/>
          </w:tcPr>
          <w:p w14:paraId="2510AAE0">
            <w:pPr>
              <w:rPr>
                <w:rFonts w:ascii="仿宋" w:hAnsi="仿宋" w:eastAsia="仿宋" w:cs="仿宋"/>
                <w:color w:val="auto"/>
                <w:highlight w:val="none"/>
              </w:rPr>
            </w:pPr>
          </w:p>
        </w:tc>
        <w:tc>
          <w:tcPr>
            <w:tcW w:w="1168" w:type="dxa"/>
          </w:tcPr>
          <w:p w14:paraId="385885C0">
            <w:pPr>
              <w:rPr>
                <w:rFonts w:ascii="仿宋" w:hAnsi="仿宋" w:eastAsia="仿宋" w:cs="仿宋"/>
                <w:color w:val="auto"/>
                <w:highlight w:val="none"/>
              </w:rPr>
            </w:pPr>
          </w:p>
        </w:tc>
        <w:tc>
          <w:tcPr>
            <w:tcW w:w="1168" w:type="dxa"/>
          </w:tcPr>
          <w:p w14:paraId="3FE0B84F">
            <w:pPr>
              <w:rPr>
                <w:rFonts w:ascii="仿宋" w:hAnsi="仿宋" w:eastAsia="仿宋" w:cs="仿宋"/>
                <w:color w:val="auto"/>
                <w:highlight w:val="none"/>
              </w:rPr>
            </w:pPr>
          </w:p>
        </w:tc>
        <w:tc>
          <w:tcPr>
            <w:tcW w:w="1136" w:type="dxa"/>
          </w:tcPr>
          <w:p w14:paraId="38C3B829">
            <w:pPr>
              <w:rPr>
                <w:rFonts w:ascii="仿宋" w:hAnsi="仿宋" w:eastAsia="仿宋" w:cs="仿宋"/>
                <w:color w:val="auto"/>
                <w:highlight w:val="none"/>
              </w:rPr>
            </w:pPr>
          </w:p>
        </w:tc>
      </w:tr>
      <w:tr w14:paraId="3BFCB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906" w:type="dxa"/>
          </w:tcPr>
          <w:p w14:paraId="2625D290">
            <w:pPr>
              <w:rPr>
                <w:rFonts w:ascii="仿宋" w:hAnsi="仿宋" w:eastAsia="仿宋" w:cs="仿宋"/>
                <w:color w:val="auto"/>
                <w:highlight w:val="none"/>
              </w:rPr>
            </w:pPr>
          </w:p>
        </w:tc>
        <w:tc>
          <w:tcPr>
            <w:tcW w:w="1270" w:type="dxa"/>
          </w:tcPr>
          <w:p w14:paraId="4FCF1293">
            <w:pPr>
              <w:rPr>
                <w:rFonts w:ascii="仿宋" w:hAnsi="仿宋" w:eastAsia="仿宋" w:cs="仿宋"/>
                <w:color w:val="auto"/>
                <w:highlight w:val="none"/>
              </w:rPr>
            </w:pPr>
          </w:p>
        </w:tc>
        <w:tc>
          <w:tcPr>
            <w:tcW w:w="1321" w:type="dxa"/>
          </w:tcPr>
          <w:p w14:paraId="26231993">
            <w:pPr>
              <w:rPr>
                <w:rFonts w:ascii="仿宋" w:hAnsi="仿宋" w:eastAsia="仿宋" w:cs="仿宋"/>
                <w:color w:val="auto"/>
                <w:highlight w:val="none"/>
              </w:rPr>
            </w:pPr>
          </w:p>
        </w:tc>
        <w:tc>
          <w:tcPr>
            <w:tcW w:w="1140" w:type="dxa"/>
          </w:tcPr>
          <w:p w14:paraId="541547E8">
            <w:pPr>
              <w:rPr>
                <w:rFonts w:ascii="仿宋" w:hAnsi="仿宋" w:eastAsia="仿宋" w:cs="仿宋"/>
                <w:color w:val="auto"/>
                <w:highlight w:val="none"/>
              </w:rPr>
            </w:pPr>
          </w:p>
        </w:tc>
        <w:tc>
          <w:tcPr>
            <w:tcW w:w="1168" w:type="dxa"/>
          </w:tcPr>
          <w:p w14:paraId="4B8EC4D5">
            <w:pPr>
              <w:rPr>
                <w:rFonts w:ascii="仿宋" w:hAnsi="仿宋" w:eastAsia="仿宋" w:cs="仿宋"/>
                <w:color w:val="auto"/>
                <w:highlight w:val="none"/>
              </w:rPr>
            </w:pPr>
          </w:p>
        </w:tc>
        <w:tc>
          <w:tcPr>
            <w:tcW w:w="1168" w:type="dxa"/>
          </w:tcPr>
          <w:p w14:paraId="64A1A070">
            <w:pPr>
              <w:rPr>
                <w:rFonts w:ascii="仿宋" w:hAnsi="仿宋" w:eastAsia="仿宋" w:cs="仿宋"/>
                <w:color w:val="auto"/>
                <w:highlight w:val="none"/>
              </w:rPr>
            </w:pPr>
          </w:p>
        </w:tc>
        <w:tc>
          <w:tcPr>
            <w:tcW w:w="1168" w:type="dxa"/>
          </w:tcPr>
          <w:p w14:paraId="2EF263B5">
            <w:pPr>
              <w:rPr>
                <w:rFonts w:ascii="仿宋" w:hAnsi="仿宋" w:eastAsia="仿宋" w:cs="仿宋"/>
                <w:color w:val="auto"/>
                <w:highlight w:val="none"/>
              </w:rPr>
            </w:pPr>
          </w:p>
        </w:tc>
        <w:tc>
          <w:tcPr>
            <w:tcW w:w="1136" w:type="dxa"/>
          </w:tcPr>
          <w:p w14:paraId="26E0D50E">
            <w:pPr>
              <w:rPr>
                <w:rFonts w:ascii="仿宋" w:hAnsi="仿宋" w:eastAsia="仿宋" w:cs="仿宋"/>
                <w:color w:val="auto"/>
                <w:highlight w:val="none"/>
              </w:rPr>
            </w:pPr>
          </w:p>
        </w:tc>
      </w:tr>
      <w:tr w14:paraId="63043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906" w:type="dxa"/>
          </w:tcPr>
          <w:p w14:paraId="70C0D863">
            <w:pPr>
              <w:rPr>
                <w:rFonts w:ascii="仿宋" w:hAnsi="仿宋" w:eastAsia="仿宋" w:cs="仿宋"/>
                <w:color w:val="auto"/>
                <w:highlight w:val="none"/>
              </w:rPr>
            </w:pPr>
          </w:p>
        </w:tc>
        <w:tc>
          <w:tcPr>
            <w:tcW w:w="1270" w:type="dxa"/>
          </w:tcPr>
          <w:p w14:paraId="22FCB128">
            <w:pPr>
              <w:rPr>
                <w:rFonts w:ascii="仿宋" w:hAnsi="仿宋" w:eastAsia="仿宋" w:cs="仿宋"/>
                <w:color w:val="auto"/>
                <w:highlight w:val="none"/>
              </w:rPr>
            </w:pPr>
          </w:p>
        </w:tc>
        <w:tc>
          <w:tcPr>
            <w:tcW w:w="1321" w:type="dxa"/>
          </w:tcPr>
          <w:p w14:paraId="6B81BA44">
            <w:pPr>
              <w:rPr>
                <w:rFonts w:ascii="仿宋" w:hAnsi="仿宋" w:eastAsia="仿宋" w:cs="仿宋"/>
                <w:color w:val="auto"/>
                <w:highlight w:val="none"/>
              </w:rPr>
            </w:pPr>
          </w:p>
        </w:tc>
        <w:tc>
          <w:tcPr>
            <w:tcW w:w="1140" w:type="dxa"/>
          </w:tcPr>
          <w:p w14:paraId="4191FD3A">
            <w:pPr>
              <w:rPr>
                <w:rFonts w:ascii="仿宋" w:hAnsi="仿宋" w:eastAsia="仿宋" w:cs="仿宋"/>
                <w:color w:val="auto"/>
                <w:highlight w:val="none"/>
              </w:rPr>
            </w:pPr>
          </w:p>
        </w:tc>
        <w:tc>
          <w:tcPr>
            <w:tcW w:w="1168" w:type="dxa"/>
          </w:tcPr>
          <w:p w14:paraId="6DB622A6">
            <w:pPr>
              <w:rPr>
                <w:rFonts w:ascii="仿宋" w:hAnsi="仿宋" w:eastAsia="仿宋" w:cs="仿宋"/>
                <w:color w:val="auto"/>
                <w:highlight w:val="none"/>
              </w:rPr>
            </w:pPr>
          </w:p>
        </w:tc>
        <w:tc>
          <w:tcPr>
            <w:tcW w:w="1168" w:type="dxa"/>
          </w:tcPr>
          <w:p w14:paraId="26EE9120">
            <w:pPr>
              <w:rPr>
                <w:rFonts w:ascii="仿宋" w:hAnsi="仿宋" w:eastAsia="仿宋" w:cs="仿宋"/>
                <w:color w:val="auto"/>
                <w:highlight w:val="none"/>
              </w:rPr>
            </w:pPr>
          </w:p>
        </w:tc>
        <w:tc>
          <w:tcPr>
            <w:tcW w:w="1168" w:type="dxa"/>
          </w:tcPr>
          <w:p w14:paraId="1F9D3B19">
            <w:pPr>
              <w:rPr>
                <w:rFonts w:ascii="仿宋" w:hAnsi="仿宋" w:eastAsia="仿宋" w:cs="仿宋"/>
                <w:color w:val="auto"/>
                <w:highlight w:val="none"/>
              </w:rPr>
            </w:pPr>
          </w:p>
        </w:tc>
        <w:tc>
          <w:tcPr>
            <w:tcW w:w="1136" w:type="dxa"/>
          </w:tcPr>
          <w:p w14:paraId="043185EB">
            <w:pPr>
              <w:rPr>
                <w:rFonts w:ascii="仿宋" w:hAnsi="仿宋" w:eastAsia="仿宋" w:cs="仿宋"/>
                <w:color w:val="auto"/>
                <w:highlight w:val="none"/>
              </w:rPr>
            </w:pPr>
          </w:p>
        </w:tc>
      </w:tr>
      <w:tr w14:paraId="290AA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906" w:type="dxa"/>
          </w:tcPr>
          <w:p w14:paraId="6243F2BE">
            <w:pPr>
              <w:rPr>
                <w:rFonts w:ascii="仿宋" w:hAnsi="仿宋" w:eastAsia="仿宋" w:cs="仿宋"/>
                <w:color w:val="auto"/>
                <w:highlight w:val="none"/>
              </w:rPr>
            </w:pPr>
          </w:p>
        </w:tc>
        <w:tc>
          <w:tcPr>
            <w:tcW w:w="1270" w:type="dxa"/>
          </w:tcPr>
          <w:p w14:paraId="64407055">
            <w:pPr>
              <w:rPr>
                <w:rFonts w:ascii="仿宋" w:hAnsi="仿宋" w:eastAsia="仿宋" w:cs="仿宋"/>
                <w:color w:val="auto"/>
                <w:highlight w:val="none"/>
              </w:rPr>
            </w:pPr>
          </w:p>
        </w:tc>
        <w:tc>
          <w:tcPr>
            <w:tcW w:w="1321" w:type="dxa"/>
          </w:tcPr>
          <w:p w14:paraId="2FF2D820">
            <w:pPr>
              <w:rPr>
                <w:rFonts w:ascii="仿宋" w:hAnsi="仿宋" w:eastAsia="仿宋" w:cs="仿宋"/>
                <w:color w:val="auto"/>
                <w:highlight w:val="none"/>
              </w:rPr>
            </w:pPr>
          </w:p>
        </w:tc>
        <w:tc>
          <w:tcPr>
            <w:tcW w:w="1140" w:type="dxa"/>
          </w:tcPr>
          <w:p w14:paraId="1F40A0D1">
            <w:pPr>
              <w:rPr>
                <w:rFonts w:ascii="仿宋" w:hAnsi="仿宋" w:eastAsia="仿宋" w:cs="仿宋"/>
                <w:color w:val="auto"/>
                <w:highlight w:val="none"/>
              </w:rPr>
            </w:pPr>
          </w:p>
        </w:tc>
        <w:tc>
          <w:tcPr>
            <w:tcW w:w="1168" w:type="dxa"/>
          </w:tcPr>
          <w:p w14:paraId="1EB06F99">
            <w:pPr>
              <w:rPr>
                <w:rFonts w:ascii="仿宋" w:hAnsi="仿宋" w:eastAsia="仿宋" w:cs="仿宋"/>
                <w:color w:val="auto"/>
                <w:highlight w:val="none"/>
              </w:rPr>
            </w:pPr>
          </w:p>
        </w:tc>
        <w:tc>
          <w:tcPr>
            <w:tcW w:w="1168" w:type="dxa"/>
          </w:tcPr>
          <w:p w14:paraId="0FA59EFB">
            <w:pPr>
              <w:rPr>
                <w:rFonts w:ascii="仿宋" w:hAnsi="仿宋" w:eastAsia="仿宋" w:cs="仿宋"/>
                <w:color w:val="auto"/>
                <w:highlight w:val="none"/>
              </w:rPr>
            </w:pPr>
          </w:p>
        </w:tc>
        <w:tc>
          <w:tcPr>
            <w:tcW w:w="1168" w:type="dxa"/>
          </w:tcPr>
          <w:p w14:paraId="2314CA9A">
            <w:pPr>
              <w:rPr>
                <w:rFonts w:ascii="仿宋" w:hAnsi="仿宋" w:eastAsia="仿宋" w:cs="仿宋"/>
                <w:color w:val="auto"/>
                <w:highlight w:val="none"/>
              </w:rPr>
            </w:pPr>
          </w:p>
        </w:tc>
        <w:tc>
          <w:tcPr>
            <w:tcW w:w="1136" w:type="dxa"/>
          </w:tcPr>
          <w:p w14:paraId="519CE2AF">
            <w:pPr>
              <w:rPr>
                <w:rFonts w:ascii="仿宋" w:hAnsi="仿宋" w:eastAsia="仿宋" w:cs="仿宋"/>
                <w:color w:val="auto"/>
                <w:highlight w:val="none"/>
              </w:rPr>
            </w:pPr>
          </w:p>
        </w:tc>
      </w:tr>
    </w:tbl>
    <w:p w14:paraId="386F4787">
      <w:pPr>
        <w:spacing w:line="360" w:lineRule="auto"/>
        <w:ind w:firstLine="420" w:firstLineChars="200"/>
        <w:jc w:val="left"/>
        <w:rPr>
          <w:rFonts w:ascii="仿宋" w:hAnsi="仿宋" w:eastAsia="仿宋" w:cs="仿宋"/>
          <w:color w:val="auto"/>
          <w:szCs w:val="24"/>
          <w:highlight w:val="none"/>
          <w:shd w:val="clear" w:color="auto" w:fill="FFFFFF" w:themeFill="background1"/>
        </w:rPr>
      </w:pPr>
    </w:p>
    <w:p w14:paraId="2D42A5C7">
      <w:pPr>
        <w:spacing w:line="360" w:lineRule="auto"/>
        <w:ind w:firstLine="420" w:firstLineChars="200"/>
        <w:jc w:val="left"/>
        <w:rPr>
          <w:rFonts w:hint="eastAsia" w:ascii="仿宋" w:hAnsi="仿宋" w:eastAsia="仿宋" w:cs="仿宋"/>
          <w:color w:val="auto"/>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备注：</w:t>
      </w:r>
      <w:r>
        <w:rPr>
          <w:rFonts w:hint="eastAsia" w:ascii="仿宋" w:hAnsi="仿宋" w:eastAsia="仿宋" w:cs="仿宋"/>
          <w:color w:val="auto"/>
          <w:szCs w:val="24"/>
          <w:highlight w:val="none"/>
          <w:shd w:val="clear" w:color="auto" w:fill="FFFFFF" w:themeFill="background1"/>
          <w:lang w:val="en-US" w:eastAsia="zh-CN"/>
        </w:rPr>
        <w:t>需配备</w:t>
      </w:r>
      <w:r>
        <w:rPr>
          <w:rFonts w:hint="eastAsia" w:ascii="仿宋" w:hAnsi="仿宋" w:eastAsia="仿宋" w:cs="仿宋"/>
          <w:color w:val="auto"/>
          <w:szCs w:val="24"/>
          <w:highlight w:val="none"/>
          <w:shd w:val="clear" w:color="auto" w:fill="FFFFFF" w:themeFill="background1"/>
        </w:rPr>
        <w:t>施工员、材料员、预算员、质检员、安全员、资料员及项目负责人需要配备的其他关键人员；应附相应证书、身份证，专职安全生产管理人员应附有效的安全生产考核合格证书。</w:t>
      </w:r>
    </w:p>
    <w:p w14:paraId="08C132C2">
      <w:pPr>
        <w:spacing w:line="360" w:lineRule="auto"/>
        <w:ind w:firstLine="420" w:firstLineChars="200"/>
        <w:jc w:val="left"/>
        <w:rPr>
          <w:rFonts w:hint="eastAsia" w:ascii="仿宋" w:hAnsi="仿宋" w:eastAsia="仿宋" w:cs="仿宋"/>
          <w:color w:val="auto"/>
          <w:szCs w:val="24"/>
          <w:highlight w:val="none"/>
          <w:shd w:val="clear" w:color="auto" w:fill="FFFFFF" w:themeFill="background1"/>
        </w:rPr>
      </w:pPr>
    </w:p>
    <w:p w14:paraId="73269CA9">
      <w:pPr>
        <w:spacing w:line="360" w:lineRule="auto"/>
        <w:rPr>
          <w:rFonts w:ascii="仿宋" w:hAnsi="仿宋" w:eastAsia="仿宋" w:cs="仿宋"/>
          <w:color w:val="auto"/>
          <w:sz w:val="24"/>
          <w:szCs w:val="24"/>
          <w:highlight w:val="none"/>
          <w:shd w:val="clear" w:color="auto" w:fill="FFFFFF" w:themeFill="background1"/>
        </w:rPr>
      </w:pPr>
    </w:p>
    <w:p w14:paraId="0CBFAAB3">
      <w:pPr>
        <w:rPr>
          <w:rFonts w:ascii="仿宋" w:hAnsi="仿宋" w:eastAsia="仿宋" w:cs="仿宋"/>
          <w:bCs/>
          <w:color w:val="auto"/>
          <w:szCs w:val="24"/>
          <w:highlight w:val="none"/>
          <w:shd w:val="clear" w:color="auto" w:fill="FFFFFF" w:themeFill="background1"/>
        </w:rPr>
      </w:pPr>
      <w:r>
        <w:rPr>
          <w:rFonts w:hint="eastAsia" w:ascii="仿宋" w:hAnsi="仿宋" w:eastAsia="仿宋" w:cs="仿宋"/>
          <w:bCs/>
          <w:color w:val="auto"/>
          <w:szCs w:val="24"/>
          <w:highlight w:val="none"/>
          <w:shd w:val="clear" w:color="auto" w:fill="FFFFFF" w:themeFill="background1"/>
        </w:rPr>
        <w:br w:type="page"/>
      </w:r>
    </w:p>
    <w:p w14:paraId="4DA4445B">
      <w:pPr>
        <w:tabs>
          <w:tab w:val="center" w:pos="4832"/>
          <w:tab w:val="left" w:pos="7140"/>
        </w:tabs>
        <w:spacing w:line="360" w:lineRule="auto"/>
        <w:ind w:firstLine="482" w:firstLineChars="200"/>
        <w:jc w:val="center"/>
        <w:outlineLvl w:val="1"/>
        <w:rPr>
          <w:rFonts w:hint="eastAsia" w:ascii="仿宋" w:hAnsi="仿宋" w:eastAsia="仿宋" w:cs="仿宋"/>
          <w:b/>
          <w:color w:val="auto"/>
          <w:sz w:val="24"/>
          <w:szCs w:val="24"/>
          <w:highlight w:val="none"/>
          <w:shd w:val="clear" w:color="auto" w:fill="FFFFFF" w:themeFill="background1"/>
          <w:lang w:eastAsia="zh-CN"/>
        </w:rPr>
      </w:pPr>
      <w:bookmarkStart w:id="791" w:name="_Toc25270"/>
      <w:bookmarkStart w:id="792" w:name="_Toc507586177"/>
      <w:bookmarkStart w:id="793" w:name="_Toc38446482"/>
      <w:bookmarkStart w:id="794" w:name="_Toc533503193"/>
      <w:bookmarkStart w:id="795" w:name="_Toc15585"/>
      <w:r>
        <w:rPr>
          <w:rFonts w:hint="eastAsia" w:ascii="仿宋" w:hAnsi="仿宋" w:eastAsia="仿宋" w:cs="仿宋"/>
          <w:b/>
          <w:color w:val="auto"/>
          <w:sz w:val="24"/>
          <w:szCs w:val="24"/>
          <w:highlight w:val="none"/>
          <w:shd w:val="clear" w:color="auto" w:fill="FFFFFF" w:themeFill="background1"/>
        </w:rPr>
        <w:t>十</w:t>
      </w:r>
      <w:r>
        <w:rPr>
          <w:rFonts w:hint="eastAsia" w:ascii="仿宋" w:hAnsi="仿宋" w:eastAsia="仿宋" w:cs="仿宋"/>
          <w:b/>
          <w:color w:val="auto"/>
          <w:sz w:val="24"/>
          <w:szCs w:val="24"/>
          <w:highlight w:val="none"/>
          <w:shd w:val="clear" w:color="auto" w:fill="FFFFFF" w:themeFill="background1"/>
          <w:lang w:val="en-US" w:eastAsia="zh-CN"/>
        </w:rPr>
        <w:t>一</w:t>
      </w:r>
      <w:r>
        <w:rPr>
          <w:rFonts w:hint="eastAsia" w:ascii="仿宋" w:hAnsi="仿宋" w:eastAsia="仿宋" w:cs="仿宋"/>
          <w:b/>
          <w:color w:val="auto"/>
          <w:sz w:val="24"/>
          <w:szCs w:val="24"/>
          <w:highlight w:val="none"/>
          <w:shd w:val="clear" w:color="auto" w:fill="FFFFFF" w:themeFill="background1"/>
        </w:rPr>
        <w:t>、</w:t>
      </w:r>
      <w:bookmarkEnd w:id="791"/>
      <w:bookmarkEnd w:id="792"/>
      <w:bookmarkEnd w:id="793"/>
      <w:bookmarkEnd w:id="794"/>
      <w:r>
        <w:rPr>
          <w:rFonts w:hint="eastAsia" w:ascii="仿宋" w:hAnsi="仿宋" w:eastAsia="仿宋" w:cs="仿宋"/>
          <w:b/>
          <w:bCs/>
          <w:color w:val="auto"/>
          <w:sz w:val="24"/>
          <w:szCs w:val="24"/>
          <w:highlight w:val="none"/>
          <w:shd w:val="clear" w:color="auto" w:fill="FFFFFF" w:themeFill="background1"/>
          <w:lang w:eastAsia="zh-CN"/>
        </w:rPr>
        <w:t>施工组织设计</w:t>
      </w:r>
      <w:bookmarkEnd w:id="795"/>
    </w:p>
    <w:p w14:paraId="322F70F8">
      <w:pPr>
        <w:spacing w:line="360" w:lineRule="auto"/>
        <w:ind w:firstLine="480" w:firstLineChars="200"/>
        <w:rPr>
          <w:rFonts w:ascii="仿宋" w:hAnsi="仿宋" w:eastAsia="仿宋" w:cs="仿宋"/>
          <w:color w:val="auto"/>
          <w:sz w:val="24"/>
          <w:szCs w:val="24"/>
          <w:highlight w:val="none"/>
          <w:shd w:val="clear" w:color="auto" w:fill="FFFFFF" w:themeFill="background1"/>
        </w:rPr>
      </w:pPr>
    </w:p>
    <w:p w14:paraId="40A9D179">
      <w:pPr>
        <w:spacing w:line="360" w:lineRule="auto"/>
        <w:rPr>
          <w:rFonts w:hint="eastAsia" w:ascii="仿宋" w:hAnsi="仿宋" w:eastAsia="仿宋" w:cs="仿宋"/>
          <w:color w:val="auto"/>
          <w:sz w:val="24"/>
          <w:szCs w:val="24"/>
          <w:highlight w:val="none"/>
          <w:shd w:val="clear" w:color="auto" w:fill="FFFFFF" w:themeFill="background1"/>
          <w:lang w:eastAsia="zh-CN"/>
        </w:rPr>
      </w:pPr>
      <w:r>
        <w:rPr>
          <w:rFonts w:hint="eastAsia" w:ascii="仿宋" w:hAnsi="仿宋" w:eastAsia="仿宋" w:cs="仿宋"/>
          <w:color w:val="auto"/>
          <w:sz w:val="24"/>
          <w:szCs w:val="24"/>
          <w:highlight w:val="none"/>
          <w:shd w:val="clear" w:color="auto" w:fill="FFFFFF" w:themeFill="background1"/>
          <w:lang w:val="en-US" w:eastAsia="zh-CN"/>
        </w:rPr>
        <w:t xml:space="preserve">一、供应商应根据项目的具体情况，编制相应的施工组织设计。 </w:t>
      </w:r>
    </w:p>
    <w:p w14:paraId="4ED31304">
      <w:pPr>
        <w:spacing w:line="360" w:lineRule="auto"/>
        <w:rPr>
          <w:rFonts w:hint="eastAsia" w:ascii="仿宋" w:hAnsi="仿宋" w:eastAsia="仿宋" w:cs="仿宋"/>
          <w:color w:val="auto"/>
          <w:sz w:val="24"/>
          <w:szCs w:val="24"/>
          <w:highlight w:val="none"/>
          <w:shd w:val="clear" w:color="auto" w:fill="FFFFFF" w:themeFill="background1"/>
          <w:lang w:eastAsia="zh-CN"/>
        </w:rPr>
      </w:pPr>
      <w:r>
        <w:rPr>
          <w:rFonts w:hint="eastAsia" w:ascii="仿宋" w:hAnsi="仿宋" w:eastAsia="仿宋" w:cs="仿宋"/>
          <w:color w:val="auto"/>
          <w:sz w:val="24"/>
          <w:szCs w:val="24"/>
          <w:highlight w:val="none"/>
          <w:shd w:val="clear" w:color="auto" w:fill="FFFFFF" w:themeFill="background1"/>
          <w:lang w:val="en-US" w:eastAsia="zh-CN"/>
        </w:rPr>
        <w:t>二、施工组织设计包括</w:t>
      </w:r>
      <w:r>
        <w:rPr>
          <w:rFonts w:hint="eastAsia" w:ascii="仿宋" w:hAnsi="仿宋" w:eastAsia="仿宋" w:cs="仿宋"/>
          <w:color w:val="auto"/>
          <w:sz w:val="24"/>
          <w:szCs w:val="24"/>
          <w:highlight w:val="none"/>
          <w:shd w:val="clear" w:color="auto" w:fill="FFFFFF" w:themeFill="background1"/>
        </w:rPr>
        <w:t>但不限于</w:t>
      </w:r>
      <w:r>
        <w:rPr>
          <w:rFonts w:hint="eastAsia" w:ascii="仿宋" w:hAnsi="仿宋" w:eastAsia="仿宋" w:cs="仿宋"/>
          <w:color w:val="auto"/>
          <w:sz w:val="24"/>
          <w:szCs w:val="24"/>
          <w:highlight w:val="none"/>
          <w:shd w:val="clear" w:color="auto" w:fill="FFFFFF" w:themeFill="background1"/>
          <w:lang w:val="en-US" w:eastAsia="zh-CN"/>
        </w:rPr>
        <w:t>下列内容：</w:t>
      </w:r>
    </w:p>
    <w:p w14:paraId="4D206D53">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1、工程概况及特点</w:t>
      </w:r>
    </w:p>
    <w:p w14:paraId="5D204C43">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（1）工程建设概况</w:t>
      </w:r>
    </w:p>
    <w:p w14:paraId="12D11D8C">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（2）建筑设计特点</w:t>
      </w:r>
    </w:p>
    <w:p w14:paraId="4F435812">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（3）结构设计特点</w:t>
      </w:r>
    </w:p>
    <w:p w14:paraId="710DB5C4">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（4）设备安装设计特点</w:t>
      </w:r>
    </w:p>
    <w:p w14:paraId="4755B2D3">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（5）工程施工特点</w:t>
      </w:r>
    </w:p>
    <w:p w14:paraId="21AFDAEB">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（6）建设地点特征</w:t>
      </w:r>
    </w:p>
    <w:p w14:paraId="526AD22E">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2、施工准备工作计划</w:t>
      </w:r>
    </w:p>
    <w:p w14:paraId="01262A34">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3、施工方案</w:t>
      </w:r>
    </w:p>
    <w:p w14:paraId="113E8094">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4、工程施工进度计划</w:t>
      </w:r>
    </w:p>
    <w:p w14:paraId="425B937D">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（1）施工流水作业横道图</w:t>
      </w:r>
    </w:p>
    <w:p w14:paraId="54B095F9">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（2）施工进度计划网络图</w:t>
      </w:r>
    </w:p>
    <w:p w14:paraId="17A2A97A">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上述两种图表，可选任意一种，但推荐做（2）的图表形式</w:t>
      </w:r>
    </w:p>
    <w:p w14:paraId="235281B0">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5、劳动力、材料、施工机械设备等需要量计划</w:t>
      </w:r>
    </w:p>
    <w:p w14:paraId="4690B071">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6、施工平面图</w:t>
      </w:r>
    </w:p>
    <w:p w14:paraId="1CB534F6">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7、质量保证技术组织措施和保证体系</w:t>
      </w:r>
    </w:p>
    <w:p w14:paraId="37180442">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8、安全保证技术组织措施和保证体系</w:t>
      </w:r>
    </w:p>
    <w:p w14:paraId="07751D99">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9、进度保证技术组织措施和保证体系</w:t>
      </w:r>
    </w:p>
    <w:p w14:paraId="421C0C90">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10、现场文明施工措施</w:t>
      </w:r>
    </w:p>
    <w:p w14:paraId="65EF8CC9">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11、施工现场扬尘防治方案</w:t>
      </w:r>
    </w:p>
    <w:p w14:paraId="46337FE1">
      <w:pPr>
        <w:spacing w:line="360" w:lineRule="auto"/>
        <w:ind w:firstLine="480" w:firstLineChars="200"/>
        <w:rPr>
          <w:rFonts w:ascii="仿宋" w:hAnsi="仿宋" w:eastAsia="仿宋" w:cs="仿宋"/>
          <w:color w:val="auto"/>
          <w:sz w:val="24"/>
          <w:szCs w:val="24"/>
          <w:highlight w:val="none"/>
          <w:shd w:val="clear" w:color="auto" w:fill="FFFFFF" w:themeFill="background1"/>
        </w:rPr>
      </w:pPr>
    </w:p>
    <w:p w14:paraId="26050568">
      <w:pPr>
        <w:spacing w:line="360" w:lineRule="auto"/>
        <w:ind w:firstLine="480" w:firstLineChars="200"/>
        <w:rPr>
          <w:rFonts w:ascii="仿宋" w:hAnsi="仿宋" w:eastAsia="仿宋" w:cs="仿宋"/>
          <w:bCs/>
          <w:color w:val="auto"/>
          <w:sz w:val="24"/>
          <w:szCs w:val="24"/>
          <w:highlight w:val="none"/>
          <w:shd w:val="clear" w:color="auto" w:fill="FFFFFF" w:themeFill="background1"/>
        </w:rPr>
      </w:pPr>
    </w:p>
    <w:p w14:paraId="1A288B2D">
      <w:pPr>
        <w:widowControl/>
        <w:jc w:val="left"/>
        <w:rPr>
          <w:rFonts w:ascii="仿宋" w:hAnsi="仿宋" w:eastAsia="仿宋" w:cs="仿宋"/>
          <w:bCs/>
          <w:color w:val="auto"/>
          <w:sz w:val="24"/>
          <w:szCs w:val="24"/>
          <w:highlight w:val="none"/>
          <w:shd w:val="clear" w:color="auto" w:fill="FFFFFF" w:themeFill="background1"/>
        </w:rPr>
      </w:pPr>
      <w:bookmarkStart w:id="796" w:name="_Toc38446484"/>
      <w:bookmarkStart w:id="797" w:name="_Toc533503194"/>
      <w:bookmarkStart w:id="798" w:name="_Toc507586178"/>
      <w:r>
        <w:rPr>
          <w:rFonts w:hint="eastAsia" w:ascii="仿宋" w:hAnsi="仿宋" w:eastAsia="仿宋" w:cs="仿宋"/>
          <w:bCs/>
          <w:color w:val="auto"/>
          <w:sz w:val="24"/>
          <w:szCs w:val="24"/>
          <w:highlight w:val="none"/>
          <w:shd w:val="clear" w:color="auto" w:fill="FFFFFF" w:themeFill="background1"/>
        </w:rPr>
        <w:br w:type="page"/>
      </w:r>
    </w:p>
    <w:p w14:paraId="2BA28FCA">
      <w:pPr>
        <w:spacing w:line="360" w:lineRule="auto"/>
        <w:jc w:val="center"/>
        <w:outlineLvl w:val="1"/>
        <w:rPr>
          <w:rFonts w:hint="eastAsia" w:ascii="仿宋" w:hAnsi="仿宋" w:eastAsia="仿宋" w:cs="仿宋"/>
          <w:b/>
          <w:color w:val="auto"/>
          <w:sz w:val="24"/>
          <w:szCs w:val="24"/>
          <w:highlight w:val="none"/>
          <w:shd w:val="clear" w:color="auto" w:fill="FFFFFF" w:themeFill="background1"/>
          <w:lang w:eastAsia="zh-CN"/>
        </w:rPr>
      </w:pPr>
      <w:bookmarkStart w:id="799" w:name="_Toc12340"/>
      <w:bookmarkStart w:id="800" w:name="_Toc1033"/>
      <w:r>
        <w:rPr>
          <w:rFonts w:hint="eastAsia" w:ascii="仿宋" w:hAnsi="仿宋" w:eastAsia="仿宋" w:cs="仿宋"/>
          <w:b/>
          <w:color w:val="auto"/>
          <w:sz w:val="24"/>
          <w:szCs w:val="24"/>
          <w:highlight w:val="none"/>
          <w:shd w:val="clear" w:color="auto" w:fill="FFFFFF" w:themeFill="background1"/>
        </w:rPr>
        <w:t>十</w:t>
      </w:r>
      <w:r>
        <w:rPr>
          <w:rFonts w:hint="eastAsia" w:ascii="仿宋" w:hAnsi="仿宋" w:eastAsia="仿宋" w:cs="仿宋"/>
          <w:b/>
          <w:color w:val="auto"/>
          <w:sz w:val="24"/>
          <w:szCs w:val="24"/>
          <w:highlight w:val="none"/>
          <w:shd w:val="clear" w:color="auto" w:fill="FFFFFF" w:themeFill="background1"/>
          <w:lang w:val="en-US" w:eastAsia="zh-CN"/>
        </w:rPr>
        <w:t>二</w:t>
      </w:r>
      <w:r>
        <w:rPr>
          <w:rFonts w:hint="eastAsia" w:ascii="仿宋" w:hAnsi="仿宋" w:eastAsia="仿宋" w:cs="仿宋"/>
          <w:b/>
          <w:color w:val="auto"/>
          <w:sz w:val="24"/>
          <w:szCs w:val="24"/>
          <w:highlight w:val="none"/>
          <w:shd w:val="clear" w:color="auto" w:fill="FFFFFF" w:themeFill="background1"/>
        </w:rPr>
        <w:t>、</w:t>
      </w:r>
      <w:bookmarkEnd w:id="796"/>
      <w:bookmarkEnd w:id="797"/>
      <w:bookmarkEnd w:id="798"/>
      <w:bookmarkEnd w:id="799"/>
      <w:r>
        <w:rPr>
          <w:rFonts w:hint="eastAsia" w:ascii="仿宋" w:hAnsi="仿宋" w:eastAsia="仿宋" w:cs="仿宋"/>
          <w:b/>
          <w:color w:val="auto"/>
          <w:sz w:val="24"/>
          <w:szCs w:val="24"/>
          <w:highlight w:val="none"/>
          <w:shd w:val="clear" w:color="auto" w:fill="FFFFFF" w:themeFill="background1"/>
          <w:lang w:eastAsia="zh-CN"/>
        </w:rPr>
        <w:t>已标价工程量清单</w:t>
      </w:r>
      <w:bookmarkEnd w:id="800"/>
    </w:p>
    <w:p w14:paraId="328E6CD8">
      <w:pPr>
        <w:spacing w:line="360" w:lineRule="auto"/>
        <w:ind w:firstLine="480" w:firstLineChars="200"/>
        <w:rPr>
          <w:rFonts w:ascii="仿宋" w:hAnsi="仿宋" w:eastAsia="仿宋" w:cs="仿宋"/>
          <w:color w:val="auto"/>
          <w:sz w:val="24"/>
          <w:szCs w:val="24"/>
          <w:highlight w:val="none"/>
          <w:shd w:val="clear" w:color="auto" w:fill="FFFFFF" w:themeFill="background1"/>
        </w:rPr>
      </w:pPr>
    </w:p>
    <w:p w14:paraId="7B730396">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供应商编制</w:t>
      </w:r>
      <w:r>
        <w:rPr>
          <w:rFonts w:hint="eastAsia" w:ascii="仿宋" w:hAnsi="仿宋" w:eastAsia="仿宋" w:cs="仿宋"/>
          <w:color w:val="auto"/>
          <w:sz w:val="24"/>
          <w:szCs w:val="24"/>
          <w:highlight w:val="none"/>
          <w:shd w:val="clear" w:color="auto" w:fill="FFFFFF" w:themeFill="background1"/>
          <w:lang w:eastAsia="zh-CN"/>
        </w:rPr>
        <w:t>已标价工程量清单</w:t>
      </w:r>
      <w:r>
        <w:rPr>
          <w:rFonts w:hint="eastAsia" w:ascii="仿宋" w:hAnsi="仿宋" w:eastAsia="仿宋" w:cs="仿宋"/>
          <w:color w:val="auto"/>
          <w:sz w:val="24"/>
          <w:szCs w:val="24"/>
          <w:highlight w:val="none"/>
          <w:shd w:val="clear" w:color="auto" w:fill="FFFFFF" w:themeFill="background1"/>
        </w:rPr>
        <w:t>须严格按照本</w:t>
      </w:r>
      <w:r>
        <w:rPr>
          <w:rFonts w:hint="eastAsia" w:ascii="仿宋" w:hAnsi="仿宋" w:eastAsia="仿宋" w:cs="仿宋"/>
          <w:color w:val="auto"/>
          <w:sz w:val="24"/>
          <w:szCs w:val="24"/>
          <w:highlight w:val="none"/>
          <w:shd w:val="clear" w:color="auto" w:fill="FFFFFF" w:themeFill="background1"/>
          <w:lang w:eastAsia="zh-CN"/>
        </w:rPr>
        <w:t>采购文件</w:t>
      </w:r>
      <w:r>
        <w:rPr>
          <w:rFonts w:hint="eastAsia" w:ascii="仿宋" w:hAnsi="仿宋" w:eastAsia="仿宋" w:cs="仿宋"/>
          <w:color w:val="auto"/>
          <w:sz w:val="24"/>
          <w:szCs w:val="24"/>
          <w:highlight w:val="none"/>
          <w:shd w:val="clear" w:color="auto" w:fill="FFFFFF" w:themeFill="background1"/>
        </w:rPr>
        <w:t>附件（工程量清单）提供的表格填列。</w:t>
      </w:r>
    </w:p>
    <w:p w14:paraId="0E7B4D3D">
      <w:pPr>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6E063EDE">
      <w:pPr>
        <w:tabs>
          <w:tab w:val="center" w:pos="4832"/>
          <w:tab w:val="left" w:pos="7140"/>
        </w:tabs>
        <w:jc w:val="center"/>
        <w:outlineLvl w:val="1"/>
        <w:rPr>
          <w:rFonts w:hint="eastAsia" w:ascii="仿宋" w:hAnsi="仿宋" w:eastAsia="仿宋" w:cs="仿宋"/>
          <w:b/>
          <w:color w:val="auto"/>
          <w:sz w:val="24"/>
          <w:szCs w:val="24"/>
          <w:highlight w:val="none"/>
        </w:rPr>
      </w:pPr>
      <w:bookmarkStart w:id="801" w:name="_Toc22861"/>
      <w:bookmarkStart w:id="802" w:name="_Toc26163"/>
      <w:bookmarkStart w:id="803" w:name="_Toc12468"/>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三</w:t>
      </w:r>
      <w:r>
        <w:rPr>
          <w:rFonts w:hint="eastAsia" w:ascii="仿宋" w:hAnsi="仿宋" w:eastAsia="仿宋" w:cs="仿宋"/>
          <w:b/>
          <w:color w:val="auto"/>
          <w:sz w:val="24"/>
          <w:szCs w:val="24"/>
          <w:highlight w:val="none"/>
        </w:rPr>
        <w:t>、保证金缴纳证明材料</w:t>
      </w:r>
      <w:bookmarkEnd w:id="801"/>
      <w:bookmarkEnd w:id="802"/>
      <w:bookmarkEnd w:id="803"/>
    </w:p>
    <w:p w14:paraId="7436713F">
      <w:pPr>
        <w:spacing w:line="360" w:lineRule="auto"/>
        <w:ind w:firstLine="480" w:firstLineChars="200"/>
        <w:rPr>
          <w:rFonts w:hint="eastAsia" w:ascii="仿宋" w:hAnsi="仿宋" w:eastAsia="仿宋" w:cs="仿宋"/>
          <w:color w:val="auto"/>
          <w:sz w:val="24"/>
          <w:szCs w:val="24"/>
          <w:highlight w:val="none"/>
        </w:rPr>
      </w:pPr>
    </w:p>
    <w:p w14:paraId="0C9AF771">
      <w:pPr>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汇款凭证或支票或汇票或保函或保证金收据等的扫描件。</w:t>
      </w:r>
    </w:p>
    <w:p w14:paraId="34DD5FCB">
      <w:pPr>
        <w:spacing w:line="360" w:lineRule="auto"/>
        <w:ind w:firstLine="480" w:firstLineChars="200"/>
        <w:rPr>
          <w:rFonts w:hint="eastAsia" w:ascii="仿宋" w:hAnsi="仿宋" w:eastAsia="仿宋" w:cs="仿宋"/>
          <w:color w:val="auto"/>
          <w:sz w:val="24"/>
          <w:szCs w:val="24"/>
          <w:highlight w:val="none"/>
        </w:rPr>
      </w:pPr>
    </w:p>
    <w:p w14:paraId="42D04846">
      <w:pPr>
        <w:spacing w:line="360" w:lineRule="auto"/>
        <w:ind w:firstLine="480" w:firstLineChars="200"/>
        <w:rPr>
          <w:rFonts w:hint="eastAsia" w:ascii="仿宋" w:hAnsi="仿宋" w:eastAsia="仿宋" w:cs="仿宋"/>
          <w:color w:val="auto"/>
          <w:sz w:val="24"/>
          <w:szCs w:val="24"/>
          <w:highlight w:val="none"/>
        </w:rPr>
      </w:pPr>
    </w:p>
    <w:p w14:paraId="510D2977">
      <w:pPr>
        <w:spacing w:line="360" w:lineRule="auto"/>
        <w:ind w:firstLine="480" w:firstLineChars="200"/>
        <w:rPr>
          <w:rFonts w:hint="eastAsia" w:ascii="仿宋" w:hAnsi="仿宋" w:eastAsia="仿宋" w:cs="仿宋"/>
          <w:color w:val="auto"/>
          <w:sz w:val="24"/>
          <w:szCs w:val="24"/>
          <w:highlight w:val="none"/>
        </w:rPr>
      </w:pPr>
    </w:p>
    <w:p w14:paraId="387049A4">
      <w:pPr>
        <w:spacing w:line="360" w:lineRule="auto"/>
        <w:ind w:firstLine="480" w:firstLineChars="200"/>
        <w:rPr>
          <w:rFonts w:hint="eastAsia" w:ascii="仿宋" w:hAnsi="仿宋" w:eastAsia="仿宋" w:cs="仿宋"/>
          <w:color w:val="auto"/>
          <w:sz w:val="24"/>
          <w:szCs w:val="24"/>
          <w:highlight w:val="none"/>
        </w:rPr>
      </w:pPr>
    </w:p>
    <w:p w14:paraId="4F5A64C4">
      <w:pPr>
        <w:rPr>
          <w:rFonts w:hint="eastAsia" w:ascii="仿宋" w:hAnsi="仿宋" w:eastAsia="仿宋" w:cs="仿宋"/>
          <w:b/>
          <w:color w:val="auto"/>
          <w:sz w:val="24"/>
          <w:szCs w:val="24"/>
          <w:highlight w:val="none"/>
        </w:rPr>
      </w:pPr>
      <w:bookmarkStart w:id="804" w:name="_Toc110707975"/>
      <w:bookmarkStart w:id="805" w:name="_Toc24108"/>
      <w:bookmarkStart w:id="806" w:name="_Toc14156"/>
      <w:bookmarkStart w:id="807" w:name="_Toc109941775"/>
      <w:bookmarkStart w:id="808" w:name="_Toc130252630"/>
      <w:bookmarkStart w:id="809" w:name="_Toc109921168"/>
      <w:r>
        <w:rPr>
          <w:rFonts w:hint="eastAsia" w:ascii="仿宋" w:hAnsi="仿宋" w:eastAsia="仿宋" w:cs="仿宋"/>
          <w:b/>
          <w:color w:val="auto"/>
          <w:sz w:val="24"/>
          <w:szCs w:val="24"/>
          <w:highlight w:val="none"/>
        </w:rPr>
        <w:br w:type="page"/>
      </w:r>
    </w:p>
    <w:p w14:paraId="62B4EBB1">
      <w:pPr>
        <w:tabs>
          <w:tab w:val="center" w:pos="4832"/>
          <w:tab w:val="left" w:pos="7140"/>
        </w:tabs>
        <w:jc w:val="center"/>
        <w:outlineLvl w:val="1"/>
        <w:rPr>
          <w:rFonts w:hint="eastAsia" w:ascii="仿宋" w:hAnsi="仿宋" w:eastAsia="仿宋" w:cs="仿宋"/>
          <w:b/>
          <w:color w:val="auto"/>
          <w:sz w:val="24"/>
          <w:szCs w:val="24"/>
          <w:highlight w:val="none"/>
        </w:rPr>
      </w:pPr>
      <w:bookmarkStart w:id="810" w:name="_Toc22247"/>
      <w:bookmarkStart w:id="811" w:name="_Toc29087"/>
      <w:bookmarkStart w:id="812" w:name="_Toc13758"/>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rPr>
        <w:t>、其它需要提交的资料</w:t>
      </w:r>
      <w:bookmarkEnd w:id="804"/>
      <w:bookmarkEnd w:id="805"/>
      <w:bookmarkEnd w:id="806"/>
      <w:bookmarkEnd w:id="807"/>
      <w:bookmarkEnd w:id="808"/>
      <w:bookmarkEnd w:id="809"/>
      <w:bookmarkEnd w:id="810"/>
      <w:bookmarkEnd w:id="811"/>
      <w:bookmarkEnd w:id="812"/>
    </w:p>
    <w:p w14:paraId="1EFD0F99">
      <w:pPr>
        <w:spacing w:line="360" w:lineRule="auto"/>
        <w:ind w:firstLine="480" w:firstLineChars="200"/>
        <w:rPr>
          <w:rFonts w:hint="eastAsia" w:ascii="仿宋" w:hAnsi="仿宋" w:eastAsia="仿宋" w:cs="仿宋"/>
          <w:color w:val="auto"/>
          <w:sz w:val="24"/>
          <w:szCs w:val="24"/>
          <w:highlight w:val="none"/>
        </w:rPr>
      </w:pPr>
    </w:p>
    <w:p w14:paraId="419941D8">
      <w:pPr>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文件的要求和供应商认为需要提供的资料。</w:t>
      </w:r>
    </w:p>
    <w:p w14:paraId="04FE9590">
      <w:pPr>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537FA8E1">
      <w:pPr>
        <w:spacing w:line="360" w:lineRule="auto"/>
        <w:jc w:val="center"/>
        <w:outlineLvl w:val="0"/>
        <w:rPr>
          <w:rFonts w:ascii="仿宋" w:hAnsi="仿宋" w:eastAsia="仿宋" w:cs="仿宋"/>
          <w:b/>
          <w:color w:val="auto"/>
          <w:sz w:val="24"/>
          <w:szCs w:val="24"/>
          <w:highlight w:val="none"/>
          <w:shd w:val="clear" w:color="auto" w:fill="FFFFFF" w:themeFill="background1"/>
        </w:rPr>
      </w:pPr>
      <w:bookmarkStart w:id="813" w:name="_Toc77455658"/>
      <w:bookmarkStart w:id="814" w:name="_Toc60925660"/>
      <w:bookmarkStart w:id="815" w:name="_Toc20020"/>
      <w:bookmarkStart w:id="816" w:name="_Toc9085"/>
      <w:r>
        <w:rPr>
          <w:rFonts w:hint="eastAsia" w:ascii="仿宋" w:hAnsi="仿宋" w:eastAsia="仿宋" w:cs="仿宋"/>
          <w:b/>
          <w:color w:val="auto"/>
          <w:sz w:val="24"/>
          <w:szCs w:val="24"/>
          <w:highlight w:val="none"/>
          <w:shd w:val="clear" w:color="auto" w:fill="FFFFFF" w:themeFill="background1"/>
        </w:rPr>
        <w:t>第六章 补充条款</w:t>
      </w:r>
      <w:bookmarkEnd w:id="813"/>
      <w:bookmarkEnd w:id="814"/>
      <w:bookmarkEnd w:id="815"/>
      <w:bookmarkEnd w:id="816"/>
    </w:p>
    <w:p w14:paraId="54CBE0F5">
      <w:pPr>
        <w:spacing w:line="360" w:lineRule="auto"/>
        <w:outlineLvl w:val="1"/>
        <w:rPr>
          <w:rFonts w:hint="eastAsia" w:ascii="仿宋" w:hAnsi="仿宋" w:eastAsia="仿宋" w:cs="仿宋"/>
          <w:color w:val="auto"/>
          <w:spacing w:val="6"/>
          <w:sz w:val="24"/>
          <w:szCs w:val="24"/>
          <w:highlight w:val="none"/>
        </w:rPr>
      </w:pPr>
      <w:bookmarkStart w:id="817" w:name="_Toc5592"/>
      <w:bookmarkStart w:id="818" w:name="_Toc15921"/>
      <w:bookmarkStart w:id="819" w:name="_Toc29127"/>
      <w:bookmarkStart w:id="820" w:name="_Toc29695"/>
      <w:r>
        <w:rPr>
          <w:rFonts w:hint="eastAsia" w:ascii="仿宋" w:hAnsi="仿宋" w:eastAsia="仿宋" w:cs="仿宋"/>
          <w:color w:val="auto"/>
          <w:spacing w:val="6"/>
          <w:sz w:val="24"/>
          <w:szCs w:val="24"/>
          <w:highlight w:val="none"/>
        </w:rPr>
        <w:t>附件</w:t>
      </w:r>
      <w:r>
        <w:rPr>
          <w:rFonts w:hint="eastAsia" w:ascii="仿宋" w:hAnsi="仿宋" w:eastAsia="仿宋" w:cs="仿宋"/>
          <w:color w:val="auto"/>
          <w:spacing w:val="6"/>
          <w:sz w:val="24"/>
          <w:szCs w:val="24"/>
          <w:highlight w:val="none"/>
          <w:lang w:val="en-US" w:eastAsia="zh-CN"/>
        </w:rPr>
        <w:t>1</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eastAsia="zh-CN"/>
        </w:rPr>
        <w:t>中小企业扶持政策</w:t>
      </w:r>
      <w:bookmarkEnd w:id="817"/>
      <w:bookmarkEnd w:id="818"/>
      <w:bookmarkEnd w:id="819"/>
      <w:bookmarkEnd w:id="820"/>
    </w:p>
    <w:p w14:paraId="66E3D5D5">
      <w:pPr>
        <w:spacing w:line="360" w:lineRule="auto"/>
        <w:jc w:val="center"/>
        <w:rPr>
          <w:rFonts w:hint="eastAsia" w:ascii="仿宋" w:hAnsi="仿宋" w:eastAsia="仿宋" w:cs="仿宋"/>
          <w:color w:val="auto"/>
          <w:spacing w:val="6"/>
          <w:sz w:val="24"/>
          <w:szCs w:val="24"/>
          <w:highlight w:val="none"/>
        </w:rPr>
      </w:pPr>
    </w:p>
    <w:p w14:paraId="148010D8">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关于印发中小企业划型标准规定的通知</w:t>
      </w:r>
    </w:p>
    <w:p w14:paraId="3C705406">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工信部联企业〔2011〕300号</w:t>
      </w:r>
    </w:p>
    <w:p w14:paraId="4276095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各省、自治区、直辖市人民政府，国务院各部委、各直属机构及有关单位：</w:t>
      </w:r>
    </w:p>
    <w:p w14:paraId="3FDDC89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58BDD1DF">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工业和信息化部</w:t>
      </w:r>
    </w:p>
    <w:p w14:paraId="06950004">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国家统计局</w:t>
      </w:r>
    </w:p>
    <w:p w14:paraId="4455EC35">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国家发展和改革委员会</w:t>
      </w:r>
    </w:p>
    <w:p w14:paraId="58521107">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w:t>
      </w:r>
    </w:p>
    <w:p w14:paraId="179CA05F">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二○一一年六月十八日</w:t>
      </w:r>
    </w:p>
    <w:p w14:paraId="1DDD656E">
      <w:pPr>
        <w:spacing w:line="360" w:lineRule="auto"/>
        <w:ind w:firstLine="504" w:firstLineChars="200"/>
        <w:rPr>
          <w:rFonts w:hint="eastAsia" w:ascii="仿宋" w:hAnsi="仿宋" w:eastAsia="仿宋" w:cs="仿宋"/>
          <w:color w:val="auto"/>
          <w:spacing w:val="6"/>
          <w:sz w:val="24"/>
          <w:szCs w:val="24"/>
          <w:highlight w:val="none"/>
        </w:rPr>
      </w:pPr>
    </w:p>
    <w:p w14:paraId="1EB147B8">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中小企业划型标准规定</w:t>
      </w:r>
    </w:p>
    <w:p w14:paraId="6C5BC20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一、根据《中华人民共和国中小企业促进法》和《国务院关于进一步促进中小企业发展的若干意见》(国发〔2009〕36号)，制定本规定。</w:t>
      </w:r>
    </w:p>
    <w:p w14:paraId="7BB7566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二、中小企业划分为中型、小型、微型三种类型，具体标准根据企业从业人员、营业收入、资产总额等指标，结合行业特点制定。</w:t>
      </w:r>
    </w:p>
    <w:p w14:paraId="14E0EDC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4293C1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四、各行业划型标准为：</w:t>
      </w:r>
    </w:p>
    <w:p w14:paraId="3906DA6E">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067E32B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1274D3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E01356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5BCCF6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F18D97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D4881E5">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9A4D28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D37CA2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3270FC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A3AC335">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686EC0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C0CB228">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707456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164B0F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A445B7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（十六）其他未列明行业。从业人员300人以下的为中小微型企业。其中，从业人员100人及以上的为中型企业；从业人员10人及以上的为小型企业；从业人员10人以下的为微型企业。</w:t>
      </w:r>
    </w:p>
    <w:p w14:paraId="03D57AC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五、企业类型的划分以统计部门的统计数据为依据。</w:t>
      </w:r>
    </w:p>
    <w:p w14:paraId="6630774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六、本规定适用于在中华人民共和国境内依法设立的各类所有制和各种组织形式的企业。个体工商户和本规定以外的行业，参照本规定进行划型。</w:t>
      </w:r>
    </w:p>
    <w:p w14:paraId="208720C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4DE3234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八、本规定由工业和信息化部、国家统计局会同有关部门根据《国民经济行业分类》修订情况和企业发展变化情况适时修订。</w:t>
      </w:r>
    </w:p>
    <w:p w14:paraId="35DAB4B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九、本规定由工业和信息化部、国家统计局会同有关部门负责解释。</w:t>
      </w:r>
    </w:p>
    <w:p w14:paraId="1604C05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十、本规定自发布之日起执行，原国家经贸委、原国家计委、财政部和国家统计局2003年颁布的《中小企业标准暂行规定》同时废止。</w:t>
      </w:r>
    </w:p>
    <w:p w14:paraId="05F1EB11">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1DAF3BFD">
      <w:pPr>
        <w:spacing w:line="360" w:lineRule="auto"/>
        <w:outlineLvl w:val="1"/>
        <w:rPr>
          <w:rFonts w:hint="eastAsia" w:ascii="仿宋" w:hAnsi="仿宋" w:eastAsia="仿宋" w:cs="仿宋"/>
          <w:color w:val="auto"/>
          <w:spacing w:val="6"/>
          <w:sz w:val="24"/>
          <w:szCs w:val="24"/>
          <w:highlight w:val="none"/>
          <w:lang w:val="en-US" w:eastAsia="zh-CN"/>
        </w:rPr>
      </w:pPr>
      <w:bookmarkStart w:id="821" w:name="_Toc24250"/>
      <w:bookmarkStart w:id="822" w:name="_Toc26569"/>
      <w:bookmarkStart w:id="823" w:name="_Toc372"/>
      <w:bookmarkStart w:id="824" w:name="_Toc20667"/>
      <w:r>
        <w:rPr>
          <w:rFonts w:hint="eastAsia" w:ascii="仿宋" w:hAnsi="仿宋" w:eastAsia="仿宋" w:cs="仿宋"/>
          <w:color w:val="auto"/>
          <w:spacing w:val="6"/>
          <w:sz w:val="24"/>
          <w:szCs w:val="24"/>
          <w:highlight w:val="none"/>
        </w:rPr>
        <w:t>附件</w:t>
      </w:r>
      <w:r>
        <w:rPr>
          <w:rFonts w:hint="eastAsia" w:ascii="仿宋" w:hAnsi="仿宋" w:eastAsia="仿宋" w:cs="仿宋"/>
          <w:color w:val="auto"/>
          <w:spacing w:val="6"/>
          <w:sz w:val="24"/>
          <w:szCs w:val="24"/>
          <w:highlight w:val="none"/>
          <w:lang w:val="en-US" w:eastAsia="zh-CN"/>
        </w:rPr>
        <w:t>2</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eastAsia="zh-CN"/>
        </w:rPr>
        <w:t>残疾人企业扶持政策</w:t>
      </w:r>
      <w:bookmarkEnd w:id="821"/>
      <w:bookmarkEnd w:id="822"/>
      <w:bookmarkEnd w:id="823"/>
      <w:bookmarkEnd w:id="824"/>
    </w:p>
    <w:p w14:paraId="691F0BAB">
      <w:pPr>
        <w:spacing w:line="360" w:lineRule="auto"/>
        <w:jc w:val="center"/>
        <w:rPr>
          <w:rFonts w:hint="eastAsia" w:ascii="仿宋" w:hAnsi="仿宋" w:eastAsia="仿宋" w:cs="仿宋"/>
          <w:color w:val="auto"/>
          <w:spacing w:val="6"/>
          <w:sz w:val="24"/>
          <w:szCs w:val="24"/>
          <w:highlight w:val="none"/>
        </w:rPr>
      </w:pPr>
    </w:p>
    <w:p w14:paraId="462725D7">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关于促进残疾人就业政府采购政策的通知</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财库〔2017〕141号</w:t>
      </w:r>
    </w:p>
    <w:p w14:paraId="0ABF691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14:paraId="42AD0D7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为了发挥政府采购促进残疾人就业的作用，进一步保障残疾人权益，依照《政府采购法》、《残疾人保障法》等法律法规及相关规定，现就促进残疾人就业政府采购政策通知如下：</w:t>
      </w:r>
    </w:p>
    <w:p w14:paraId="6730DFA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一、享受政府采购支持政策的残疾人福利性单位应当同时满足以下条件：</w:t>
      </w:r>
    </w:p>
    <w:p w14:paraId="646BCB6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（一）安置的残疾人占本单位在职职工人数的比例不低于25%（含25%），并且安置的残疾人人数不少于10人（含10人）；</w:t>
      </w:r>
    </w:p>
    <w:p w14:paraId="2CE4ADB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（二）依法与安置的每位残疾人签订了一年以上（含一年）的劳动合同或服务协议；</w:t>
      </w:r>
    </w:p>
    <w:p w14:paraId="54B5842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（三）为安置的每位残疾人按月足额缴纳了基本养老保险、基本医疗保险、失业保险、工伤保险和生育保险等社会保险费；</w:t>
      </w:r>
    </w:p>
    <w:p w14:paraId="0956FB6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（四）通过银行等金融机构向安置的每位残疾人，按月支付了不低于单位所在区县适用的经省级人民政府批准的月最低工资标准的工资；</w:t>
      </w:r>
    </w:p>
    <w:p w14:paraId="4F878A2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（五）提供本单位制造的货物、承担的工程或者服务（以下简称产品），或者提供其他残疾人福利性单位制造的货物（不包括使用非残疾人福利性单位注册商标的货物）。</w:t>
      </w:r>
    </w:p>
    <w:p w14:paraId="2D96946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9E2E69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0682F3D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中标、成交</w:t>
      </w:r>
      <w:r>
        <w:rPr>
          <w:rFonts w:hint="eastAsia" w:ascii="仿宋" w:hAnsi="仿宋" w:eastAsia="仿宋" w:cs="仿宋"/>
          <w:color w:val="auto"/>
          <w:spacing w:val="6"/>
          <w:sz w:val="24"/>
          <w:szCs w:val="24"/>
          <w:highlight w:val="none"/>
          <w:lang w:eastAsia="zh-CN"/>
        </w:rPr>
        <w:t>供应商</w:t>
      </w:r>
      <w:r>
        <w:rPr>
          <w:rFonts w:hint="eastAsia" w:ascii="仿宋" w:hAnsi="仿宋" w:eastAsia="仿宋" w:cs="仿宋"/>
          <w:color w:val="auto"/>
          <w:spacing w:val="6"/>
          <w:sz w:val="24"/>
          <w:szCs w:val="24"/>
          <w:highlight w:val="none"/>
        </w:rPr>
        <w:t>为残疾人福利性单位的，采购人或者其委托的采购代理机构应当随中标、成交结果同时公告其《残疾人福利性单位声明函》，接受社会监督。</w:t>
      </w:r>
    </w:p>
    <w:p w14:paraId="2F047415">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eastAsia="zh-CN"/>
        </w:rPr>
        <w:t>供应商</w:t>
      </w:r>
      <w:r>
        <w:rPr>
          <w:rFonts w:hint="eastAsia" w:ascii="仿宋" w:hAnsi="仿宋" w:eastAsia="仿宋" w:cs="仿宋"/>
          <w:color w:val="auto"/>
          <w:spacing w:val="6"/>
          <w:sz w:val="24"/>
          <w:szCs w:val="24"/>
          <w:highlight w:val="none"/>
        </w:rPr>
        <w:t>提供的《残疾人福利性单位声明函》与事实不符的，依照《政府采购法》第七十七条第一款的规定追究法律责任。</w:t>
      </w:r>
    </w:p>
    <w:p w14:paraId="65F96FD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6528782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四、采购人采购公开招标数额标准以上的货物或者服务，因落实促进残疾人就业政策的需要，依法履行有关报批程序后，可采用公开招标以外的采购方式。</w:t>
      </w:r>
    </w:p>
    <w:p w14:paraId="716A064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63F1123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0C497C0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七、本通知自2017年10月1日起执行。</w:t>
      </w:r>
    </w:p>
    <w:p w14:paraId="34A2E7AB">
      <w:pPr>
        <w:pStyle w:val="13"/>
        <w:rPr>
          <w:rFonts w:hint="eastAsia" w:ascii="仿宋" w:hAnsi="仿宋" w:eastAsia="仿宋" w:cs="仿宋"/>
          <w:color w:val="auto"/>
          <w:highlight w:val="none"/>
        </w:rPr>
      </w:pPr>
    </w:p>
    <w:p w14:paraId="58C0FA81">
      <w:pPr>
        <w:spacing w:line="360" w:lineRule="auto"/>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民政部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中国残疾人联合会</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2017年8月22日</w:t>
      </w:r>
    </w:p>
    <w:p w14:paraId="7275990B">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04AC875F">
      <w:pPr>
        <w:spacing w:line="360" w:lineRule="auto"/>
        <w:outlineLvl w:val="1"/>
        <w:rPr>
          <w:rFonts w:hint="eastAsia" w:ascii="仿宋" w:hAnsi="仿宋" w:eastAsia="仿宋" w:cs="仿宋"/>
          <w:color w:val="auto"/>
          <w:spacing w:val="6"/>
          <w:sz w:val="24"/>
          <w:szCs w:val="24"/>
          <w:highlight w:val="none"/>
        </w:rPr>
      </w:pPr>
      <w:bookmarkStart w:id="825" w:name="_Toc29837"/>
      <w:bookmarkStart w:id="826" w:name="_Toc244"/>
      <w:bookmarkStart w:id="827" w:name="_Toc1247"/>
      <w:bookmarkStart w:id="828" w:name="_Toc11453"/>
      <w:r>
        <w:rPr>
          <w:rFonts w:hint="eastAsia" w:ascii="仿宋" w:hAnsi="仿宋" w:eastAsia="仿宋" w:cs="仿宋"/>
          <w:color w:val="auto"/>
          <w:spacing w:val="6"/>
          <w:sz w:val="24"/>
          <w:szCs w:val="24"/>
          <w:highlight w:val="none"/>
        </w:rPr>
        <w:t>附件</w:t>
      </w:r>
      <w:r>
        <w:rPr>
          <w:rFonts w:hint="eastAsia" w:ascii="仿宋" w:hAnsi="仿宋" w:eastAsia="仿宋" w:cs="仿宋"/>
          <w:color w:val="auto"/>
          <w:spacing w:val="6"/>
          <w:sz w:val="24"/>
          <w:szCs w:val="24"/>
          <w:highlight w:val="none"/>
          <w:lang w:val="en-US" w:eastAsia="zh-CN"/>
        </w:rPr>
        <w:t>3</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eastAsia="zh-CN"/>
        </w:rPr>
        <w:t>监狱扶持政策</w:t>
      </w:r>
      <w:bookmarkEnd w:id="825"/>
      <w:bookmarkEnd w:id="826"/>
      <w:bookmarkEnd w:id="827"/>
      <w:bookmarkEnd w:id="828"/>
    </w:p>
    <w:p w14:paraId="57B5C2F9">
      <w:pPr>
        <w:spacing w:line="360" w:lineRule="auto"/>
        <w:jc w:val="center"/>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财政部 司法部关于政府采购支持</w:t>
      </w:r>
    </w:p>
    <w:p w14:paraId="16997E4C">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val="en-US" w:eastAsia="zh-CN"/>
        </w:rPr>
        <w:t>监狱企业发展有关问题的通知</w:t>
      </w:r>
    </w:p>
    <w:p w14:paraId="10CFA688">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财库〔2014〕68号</w:t>
      </w:r>
    </w:p>
    <w:p w14:paraId="3390E73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号）文件精神，发挥政府采购支持监狱企业发展的作用，现就有关事项通知如下：</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二、在政府采购活动中，监狱企业视同小型、微型企业，享受预留份额、评审中价格扣除等政府采购促进中小企业发展的政府采购政策。向监狱企业采购的金额，计入面向中小企业采购的统计数据。</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四、各地区可以结合本地区实际，对监狱企业生产的办公用品、家具用具、车辆维修和提供的保养服务、消防设备等，提出预留份额等政府采购支持措施，加大对监狱企业产品的采购力度。</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14:paraId="5D1DFF0F">
      <w:pPr>
        <w:pStyle w:val="13"/>
        <w:rPr>
          <w:rFonts w:hint="eastAsia" w:ascii="仿宋" w:hAnsi="仿宋" w:eastAsia="仿宋" w:cs="仿宋"/>
          <w:color w:val="auto"/>
          <w:highlight w:val="none"/>
        </w:rPr>
      </w:pPr>
    </w:p>
    <w:p w14:paraId="51E4F28D">
      <w:pPr>
        <w:spacing w:line="360" w:lineRule="auto"/>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中华人民共和国财政部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中华人民共和国司法部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2014年6月10日</w:t>
      </w:r>
    </w:p>
    <w:p w14:paraId="2BC03D3E">
      <w:pPr>
        <w:spacing w:line="480" w:lineRule="auto"/>
        <w:jc w:val="center"/>
        <w:rPr>
          <w:rFonts w:hint="eastAsia" w:ascii="仿宋" w:hAnsi="仿宋" w:eastAsia="仿宋" w:cs="仿宋"/>
          <w:color w:val="auto"/>
          <w:highlight w:val="none"/>
        </w:rPr>
      </w:pPr>
    </w:p>
    <w:sectPr>
      <w:headerReference r:id="rId9" w:type="default"/>
      <w:footerReference r:id="rId10" w:type="default"/>
      <w:pgSz w:w="11906" w:h="16838"/>
      <w:pgMar w:top="1134" w:right="1418" w:bottom="1134" w:left="1418" w:header="851" w:footer="850" w:gutter="0"/>
      <w:pgNumType w:fmt="decimal"/>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
    <w:altName w:val="Times New Roman"/>
    <w:panose1 w:val="00000000000000000000"/>
    <w:charset w:val="00"/>
    <w:family w:val="auto"/>
    <w:pitch w:val="default"/>
    <w:sig w:usb0="00000000" w:usb1="00000000" w:usb2="00000000" w:usb3="00000000" w:csb0="00000001" w:csb1="00000000"/>
  </w:font>
  <w:font w:name="??">
    <w:altName w:val="宋体"/>
    <w:panose1 w:val="00000000000000000000"/>
    <w:charset w:val="86"/>
    <w:family w:val="roman"/>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Courier New"/>
    <w:panose1 w:val="00000000000000000000"/>
    <w:charset w:val="00"/>
    <w:family w:val="auto"/>
    <w:pitch w:val="default"/>
    <w:sig w:usb0="00000000" w:usb1="00000000" w:usb2="00000000" w:usb3="00000000" w:csb0="00000001" w:csb1="00000000"/>
  </w:font>
  <w:font w:name="Trebuchet MS">
    <w:panose1 w:val="020B0603020202020204"/>
    <w:charset w:val="00"/>
    <w:family w:val="swiss"/>
    <w:pitch w:val="default"/>
    <w:sig w:usb0="00000687" w:usb1="00000000" w:usb2="00000000" w:usb3="00000000" w:csb0="2000009F" w:csb1="00000000"/>
  </w:font>
  <w:font w:name="方正仿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8B7B6">
    <w:pPr>
      <w:pStyle w:val="29"/>
      <w:framePr w:wrap="around" w:vAnchor="text" w:hAnchor="margin" w:xAlign="center" w:y="1"/>
      <w:rPr>
        <w:rStyle w:val="52"/>
      </w:rPr>
    </w:pPr>
    <w:r>
      <w:rPr>
        <w:rStyle w:val="52"/>
      </w:rPr>
      <w:fldChar w:fldCharType="begin"/>
    </w:r>
    <w:r>
      <w:rPr>
        <w:rStyle w:val="52"/>
      </w:rPr>
      <w:instrText xml:space="preserve">PAGE  </w:instrText>
    </w:r>
    <w:r>
      <w:rPr>
        <w:rStyle w:val="52"/>
      </w:rPr>
      <w:fldChar w:fldCharType="separate"/>
    </w:r>
    <w:r>
      <w:rPr>
        <w:rStyle w:val="52"/>
      </w:rPr>
      <w:t>68</w:t>
    </w:r>
    <w:r>
      <w:rPr>
        <w:rStyle w:val="52"/>
      </w:rPr>
      <w:fldChar w:fldCharType="end"/>
    </w:r>
  </w:p>
  <w:p w14:paraId="54409792">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19092">
    <w:pPr>
      <w:pStyle w:val="29"/>
      <w:rPr>
        <w:rFonts w:eastAsia="仿宋_GB2312"/>
        <w:sz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9B5597">
                          <w:pPr>
                            <w:pStyle w:val="29"/>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2</w:t>
                          </w:r>
                          <w:r>
                            <w:rPr>
                              <w:rFonts w:hint="eastAsia" w:ascii="仿宋" w:hAnsi="仿宋" w:eastAsia="仿宋" w:cs="仿宋"/>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79B5597">
                    <w:pPr>
                      <w:pStyle w:val="29"/>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2</w:t>
                    </w:r>
                    <w:r>
                      <w:rPr>
                        <w:rFonts w:hint="eastAsia" w:ascii="仿宋" w:hAnsi="仿宋" w:eastAsia="仿宋" w:cs="仿宋"/>
                        <w:sz w:val="24"/>
                        <w:szCs w:val="24"/>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CEF77">
    <w:pPr>
      <w:rPr>
        <w:rFonts w:hint="eastAsia"/>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01DE76">
                          <w:pPr>
                            <w:pStyle w:val="29"/>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E01DE76">
                    <w:pPr>
                      <w:pStyle w:val="29"/>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D0DF0">
    <w:pPr>
      <w:pStyle w:val="29"/>
      <w:jc w:val="center"/>
      <w:rPr>
        <w:rFonts w:asciiTheme="minorEastAsia" w:hAnsiTheme="minorEastAsia" w:eastAsiaTheme="minorEastAsia"/>
        <w:sz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18979414"/>
                            <w:docPartObj>
                              <w:docPartGallery w:val="autotext"/>
                            </w:docPartObj>
                          </w:sdtPr>
                          <w:sdtEndPr>
                            <w:rPr>
                              <w:rFonts w:asciiTheme="minorEastAsia" w:hAnsiTheme="minorEastAsia" w:eastAsiaTheme="minorEastAsia"/>
                              <w:sz w:val="21"/>
                            </w:rPr>
                          </w:sdtEndPr>
                          <w:sdtContent>
                            <w:p w14:paraId="012D3438">
                              <w:pPr>
                                <w:pStyle w:val="29"/>
                                <w:jc w:val="center"/>
                                <w:rPr>
                                  <w:rFonts w:asciiTheme="minorEastAsia" w:hAnsiTheme="minorEastAsia" w:eastAsiaTheme="minorEastAsia"/>
                                  <w:sz w:val="21"/>
                                </w:rPr>
                              </w:pPr>
                              <w:r>
                                <w:rPr>
                                  <w:rFonts w:asciiTheme="minorEastAsia" w:hAnsiTheme="minorEastAsia" w:eastAsiaTheme="minorEastAsia"/>
                                  <w:sz w:val="21"/>
                                </w:rPr>
                                <w:fldChar w:fldCharType="begin"/>
                              </w:r>
                              <w:r>
                                <w:rPr>
                                  <w:rFonts w:asciiTheme="minorEastAsia" w:hAnsiTheme="minorEastAsia" w:eastAsiaTheme="minorEastAsia"/>
                                  <w:sz w:val="21"/>
                                </w:rPr>
                                <w:instrText xml:space="preserve">PAGE   \* MERGEFORMAT</w:instrText>
                              </w:r>
                              <w:r>
                                <w:rPr>
                                  <w:rFonts w:asciiTheme="minorEastAsia" w:hAnsiTheme="minorEastAsia" w:eastAsiaTheme="minorEastAsia"/>
                                  <w:sz w:val="21"/>
                                </w:rPr>
                                <w:fldChar w:fldCharType="separate"/>
                              </w:r>
                              <w:r>
                                <w:rPr>
                                  <w:rFonts w:asciiTheme="minorEastAsia" w:hAnsiTheme="minorEastAsia" w:eastAsiaTheme="minorEastAsia"/>
                                  <w:sz w:val="21"/>
                                  <w:lang w:val="zh-CN"/>
                                </w:rPr>
                                <w:t>57</w:t>
                              </w:r>
                              <w:r>
                                <w:rPr>
                                  <w:rFonts w:asciiTheme="minorEastAsia" w:hAnsiTheme="minorEastAsia" w:eastAsiaTheme="minorEastAsia"/>
                                  <w:sz w:val="21"/>
                                </w:rPr>
                                <w:fldChar w:fldCharType="end"/>
                              </w:r>
                            </w:p>
                          </w:sdtContent>
                        </w:sdt>
                        <w:p w14:paraId="7057A763">
                          <w:pPr>
                            <w:pStyle w:val="1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218979414"/>
                      <w:docPartObj>
                        <w:docPartGallery w:val="autotext"/>
                      </w:docPartObj>
                    </w:sdtPr>
                    <w:sdtEndPr>
                      <w:rPr>
                        <w:rFonts w:asciiTheme="minorEastAsia" w:hAnsiTheme="minorEastAsia" w:eastAsiaTheme="minorEastAsia"/>
                        <w:sz w:val="21"/>
                      </w:rPr>
                    </w:sdtEndPr>
                    <w:sdtContent>
                      <w:p w14:paraId="012D3438">
                        <w:pPr>
                          <w:pStyle w:val="29"/>
                          <w:jc w:val="center"/>
                          <w:rPr>
                            <w:rFonts w:asciiTheme="minorEastAsia" w:hAnsiTheme="minorEastAsia" w:eastAsiaTheme="minorEastAsia"/>
                            <w:sz w:val="21"/>
                          </w:rPr>
                        </w:pPr>
                        <w:r>
                          <w:rPr>
                            <w:rFonts w:asciiTheme="minorEastAsia" w:hAnsiTheme="minorEastAsia" w:eastAsiaTheme="minorEastAsia"/>
                            <w:sz w:val="21"/>
                          </w:rPr>
                          <w:fldChar w:fldCharType="begin"/>
                        </w:r>
                        <w:r>
                          <w:rPr>
                            <w:rFonts w:asciiTheme="minorEastAsia" w:hAnsiTheme="minorEastAsia" w:eastAsiaTheme="minorEastAsia"/>
                            <w:sz w:val="21"/>
                          </w:rPr>
                          <w:instrText xml:space="preserve">PAGE   \* MERGEFORMAT</w:instrText>
                        </w:r>
                        <w:r>
                          <w:rPr>
                            <w:rFonts w:asciiTheme="minorEastAsia" w:hAnsiTheme="minorEastAsia" w:eastAsiaTheme="minorEastAsia"/>
                            <w:sz w:val="21"/>
                          </w:rPr>
                          <w:fldChar w:fldCharType="separate"/>
                        </w:r>
                        <w:r>
                          <w:rPr>
                            <w:rFonts w:asciiTheme="minorEastAsia" w:hAnsiTheme="minorEastAsia" w:eastAsiaTheme="minorEastAsia"/>
                            <w:sz w:val="21"/>
                            <w:lang w:val="zh-CN"/>
                          </w:rPr>
                          <w:t>57</w:t>
                        </w:r>
                        <w:r>
                          <w:rPr>
                            <w:rFonts w:asciiTheme="minorEastAsia" w:hAnsiTheme="minorEastAsia" w:eastAsiaTheme="minorEastAsia"/>
                            <w:sz w:val="21"/>
                          </w:rPr>
                          <w:fldChar w:fldCharType="end"/>
                        </w:r>
                      </w:p>
                    </w:sdtContent>
                  </w:sdt>
                  <w:p w14:paraId="7057A763">
                    <w:pPr>
                      <w:pStyle w:val="13"/>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DA52F">
    <w:pPr>
      <w:pStyle w:val="29"/>
      <w:ind w:right="360"/>
      <w:jc w:val="center"/>
      <w:rPr>
        <w:rFonts w:asciiTheme="minorEastAsia" w:hAnsiTheme="minorEastAsia" w:eastAsiaTheme="minorEastAsia"/>
        <w:sz w:val="30"/>
        <w:szCs w:val="30"/>
      </w:rPr>
    </w:pPr>
    <w:r>
      <w:rPr>
        <w:sz w:val="3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4435"/>
                          </w:sdtPr>
                          <w:sdtEndPr>
                            <w:rPr>
                              <w:rFonts w:hint="eastAsia" w:ascii="仿宋" w:hAnsi="仿宋" w:eastAsia="仿宋" w:cs="仿宋"/>
                              <w:sz w:val="21"/>
                              <w:szCs w:val="21"/>
                            </w:rPr>
                          </w:sdtEndPr>
                          <w:sdtContent>
                            <w:p w14:paraId="27680868">
                              <w:pPr>
                                <w:pStyle w:val="29"/>
                                <w:ind w:right="360"/>
                                <w:jc w:val="center"/>
                                <w:rPr>
                                  <w:rFonts w:hint="eastAsia"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PAGE   \* MERGEFORMAT</w:instrText>
                              </w:r>
                              <w:r>
                                <w:rPr>
                                  <w:rFonts w:hint="eastAsia" w:ascii="仿宋" w:hAnsi="仿宋" w:eastAsia="仿宋" w:cs="仿宋"/>
                                  <w:sz w:val="21"/>
                                  <w:szCs w:val="21"/>
                                </w:rPr>
                                <w:fldChar w:fldCharType="separate"/>
                              </w:r>
                              <w:r>
                                <w:rPr>
                                  <w:rFonts w:ascii="仿宋" w:hAnsi="仿宋" w:eastAsia="仿宋" w:cs="仿宋"/>
                                  <w:sz w:val="21"/>
                                  <w:szCs w:val="21"/>
                                  <w:lang w:val="zh-CN"/>
                                </w:rPr>
                                <w:t>69</w:t>
                              </w:r>
                              <w:r>
                                <w:rPr>
                                  <w:rFonts w:hint="eastAsia" w:ascii="仿宋" w:hAnsi="仿宋" w:eastAsia="仿宋" w:cs="仿宋"/>
                                  <w:sz w:val="21"/>
                                  <w:szCs w:val="21"/>
                                </w:rPr>
                                <w:fldChar w:fldCharType="end"/>
                              </w:r>
                            </w:p>
                          </w:sdtContent>
                        </w:sdt>
                        <w:p w14:paraId="04515B6F">
                          <w:pPr>
                            <w:pStyle w:val="65"/>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sdt>
                    <w:sdtPr>
                      <w:id w:val="147464435"/>
                    </w:sdtPr>
                    <w:sdtEndPr>
                      <w:rPr>
                        <w:rFonts w:hint="eastAsia" w:ascii="仿宋" w:hAnsi="仿宋" w:eastAsia="仿宋" w:cs="仿宋"/>
                        <w:sz w:val="21"/>
                        <w:szCs w:val="21"/>
                      </w:rPr>
                    </w:sdtEndPr>
                    <w:sdtContent>
                      <w:p w14:paraId="27680868">
                        <w:pPr>
                          <w:pStyle w:val="29"/>
                          <w:ind w:right="360"/>
                          <w:jc w:val="center"/>
                          <w:rPr>
                            <w:rFonts w:hint="eastAsia"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PAGE   \* MERGEFORMAT</w:instrText>
                        </w:r>
                        <w:r>
                          <w:rPr>
                            <w:rFonts w:hint="eastAsia" w:ascii="仿宋" w:hAnsi="仿宋" w:eastAsia="仿宋" w:cs="仿宋"/>
                            <w:sz w:val="21"/>
                            <w:szCs w:val="21"/>
                          </w:rPr>
                          <w:fldChar w:fldCharType="separate"/>
                        </w:r>
                        <w:r>
                          <w:rPr>
                            <w:rFonts w:ascii="仿宋" w:hAnsi="仿宋" w:eastAsia="仿宋" w:cs="仿宋"/>
                            <w:sz w:val="21"/>
                            <w:szCs w:val="21"/>
                            <w:lang w:val="zh-CN"/>
                          </w:rPr>
                          <w:t>69</w:t>
                        </w:r>
                        <w:r>
                          <w:rPr>
                            <w:rFonts w:hint="eastAsia" w:ascii="仿宋" w:hAnsi="仿宋" w:eastAsia="仿宋" w:cs="仿宋"/>
                            <w:sz w:val="21"/>
                            <w:szCs w:val="21"/>
                          </w:rPr>
                          <w:fldChar w:fldCharType="end"/>
                        </w:r>
                      </w:p>
                    </w:sdtContent>
                  </w:sdt>
                  <w:p w14:paraId="04515B6F">
                    <w:pPr>
                      <w:pStyle w:val="65"/>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CE2EE4">
    <w:pPr>
      <w:pStyle w:val="30"/>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8F50D">
    <w:pPr>
      <w:pStyle w:val="3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873A0">
    <w:pPr>
      <w:pStyle w:val="30"/>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pStyle w:val="325"/>
      <w:lvlText w:val="表%1："/>
      <w:lvlJc w:val="left"/>
      <w:pPr>
        <w:ind w:left="900" w:hanging="420"/>
      </w:pPr>
      <w:rPr>
        <w:rFonts w:hint="eastAsia"/>
        <w:b w:val="0"/>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1MTY3ZDMzMzVlNGIwZmQxOGU2NWJmM2MyMmZiOTEifQ=="/>
  </w:docVars>
  <w:rsids>
    <w:rsidRoot w:val="00172A27"/>
    <w:rsid w:val="00001340"/>
    <w:rsid w:val="00004DAA"/>
    <w:rsid w:val="0000568A"/>
    <w:rsid w:val="00006BD9"/>
    <w:rsid w:val="00007144"/>
    <w:rsid w:val="00007BA8"/>
    <w:rsid w:val="000149FB"/>
    <w:rsid w:val="00014F7D"/>
    <w:rsid w:val="000162FE"/>
    <w:rsid w:val="00017270"/>
    <w:rsid w:val="00017E5C"/>
    <w:rsid w:val="00020B17"/>
    <w:rsid w:val="000244CA"/>
    <w:rsid w:val="00026F71"/>
    <w:rsid w:val="00030171"/>
    <w:rsid w:val="000304C4"/>
    <w:rsid w:val="00033566"/>
    <w:rsid w:val="00036B12"/>
    <w:rsid w:val="000400E8"/>
    <w:rsid w:val="00046152"/>
    <w:rsid w:val="0005003E"/>
    <w:rsid w:val="000536BB"/>
    <w:rsid w:val="000604DE"/>
    <w:rsid w:val="000641A9"/>
    <w:rsid w:val="00070AF5"/>
    <w:rsid w:val="00071140"/>
    <w:rsid w:val="00071D00"/>
    <w:rsid w:val="000726EA"/>
    <w:rsid w:val="00073D96"/>
    <w:rsid w:val="000762D4"/>
    <w:rsid w:val="0007797D"/>
    <w:rsid w:val="0008025F"/>
    <w:rsid w:val="0008034C"/>
    <w:rsid w:val="00080E16"/>
    <w:rsid w:val="00082FC4"/>
    <w:rsid w:val="00083B64"/>
    <w:rsid w:val="00085BB6"/>
    <w:rsid w:val="000904A3"/>
    <w:rsid w:val="000916AB"/>
    <w:rsid w:val="000923E8"/>
    <w:rsid w:val="000941A8"/>
    <w:rsid w:val="00094989"/>
    <w:rsid w:val="000A0263"/>
    <w:rsid w:val="000A02F9"/>
    <w:rsid w:val="000A1822"/>
    <w:rsid w:val="000A1C64"/>
    <w:rsid w:val="000A32B9"/>
    <w:rsid w:val="000A3552"/>
    <w:rsid w:val="000B210F"/>
    <w:rsid w:val="000B331B"/>
    <w:rsid w:val="000B581D"/>
    <w:rsid w:val="000B74E1"/>
    <w:rsid w:val="000C62C3"/>
    <w:rsid w:val="000D171A"/>
    <w:rsid w:val="000D37C8"/>
    <w:rsid w:val="000D3B49"/>
    <w:rsid w:val="000D7CE7"/>
    <w:rsid w:val="000E20F2"/>
    <w:rsid w:val="000E5B9C"/>
    <w:rsid w:val="000E7461"/>
    <w:rsid w:val="000E7AF9"/>
    <w:rsid w:val="00101AA4"/>
    <w:rsid w:val="001063D0"/>
    <w:rsid w:val="0010650C"/>
    <w:rsid w:val="001079FC"/>
    <w:rsid w:val="00107FE2"/>
    <w:rsid w:val="001100D5"/>
    <w:rsid w:val="00112251"/>
    <w:rsid w:val="00117093"/>
    <w:rsid w:val="00117660"/>
    <w:rsid w:val="0012205E"/>
    <w:rsid w:val="001227D5"/>
    <w:rsid w:val="00123259"/>
    <w:rsid w:val="0012668B"/>
    <w:rsid w:val="00127B38"/>
    <w:rsid w:val="0013312B"/>
    <w:rsid w:val="00133C36"/>
    <w:rsid w:val="00134F82"/>
    <w:rsid w:val="00135714"/>
    <w:rsid w:val="001378D2"/>
    <w:rsid w:val="001411D9"/>
    <w:rsid w:val="00141AF5"/>
    <w:rsid w:val="001431D9"/>
    <w:rsid w:val="00144E0F"/>
    <w:rsid w:val="00146E26"/>
    <w:rsid w:val="001511BA"/>
    <w:rsid w:val="00151E56"/>
    <w:rsid w:val="0015472C"/>
    <w:rsid w:val="00154A10"/>
    <w:rsid w:val="0015794E"/>
    <w:rsid w:val="00160C84"/>
    <w:rsid w:val="00162304"/>
    <w:rsid w:val="00162D5F"/>
    <w:rsid w:val="001676DD"/>
    <w:rsid w:val="00171B8B"/>
    <w:rsid w:val="001733AF"/>
    <w:rsid w:val="00173CD5"/>
    <w:rsid w:val="00176FAD"/>
    <w:rsid w:val="00177BFE"/>
    <w:rsid w:val="00180CA5"/>
    <w:rsid w:val="0018101E"/>
    <w:rsid w:val="001846CD"/>
    <w:rsid w:val="00192531"/>
    <w:rsid w:val="00193A7C"/>
    <w:rsid w:val="001970FB"/>
    <w:rsid w:val="001A148C"/>
    <w:rsid w:val="001A2117"/>
    <w:rsid w:val="001A2D5E"/>
    <w:rsid w:val="001A3274"/>
    <w:rsid w:val="001A33AD"/>
    <w:rsid w:val="001A377B"/>
    <w:rsid w:val="001A45DD"/>
    <w:rsid w:val="001A4E5A"/>
    <w:rsid w:val="001A5AD8"/>
    <w:rsid w:val="001B1748"/>
    <w:rsid w:val="001B1AD8"/>
    <w:rsid w:val="001B36D6"/>
    <w:rsid w:val="001D50A5"/>
    <w:rsid w:val="001D53FB"/>
    <w:rsid w:val="001D79E8"/>
    <w:rsid w:val="001E1D3C"/>
    <w:rsid w:val="001E2FC3"/>
    <w:rsid w:val="001E33A7"/>
    <w:rsid w:val="001E3D69"/>
    <w:rsid w:val="001E4755"/>
    <w:rsid w:val="001E5AAE"/>
    <w:rsid w:val="001E6E8F"/>
    <w:rsid w:val="001E700D"/>
    <w:rsid w:val="001F22E9"/>
    <w:rsid w:val="001F3A08"/>
    <w:rsid w:val="001F610A"/>
    <w:rsid w:val="0020058C"/>
    <w:rsid w:val="00200BA8"/>
    <w:rsid w:val="0020210D"/>
    <w:rsid w:val="002055DD"/>
    <w:rsid w:val="00205DF6"/>
    <w:rsid w:val="002115F3"/>
    <w:rsid w:val="00213B45"/>
    <w:rsid w:val="0022177D"/>
    <w:rsid w:val="0022315A"/>
    <w:rsid w:val="002233BB"/>
    <w:rsid w:val="00225083"/>
    <w:rsid w:val="002250F4"/>
    <w:rsid w:val="00226DEC"/>
    <w:rsid w:val="002271B7"/>
    <w:rsid w:val="00231BFB"/>
    <w:rsid w:val="00236D43"/>
    <w:rsid w:val="002443C9"/>
    <w:rsid w:val="00245F22"/>
    <w:rsid w:val="002472C0"/>
    <w:rsid w:val="00247F47"/>
    <w:rsid w:val="002508FA"/>
    <w:rsid w:val="00253DC3"/>
    <w:rsid w:val="002541CE"/>
    <w:rsid w:val="002545CB"/>
    <w:rsid w:val="00257F22"/>
    <w:rsid w:val="002604A7"/>
    <w:rsid w:val="00260910"/>
    <w:rsid w:val="00262839"/>
    <w:rsid w:val="00263CA6"/>
    <w:rsid w:val="00266F04"/>
    <w:rsid w:val="0028101B"/>
    <w:rsid w:val="00283F2B"/>
    <w:rsid w:val="0029280E"/>
    <w:rsid w:val="00294684"/>
    <w:rsid w:val="002967DA"/>
    <w:rsid w:val="00297672"/>
    <w:rsid w:val="002A6A08"/>
    <w:rsid w:val="002A76F7"/>
    <w:rsid w:val="002B0041"/>
    <w:rsid w:val="002B0C40"/>
    <w:rsid w:val="002C2DD2"/>
    <w:rsid w:val="002C33A1"/>
    <w:rsid w:val="002C3AB5"/>
    <w:rsid w:val="002D1BE8"/>
    <w:rsid w:val="002D2A64"/>
    <w:rsid w:val="002D3439"/>
    <w:rsid w:val="002D6CF2"/>
    <w:rsid w:val="002E15A3"/>
    <w:rsid w:val="002E1D0A"/>
    <w:rsid w:val="002E5AAD"/>
    <w:rsid w:val="002E6176"/>
    <w:rsid w:val="002E7D55"/>
    <w:rsid w:val="002F10F5"/>
    <w:rsid w:val="002F2283"/>
    <w:rsid w:val="002F54A1"/>
    <w:rsid w:val="002F66E8"/>
    <w:rsid w:val="00300C92"/>
    <w:rsid w:val="00301B47"/>
    <w:rsid w:val="00301F82"/>
    <w:rsid w:val="00304D2D"/>
    <w:rsid w:val="0031063C"/>
    <w:rsid w:val="00313F13"/>
    <w:rsid w:val="00315623"/>
    <w:rsid w:val="00315D4B"/>
    <w:rsid w:val="00315D59"/>
    <w:rsid w:val="00316DBA"/>
    <w:rsid w:val="00316E96"/>
    <w:rsid w:val="0032116D"/>
    <w:rsid w:val="00321D81"/>
    <w:rsid w:val="00324A7B"/>
    <w:rsid w:val="003264F1"/>
    <w:rsid w:val="00326D40"/>
    <w:rsid w:val="0033094D"/>
    <w:rsid w:val="00331C14"/>
    <w:rsid w:val="0033356A"/>
    <w:rsid w:val="0033409B"/>
    <w:rsid w:val="003344D9"/>
    <w:rsid w:val="00336E0F"/>
    <w:rsid w:val="00336F54"/>
    <w:rsid w:val="003458F7"/>
    <w:rsid w:val="00345FE0"/>
    <w:rsid w:val="0035279D"/>
    <w:rsid w:val="00353142"/>
    <w:rsid w:val="0035341D"/>
    <w:rsid w:val="00360623"/>
    <w:rsid w:val="00360D30"/>
    <w:rsid w:val="00361C9D"/>
    <w:rsid w:val="00361CD5"/>
    <w:rsid w:val="00363991"/>
    <w:rsid w:val="00364473"/>
    <w:rsid w:val="003659B8"/>
    <w:rsid w:val="00365DA6"/>
    <w:rsid w:val="00370482"/>
    <w:rsid w:val="00370F25"/>
    <w:rsid w:val="003738A8"/>
    <w:rsid w:val="00373CAA"/>
    <w:rsid w:val="00376E83"/>
    <w:rsid w:val="00381492"/>
    <w:rsid w:val="00382C56"/>
    <w:rsid w:val="003846FA"/>
    <w:rsid w:val="003923EF"/>
    <w:rsid w:val="0039269B"/>
    <w:rsid w:val="003A0914"/>
    <w:rsid w:val="003A5B50"/>
    <w:rsid w:val="003B375E"/>
    <w:rsid w:val="003B508E"/>
    <w:rsid w:val="003B70AD"/>
    <w:rsid w:val="003B72EC"/>
    <w:rsid w:val="003C0B9E"/>
    <w:rsid w:val="003C2CBB"/>
    <w:rsid w:val="003D01BB"/>
    <w:rsid w:val="003D05EA"/>
    <w:rsid w:val="003D4211"/>
    <w:rsid w:val="003E476A"/>
    <w:rsid w:val="003E4A7A"/>
    <w:rsid w:val="003E612D"/>
    <w:rsid w:val="003F2B4D"/>
    <w:rsid w:val="003F5C6B"/>
    <w:rsid w:val="00400C51"/>
    <w:rsid w:val="00401654"/>
    <w:rsid w:val="00401A88"/>
    <w:rsid w:val="0040310D"/>
    <w:rsid w:val="00403C31"/>
    <w:rsid w:val="004101D4"/>
    <w:rsid w:val="00411DC0"/>
    <w:rsid w:val="004220B6"/>
    <w:rsid w:val="00423D2D"/>
    <w:rsid w:val="004269F5"/>
    <w:rsid w:val="00427988"/>
    <w:rsid w:val="0043107A"/>
    <w:rsid w:val="00432C0C"/>
    <w:rsid w:val="00433AA5"/>
    <w:rsid w:val="00433EED"/>
    <w:rsid w:val="00434DA2"/>
    <w:rsid w:val="00437914"/>
    <w:rsid w:val="00444EE1"/>
    <w:rsid w:val="0044799D"/>
    <w:rsid w:val="0045091A"/>
    <w:rsid w:val="00450A93"/>
    <w:rsid w:val="00450B61"/>
    <w:rsid w:val="00452BB8"/>
    <w:rsid w:val="00456097"/>
    <w:rsid w:val="00456452"/>
    <w:rsid w:val="004640C1"/>
    <w:rsid w:val="00464441"/>
    <w:rsid w:val="004653B9"/>
    <w:rsid w:val="00473EA4"/>
    <w:rsid w:val="00483315"/>
    <w:rsid w:val="004948A3"/>
    <w:rsid w:val="004A010F"/>
    <w:rsid w:val="004A1E94"/>
    <w:rsid w:val="004A383A"/>
    <w:rsid w:val="004A4981"/>
    <w:rsid w:val="004A5376"/>
    <w:rsid w:val="004A6517"/>
    <w:rsid w:val="004A68AF"/>
    <w:rsid w:val="004A7D7E"/>
    <w:rsid w:val="004B0537"/>
    <w:rsid w:val="004B1F18"/>
    <w:rsid w:val="004B3DA3"/>
    <w:rsid w:val="004B7605"/>
    <w:rsid w:val="004C380F"/>
    <w:rsid w:val="004C55B6"/>
    <w:rsid w:val="004D11B3"/>
    <w:rsid w:val="004D65F4"/>
    <w:rsid w:val="004D75D5"/>
    <w:rsid w:val="004E1539"/>
    <w:rsid w:val="004E1E11"/>
    <w:rsid w:val="004E2088"/>
    <w:rsid w:val="004E3318"/>
    <w:rsid w:val="004E419C"/>
    <w:rsid w:val="004E4876"/>
    <w:rsid w:val="004E6506"/>
    <w:rsid w:val="004E7786"/>
    <w:rsid w:val="004F0D23"/>
    <w:rsid w:val="00501303"/>
    <w:rsid w:val="00507DCF"/>
    <w:rsid w:val="00511747"/>
    <w:rsid w:val="00512B3E"/>
    <w:rsid w:val="00513F5F"/>
    <w:rsid w:val="00520FE8"/>
    <w:rsid w:val="00521B49"/>
    <w:rsid w:val="005230D2"/>
    <w:rsid w:val="00523E02"/>
    <w:rsid w:val="00526F0E"/>
    <w:rsid w:val="005307A5"/>
    <w:rsid w:val="0053132A"/>
    <w:rsid w:val="005315B6"/>
    <w:rsid w:val="0053703C"/>
    <w:rsid w:val="00540929"/>
    <w:rsid w:val="0054181E"/>
    <w:rsid w:val="005431E4"/>
    <w:rsid w:val="00545C11"/>
    <w:rsid w:val="00547C3A"/>
    <w:rsid w:val="0055435D"/>
    <w:rsid w:val="0055693E"/>
    <w:rsid w:val="0056149F"/>
    <w:rsid w:val="00561E3A"/>
    <w:rsid w:val="00563383"/>
    <w:rsid w:val="00566F28"/>
    <w:rsid w:val="00573463"/>
    <w:rsid w:val="00575869"/>
    <w:rsid w:val="00577ECB"/>
    <w:rsid w:val="00577FFA"/>
    <w:rsid w:val="005809DA"/>
    <w:rsid w:val="0058149C"/>
    <w:rsid w:val="00582395"/>
    <w:rsid w:val="00582F95"/>
    <w:rsid w:val="0058332C"/>
    <w:rsid w:val="005879D1"/>
    <w:rsid w:val="0059795A"/>
    <w:rsid w:val="005A215C"/>
    <w:rsid w:val="005A69CA"/>
    <w:rsid w:val="005B0282"/>
    <w:rsid w:val="005B0D2C"/>
    <w:rsid w:val="005B2CB8"/>
    <w:rsid w:val="005B4857"/>
    <w:rsid w:val="005C53A8"/>
    <w:rsid w:val="005D1FF8"/>
    <w:rsid w:val="005D32D6"/>
    <w:rsid w:val="005D3BA9"/>
    <w:rsid w:val="005D651D"/>
    <w:rsid w:val="005E3C18"/>
    <w:rsid w:val="005E5AF5"/>
    <w:rsid w:val="005E617A"/>
    <w:rsid w:val="005F0454"/>
    <w:rsid w:val="005F4907"/>
    <w:rsid w:val="0060072E"/>
    <w:rsid w:val="00600C9C"/>
    <w:rsid w:val="00611669"/>
    <w:rsid w:val="0062230E"/>
    <w:rsid w:val="00622533"/>
    <w:rsid w:val="00622699"/>
    <w:rsid w:val="0062361A"/>
    <w:rsid w:val="00627128"/>
    <w:rsid w:val="00630AAC"/>
    <w:rsid w:val="006314C2"/>
    <w:rsid w:val="00631C5A"/>
    <w:rsid w:val="00633586"/>
    <w:rsid w:val="00635290"/>
    <w:rsid w:val="006360FE"/>
    <w:rsid w:val="0063610A"/>
    <w:rsid w:val="006367D4"/>
    <w:rsid w:val="00643880"/>
    <w:rsid w:val="00644CAA"/>
    <w:rsid w:val="0064722F"/>
    <w:rsid w:val="00647296"/>
    <w:rsid w:val="00647D58"/>
    <w:rsid w:val="00652A1B"/>
    <w:rsid w:val="00652A7E"/>
    <w:rsid w:val="00657AD0"/>
    <w:rsid w:val="00661E10"/>
    <w:rsid w:val="00664C14"/>
    <w:rsid w:val="0066511C"/>
    <w:rsid w:val="00665BBC"/>
    <w:rsid w:val="0066681E"/>
    <w:rsid w:val="00671508"/>
    <w:rsid w:val="006728AB"/>
    <w:rsid w:val="00674A1B"/>
    <w:rsid w:val="006804BB"/>
    <w:rsid w:val="00682D47"/>
    <w:rsid w:val="0068600F"/>
    <w:rsid w:val="0069349B"/>
    <w:rsid w:val="00697DA0"/>
    <w:rsid w:val="006A0C39"/>
    <w:rsid w:val="006A4875"/>
    <w:rsid w:val="006A4AC4"/>
    <w:rsid w:val="006B014A"/>
    <w:rsid w:val="006B2DDD"/>
    <w:rsid w:val="006B36B5"/>
    <w:rsid w:val="006B6739"/>
    <w:rsid w:val="006B76F1"/>
    <w:rsid w:val="006B7BD1"/>
    <w:rsid w:val="006C059C"/>
    <w:rsid w:val="006C06C9"/>
    <w:rsid w:val="006C08F0"/>
    <w:rsid w:val="006C1460"/>
    <w:rsid w:val="006C214D"/>
    <w:rsid w:val="006C4E5B"/>
    <w:rsid w:val="006C551A"/>
    <w:rsid w:val="006C7CC8"/>
    <w:rsid w:val="006D3668"/>
    <w:rsid w:val="006D5AF8"/>
    <w:rsid w:val="006E249F"/>
    <w:rsid w:val="006E344D"/>
    <w:rsid w:val="006E51CF"/>
    <w:rsid w:val="006E5FE5"/>
    <w:rsid w:val="006E65C8"/>
    <w:rsid w:val="006F2A4E"/>
    <w:rsid w:val="006F6DB0"/>
    <w:rsid w:val="006F7BBE"/>
    <w:rsid w:val="00704AEC"/>
    <w:rsid w:val="00711806"/>
    <w:rsid w:val="00711DFE"/>
    <w:rsid w:val="007137F1"/>
    <w:rsid w:val="007156D2"/>
    <w:rsid w:val="00715CB4"/>
    <w:rsid w:val="0072037A"/>
    <w:rsid w:val="00721DA0"/>
    <w:rsid w:val="0072662D"/>
    <w:rsid w:val="0073306F"/>
    <w:rsid w:val="0074166A"/>
    <w:rsid w:val="0074370A"/>
    <w:rsid w:val="00746398"/>
    <w:rsid w:val="00750156"/>
    <w:rsid w:val="0075151D"/>
    <w:rsid w:val="00754C0A"/>
    <w:rsid w:val="00757B07"/>
    <w:rsid w:val="00757C4E"/>
    <w:rsid w:val="00760768"/>
    <w:rsid w:val="00761370"/>
    <w:rsid w:val="0076202B"/>
    <w:rsid w:val="00767044"/>
    <w:rsid w:val="0076772C"/>
    <w:rsid w:val="007729C6"/>
    <w:rsid w:val="00773822"/>
    <w:rsid w:val="00784173"/>
    <w:rsid w:val="00787D19"/>
    <w:rsid w:val="00787E03"/>
    <w:rsid w:val="00793FDF"/>
    <w:rsid w:val="00796034"/>
    <w:rsid w:val="007A0E43"/>
    <w:rsid w:val="007A2460"/>
    <w:rsid w:val="007A5319"/>
    <w:rsid w:val="007A7EF1"/>
    <w:rsid w:val="007B23B1"/>
    <w:rsid w:val="007B2A84"/>
    <w:rsid w:val="007C5ABC"/>
    <w:rsid w:val="007C66D2"/>
    <w:rsid w:val="007D68A5"/>
    <w:rsid w:val="007D78E8"/>
    <w:rsid w:val="007E2464"/>
    <w:rsid w:val="007E2857"/>
    <w:rsid w:val="007E5766"/>
    <w:rsid w:val="007E66CA"/>
    <w:rsid w:val="007F2614"/>
    <w:rsid w:val="007F4A6C"/>
    <w:rsid w:val="007F5620"/>
    <w:rsid w:val="007F6C55"/>
    <w:rsid w:val="00800372"/>
    <w:rsid w:val="008029D1"/>
    <w:rsid w:val="00803C6A"/>
    <w:rsid w:val="00804E94"/>
    <w:rsid w:val="008060F8"/>
    <w:rsid w:val="0080672E"/>
    <w:rsid w:val="008068DA"/>
    <w:rsid w:val="008068EC"/>
    <w:rsid w:val="00806F37"/>
    <w:rsid w:val="008104C1"/>
    <w:rsid w:val="00813D04"/>
    <w:rsid w:val="0081414C"/>
    <w:rsid w:val="00815488"/>
    <w:rsid w:val="00820914"/>
    <w:rsid w:val="008247D9"/>
    <w:rsid w:val="00826C3A"/>
    <w:rsid w:val="00834286"/>
    <w:rsid w:val="00837F36"/>
    <w:rsid w:val="00837F86"/>
    <w:rsid w:val="00840834"/>
    <w:rsid w:val="00843C8F"/>
    <w:rsid w:val="00846F1B"/>
    <w:rsid w:val="00851279"/>
    <w:rsid w:val="00854756"/>
    <w:rsid w:val="00857654"/>
    <w:rsid w:val="00857B62"/>
    <w:rsid w:val="008606B9"/>
    <w:rsid w:val="00860FFC"/>
    <w:rsid w:val="00861D9E"/>
    <w:rsid w:val="00862EBB"/>
    <w:rsid w:val="008631DD"/>
    <w:rsid w:val="00865FCD"/>
    <w:rsid w:val="008675CD"/>
    <w:rsid w:val="008703DB"/>
    <w:rsid w:val="008729A4"/>
    <w:rsid w:val="00872CE4"/>
    <w:rsid w:val="00874C29"/>
    <w:rsid w:val="00875212"/>
    <w:rsid w:val="00877E4D"/>
    <w:rsid w:val="0088119D"/>
    <w:rsid w:val="00881663"/>
    <w:rsid w:val="008836C9"/>
    <w:rsid w:val="00884BA6"/>
    <w:rsid w:val="008858F6"/>
    <w:rsid w:val="00890A9E"/>
    <w:rsid w:val="00892DE8"/>
    <w:rsid w:val="008946FE"/>
    <w:rsid w:val="008953BF"/>
    <w:rsid w:val="008959F0"/>
    <w:rsid w:val="00896271"/>
    <w:rsid w:val="008A6628"/>
    <w:rsid w:val="008B1C0E"/>
    <w:rsid w:val="008B1D39"/>
    <w:rsid w:val="008B2BE1"/>
    <w:rsid w:val="008B3F0E"/>
    <w:rsid w:val="008B5573"/>
    <w:rsid w:val="008C35FD"/>
    <w:rsid w:val="008C3A97"/>
    <w:rsid w:val="008C6135"/>
    <w:rsid w:val="008C7BEB"/>
    <w:rsid w:val="008D0E78"/>
    <w:rsid w:val="008D39FF"/>
    <w:rsid w:val="008D5387"/>
    <w:rsid w:val="008E200B"/>
    <w:rsid w:val="008E2341"/>
    <w:rsid w:val="008E6991"/>
    <w:rsid w:val="008E7014"/>
    <w:rsid w:val="008F0DC2"/>
    <w:rsid w:val="008F1D6D"/>
    <w:rsid w:val="008F2F5A"/>
    <w:rsid w:val="008F6AA2"/>
    <w:rsid w:val="00900116"/>
    <w:rsid w:val="009015ED"/>
    <w:rsid w:val="00901EC4"/>
    <w:rsid w:val="00907356"/>
    <w:rsid w:val="00907869"/>
    <w:rsid w:val="0090793B"/>
    <w:rsid w:val="00910B36"/>
    <w:rsid w:val="0091635D"/>
    <w:rsid w:val="0091776B"/>
    <w:rsid w:val="00922592"/>
    <w:rsid w:val="00926EE7"/>
    <w:rsid w:val="00930E5F"/>
    <w:rsid w:val="009324FE"/>
    <w:rsid w:val="0094041C"/>
    <w:rsid w:val="0094055B"/>
    <w:rsid w:val="00941545"/>
    <w:rsid w:val="00942729"/>
    <w:rsid w:val="009437A7"/>
    <w:rsid w:val="00946789"/>
    <w:rsid w:val="0094755C"/>
    <w:rsid w:val="00955047"/>
    <w:rsid w:val="009613A3"/>
    <w:rsid w:val="0096147D"/>
    <w:rsid w:val="00965552"/>
    <w:rsid w:val="0096574A"/>
    <w:rsid w:val="0096617A"/>
    <w:rsid w:val="00966E63"/>
    <w:rsid w:val="009700E7"/>
    <w:rsid w:val="00973457"/>
    <w:rsid w:val="00975577"/>
    <w:rsid w:val="009756C5"/>
    <w:rsid w:val="00975775"/>
    <w:rsid w:val="0097728B"/>
    <w:rsid w:val="00980CE0"/>
    <w:rsid w:val="0098149F"/>
    <w:rsid w:val="00981669"/>
    <w:rsid w:val="00981749"/>
    <w:rsid w:val="00982657"/>
    <w:rsid w:val="009840B0"/>
    <w:rsid w:val="009869E5"/>
    <w:rsid w:val="009875C2"/>
    <w:rsid w:val="00990636"/>
    <w:rsid w:val="009930AE"/>
    <w:rsid w:val="00994212"/>
    <w:rsid w:val="0099499D"/>
    <w:rsid w:val="009953B0"/>
    <w:rsid w:val="009A0191"/>
    <w:rsid w:val="009A10FB"/>
    <w:rsid w:val="009A3F97"/>
    <w:rsid w:val="009A456E"/>
    <w:rsid w:val="009A6799"/>
    <w:rsid w:val="009A693B"/>
    <w:rsid w:val="009A7284"/>
    <w:rsid w:val="009A749E"/>
    <w:rsid w:val="009B074B"/>
    <w:rsid w:val="009B090B"/>
    <w:rsid w:val="009B0A3E"/>
    <w:rsid w:val="009B7DCA"/>
    <w:rsid w:val="009C0761"/>
    <w:rsid w:val="009C110A"/>
    <w:rsid w:val="009C5FF2"/>
    <w:rsid w:val="009C747C"/>
    <w:rsid w:val="009C7FD8"/>
    <w:rsid w:val="009D05BF"/>
    <w:rsid w:val="009D19E0"/>
    <w:rsid w:val="009D2432"/>
    <w:rsid w:val="009D5AE6"/>
    <w:rsid w:val="009E4380"/>
    <w:rsid w:val="009E75F9"/>
    <w:rsid w:val="009F064F"/>
    <w:rsid w:val="009F15EF"/>
    <w:rsid w:val="009F24D1"/>
    <w:rsid w:val="009F266C"/>
    <w:rsid w:val="009F31AC"/>
    <w:rsid w:val="009F3D01"/>
    <w:rsid w:val="009F5DA5"/>
    <w:rsid w:val="009F7205"/>
    <w:rsid w:val="00A01EFD"/>
    <w:rsid w:val="00A02E4D"/>
    <w:rsid w:val="00A04B51"/>
    <w:rsid w:val="00A068B7"/>
    <w:rsid w:val="00A106FA"/>
    <w:rsid w:val="00A15172"/>
    <w:rsid w:val="00A15738"/>
    <w:rsid w:val="00A17158"/>
    <w:rsid w:val="00A20856"/>
    <w:rsid w:val="00A2630C"/>
    <w:rsid w:val="00A27445"/>
    <w:rsid w:val="00A320D2"/>
    <w:rsid w:val="00A33300"/>
    <w:rsid w:val="00A35333"/>
    <w:rsid w:val="00A36250"/>
    <w:rsid w:val="00A377F1"/>
    <w:rsid w:val="00A40DD4"/>
    <w:rsid w:val="00A41CA5"/>
    <w:rsid w:val="00A42164"/>
    <w:rsid w:val="00A46BC3"/>
    <w:rsid w:val="00A503F2"/>
    <w:rsid w:val="00A5088A"/>
    <w:rsid w:val="00A5392E"/>
    <w:rsid w:val="00A55AA6"/>
    <w:rsid w:val="00A57C84"/>
    <w:rsid w:val="00A648D2"/>
    <w:rsid w:val="00A648FB"/>
    <w:rsid w:val="00A665B8"/>
    <w:rsid w:val="00A72A06"/>
    <w:rsid w:val="00A73D9B"/>
    <w:rsid w:val="00A766B8"/>
    <w:rsid w:val="00A83CBD"/>
    <w:rsid w:val="00A841E3"/>
    <w:rsid w:val="00A8579A"/>
    <w:rsid w:val="00A867EA"/>
    <w:rsid w:val="00A920ED"/>
    <w:rsid w:val="00A92ACF"/>
    <w:rsid w:val="00A971EB"/>
    <w:rsid w:val="00A97447"/>
    <w:rsid w:val="00A9785F"/>
    <w:rsid w:val="00AA0C7F"/>
    <w:rsid w:val="00AA0E37"/>
    <w:rsid w:val="00AA1E25"/>
    <w:rsid w:val="00AA2BDB"/>
    <w:rsid w:val="00AA65EF"/>
    <w:rsid w:val="00AB07FC"/>
    <w:rsid w:val="00AB0BCB"/>
    <w:rsid w:val="00AB3FD0"/>
    <w:rsid w:val="00AB706C"/>
    <w:rsid w:val="00AB7635"/>
    <w:rsid w:val="00AB7D40"/>
    <w:rsid w:val="00AC169A"/>
    <w:rsid w:val="00AC17BD"/>
    <w:rsid w:val="00AC2B08"/>
    <w:rsid w:val="00AD0858"/>
    <w:rsid w:val="00AD159E"/>
    <w:rsid w:val="00AD3CFB"/>
    <w:rsid w:val="00AD3FA3"/>
    <w:rsid w:val="00AD5B07"/>
    <w:rsid w:val="00AE2804"/>
    <w:rsid w:val="00AE2F7F"/>
    <w:rsid w:val="00AE3488"/>
    <w:rsid w:val="00AE5366"/>
    <w:rsid w:val="00AE6558"/>
    <w:rsid w:val="00AE677E"/>
    <w:rsid w:val="00AF35AE"/>
    <w:rsid w:val="00AF6DA4"/>
    <w:rsid w:val="00AF727F"/>
    <w:rsid w:val="00B00632"/>
    <w:rsid w:val="00B0493F"/>
    <w:rsid w:val="00B14B7E"/>
    <w:rsid w:val="00B20979"/>
    <w:rsid w:val="00B253DA"/>
    <w:rsid w:val="00B25BF9"/>
    <w:rsid w:val="00B26486"/>
    <w:rsid w:val="00B3066F"/>
    <w:rsid w:val="00B32FDE"/>
    <w:rsid w:val="00B3485C"/>
    <w:rsid w:val="00B3551C"/>
    <w:rsid w:val="00B4100F"/>
    <w:rsid w:val="00B41BA7"/>
    <w:rsid w:val="00B42098"/>
    <w:rsid w:val="00B44ADD"/>
    <w:rsid w:val="00B455A2"/>
    <w:rsid w:val="00B52440"/>
    <w:rsid w:val="00B52A5F"/>
    <w:rsid w:val="00B55DD4"/>
    <w:rsid w:val="00B628A3"/>
    <w:rsid w:val="00B650BB"/>
    <w:rsid w:val="00B65DD7"/>
    <w:rsid w:val="00B71045"/>
    <w:rsid w:val="00B716F5"/>
    <w:rsid w:val="00B76B5B"/>
    <w:rsid w:val="00B81EE5"/>
    <w:rsid w:val="00B836E8"/>
    <w:rsid w:val="00B837F7"/>
    <w:rsid w:val="00B841A4"/>
    <w:rsid w:val="00B871DD"/>
    <w:rsid w:val="00B87871"/>
    <w:rsid w:val="00B904BC"/>
    <w:rsid w:val="00B95D06"/>
    <w:rsid w:val="00BA13CF"/>
    <w:rsid w:val="00BA1954"/>
    <w:rsid w:val="00BA3109"/>
    <w:rsid w:val="00BA4ED7"/>
    <w:rsid w:val="00BA5D51"/>
    <w:rsid w:val="00BA6DE7"/>
    <w:rsid w:val="00BA7063"/>
    <w:rsid w:val="00BB33FE"/>
    <w:rsid w:val="00BB5C5F"/>
    <w:rsid w:val="00BB612A"/>
    <w:rsid w:val="00BB7BE1"/>
    <w:rsid w:val="00BC378F"/>
    <w:rsid w:val="00BC6F1B"/>
    <w:rsid w:val="00BC7668"/>
    <w:rsid w:val="00BC7FCC"/>
    <w:rsid w:val="00BD1FA5"/>
    <w:rsid w:val="00BD2812"/>
    <w:rsid w:val="00BD6825"/>
    <w:rsid w:val="00BD6949"/>
    <w:rsid w:val="00BE4B8D"/>
    <w:rsid w:val="00BE5EB9"/>
    <w:rsid w:val="00BE7350"/>
    <w:rsid w:val="00BF07AF"/>
    <w:rsid w:val="00BF28EC"/>
    <w:rsid w:val="00BF4FA6"/>
    <w:rsid w:val="00BF51F6"/>
    <w:rsid w:val="00BF67A4"/>
    <w:rsid w:val="00BF7C79"/>
    <w:rsid w:val="00BF7E00"/>
    <w:rsid w:val="00C024DE"/>
    <w:rsid w:val="00C02D9A"/>
    <w:rsid w:val="00C05A34"/>
    <w:rsid w:val="00C12240"/>
    <w:rsid w:val="00C13F57"/>
    <w:rsid w:val="00C21672"/>
    <w:rsid w:val="00C2434C"/>
    <w:rsid w:val="00C24B25"/>
    <w:rsid w:val="00C24B71"/>
    <w:rsid w:val="00C34FE2"/>
    <w:rsid w:val="00C355E3"/>
    <w:rsid w:val="00C36578"/>
    <w:rsid w:val="00C421E7"/>
    <w:rsid w:val="00C45C27"/>
    <w:rsid w:val="00C466A2"/>
    <w:rsid w:val="00C479FE"/>
    <w:rsid w:val="00C47EB3"/>
    <w:rsid w:val="00C53ADD"/>
    <w:rsid w:val="00C62E07"/>
    <w:rsid w:val="00C630C0"/>
    <w:rsid w:val="00C66A7D"/>
    <w:rsid w:val="00C70F4F"/>
    <w:rsid w:val="00C81A50"/>
    <w:rsid w:val="00C8225B"/>
    <w:rsid w:val="00C840F2"/>
    <w:rsid w:val="00C9122B"/>
    <w:rsid w:val="00C91710"/>
    <w:rsid w:val="00C92046"/>
    <w:rsid w:val="00C93969"/>
    <w:rsid w:val="00C954F2"/>
    <w:rsid w:val="00C9683B"/>
    <w:rsid w:val="00CA03E4"/>
    <w:rsid w:val="00CA0EF6"/>
    <w:rsid w:val="00CA31DB"/>
    <w:rsid w:val="00CB3D54"/>
    <w:rsid w:val="00CB5E73"/>
    <w:rsid w:val="00CB6B10"/>
    <w:rsid w:val="00CC2BDA"/>
    <w:rsid w:val="00CD22B4"/>
    <w:rsid w:val="00CD33AB"/>
    <w:rsid w:val="00CD3CB2"/>
    <w:rsid w:val="00CD5E71"/>
    <w:rsid w:val="00CD7088"/>
    <w:rsid w:val="00CE63BA"/>
    <w:rsid w:val="00CF172B"/>
    <w:rsid w:val="00CF1C70"/>
    <w:rsid w:val="00CF291C"/>
    <w:rsid w:val="00CF4B54"/>
    <w:rsid w:val="00D060F5"/>
    <w:rsid w:val="00D061F7"/>
    <w:rsid w:val="00D06613"/>
    <w:rsid w:val="00D07C47"/>
    <w:rsid w:val="00D119E0"/>
    <w:rsid w:val="00D12679"/>
    <w:rsid w:val="00D13FCC"/>
    <w:rsid w:val="00D15B9A"/>
    <w:rsid w:val="00D15D80"/>
    <w:rsid w:val="00D163C4"/>
    <w:rsid w:val="00D17D8C"/>
    <w:rsid w:val="00D220A1"/>
    <w:rsid w:val="00D22932"/>
    <w:rsid w:val="00D2307C"/>
    <w:rsid w:val="00D23BE8"/>
    <w:rsid w:val="00D24DED"/>
    <w:rsid w:val="00D26793"/>
    <w:rsid w:val="00D273F1"/>
    <w:rsid w:val="00D27953"/>
    <w:rsid w:val="00D307AC"/>
    <w:rsid w:val="00D334C0"/>
    <w:rsid w:val="00D34610"/>
    <w:rsid w:val="00D36619"/>
    <w:rsid w:val="00D366DC"/>
    <w:rsid w:val="00D37380"/>
    <w:rsid w:val="00D403F8"/>
    <w:rsid w:val="00D43478"/>
    <w:rsid w:val="00D440EA"/>
    <w:rsid w:val="00D450F4"/>
    <w:rsid w:val="00D45431"/>
    <w:rsid w:val="00D50E97"/>
    <w:rsid w:val="00D61D2D"/>
    <w:rsid w:val="00D70370"/>
    <w:rsid w:val="00D736C1"/>
    <w:rsid w:val="00D774D6"/>
    <w:rsid w:val="00D8223C"/>
    <w:rsid w:val="00D85475"/>
    <w:rsid w:val="00D87DC8"/>
    <w:rsid w:val="00D9044D"/>
    <w:rsid w:val="00D97792"/>
    <w:rsid w:val="00DA2563"/>
    <w:rsid w:val="00DA3144"/>
    <w:rsid w:val="00DA380B"/>
    <w:rsid w:val="00DB55BF"/>
    <w:rsid w:val="00DB6DE4"/>
    <w:rsid w:val="00DB7459"/>
    <w:rsid w:val="00DC0683"/>
    <w:rsid w:val="00DC2870"/>
    <w:rsid w:val="00DC357F"/>
    <w:rsid w:val="00DC499D"/>
    <w:rsid w:val="00DC7034"/>
    <w:rsid w:val="00DD0935"/>
    <w:rsid w:val="00DD413C"/>
    <w:rsid w:val="00DD5620"/>
    <w:rsid w:val="00DD5A57"/>
    <w:rsid w:val="00DD69FD"/>
    <w:rsid w:val="00DE3D4E"/>
    <w:rsid w:val="00DE499C"/>
    <w:rsid w:val="00DF29E0"/>
    <w:rsid w:val="00E0297A"/>
    <w:rsid w:val="00E05CD7"/>
    <w:rsid w:val="00E121FC"/>
    <w:rsid w:val="00E12AF3"/>
    <w:rsid w:val="00E1692B"/>
    <w:rsid w:val="00E16DE5"/>
    <w:rsid w:val="00E17C56"/>
    <w:rsid w:val="00E2069A"/>
    <w:rsid w:val="00E20CEB"/>
    <w:rsid w:val="00E2623C"/>
    <w:rsid w:val="00E311A1"/>
    <w:rsid w:val="00E31D73"/>
    <w:rsid w:val="00E34833"/>
    <w:rsid w:val="00E34AA5"/>
    <w:rsid w:val="00E34FF9"/>
    <w:rsid w:val="00E40272"/>
    <w:rsid w:val="00E41690"/>
    <w:rsid w:val="00E4229F"/>
    <w:rsid w:val="00E45AB6"/>
    <w:rsid w:val="00E50150"/>
    <w:rsid w:val="00E52F76"/>
    <w:rsid w:val="00E53529"/>
    <w:rsid w:val="00E53FDA"/>
    <w:rsid w:val="00E56210"/>
    <w:rsid w:val="00E56EAE"/>
    <w:rsid w:val="00E5757F"/>
    <w:rsid w:val="00E603D7"/>
    <w:rsid w:val="00E638EA"/>
    <w:rsid w:val="00E656AA"/>
    <w:rsid w:val="00E66C53"/>
    <w:rsid w:val="00E6785B"/>
    <w:rsid w:val="00E67BB4"/>
    <w:rsid w:val="00E705A5"/>
    <w:rsid w:val="00E715AA"/>
    <w:rsid w:val="00E761CC"/>
    <w:rsid w:val="00E76A25"/>
    <w:rsid w:val="00E8351B"/>
    <w:rsid w:val="00E847F7"/>
    <w:rsid w:val="00E86281"/>
    <w:rsid w:val="00E87230"/>
    <w:rsid w:val="00E872AD"/>
    <w:rsid w:val="00E87666"/>
    <w:rsid w:val="00E90187"/>
    <w:rsid w:val="00E9078D"/>
    <w:rsid w:val="00E912E2"/>
    <w:rsid w:val="00E91776"/>
    <w:rsid w:val="00E91F35"/>
    <w:rsid w:val="00E92B97"/>
    <w:rsid w:val="00E92DD2"/>
    <w:rsid w:val="00E9657A"/>
    <w:rsid w:val="00E96D5C"/>
    <w:rsid w:val="00EA1BD1"/>
    <w:rsid w:val="00EB1A1D"/>
    <w:rsid w:val="00EC22AB"/>
    <w:rsid w:val="00ED6C3C"/>
    <w:rsid w:val="00ED7DB6"/>
    <w:rsid w:val="00EE1040"/>
    <w:rsid w:val="00EE2F7B"/>
    <w:rsid w:val="00EE3B90"/>
    <w:rsid w:val="00EE65FD"/>
    <w:rsid w:val="00EE76F2"/>
    <w:rsid w:val="00EE7F58"/>
    <w:rsid w:val="00EF0CEA"/>
    <w:rsid w:val="00EF3B3E"/>
    <w:rsid w:val="00EF4B01"/>
    <w:rsid w:val="00F00A1D"/>
    <w:rsid w:val="00F01475"/>
    <w:rsid w:val="00F06D4E"/>
    <w:rsid w:val="00F10359"/>
    <w:rsid w:val="00F1099B"/>
    <w:rsid w:val="00F1211D"/>
    <w:rsid w:val="00F141A0"/>
    <w:rsid w:val="00F1438C"/>
    <w:rsid w:val="00F15103"/>
    <w:rsid w:val="00F15461"/>
    <w:rsid w:val="00F16187"/>
    <w:rsid w:val="00F16AAE"/>
    <w:rsid w:val="00F2452B"/>
    <w:rsid w:val="00F24FE1"/>
    <w:rsid w:val="00F31B29"/>
    <w:rsid w:val="00F31FED"/>
    <w:rsid w:val="00F3403B"/>
    <w:rsid w:val="00F37DC2"/>
    <w:rsid w:val="00F41097"/>
    <w:rsid w:val="00F42B8A"/>
    <w:rsid w:val="00F5283D"/>
    <w:rsid w:val="00F52CD7"/>
    <w:rsid w:val="00F543FA"/>
    <w:rsid w:val="00F6004B"/>
    <w:rsid w:val="00F61283"/>
    <w:rsid w:val="00F654E8"/>
    <w:rsid w:val="00F65CFD"/>
    <w:rsid w:val="00F806F1"/>
    <w:rsid w:val="00F8450E"/>
    <w:rsid w:val="00F933D8"/>
    <w:rsid w:val="00F94DA0"/>
    <w:rsid w:val="00FA2416"/>
    <w:rsid w:val="00FA386D"/>
    <w:rsid w:val="00FA5E15"/>
    <w:rsid w:val="00FA6BE0"/>
    <w:rsid w:val="00FA72A6"/>
    <w:rsid w:val="00FB0525"/>
    <w:rsid w:val="00FB21A6"/>
    <w:rsid w:val="00FB5939"/>
    <w:rsid w:val="00FB6276"/>
    <w:rsid w:val="00FB7217"/>
    <w:rsid w:val="00FC08E6"/>
    <w:rsid w:val="00FC1561"/>
    <w:rsid w:val="00FC212C"/>
    <w:rsid w:val="00FC2AF7"/>
    <w:rsid w:val="00FD03E2"/>
    <w:rsid w:val="00FD6B4B"/>
    <w:rsid w:val="00FD7E63"/>
    <w:rsid w:val="00FE1245"/>
    <w:rsid w:val="00FE3A21"/>
    <w:rsid w:val="00FF2520"/>
    <w:rsid w:val="00FF4215"/>
    <w:rsid w:val="00FF48D6"/>
    <w:rsid w:val="00FF4C85"/>
    <w:rsid w:val="00FF566C"/>
    <w:rsid w:val="00FF7BA0"/>
    <w:rsid w:val="013C690E"/>
    <w:rsid w:val="014337F8"/>
    <w:rsid w:val="01483505"/>
    <w:rsid w:val="015754F6"/>
    <w:rsid w:val="01A00915"/>
    <w:rsid w:val="021E5274"/>
    <w:rsid w:val="023615AF"/>
    <w:rsid w:val="02753E85"/>
    <w:rsid w:val="028E4F47"/>
    <w:rsid w:val="033249C1"/>
    <w:rsid w:val="03411C7C"/>
    <w:rsid w:val="037C1244"/>
    <w:rsid w:val="042E69E2"/>
    <w:rsid w:val="05065269"/>
    <w:rsid w:val="05115B7E"/>
    <w:rsid w:val="051E670B"/>
    <w:rsid w:val="054E09BE"/>
    <w:rsid w:val="05522D45"/>
    <w:rsid w:val="05856AD5"/>
    <w:rsid w:val="05B80C59"/>
    <w:rsid w:val="05DB5450"/>
    <w:rsid w:val="05EF3F4F"/>
    <w:rsid w:val="06007F0A"/>
    <w:rsid w:val="06A57590"/>
    <w:rsid w:val="06CB0518"/>
    <w:rsid w:val="07936966"/>
    <w:rsid w:val="07C17B6D"/>
    <w:rsid w:val="07D539C8"/>
    <w:rsid w:val="07FE66CB"/>
    <w:rsid w:val="08030185"/>
    <w:rsid w:val="082500FC"/>
    <w:rsid w:val="087846CF"/>
    <w:rsid w:val="08872B64"/>
    <w:rsid w:val="08F301FA"/>
    <w:rsid w:val="090A13E0"/>
    <w:rsid w:val="093540C0"/>
    <w:rsid w:val="09756E61"/>
    <w:rsid w:val="097C1DDB"/>
    <w:rsid w:val="09B2776D"/>
    <w:rsid w:val="0A7F6DC7"/>
    <w:rsid w:val="0ABD0ABF"/>
    <w:rsid w:val="0AC37758"/>
    <w:rsid w:val="0B2360D1"/>
    <w:rsid w:val="0B7153ED"/>
    <w:rsid w:val="0B7A250D"/>
    <w:rsid w:val="0B8659C8"/>
    <w:rsid w:val="0CD751FC"/>
    <w:rsid w:val="0D0A78C0"/>
    <w:rsid w:val="0D1E0466"/>
    <w:rsid w:val="0D4508F8"/>
    <w:rsid w:val="0DBA3094"/>
    <w:rsid w:val="0E5A03D3"/>
    <w:rsid w:val="0E6E1987"/>
    <w:rsid w:val="0E736713"/>
    <w:rsid w:val="0E807A8A"/>
    <w:rsid w:val="0EA16002"/>
    <w:rsid w:val="0EAF5750"/>
    <w:rsid w:val="0EC817E1"/>
    <w:rsid w:val="0F6F481B"/>
    <w:rsid w:val="0F7F00F1"/>
    <w:rsid w:val="0FD91EF8"/>
    <w:rsid w:val="0FE45393"/>
    <w:rsid w:val="10065F95"/>
    <w:rsid w:val="10720C3C"/>
    <w:rsid w:val="113B44EC"/>
    <w:rsid w:val="115A0E16"/>
    <w:rsid w:val="1178129C"/>
    <w:rsid w:val="118539B9"/>
    <w:rsid w:val="118934A9"/>
    <w:rsid w:val="11DF131B"/>
    <w:rsid w:val="122A4C8C"/>
    <w:rsid w:val="122E12FC"/>
    <w:rsid w:val="12670441"/>
    <w:rsid w:val="12DF6F20"/>
    <w:rsid w:val="13345697"/>
    <w:rsid w:val="13A75E69"/>
    <w:rsid w:val="13EC7D20"/>
    <w:rsid w:val="148E7DB7"/>
    <w:rsid w:val="14D62C44"/>
    <w:rsid w:val="14DE3B0C"/>
    <w:rsid w:val="15215AFD"/>
    <w:rsid w:val="15BA3C05"/>
    <w:rsid w:val="15CA22E2"/>
    <w:rsid w:val="167C0A80"/>
    <w:rsid w:val="167D7355"/>
    <w:rsid w:val="169052DA"/>
    <w:rsid w:val="1756199B"/>
    <w:rsid w:val="17944956"/>
    <w:rsid w:val="179D00F7"/>
    <w:rsid w:val="17A4103D"/>
    <w:rsid w:val="17AF34F3"/>
    <w:rsid w:val="18035267"/>
    <w:rsid w:val="187A4B7B"/>
    <w:rsid w:val="187C4BD8"/>
    <w:rsid w:val="187E0F99"/>
    <w:rsid w:val="1919052D"/>
    <w:rsid w:val="19630A84"/>
    <w:rsid w:val="19BB08C0"/>
    <w:rsid w:val="1A3F504D"/>
    <w:rsid w:val="1A907657"/>
    <w:rsid w:val="1A9A2283"/>
    <w:rsid w:val="1AE96D67"/>
    <w:rsid w:val="1B353771"/>
    <w:rsid w:val="1B754A9E"/>
    <w:rsid w:val="1BC319F5"/>
    <w:rsid w:val="1CB82E95"/>
    <w:rsid w:val="1D4E55A7"/>
    <w:rsid w:val="1D73323A"/>
    <w:rsid w:val="1D772D50"/>
    <w:rsid w:val="1D813BCE"/>
    <w:rsid w:val="1DB401C9"/>
    <w:rsid w:val="1DC046F7"/>
    <w:rsid w:val="1EC37C02"/>
    <w:rsid w:val="1EDB2A39"/>
    <w:rsid w:val="1F85700C"/>
    <w:rsid w:val="1F8B4890"/>
    <w:rsid w:val="1F9C6A9E"/>
    <w:rsid w:val="1FD93E9B"/>
    <w:rsid w:val="1FDA1374"/>
    <w:rsid w:val="208A0FEC"/>
    <w:rsid w:val="21535882"/>
    <w:rsid w:val="21A41C3A"/>
    <w:rsid w:val="21AA36F4"/>
    <w:rsid w:val="22833F45"/>
    <w:rsid w:val="22FF181D"/>
    <w:rsid w:val="23973B7F"/>
    <w:rsid w:val="23E73E4C"/>
    <w:rsid w:val="248F6BD1"/>
    <w:rsid w:val="24BB79C6"/>
    <w:rsid w:val="25643BBA"/>
    <w:rsid w:val="2573204F"/>
    <w:rsid w:val="25E371D4"/>
    <w:rsid w:val="25FF1B34"/>
    <w:rsid w:val="263F0183"/>
    <w:rsid w:val="265B0014"/>
    <w:rsid w:val="26650A79"/>
    <w:rsid w:val="26795443"/>
    <w:rsid w:val="26C2328E"/>
    <w:rsid w:val="26EF1BA9"/>
    <w:rsid w:val="27206206"/>
    <w:rsid w:val="2749750B"/>
    <w:rsid w:val="27514612"/>
    <w:rsid w:val="27787DF0"/>
    <w:rsid w:val="278E2729"/>
    <w:rsid w:val="283A2A28"/>
    <w:rsid w:val="28562DBC"/>
    <w:rsid w:val="28BE5CD7"/>
    <w:rsid w:val="29422464"/>
    <w:rsid w:val="296F0D7F"/>
    <w:rsid w:val="2A2206F5"/>
    <w:rsid w:val="2A7F3244"/>
    <w:rsid w:val="2C0E467B"/>
    <w:rsid w:val="2C1B0D4A"/>
    <w:rsid w:val="2C275941"/>
    <w:rsid w:val="2C5F50DB"/>
    <w:rsid w:val="2CA376BD"/>
    <w:rsid w:val="2CBE3BB9"/>
    <w:rsid w:val="2CBF201D"/>
    <w:rsid w:val="2CC87124"/>
    <w:rsid w:val="2CD06E90"/>
    <w:rsid w:val="2CDF7FCA"/>
    <w:rsid w:val="2D0A4CE2"/>
    <w:rsid w:val="2DC86CB0"/>
    <w:rsid w:val="2DFE26D1"/>
    <w:rsid w:val="2E1D349F"/>
    <w:rsid w:val="2E352597"/>
    <w:rsid w:val="2E4427DA"/>
    <w:rsid w:val="2E6469D8"/>
    <w:rsid w:val="2EF17DD6"/>
    <w:rsid w:val="2F5A6C0A"/>
    <w:rsid w:val="2F5E2038"/>
    <w:rsid w:val="2FDD7831"/>
    <w:rsid w:val="3003399C"/>
    <w:rsid w:val="301C71BB"/>
    <w:rsid w:val="3076296B"/>
    <w:rsid w:val="307D0225"/>
    <w:rsid w:val="30874C00"/>
    <w:rsid w:val="309F44B6"/>
    <w:rsid w:val="311100D9"/>
    <w:rsid w:val="3159659D"/>
    <w:rsid w:val="31B86F6E"/>
    <w:rsid w:val="31DB16A7"/>
    <w:rsid w:val="322147F9"/>
    <w:rsid w:val="32470AEB"/>
    <w:rsid w:val="324A71CE"/>
    <w:rsid w:val="32B819E9"/>
    <w:rsid w:val="33053668"/>
    <w:rsid w:val="33B421B0"/>
    <w:rsid w:val="33B95A18"/>
    <w:rsid w:val="348E38F6"/>
    <w:rsid w:val="34CB5A03"/>
    <w:rsid w:val="35044A71"/>
    <w:rsid w:val="35154ED0"/>
    <w:rsid w:val="35965B42"/>
    <w:rsid w:val="359A3628"/>
    <w:rsid w:val="35DE52C2"/>
    <w:rsid w:val="35E45E36"/>
    <w:rsid w:val="361C228F"/>
    <w:rsid w:val="37311387"/>
    <w:rsid w:val="37865A44"/>
    <w:rsid w:val="37B87D95"/>
    <w:rsid w:val="37C404E8"/>
    <w:rsid w:val="38672F66"/>
    <w:rsid w:val="386E19C4"/>
    <w:rsid w:val="38AC2307"/>
    <w:rsid w:val="38D86C14"/>
    <w:rsid w:val="391B293B"/>
    <w:rsid w:val="39412C16"/>
    <w:rsid w:val="399D5494"/>
    <w:rsid w:val="39F257E0"/>
    <w:rsid w:val="39F95A30"/>
    <w:rsid w:val="3A1E0383"/>
    <w:rsid w:val="3A6B702F"/>
    <w:rsid w:val="3AA21149"/>
    <w:rsid w:val="3AB02FA5"/>
    <w:rsid w:val="3BA90120"/>
    <w:rsid w:val="3BFC64A2"/>
    <w:rsid w:val="3D004570"/>
    <w:rsid w:val="3D033860"/>
    <w:rsid w:val="3D45031D"/>
    <w:rsid w:val="3D9F5C7F"/>
    <w:rsid w:val="3DA62DC5"/>
    <w:rsid w:val="3DE6565C"/>
    <w:rsid w:val="3E183C0D"/>
    <w:rsid w:val="3F3B19D7"/>
    <w:rsid w:val="3F8D77C4"/>
    <w:rsid w:val="3FDB0AC5"/>
    <w:rsid w:val="40472C47"/>
    <w:rsid w:val="40520D87"/>
    <w:rsid w:val="40FC0CF2"/>
    <w:rsid w:val="41055BC9"/>
    <w:rsid w:val="41110C42"/>
    <w:rsid w:val="415723CD"/>
    <w:rsid w:val="416074D3"/>
    <w:rsid w:val="427A2817"/>
    <w:rsid w:val="42903DE8"/>
    <w:rsid w:val="42BB2BD0"/>
    <w:rsid w:val="42E83C16"/>
    <w:rsid w:val="433724B6"/>
    <w:rsid w:val="434F77FF"/>
    <w:rsid w:val="43617533"/>
    <w:rsid w:val="43E42DEE"/>
    <w:rsid w:val="4416031D"/>
    <w:rsid w:val="44366C11"/>
    <w:rsid w:val="44BA72BF"/>
    <w:rsid w:val="44DA759D"/>
    <w:rsid w:val="45252E0C"/>
    <w:rsid w:val="452A22D2"/>
    <w:rsid w:val="45D47330"/>
    <w:rsid w:val="45E05087"/>
    <w:rsid w:val="46B53E1D"/>
    <w:rsid w:val="46C40504"/>
    <w:rsid w:val="4704670B"/>
    <w:rsid w:val="47061F89"/>
    <w:rsid w:val="475950F1"/>
    <w:rsid w:val="47867568"/>
    <w:rsid w:val="47D1608A"/>
    <w:rsid w:val="482109E5"/>
    <w:rsid w:val="48321EE0"/>
    <w:rsid w:val="48653621"/>
    <w:rsid w:val="48763799"/>
    <w:rsid w:val="49B22896"/>
    <w:rsid w:val="49F7474D"/>
    <w:rsid w:val="4A677B24"/>
    <w:rsid w:val="4A71390E"/>
    <w:rsid w:val="4AA77F21"/>
    <w:rsid w:val="4ADA20A4"/>
    <w:rsid w:val="4AE50A49"/>
    <w:rsid w:val="4AF171DF"/>
    <w:rsid w:val="4AF2562C"/>
    <w:rsid w:val="4B0C4228"/>
    <w:rsid w:val="4B9366F7"/>
    <w:rsid w:val="4BB415B9"/>
    <w:rsid w:val="4BCB7C3F"/>
    <w:rsid w:val="4C7E1155"/>
    <w:rsid w:val="4C83051A"/>
    <w:rsid w:val="4C9D5A7F"/>
    <w:rsid w:val="4CAE007B"/>
    <w:rsid w:val="4CAF57B3"/>
    <w:rsid w:val="4CEF5BAF"/>
    <w:rsid w:val="4E9D4E88"/>
    <w:rsid w:val="4FCF51CE"/>
    <w:rsid w:val="50EB5920"/>
    <w:rsid w:val="50F419E6"/>
    <w:rsid w:val="51840FBC"/>
    <w:rsid w:val="51B01DB1"/>
    <w:rsid w:val="524B4A0B"/>
    <w:rsid w:val="54574766"/>
    <w:rsid w:val="5476235F"/>
    <w:rsid w:val="54FF095A"/>
    <w:rsid w:val="561843C9"/>
    <w:rsid w:val="57041F8C"/>
    <w:rsid w:val="572528F9"/>
    <w:rsid w:val="57D305A7"/>
    <w:rsid w:val="581710D5"/>
    <w:rsid w:val="587D3504"/>
    <w:rsid w:val="58896EB8"/>
    <w:rsid w:val="58A67A6A"/>
    <w:rsid w:val="58AD704A"/>
    <w:rsid w:val="58B303D9"/>
    <w:rsid w:val="58C63C68"/>
    <w:rsid w:val="58F33E9D"/>
    <w:rsid w:val="59103DB8"/>
    <w:rsid w:val="592E180D"/>
    <w:rsid w:val="59513E7A"/>
    <w:rsid w:val="59B60181"/>
    <w:rsid w:val="5A3D151C"/>
    <w:rsid w:val="5A6F32D2"/>
    <w:rsid w:val="5AA12BDF"/>
    <w:rsid w:val="5AC32B55"/>
    <w:rsid w:val="5B167E5B"/>
    <w:rsid w:val="5B2478CB"/>
    <w:rsid w:val="5B4377F2"/>
    <w:rsid w:val="5B6F0673"/>
    <w:rsid w:val="5B81031A"/>
    <w:rsid w:val="5BE014E5"/>
    <w:rsid w:val="5C545A2F"/>
    <w:rsid w:val="5C8207EE"/>
    <w:rsid w:val="5CB36BF9"/>
    <w:rsid w:val="5CBC3D00"/>
    <w:rsid w:val="5CFC40FC"/>
    <w:rsid w:val="5D107BA8"/>
    <w:rsid w:val="5D333896"/>
    <w:rsid w:val="5D9A3915"/>
    <w:rsid w:val="5E1436C8"/>
    <w:rsid w:val="5E306909"/>
    <w:rsid w:val="5E35580D"/>
    <w:rsid w:val="5E8B2747"/>
    <w:rsid w:val="5EB153BA"/>
    <w:rsid w:val="5ED370DF"/>
    <w:rsid w:val="5EED44B2"/>
    <w:rsid w:val="5F3961B5"/>
    <w:rsid w:val="5F881C77"/>
    <w:rsid w:val="600B28A8"/>
    <w:rsid w:val="603C0CB4"/>
    <w:rsid w:val="606C77EB"/>
    <w:rsid w:val="607B5C80"/>
    <w:rsid w:val="610A2B60"/>
    <w:rsid w:val="611539DF"/>
    <w:rsid w:val="6118527D"/>
    <w:rsid w:val="61A84853"/>
    <w:rsid w:val="61AE0DF4"/>
    <w:rsid w:val="621255CA"/>
    <w:rsid w:val="631C082F"/>
    <w:rsid w:val="638324AA"/>
    <w:rsid w:val="63952BB5"/>
    <w:rsid w:val="63CD67F3"/>
    <w:rsid w:val="641B6010"/>
    <w:rsid w:val="64416899"/>
    <w:rsid w:val="64D94D23"/>
    <w:rsid w:val="64FE478A"/>
    <w:rsid w:val="65597D62"/>
    <w:rsid w:val="656938CF"/>
    <w:rsid w:val="657F1D6E"/>
    <w:rsid w:val="658729D1"/>
    <w:rsid w:val="660E6C4E"/>
    <w:rsid w:val="66D25ECE"/>
    <w:rsid w:val="67024A05"/>
    <w:rsid w:val="67276EA0"/>
    <w:rsid w:val="677376B1"/>
    <w:rsid w:val="67BF5AB8"/>
    <w:rsid w:val="67C24194"/>
    <w:rsid w:val="67E934CF"/>
    <w:rsid w:val="67F14C93"/>
    <w:rsid w:val="68073211"/>
    <w:rsid w:val="683D3DE9"/>
    <w:rsid w:val="6853337F"/>
    <w:rsid w:val="687F5BE1"/>
    <w:rsid w:val="68E85E7D"/>
    <w:rsid w:val="68FC4009"/>
    <w:rsid w:val="692E23BD"/>
    <w:rsid w:val="694C640B"/>
    <w:rsid w:val="695633CB"/>
    <w:rsid w:val="69591DF9"/>
    <w:rsid w:val="69845BA5"/>
    <w:rsid w:val="69EC3B58"/>
    <w:rsid w:val="6A163814"/>
    <w:rsid w:val="6AB525A4"/>
    <w:rsid w:val="6AE14931"/>
    <w:rsid w:val="6B731EAA"/>
    <w:rsid w:val="6B89293E"/>
    <w:rsid w:val="6BA460CD"/>
    <w:rsid w:val="6BCC3834"/>
    <w:rsid w:val="6BE648F5"/>
    <w:rsid w:val="6C225202"/>
    <w:rsid w:val="6CA51D12"/>
    <w:rsid w:val="6D5C1A2D"/>
    <w:rsid w:val="6D8A1731"/>
    <w:rsid w:val="6D965EA7"/>
    <w:rsid w:val="6DEA61F3"/>
    <w:rsid w:val="6E0B2363"/>
    <w:rsid w:val="6E704EB2"/>
    <w:rsid w:val="6EA41C3B"/>
    <w:rsid w:val="6F084B83"/>
    <w:rsid w:val="6F4238DA"/>
    <w:rsid w:val="6F5002D8"/>
    <w:rsid w:val="6FAC3760"/>
    <w:rsid w:val="70163EB7"/>
    <w:rsid w:val="70DC0075"/>
    <w:rsid w:val="715F29EE"/>
    <w:rsid w:val="71B42DA0"/>
    <w:rsid w:val="71D15BC9"/>
    <w:rsid w:val="71ED0060"/>
    <w:rsid w:val="723C0820"/>
    <w:rsid w:val="72402057"/>
    <w:rsid w:val="725E0587"/>
    <w:rsid w:val="729A3083"/>
    <w:rsid w:val="72CE1C3F"/>
    <w:rsid w:val="72F22AC0"/>
    <w:rsid w:val="733E6DC5"/>
    <w:rsid w:val="73C2596F"/>
    <w:rsid w:val="73FF70D6"/>
    <w:rsid w:val="74055B35"/>
    <w:rsid w:val="74B53696"/>
    <w:rsid w:val="74BD1F6B"/>
    <w:rsid w:val="74C94E19"/>
    <w:rsid w:val="74E7348C"/>
    <w:rsid w:val="751A73BE"/>
    <w:rsid w:val="752B15CB"/>
    <w:rsid w:val="75484E01"/>
    <w:rsid w:val="75F776FF"/>
    <w:rsid w:val="768E0063"/>
    <w:rsid w:val="76B63116"/>
    <w:rsid w:val="76E70470"/>
    <w:rsid w:val="77043E82"/>
    <w:rsid w:val="779276DF"/>
    <w:rsid w:val="781A1483"/>
    <w:rsid w:val="78232A2D"/>
    <w:rsid w:val="78AE679B"/>
    <w:rsid w:val="78C23FF4"/>
    <w:rsid w:val="78CC09CF"/>
    <w:rsid w:val="791365FE"/>
    <w:rsid w:val="793622EC"/>
    <w:rsid w:val="793F1EFD"/>
    <w:rsid w:val="7A2D36EF"/>
    <w:rsid w:val="7AA65250"/>
    <w:rsid w:val="7BE633BA"/>
    <w:rsid w:val="7BED5F1A"/>
    <w:rsid w:val="7BF46200"/>
    <w:rsid w:val="7C492337"/>
    <w:rsid w:val="7C5238E1"/>
    <w:rsid w:val="7CD82038"/>
    <w:rsid w:val="7D8D120C"/>
    <w:rsid w:val="7DCE6F97"/>
    <w:rsid w:val="7EAA3560"/>
    <w:rsid w:val="7EBB39C0"/>
    <w:rsid w:val="7EE12CFA"/>
    <w:rsid w:val="7EE60311"/>
    <w:rsid w:val="7F1E3786"/>
    <w:rsid w:val="7F3D66EA"/>
    <w:rsid w:val="7FAC1E5E"/>
    <w:rsid w:val="7FDB1B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99"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99" w:semiHidden="0" w:name="HTML Acronym"/>
    <w:lsdException w:uiPriority="99"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0" w:semiHidden="0" w:name="HTML Preformatted"/>
    <w:lsdException w:qFormat="1" w:unhideWhenUsed="0" w:uiPriority="99" w:semiHidden="0" w:name="HTML Sample"/>
    <w:lsdException w:uiPriority="99" w:name="HTML Typewriter"/>
    <w:lsdException w:qFormat="1" w:unhideWhenUsed="0"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nhideWhenUsed="0" w:uiPriority="0" w:semiHidden="0" w:name="Balloon Text"/>
    <w:lsdException w:qFormat="1" w:unhideWhenUsed="0" w:uiPriority="99" w:semiHidden="0" w:name="Table Grid"/>
    <w:lsdException w:unhideWhenUsed="0" w:uiPriority="99"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66"/>
    <w:autoRedefine/>
    <w:qFormat/>
    <w:uiPriority w:val="0"/>
    <w:pPr>
      <w:keepNext/>
      <w:widowControl/>
      <w:spacing w:before="340" w:after="330" w:line="576" w:lineRule="auto"/>
      <w:jc w:val="center"/>
      <w:outlineLvl w:val="0"/>
    </w:pPr>
    <w:rPr>
      <w:rFonts w:ascii="???" w:hAnsi="???" w:eastAsia="宋体" w:cs="Arial"/>
      <w:b/>
      <w:bCs/>
      <w:color w:val="020000"/>
      <w:kern w:val="36"/>
      <w:sz w:val="44"/>
      <w:szCs w:val="44"/>
    </w:rPr>
  </w:style>
  <w:style w:type="paragraph" w:styleId="3">
    <w:name w:val="heading 2"/>
    <w:basedOn w:val="1"/>
    <w:next w:val="1"/>
    <w:link w:val="67"/>
    <w:autoRedefine/>
    <w:qFormat/>
    <w:uiPriority w:val="0"/>
    <w:pPr>
      <w:keepNext/>
      <w:widowControl/>
      <w:spacing w:before="260" w:after="260" w:line="412" w:lineRule="auto"/>
      <w:outlineLvl w:val="1"/>
    </w:pPr>
    <w:rPr>
      <w:rFonts w:ascii="???" w:hAnsi="???" w:eastAsia="宋体" w:cs="Arial"/>
      <w:b/>
      <w:bCs/>
      <w:color w:val="020000"/>
      <w:kern w:val="0"/>
      <w:sz w:val="32"/>
      <w:szCs w:val="32"/>
    </w:rPr>
  </w:style>
  <w:style w:type="paragraph" w:styleId="4">
    <w:name w:val="heading 3"/>
    <w:basedOn w:val="1"/>
    <w:next w:val="1"/>
    <w:link w:val="68"/>
    <w:autoRedefine/>
    <w:qFormat/>
    <w:uiPriority w:val="0"/>
    <w:pPr>
      <w:keepNext/>
      <w:widowControl/>
      <w:spacing w:before="260" w:after="260" w:line="412" w:lineRule="auto"/>
      <w:outlineLvl w:val="2"/>
    </w:pPr>
    <w:rPr>
      <w:rFonts w:ascii="??" w:hAnsi="??" w:eastAsia="宋体" w:cs="Arial"/>
      <w:b/>
      <w:bCs/>
      <w:color w:val="000000"/>
      <w:kern w:val="0"/>
      <w:sz w:val="32"/>
      <w:szCs w:val="32"/>
    </w:rPr>
  </w:style>
  <w:style w:type="paragraph" w:styleId="5">
    <w:name w:val="heading 4"/>
    <w:basedOn w:val="1"/>
    <w:next w:val="1"/>
    <w:link w:val="215"/>
    <w:autoRedefine/>
    <w:unhideWhenUsed/>
    <w:qFormat/>
    <w:uiPriority w:val="0"/>
    <w:pPr>
      <w:keepNext/>
      <w:keepLines/>
      <w:spacing w:before="280" w:after="290" w:line="377" w:lineRule="auto"/>
      <w:outlineLvl w:val="3"/>
    </w:pPr>
    <w:rPr>
      <w:rFonts w:asciiTheme="majorHAnsi" w:hAnsiTheme="majorHAnsi" w:eastAsiaTheme="majorEastAsia" w:cstheme="majorBidi"/>
      <w:b/>
      <w:bCs/>
      <w:szCs w:val="28"/>
    </w:rPr>
  </w:style>
  <w:style w:type="paragraph" w:styleId="6">
    <w:name w:val="heading 5"/>
    <w:basedOn w:val="1"/>
    <w:next w:val="1"/>
    <w:link w:val="206"/>
    <w:autoRedefine/>
    <w:qFormat/>
    <w:uiPriority w:val="0"/>
    <w:pPr>
      <w:keepNext/>
      <w:keepLines/>
      <w:widowControl/>
      <w:tabs>
        <w:tab w:val="left" w:pos="1008"/>
      </w:tabs>
      <w:spacing w:before="280" w:after="290" w:line="372" w:lineRule="auto"/>
      <w:ind w:left="1008" w:hanging="1008"/>
      <w:jc w:val="left"/>
      <w:outlineLvl w:val="4"/>
    </w:pPr>
    <w:rPr>
      <w:rFonts w:ascii="Times New Roman" w:hAnsi="Times New Roman" w:eastAsia="Arial Unicode MS" w:cs="Times New Roman"/>
      <w:b/>
      <w:kern w:val="0"/>
      <w:sz w:val="28"/>
      <w:szCs w:val="20"/>
    </w:rPr>
  </w:style>
  <w:style w:type="paragraph" w:styleId="7">
    <w:name w:val="heading 6"/>
    <w:basedOn w:val="1"/>
    <w:next w:val="1"/>
    <w:link w:val="207"/>
    <w:autoRedefine/>
    <w:qFormat/>
    <w:uiPriority w:val="0"/>
    <w:pPr>
      <w:keepNext/>
      <w:keepLines/>
      <w:widowControl/>
      <w:tabs>
        <w:tab w:val="left" w:pos="1152"/>
      </w:tabs>
      <w:spacing w:before="240" w:after="64" w:line="317" w:lineRule="auto"/>
      <w:ind w:left="1152" w:hanging="1152"/>
      <w:jc w:val="left"/>
      <w:outlineLvl w:val="5"/>
    </w:pPr>
    <w:rPr>
      <w:rFonts w:ascii="Arial" w:hAnsi="Arial" w:eastAsia="黑体" w:cs="Times New Roman"/>
      <w:b/>
      <w:kern w:val="0"/>
      <w:sz w:val="24"/>
      <w:szCs w:val="20"/>
    </w:rPr>
  </w:style>
  <w:style w:type="paragraph" w:styleId="8">
    <w:name w:val="heading 7"/>
    <w:basedOn w:val="1"/>
    <w:next w:val="1"/>
    <w:link w:val="208"/>
    <w:autoRedefine/>
    <w:qFormat/>
    <w:uiPriority w:val="0"/>
    <w:pPr>
      <w:keepNext/>
      <w:keepLines/>
      <w:widowControl/>
      <w:tabs>
        <w:tab w:val="left" w:pos="1296"/>
      </w:tabs>
      <w:spacing w:before="240" w:after="64" w:line="317" w:lineRule="auto"/>
      <w:ind w:left="1296" w:hanging="1296"/>
      <w:jc w:val="left"/>
      <w:outlineLvl w:val="6"/>
    </w:pPr>
    <w:rPr>
      <w:rFonts w:ascii="Times New Roman" w:hAnsi="Times New Roman" w:eastAsia="宋体" w:cs="Times New Roman"/>
      <w:b/>
      <w:kern w:val="0"/>
      <w:sz w:val="24"/>
      <w:szCs w:val="20"/>
    </w:rPr>
  </w:style>
  <w:style w:type="paragraph" w:styleId="9">
    <w:name w:val="heading 8"/>
    <w:basedOn w:val="1"/>
    <w:next w:val="1"/>
    <w:link w:val="209"/>
    <w:autoRedefine/>
    <w:qFormat/>
    <w:uiPriority w:val="0"/>
    <w:pPr>
      <w:keepNext/>
      <w:keepLines/>
      <w:widowControl/>
      <w:tabs>
        <w:tab w:val="left" w:pos="1440"/>
      </w:tabs>
      <w:spacing w:before="240" w:after="64" w:line="317" w:lineRule="auto"/>
      <w:ind w:left="1440" w:hanging="1440"/>
      <w:jc w:val="left"/>
      <w:outlineLvl w:val="7"/>
    </w:pPr>
    <w:rPr>
      <w:rFonts w:ascii="Arial" w:hAnsi="Arial" w:eastAsia="黑体" w:cs="Times New Roman"/>
      <w:kern w:val="0"/>
      <w:sz w:val="24"/>
      <w:szCs w:val="20"/>
    </w:rPr>
  </w:style>
  <w:style w:type="paragraph" w:styleId="10">
    <w:name w:val="heading 9"/>
    <w:basedOn w:val="1"/>
    <w:next w:val="1"/>
    <w:link w:val="210"/>
    <w:autoRedefine/>
    <w:qFormat/>
    <w:uiPriority w:val="0"/>
    <w:pPr>
      <w:keepNext/>
      <w:keepLines/>
      <w:widowControl/>
      <w:tabs>
        <w:tab w:val="left" w:pos="1584"/>
      </w:tabs>
      <w:spacing w:before="240" w:after="64" w:line="317" w:lineRule="auto"/>
      <w:ind w:left="1584" w:hanging="1584"/>
      <w:jc w:val="left"/>
      <w:outlineLvl w:val="8"/>
    </w:pPr>
    <w:rPr>
      <w:rFonts w:ascii="Arial" w:hAnsi="Arial" w:eastAsia="黑体" w:cs="Times New Roman"/>
      <w:kern w:val="0"/>
      <w:szCs w:val="20"/>
    </w:rPr>
  </w:style>
  <w:style w:type="character" w:default="1" w:styleId="50">
    <w:name w:val="Default Paragraph Font"/>
    <w:autoRedefine/>
    <w:semiHidden/>
    <w:unhideWhenUsed/>
    <w:qFormat/>
    <w:uiPriority w:val="1"/>
  </w:style>
  <w:style w:type="table" w:default="1" w:styleId="48">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39"/>
    <w:pPr>
      <w:ind w:left="2520" w:leftChars="1200"/>
    </w:pPr>
    <w:rPr>
      <w:rFonts w:ascii="Times New Roman" w:hAnsi="Times New Roman" w:eastAsia="宋体" w:cs="Times New Roman"/>
      <w:szCs w:val="24"/>
    </w:rPr>
  </w:style>
  <w:style w:type="paragraph" w:styleId="12">
    <w:name w:val="List Number"/>
    <w:basedOn w:val="1"/>
    <w:autoRedefine/>
    <w:qFormat/>
    <w:uiPriority w:val="99"/>
    <w:pPr>
      <w:widowControl/>
      <w:spacing w:before="100" w:beforeAutospacing="1" w:after="100" w:afterAutospacing="1"/>
      <w:jc w:val="left"/>
    </w:pPr>
    <w:rPr>
      <w:rFonts w:ascii="宋体" w:hAnsi="宋体" w:eastAsia="宋体" w:cs="宋体"/>
      <w:kern w:val="0"/>
      <w:sz w:val="24"/>
      <w:szCs w:val="24"/>
    </w:rPr>
  </w:style>
  <w:style w:type="paragraph" w:styleId="13">
    <w:name w:val="Normal Indent"/>
    <w:basedOn w:val="1"/>
    <w:next w:val="1"/>
    <w:link w:val="119"/>
    <w:autoRedefine/>
    <w:qFormat/>
    <w:uiPriority w:val="0"/>
    <w:pPr>
      <w:ind w:firstLine="420" w:firstLineChars="200"/>
    </w:pPr>
    <w:rPr>
      <w:rFonts w:ascii="Times New Roman" w:hAnsi="Times New Roman" w:eastAsia="宋体" w:cs="Times New Roman"/>
      <w:kern w:val="0"/>
      <w:sz w:val="24"/>
      <w:szCs w:val="20"/>
    </w:rPr>
  </w:style>
  <w:style w:type="paragraph" w:styleId="14">
    <w:name w:val="caption"/>
    <w:basedOn w:val="1"/>
    <w:next w:val="1"/>
    <w:autoRedefine/>
    <w:qFormat/>
    <w:uiPriority w:val="0"/>
    <w:rPr>
      <w:rFonts w:ascii="Cambria" w:hAnsi="Cambria" w:eastAsia="黑体" w:cs="Times New Roman"/>
      <w:sz w:val="20"/>
      <w:szCs w:val="20"/>
    </w:rPr>
  </w:style>
  <w:style w:type="paragraph" w:styleId="15">
    <w:name w:val="Document Map"/>
    <w:basedOn w:val="1"/>
    <w:link w:val="137"/>
    <w:autoRedefine/>
    <w:qFormat/>
    <w:uiPriority w:val="99"/>
    <w:rPr>
      <w:rFonts w:ascii="宋体" w:hAnsi="Calibri" w:eastAsia="宋体" w:cs="Times New Roman"/>
      <w:kern w:val="0"/>
      <w:sz w:val="18"/>
      <w:szCs w:val="20"/>
    </w:rPr>
  </w:style>
  <w:style w:type="paragraph" w:styleId="16">
    <w:name w:val="annotation text"/>
    <w:basedOn w:val="1"/>
    <w:link w:val="166"/>
    <w:autoRedefine/>
    <w:qFormat/>
    <w:uiPriority w:val="0"/>
    <w:pPr>
      <w:jc w:val="left"/>
    </w:pPr>
  </w:style>
  <w:style w:type="paragraph" w:styleId="17">
    <w:name w:val="Body Text 3"/>
    <w:basedOn w:val="1"/>
    <w:link w:val="211"/>
    <w:autoRedefine/>
    <w:qFormat/>
    <w:uiPriority w:val="0"/>
    <w:pPr>
      <w:spacing w:line="440" w:lineRule="exact"/>
    </w:pPr>
    <w:rPr>
      <w:rFonts w:ascii="Times New Roman" w:hAnsi="Times New Roman" w:eastAsia="宋体" w:cs="Times New Roman"/>
      <w:color w:val="000000"/>
      <w:szCs w:val="20"/>
    </w:rPr>
  </w:style>
  <w:style w:type="paragraph" w:styleId="18">
    <w:name w:val="Body Text"/>
    <w:basedOn w:val="1"/>
    <w:next w:val="19"/>
    <w:link w:val="140"/>
    <w:autoRedefine/>
    <w:qFormat/>
    <w:uiPriority w:val="0"/>
    <w:pPr>
      <w:spacing w:after="120"/>
    </w:pPr>
    <w:rPr>
      <w:rFonts w:ascii="Calibri" w:hAnsi="Calibri" w:eastAsia="宋体" w:cs="Times New Roman"/>
      <w:kern w:val="0"/>
      <w:sz w:val="24"/>
      <w:szCs w:val="20"/>
    </w:rPr>
  </w:style>
  <w:style w:type="paragraph" w:styleId="19">
    <w:name w:val="Body Text First Indent"/>
    <w:basedOn w:val="18"/>
    <w:qFormat/>
    <w:uiPriority w:val="0"/>
    <w:pPr>
      <w:spacing w:line="360" w:lineRule="auto"/>
      <w:ind w:firstLine="200" w:firstLineChars="200"/>
    </w:pPr>
    <w:rPr>
      <w:rFonts w:ascii="仿宋_GB2312" w:eastAsia="仿宋_GB2312"/>
      <w:sz w:val="30"/>
      <w:szCs w:val="30"/>
    </w:rPr>
  </w:style>
  <w:style w:type="paragraph" w:styleId="20">
    <w:name w:val="Body Text Indent"/>
    <w:basedOn w:val="1"/>
    <w:link w:val="71"/>
    <w:autoRedefine/>
    <w:qFormat/>
    <w:uiPriority w:val="0"/>
    <w:pPr>
      <w:widowControl/>
      <w:spacing w:after="120"/>
      <w:ind w:left="420"/>
    </w:pPr>
    <w:rPr>
      <w:rFonts w:ascii="??" w:hAnsi="??" w:eastAsia="宋体" w:cs="Arial"/>
      <w:kern w:val="0"/>
      <w:sz w:val="24"/>
      <w:szCs w:val="24"/>
    </w:rPr>
  </w:style>
  <w:style w:type="paragraph" w:styleId="21">
    <w:name w:val="index 4"/>
    <w:basedOn w:val="1"/>
    <w:next w:val="1"/>
    <w:autoRedefine/>
    <w:qFormat/>
    <w:uiPriority w:val="0"/>
    <w:pPr>
      <w:ind w:left="600" w:leftChars="600"/>
    </w:pPr>
    <w:rPr>
      <w:rFonts w:ascii="Times New Roman" w:hAnsi="Times New Roman" w:eastAsia="宋体" w:cs="Times New Roman"/>
      <w:szCs w:val="24"/>
    </w:rPr>
  </w:style>
  <w:style w:type="paragraph" w:styleId="22">
    <w:name w:val="toc 5"/>
    <w:basedOn w:val="1"/>
    <w:next w:val="1"/>
    <w:autoRedefine/>
    <w:qFormat/>
    <w:uiPriority w:val="39"/>
    <w:pPr>
      <w:ind w:left="1680" w:leftChars="800"/>
    </w:pPr>
    <w:rPr>
      <w:rFonts w:ascii="Times New Roman" w:hAnsi="Times New Roman" w:eastAsia="宋体" w:cs="Times New Roman"/>
      <w:szCs w:val="24"/>
    </w:rPr>
  </w:style>
  <w:style w:type="paragraph" w:styleId="23">
    <w:name w:val="toc 3"/>
    <w:basedOn w:val="1"/>
    <w:next w:val="1"/>
    <w:autoRedefine/>
    <w:qFormat/>
    <w:uiPriority w:val="39"/>
    <w:pPr>
      <w:ind w:left="840" w:leftChars="400"/>
    </w:pPr>
    <w:rPr>
      <w:rFonts w:ascii="Times New Roman" w:hAnsi="Times New Roman" w:eastAsia="宋体" w:cs="Times New Roman"/>
      <w:szCs w:val="24"/>
    </w:rPr>
  </w:style>
  <w:style w:type="paragraph" w:styleId="24">
    <w:name w:val="Plain Text"/>
    <w:basedOn w:val="1"/>
    <w:link w:val="204"/>
    <w:autoRedefine/>
    <w:qFormat/>
    <w:uiPriority w:val="0"/>
    <w:rPr>
      <w:rFonts w:ascii="宋体" w:hAnsi="Courier New" w:eastAsia="宋体" w:cs="宋体"/>
      <w:szCs w:val="21"/>
    </w:rPr>
  </w:style>
  <w:style w:type="paragraph" w:styleId="25">
    <w:name w:val="toc 8"/>
    <w:basedOn w:val="1"/>
    <w:next w:val="1"/>
    <w:autoRedefine/>
    <w:qFormat/>
    <w:uiPriority w:val="39"/>
    <w:pPr>
      <w:ind w:left="2940" w:leftChars="1400"/>
    </w:pPr>
    <w:rPr>
      <w:rFonts w:ascii="Times New Roman" w:hAnsi="Times New Roman" w:eastAsia="宋体" w:cs="Times New Roman"/>
      <w:szCs w:val="24"/>
    </w:rPr>
  </w:style>
  <w:style w:type="paragraph" w:styleId="26">
    <w:name w:val="Date"/>
    <w:basedOn w:val="1"/>
    <w:next w:val="1"/>
    <w:link w:val="161"/>
    <w:autoRedefine/>
    <w:qFormat/>
    <w:uiPriority w:val="0"/>
    <w:rPr>
      <w:szCs w:val="21"/>
    </w:rPr>
  </w:style>
  <w:style w:type="paragraph" w:styleId="27">
    <w:name w:val="Body Text Indent 2"/>
    <w:basedOn w:val="1"/>
    <w:link w:val="133"/>
    <w:autoRedefine/>
    <w:qFormat/>
    <w:uiPriority w:val="0"/>
    <w:pPr>
      <w:spacing w:before="100" w:beforeAutospacing="1" w:after="100" w:afterAutospacing="1" w:line="360" w:lineRule="auto"/>
      <w:ind w:firstLine="420"/>
    </w:pPr>
    <w:rPr>
      <w:rFonts w:ascii="宋体" w:hAnsi="Calibri" w:eastAsia="宋体" w:cs="Times New Roman"/>
      <w:kern w:val="0"/>
      <w:sz w:val="24"/>
      <w:szCs w:val="20"/>
    </w:rPr>
  </w:style>
  <w:style w:type="paragraph" w:styleId="28">
    <w:name w:val="Balloon Text"/>
    <w:basedOn w:val="1"/>
    <w:link w:val="83"/>
    <w:autoRedefine/>
    <w:qFormat/>
    <w:uiPriority w:val="0"/>
    <w:rPr>
      <w:rFonts w:ascii="Calibri" w:hAnsi="Calibri" w:eastAsia="宋体" w:cs="Times New Roman"/>
      <w:sz w:val="18"/>
      <w:szCs w:val="18"/>
    </w:rPr>
  </w:style>
  <w:style w:type="paragraph" w:styleId="29">
    <w:name w:val="footer"/>
    <w:basedOn w:val="1"/>
    <w:link w:val="70"/>
    <w:autoRedefine/>
    <w:qFormat/>
    <w:uiPriority w:val="99"/>
    <w:pPr>
      <w:tabs>
        <w:tab w:val="center" w:pos="4153"/>
        <w:tab w:val="right" w:pos="8306"/>
      </w:tabs>
      <w:snapToGrid w:val="0"/>
      <w:jc w:val="left"/>
    </w:pPr>
    <w:rPr>
      <w:rFonts w:ascii="Calibri" w:hAnsi="Calibri" w:eastAsia="宋体" w:cs="Times New Roman"/>
      <w:sz w:val="18"/>
      <w:szCs w:val="18"/>
    </w:rPr>
  </w:style>
  <w:style w:type="paragraph" w:styleId="30">
    <w:name w:val="header"/>
    <w:basedOn w:val="1"/>
    <w:link w:val="69"/>
    <w:autoRedefine/>
    <w:qFormat/>
    <w:uiPriority w:val="99"/>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31">
    <w:name w:val="toc 1"/>
    <w:basedOn w:val="1"/>
    <w:next w:val="1"/>
    <w:autoRedefine/>
    <w:qFormat/>
    <w:uiPriority w:val="39"/>
    <w:rPr>
      <w:rFonts w:ascii="Times New Roman" w:hAnsi="Times New Roman" w:eastAsia="宋体" w:cs="Times New Roman"/>
      <w:szCs w:val="24"/>
    </w:rPr>
  </w:style>
  <w:style w:type="paragraph" w:styleId="32">
    <w:name w:val="toc 4"/>
    <w:basedOn w:val="1"/>
    <w:next w:val="1"/>
    <w:autoRedefine/>
    <w:qFormat/>
    <w:uiPriority w:val="39"/>
    <w:pPr>
      <w:ind w:left="1260" w:leftChars="600"/>
    </w:pPr>
    <w:rPr>
      <w:rFonts w:ascii="Times New Roman" w:hAnsi="Times New Roman" w:eastAsia="宋体" w:cs="Times New Roman"/>
      <w:szCs w:val="24"/>
    </w:rPr>
  </w:style>
  <w:style w:type="paragraph" w:styleId="33">
    <w:name w:val="Subtitle"/>
    <w:basedOn w:val="1"/>
    <w:next w:val="1"/>
    <w:link w:val="212"/>
    <w:autoRedefine/>
    <w:qFormat/>
    <w:uiPriority w:val="0"/>
    <w:pPr>
      <w:spacing w:before="240" w:after="60" w:line="312" w:lineRule="auto"/>
      <w:jc w:val="center"/>
      <w:outlineLvl w:val="1"/>
    </w:pPr>
    <w:rPr>
      <w:rFonts w:ascii="Cambria" w:hAnsi="Cambria" w:eastAsia="宋体" w:cs="Times New Roman"/>
      <w:b/>
      <w:bCs/>
      <w:kern w:val="28"/>
      <w:sz w:val="32"/>
      <w:szCs w:val="32"/>
    </w:rPr>
  </w:style>
  <w:style w:type="paragraph" w:styleId="34">
    <w:name w:val="List"/>
    <w:basedOn w:val="1"/>
    <w:autoRedefine/>
    <w:qFormat/>
    <w:uiPriority w:val="0"/>
    <w:pPr>
      <w:autoSpaceDE w:val="0"/>
      <w:autoSpaceDN w:val="0"/>
      <w:adjustRightInd w:val="0"/>
      <w:ind w:left="360" w:hanging="360"/>
      <w:jc w:val="left"/>
      <w:textAlignment w:val="baseline"/>
    </w:pPr>
    <w:rPr>
      <w:rFonts w:ascii="Times New Roman" w:hAnsi="Times New Roman" w:eastAsia="宋体" w:cs="Times New Roman"/>
      <w:kern w:val="0"/>
      <w:sz w:val="20"/>
      <w:szCs w:val="20"/>
    </w:rPr>
  </w:style>
  <w:style w:type="paragraph" w:styleId="35">
    <w:name w:val="footnote text"/>
    <w:basedOn w:val="1"/>
    <w:link w:val="178"/>
    <w:autoRedefine/>
    <w:semiHidden/>
    <w:qFormat/>
    <w:uiPriority w:val="0"/>
    <w:pPr>
      <w:snapToGrid w:val="0"/>
      <w:jc w:val="left"/>
    </w:pPr>
    <w:rPr>
      <w:rFonts w:ascii="Times New Roman" w:hAnsi="Times New Roman" w:eastAsia="宋体" w:cs="Times New Roman"/>
      <w:sz w:val="18"/>
      <w:szCs w:val="18"/>
    </w:rPr>
  </w:style>
  <w:style w:type="paragraph" w:styleId="36">
    <w:name w:val="toc 6"/>
    <w:basedOn w:val="1"/>
    <w:next w:val="1"/>
    <w:autoRedefine/>
    <w:qFormat/>
    <w:uiPriority w:val="39"/>
    <w:pPr>
      <w:ind w:left="2100" w:leftChars="1000"/>
    </w:pPr>
    <w:rPr>
      <w:rFonts w:ascii="Times New Roman" w:hAnsi="Times New Roman" w:eastAsia="宋体" w:cs="Times New Roman"/>
      <w:szCs w:val="24"/>
    </w:rPr>
  </w:style>
  <w:style w:type="paragraph" w:styleId="37">
    <w:name w:val="Body Text Indent 3"/>
    <w:basedOn w:val="1"/>
    <w:link w:val="135"/>
    <w:autoRedefine/>
    <w:qFormat/>
    <w:uiPriority w:val="0"/>
    <w:pPr>
      <w:spacing w:line="440" w:lineRule="exact"/>
      <w:ind w:firstLine="412" w:firstLineChars="200"/>
    </w:pPr>
    <w:rPr>
      <w:rFonts w:ascii="宋体" w:hAnsi="Calibri" w:eastAsia="宋体" w:cs="Times New Roman"/>
      <w:kern w:val="0"/>
      <w:sz w:val="20"/>
      <w:szCs w:val="20"/>
    </w:rPr>
  </w:style>
  <w:style w:type="paragraph" w:styleId="38">
    <w:name w:val="table of figures"/>
    <w:basedOn w:val="1"/>
    <w:next w:val="1"/>
    <w:autoRedefine/>
    <w:qFormat/>
    <w:uiPriority w:val="0"/>
    <w:pPr>
      <w:ind w:left="200" w:leftChars="200" w:hanging="200" w:hangingChars="200"/>
    </w:pPr>
    <w:rPr>
      <w:rFonts w:ascii="Times New Roman" w:hAnsi="Times New Roman" w:eastAsia="宋体" w:cs="Times New Roman"/>
      <w:szCs w:val="20"/>
    </w:rPr>
  </w:style>
  <w:style w:type="paragraph" w:styleId="39">
    <w:name w:val="toc 2"/>
    <w:basedOn w:val="1"/>
    <w:next w:val="1"/>
    <w:autoRedefine/>
    <w:qFormat/>
    <w:uiPriority w:val="39"/>
    <w:pPr>
      <w:ind w:left="420" w:leftChars="200"/>
    </w:pPr>
    <w:rPr>
      <w:rFonts w:ascii="Times New Roman" w:hAnsi="Times New Roman" w:eastAsia="宋体" w:cs="Times New Roman"/>
      <w:szCs w:val="24"/>
    </w:rPr>
  </w:style>
  <w:style w:type="paragraph" w:styleId="40">
    <w:name w:val="toc 9"/>
    <w:basedOn w:val="1"/>
    <w:next w:val="1"/>
    <w:autoRedefine/>
    <w:qFormat/>
    <w:uiPriority w:val="39"/>
    <w:pPr>
      <w:ind w:left="3360" w:leftChars="1600"/>
    </w:pPr>
    <w:rPr>
      <w:rFonts w:ascii="Times New Roman" w:hAnsi="Times New Roman" w:eastAsia="宋体" w:cs="Times New Roman"/>
      <w:szCs w:val="24"/>
    </w:rPr>
  </w:style>
  <w:style w:type="paragraph" w:styleId="41">
    <w:name w:val="Body Text 2"/>
    <w:basedOn w:val="1"/>
    <w:link w:val="213"/>
    <w:autoRedefine/>
    <w:qFormat/>
    <w:uiPriority w:val="0"/>
    <w:rPr>
      <w:rFonts w:ascii="宋体" w:hAnsi="宋体" w:eastAsia="宋体" w:cs="Times New Roman"/>
      <w:sz w:val="18"/>
      <w:szCs w:val="20"/>
    </w:rPr>
  </w:style>
  <w:style w:type="paragraph" w:styleId="42">
    <w:name w:val="List Continue 2"/>
    <w:basedOn w:val="1"/>
    <w:autoRedefine/>
    <w:qFormat/>
    <w:uiPriority w:val="0"/>
    <w:pPr>
      <w:spacing w:after="120"/>
      <w:ind w:left="840" w:leftChars="400"/>
    </w:pPr>
    <w:rPr>
      <w:rFonts w:ascii="Times New Roman" w:hAnsi="Times New Roman" w:eastAsia="宋体" w:cs="Times New Roman"/>
      <w:szCs w:val="24"/>
    </w:rPr>
  </w:style>
  <w:style w:type="paragraph" w:styleId="43">
    <w:name w:val="HTML Preformatted"/>
    <w:basedOn w:val="1"/>
    <w:link w:val="21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eastAsia="宋体" w:cs="Arial"/>
      <w:kern w:val="0"/>
      <w:sz w:val="24"/>
      <w:szCs w:val="24"/>
    </w:rPr>
  </w:style>
  <w:style w:type="paragraph" w:styleId="44">
    <w:name w:val="Normal (Web)"/>
    <w:basedOn w:val="1"/>
    <w:autoRedefine/>
    <w:qFormat/>
    <w:uiPriority w:val="99"/>
    <w:pPr>
      <w:widowControl/>
      <w:spacing w:before="100" w:beforeAutospacing="1" w:after="100" w:afterAutospacing="1"/>
      <w:jc w:val="left"/>
    </w:pPr>
    <w:rPr>
      <w:rFonts w:ascii="宋体" w:hAnsi="宋体" w:eastAsia="宋体" w:cs="宋体"/>
      <w:kern w:val="0"/>
      <w:sz w:val="24"/>
      <w:szCs w:val="24"/>
    </w:rPr>
  </w:style>
  <w:style w:type="paragraph" w:styleId="45">
    <w:name w:val="index 1"/>
    <w:basedOn w:val="1"/>
    <w:next w:val="1"/>
    <w:autoRedefine/>
    <w:semiHidden/>
    <w:qFormat/>
    <w:uiPriority w:val="0"/>
    <w:pPr>
      <w:adjustRightInd w:val="0"/>
      <w:snapToGrid w:val="0"/>
      <w:spacing w:line="300" w:lineRule="exact"/>
    </w:pPr>
    <w:rPr>
      <w:rFonts w:ascii="宋体" w:hAnsi="宋体" w:eastAsia="宋体" w:cs="Times New Roman"/>
      <w:bCs/>
      <w:sz w:val="20"/>
      <w:szCs w:val="21"/>
    </w:rPr>
  </w:style>
  <w:style w:type="paragraph" w:styleId="46">
    <w:name w:val="Title"/>
    <w:basedOn w:val="1"/>
    <w:next w:val="1"/>
    <w:link w:val="164"/>
    <w:autoRedefine/>
    <w:qFormat/>
    <w:uiPriority w:val="0"/>
    <w:pPr>
      <w:spacing w:before="240" w:after="60"/>
      <w:jc w:val="center"/>
      <w:outlineLvl w:val="0"/>
    </w:pPr>
    <w:rPr>
      <w:rFonts w:ascii="Cambria" w:hAnsi="Cambria" w:cs="Times New Roman"/>
      <w:b/>
      <w:bCs/>
      <w:sz w:val="32"/>
      <w:szCs w:val="32"/>
    </w:rPr>
  </w:style>
  <w:style w:type="paragraph" w:styleId="47">
    <w:name w:val="annotation subject"/>
    <w:basedOn w:val="16"/>
    <w:next w:val="16"/>
    <w:link w:val="171"/>
    <w:autoRedefine/>
    <w:qFormat/>
    <w:uiPriority w:val="0"/>
    <w:rPr>
      <w:b/>
      <w:bCs/>
    </w:rPr>
  </w:style>
  <w:style w:type="table" w:styleId="49">
    <w:name w:val="Table Grid"/>
    <w:basedOn w:val="48"/>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1">
    <w:name w:val="Strong"/>
    <w:basedOn w:val="50"/>
    <w:autoRedefine/>
    <w:qFormat/>
    <w:uiPriority w:val="22"/>
    <w:rPr>
      <w:rFonts w:cs="Times New Roman"/>
      <w:b/>
    </w:rPr>
  </w:style>
  <w:style w:type="character" w:styleId="52">
    <w:name w:val="page number"/>
    <w:basedOn w:val="50"/>
    <w:autoRedefine/>
    <w:qFormat/>
    <w:uiPriority w:val="0"/>
    <w:rPr>
      <w:rFonts w:cs="Times New Roman"/>
    </w:rPr>
  </w:style>
  <w:style w:type="character" w:styleId="53">
    <w:name w:val="FollowedHyperlink"/>
    <w:basedOn w:val="50"/>
    <w:autoRedefine/>
    <w:qFormat/>
    <w:uiPriority w:val="99"/>
    <w:rPr>
      <w:rFonts w:cs="Times New Roman"/>
      <w:color w:val="555555"/>
      <w:u w:val="none"/>
    </w:rPr>
  </w:style>
  <w:style w:type="character" w:styleId="54">
    <w:name w:val="Emphasis"/>
    <w:basedOn w:val="50"/>
    <w:autoRedefine/>
    <w:qFormat/>
    <w:uiPriority w:val="0"/>
    <w:rPr>
      <w:rFonts w:cs="Times New Roman"/>
      <w:i/>
    </w:rPr>
  </w:style>
  <w:style w:type="character" w:styleId="55">
    <w:name w:val="HTML Definition"/>
    <w:basedOn w:val="50"/>
    <w:autoRedefine/>
    <w:qFormat/>
    <w:uiPriority w:val="99"/>
    <w:rPr>
      <w:rFonts w:cs="Times New Roman"/>
    </w:rPr>
  </w:style>
  <w:style w:type="character" w:styleId="56">
    <w:name w:val="HTML Acronym"/>
    <w:basedOn w:val="50"/>
    <w:autoRedefine/>
    <w:qFormat/>
    <w:uiPriority w:val="99"/>
    <w:rPr>
      <w:rFonts w:cs="Times New Roman"/>
    </w:rPr>
  </w:style>
  <w:style w:type="character" w:styleId="57">
    <w:name w:val="HTML Variable"/>
    <w:basedOn w:val="50"/>
    <w:autoRedefine/>
    <w:qFormat/>
    <w:uiPriority w:val="99"/>
    <w:rPr>
      <w:rFonts w:cs="Times New Roman"/>
    </w:rPr>
  </w:style>
  <w:style w:type="character" w:styleId="58">
    <w:name w:val="Hyperlink"/>
    <w:basedOn w:val="50"/>
    <w:autoRedefine/>
    <w:qFormat/>
    <w:uiPriority w:val="99"/>
    <w:rPr>
      <w:rFonts w:cs="Times New Roman"/>
      <w:color w:val="555555"/>
      <w:u w:val="none"/>
    </w:rPr>
  </w:style>
  <w:style w:type="character" w:styleId="59">
    <w:name w:val="HTML Code"/>
    <w:basedOn w:val="50"/>
    <w:autoRedefine/>
    <w:qFormat/>
    <w:uiPriority w:val="99"/>
    <w:rPr>
      <w:rFonts w:ascii="monospace" w:hAnsi="monospace" w:cs="Times New Roman"/>
      <w:sz w:val="24"/>
    </w:rPr>
  </w:style>
  <w:style w:type="character" w:styleId="60">
    <w:name w:val="annotation reference"/>
    <w:autoRedefine/>
    <w:qFormat/>
    <w:uiPriority w:val="99"/>
    <w:rPr>
      <w:sz w:val="21"/>
      <w:szCs w:val="21"/>
    </w:rPr>
  </w:style>
  <w:style w:type="character" w:styleId="61">
    <w:name w:val="HTML Cite"/>
    <w:basedOn w:val="50"/>
    <w:autoRedefine/>
    <w:qFormat/>
    <w:uiPriority w:val="99"/>
    <w:rPr>
      <w:rFonts w:cs="Times New Roman"/>
    </w:rPr>
  </w:style>
  <w:style w:type="character" w:styleId="62">
    <w:name w:val="footnote reference"/>
    <w:autoRedefine/>
    <w:semiHidden/>
    <w:qFormat/>
    <w:uiPriority w:val="0"/>
    <w:rPr>
      <w:vertAlign w:val="superscript"/>
    </w:rPr>
  </w:style>
  <w:style w:type="character" w:styleId="63">
    <w:name w:val="HTML Keyboard"/>
    <w:basedOn w:val="50"/>
    <w:autoRedefine/>
    <w:qFormat/>
    <w:uiPriority w:val="99"/>
    <w:rPr>
      <w:rFonts w:ascii="monospace" w:hAnsi="monospace" w:cs="Times New Roman"/>
      <w:sz w:val="24"/>
    </w:rPr>
  </w:style>
  <w:style w:type="character" w:styleId="64">
    <w:name w:val="HTML Sample"/>
    <w:basedOn w:val="50"/>
    <w:autoRedefine/>
    <w:qFormat/>
    <w:uiPriority w:val="99"/>
    <w:rPr>
      <w:rFonts w:ascii="monospace" w:hAnsi="monospace" w:cs="Times New Roman"/>
      <w:sz w:val="24"/>
    </w:rPr>
  </w:style>
  <w:style w:type="paragraph" w:customStyle="1" w:styleId="65">
    <w:name w:val="BodyText"/>
    <w:basedOn w:val="1"/>
    <w:qFormat/>
    <w:uiPriority w:val="0"/>
    <w:pPr>
      <w:jc w:val="both"/>
      <w:textAlignment w:val="baseline"/>
    </w:pPr>
    <w:rPr>
      <w:rFonts w:eastAsia="黑体"/>
      <w:kern w:val="2"/>
      <w:sz w:val="40"/>
      <w:szCs w:val="24"/>
    </w:rPr>
  </w:style>
  <w:style w:type="character" w:customStyle="1" w:styleId="66">
    <w:name w:val="标题 1 Char"/>
    <w:basedOn w:val="50"/>
    <w:link w:val="2"/>
    <w:autoRedefine/>
    <w:qFormat/>
    <w:uiPriority w:val="0"/>
    <w:rPr>
      <w:rFonts w:ascii="???" w:hAnsi="???" w:eastAsia="宋体" w:cs="Arial"/>
      <w:b/>
      <w:bCs/>
      <w:color w:val="020000"/>
      <w:kern w:val="36"/>
      <w:sz w:val="44"/>
      <w:szCs w:val="44"/>
    </w:rPr>
  </w:style>
  <w:style w:type="character" w:customStyle="1" w:styleId="67">
    <w:name w:val="标题 2 Char"/>
    <w:basedOn w:val="50"/>
    <w:link w:val="3"/>
    <w:autoRedefine/>
    <w:qFormat/>
    <w:uiPriority w:val="0"/>
    <w:rPr>
      <w:rFonts w:ascii="???" w:hAnsi="???" w:eastAsia="宋体" w:cs="Arial"/>
      <w:b/>
      <w:bCs/>
      <w:color w:val="020000"/>
      <w:kern w:val="0"/>
      <w:sz w:val="32"/>
      <w:szCs w:val="32"/>
    </w:rPr>
  </w:style>
  <w:style w:type="character" w:customStyle="1" w:styleId="68">
    <w:name w:val="标题 3 Char"/>
    <w:basedOn w:val="50"/>
    <w:link w:val="4"/>
    <w:autoRedefine/>
    <w:qFormat/>
    <w:uiPriority w:val="0"/>
    <w:rPr>
      <w:rFonts w:ascii="??" w:hAnsi="??" w:eastAsia="宋体" w:cs="Arial"/>
      <w:b/>
      <w:bCs/>
      <w:color w:val="000000"/>
      <w:kern w:val="0"/>
      <w:sz w:val="32"/>
      <w:szCs w:val="32"/>
    </w:rPr>
  </w:style>
  <w:style w:type="character" w:customStyle="1" w:styleId="69">
    <w:name w:val="页眉 Char"/>
    <w:basedOn w:val="50"/>
    <w:link w:val="30"/>
    <w:autoRedefine/>
    <w:qFormat/>
    <w:uiPriority w:val="99"/>
    <w:rPr>
      <w:rFonts w:ascii="Calibri" w:hAnsi="Calibri" w:eastAsia="宋体" w:cs="Times New Roman"/>
      <w:sz w:val="18"/>
      <w:szCs w:val="18"/>
    </w:rPr>
  </w:style>
  <w:style w:type="character" w:customStyle="1" w:styleId="70">
    <w:name w:val="页脚 Char"/>
    <w:basedOn w:val="50"/>
    <w:link w:val="29"/>
    <w:autoRedefine/>
    <w:qFormat/>
    <w:uiPriority w:val="99"/>
    <w:rPr>
      <w:rFonts w:ascii="Calibri" w:hAnsi="Calibri" w:eastAsia="宋体" w:cs="Times New Roman"/>
      <w:sz w:val="18"/>
      <w:szCs w:val="18"/>
    </w:rPr>
  </w:style>
  <w:style w:type="character" w:customStyle="1" w:styleId="71">
    <w:name w:val="正文文本缩进 Char"/>
    <w:basedOn w:val="50"/>
    <w:link w:val="20"/>
    <w:autoRedefine/>
    <w:qFormat/>
    <w:uiPriority w:val="0"/>
    <w:rPr>
      <w:rFonts w:ascii="??" w:hAnsi="??" w:eastAsia="宋体" w:cs="Arial"/>
      <w:kern w:val="0"/>
      <w:sz w:val="24"/>
      <w:szCs w:val="24"/>
    </w:rPr>
  </w:style>
  <w:style w:type="paragraph" w:customStyle="1" w:styleId="72">
    <w:name w:val="列出段落1"/>
    <w:basedOn w:val="1"/>
    <w:autoRedefine/>
    <w:qFormat/>
    <w:uiPriority w:val="0"/>
    <w:pPr>
      <w:ind w:firstLine="420" w:firstLineChars="200"/>
    </w:pPr>
    <w:rPr>
      <w:rFonts w:ascii="Calibri" w:hAnsi="Calibri" w:eastAsia="宋体" w:cs="Times New Roman"/>
    </w:rPr>
  </w:style>
  <w:style w:type="character" w:customStyle="1" w:styleId="73">
    <w:name w:val="标题 2 Char Char"/>
    <w:autoRedefine/>
    <w:qFormat/>
    <w:uiPriority w:val="99"/>
    <w:rPr>
      <w:rFonts w:ascii="Arial" w:hAnsi="Arial" w:eastAsia="黑体"/>
      <w:b/>
      <w:kern w:val="2"/>
      <w:sz w:val="32"/>
      <w:lang w:val="en-US" w:eastAsia="zh-CN"/>
    </w:rPr>
  </w:style>
  <w:style w:type="character" w:customStyle="1" w:styleId="74">
    <w:name w:val="2charchar"/>
    <w:basedOn w:val="50"/>
    <w:autoRedefine/>
    <w:qFormat/>
    <w:uiPriority w:val="99"/>
    <w:rPr>
      <w:rFonts w:cs="Times New Roman"/>
    </w:rPr>
  </w:style>
  <w:style w:type="paragraph" w:customStyle="1" w:styleId="75">
    <w:name w:val="表格文字"/>
    <w:basedOn w:val="1"/>
    <w:autoRedefine/>
    <w:qFormat/>
    <w:uiPriority w:val="99"/>
    <w:pPr>
      <w:adjustRightInd w:val="0"/>
      <w:spacing w:line="420" w:lineRule="atLeast"/>
      <w:jc w:val="left"/>
    </w:pPr>
    <w:rPr>
      <w:rFonts w:ascii="Times New Roman" w:hAnsi="Times New Roman" w:eastAsia="宋体" w:cs="Times New Roman"/>
      <w:kern w:val="0"/>
      <w:szCs w:val="20"/>
    </w:rPr>
  </w:style>
  <w:style w:type="paragraph" w:customStyle="1" w:styleId="76">
    <w:name w:val="z-窗体顶端1"/>
    <w:basedOn w:val="1"/>
    <w:next w:val="1"/>
    <w:link w:val="77"/>
    <w:autoRedefine/>
    <w:semiHidden/>
    <w:qFormat/>
    <w:uiPriority w:val="99"/>
    <w:pPr>
      <w:widowControl/>
      <w:pBdr>
        <w:bottom w:val="single" w:color="auto" w:sz="6" w:space="1"/>
      </w:pBdr>
      <w:jc w:val="center"/>
    </w:pPr>
    <w:rPr>
      <w:rFonts w:ascii="Arial" w:hAnsi="Arial" w:eastAsia="宋体" w:cs="Arial"/>
      <w:vanish/>
      <w:kern w:val="0"/>
      <w:sz w:val="16"/>
      <w:szCs w:val="16"/>
    </w:rPr>
  </w:style>
  <w:style w:type="character" w:customStyle="1" w:styleId="77">
    <w:name w:val="z-窗体顶端 Char"/>
    <w:basedOn w:val="50"/>
    <w:link w:val="76"/>
    <w:autoRedefine/>
    <w:semiHidden/>
    <w:qFormat/>
    <w:uiPriority w:val="99"/>
    <w:rPr>
      <w:rFonts w:ascii="Arial" w:hAnsi="Arial" w:eastAsia="宋体" w:cs="Arial"/>
      <w:vanish/>
      <w:kern w:val="0"/>
      <w:sz w:val="16"/>
      <w:szCs w:val="16"/>
    </w:rPr>
  </w:style>
  <w:style w:type="paragraph" w:customStyle="1" w:styleId="78">
    <w:name w:val="z-窗体底端1"/>
    <w:basedOn w:val="1"/>
    <w:next w:val="1"/>
    <w:link w:val="79"/>
    <w:autoRedefine/>
    <w:semiHidden/>
    <w:qFormat/>
    <w:uiPriority w:val="99"/>
    <w:pPr>
      <w:widowControl/>
      <w:pBdr>
        <w:top w:val="single" w:color="auto" w:sz="6" w:space="1"/>
      </w:pBdr>
      <w:jc w:val="center"/>
    </w:pPr>
    <w:rPr>
      <w:rFonts w:ascii="Arial" w:hAnsi="Arial" w:eastAsia="宋体" w:cs="Arial"/>
      <w:vanish/>
      <w:kern w:val="0"/>
      <w:sz w:val="16"/>
      <w:szCs w:val="16"/>
    </w:rPr>
  </w:style>
  <w:style w:type="character" w:customStyle="1" w:styleId="79">
    <w:name w:val="z-窗体底端 Char"/>
    <w:basedOn w:val="50"/>
    <w:link w:val="78"/>
    <w:autoRedefine/>
    <w:semiHidden/>
    <w:qFormat/>
    <w:uiPriority w:val="99"/>
    <w:rPr>
      <w:rFonts w:ascii="Arial" w:hAnsi="Arial" w:eastAsia="宋体" w:cs="Arial"/>
      <w:vanish/>
      <w:kern w:val="0"/>
      <w:sz w:val="16"/>
      <w:szCs w:val="16"/>
    </w:rPr>
  </w:style>
  <w:style w:type="paragraph" w:customStyle="1" w:styleId="80">
    <w:name w:val="hu正文"/>
    <w:basedOn w:val="1"/>
    <w:link w:val="81"/>
    <w:autoRedefine/>
    <w:qFormat/>
    <w:uiPriority w:val="99"/>
    <w:pPr>
      <w:spacing w:before="156" w:after="156" w:line="300" w:lineRule="auto"/>
      <w:ind w:firstLine="480" w:firstLineChars="200"/>
    </w:pPr>
    <w:rPr>
      <w:rFonts w:ascii="Times New Roman" w:hAnsi="Times New Roman" w:eastAsia="宋体" w:cs="Times New Roman"/>
      <w:kern w:val="0"/>
      <w:sz w:val="24"/>
      <w:szCs w:val="20"/>
    </w:rPr>
  </w:style>
  <w:style w:type="character" w:customStyle="1" w:styleId="81">
    <w:name w:val="hu正文 Char"/>
    <w:link w:val="80"/>
    <w:autoRedefine/>
    <w:qFormat/>
    <w:locked/>
    <w:uiPriority w:val="99"/>
    <w:rPr>
      <w:rFonts w:ascii="Times New Roman" w:hAnsi="Times New Roman" w:eastAsia="宋体" w:cs="Times New Roman"/>
      <w:kern w:val="0"/>
      <w:sz w:val="24"/>
      <w:szCs w:val="20"/>
    </w:rPr>
  </w:style>
  <w:style w:type="paragraph" w:customStyle="1" w:styleId="82">
    <w:name w:val="无间隔1"/>
    <w:autoRedefine/>
    <w:qFormat/>
    <w:uiPriority w:val="1"/>
    <w:pPr>
      <w:widowControl w:val="0"/>
      <w:jc w:val="both"/>
    </w:pPr>
    <w:rPr>
      <w:rFonts w:ascii="Calibri" w:hAnsi="Calibri" w:eastAsia="宋体" w:cs="Times New Roman"/>
      <w:kern w:val="2"/>
      <w:sz w:val="21"/>
      <w:szCs w:val="22"/>
      <w:lang w:val="en-US" w:eastAsia="zh-CN" w:bidi="ar-SA"/>
    </w:rPr>
  </w:style>
  <w:style w:type="character" w:customStyle="1" w:styleId="83">
    <w:name w:val="批注框文本 Char"/>
    <w:basedOn w:val="50"/>
    <w:link w:val="28"/>
    <w:autoRedefine/>
    <w:qFormat/>
    <w:uiPriority w:val="0"/>
    <w:rPr>
      <w:rFonts w:ascii="Calibri" w:hAnsi="Calibri" w:eastAsia="宋体" w:cs="Times New Roman"/>
      <w:sz w:val="18"/>
      <w:szCs w:val="18"/>
    </w:rPr>
  </w:style>
  <w:style w:type="character" w:customStyle="1" w:styleId="84">
    <w:name w:val="ui-bz-bg-hover1"/>
    <w:basedOn w:val="50"/>
    <w:autoRedefine/>
    <w:qFormat/>
    <w:uiPriority w:val="99"/>
    <w:rPr>
      <w:rFonts w:cs="Times New Roman"/>
    </w:rPr>
  </w:style>
  <w:style w:type="character" w:customStyle="1" w:styleId="85">
    <w:name w:val="批注框文本 Char1"/>
    <w:autoRedefine/>
    <w:qFormat/>
    <w:uiPriority w:val="0"/>
    <w:rPr>
      <w:rFonts w:ascii="Times New Roman" w:hAnsi="Times New Roman" w:eastAsia="宋体"/>
      <w:sz w:val="18"/>
    </w:rPr>
  </w:style>
  <w:style w:type="character" w:customStyle="1" w:styleId="86">
    <w:name w:val="bds_nopic"/>
    <w:basedOn w:val="50"/>
    <w:autoRedefine/>
    <w:qFormat/>
    <w:uiPriority w:val="99"/>
    <w:rPr>
      <w:rFonts w:cs="Times New Roman"/>
    </w:rPr>
  </w:style>
  <w:style w:type="character" w:customStyle="1" w:styleId="87">
    <w:name w:val="tip12"/>
    <w:autoRedefine/>
    <w:qFormat/>
    <w:uiPriority w:val="99"/>
    <w:rPr>
      <w:vanish/>
      <w:color w:val="FF0000"/>
      <w:sz w:val="18"/>
    </w:rPr>
  </w:style>
  <w:style w:type="character" w:customStyle="1" w:styleId="88">
    <w:name w:val="Body Text Indent 3 Char"/>
    <w:autoRedefine/>
    <w:qFormat/>
    <w:locked/>
    <w:uiPriority w:val="99"/>
    <w:rPr>
      <w:rFonts w:ascii="宋体" w:eastAsia="宋体"/>
    </w:rPr>
  </w:style>
  <w:style w:type="character" w:customStyle="1" w:styleId="89">
    <w:name w:val="HTML Markup"/>
    <w:autoRedefine/>
    <w:qFormat/>
    <w:uiPriority w:val="99"/>
    <w:rPr>
      <w:vanish/>
      <w:color w:val="FF0000"/>
    </w:rPr>
  </w:style>
  <w:style w:type="character" w:customStyle="1" w:styleId="90">
    <w:name w:val="tip7"/>
    <w:autoRedefine/>
    <w:qFormat/>
    <w:uiPriority w:val="99"/>
    <w:rPr>
      <w:vanish/>
      <w:color w:val="FF0000"/>
      <w:sz w:val="18"/>
    </w:rPr>
  </w:style>
  <w:style w:type="character" w:customStyle="1" w:styleId="91">
    <w:name w:val="f-star"/>
    <w:autoRedefine/>
    <w:qFormat/>
    <w:uiPriority w:val="99"/>
    <w:rPr>
      <w:color w:val="999999"/>
      <w:sz w:val="21"/>
    </w:rPr>
  </w:style>
  <w:style w:type="character" w:customStyle="1" w:styleId="92">
    <w:name w:val="Document Map Char1"/>
    <w:autoRedefine/>
    <w:qFormat/>
    <w:uiPriority w:val="99"/>
    <w:rPr>
      <w:rFonts w:ascii="Times New Roman" w:hAnsi="Times New Roman"/>
      <w:kern w:val="2"/>
      <w:sz w:val="2"/>
    </w:rPr>
  </w:style>
  <w:style w:type="character" w:customStyle="1" w:styleId="93">
    <w:name w:val="my-class2"/>
    <w:basedOn w:val="50"/>
    <w:autoRedefine/>
    <w:qFormat/>
    <w:uiPriority w:val="99"/>
    <w:rPr>
      <w:rFonts w:cs="Times New Roman"/>
    </w:rPr>
  </w:style>
  <w:style w:type="character" w:customStyle="1" w:styleId="94">
    <w:name w:val="no52"/>
    <w:basedOn w:val="50"/>
    <w:autoRedefine/>
    <w:qFormat/>
    <w:uiPriority w:val="99"/>
    <w:rPr>
      <w:rFonts w:cs="Times New Roman"/>
    </w:rPr>
  </w:style>
  <w:style w:type="character" w:customStyle="1" w:styleId="95">
    <w:name w:val="no4"/>
    <w:basedOn w:val="50"/>
    <w:autoRedefine/>
    <w:qFormat/>
    <w:uiPriority w:val="99"/>
    <w:rPr>
      <w:rFonts w:cs="Times New Roman"/>
    </w:rPr>
  </w:style>
  <w:style w:type="character" w:customStyle="1" w:styleId="96">
    <w:name w:val="my-notice"/>
    <w:basedOn w:val="50"/>
    <w:autoRedefine/>
    <w:qFormat/>
    <w:uiPriority w:val="99"/>
    <w:rPr>
      <w:rFonts w:cs="Times New Roman"/>
    </w:rPr>
  </w:style>
  <w:style w:type="character" w:customStyle="1" w:styleId="97">
    <w:name w:val="ico-jiang"/>
    <w:basedOn w:val="50"/>
    <w:autoRedefine/>
    <w:qFormat/>
    <w:uiPriority w:val="99"/>
    <w:rPr>
      <w:rFonts w:cs="Times New Roman"/>
    </w:rPr>
  </w:style>
  <w:style w:type="character" w:customStyle="1" w:styleId="98">
    <w:name w:val="ico-jiang2"/>
    <w:basedOn w:val="50"/>
    <w:autoRedefine/>
    <w:qFormat/>
    <w:uiPriority w:val="99"/>
    <w:rPr>
      <w:rFonts w:cs="Times New Roman"/>
    </w:rPr>
  </w:style>
  <w:style w:type="character" w:customStyle="1" w:styleId="99">
    <w:name w:val="bds_more1"/>
    <w:autoRedefine/>
    <w:qFormat/>
    <w:uiPriority w:val="99"/>
    <w:rPr>
      <w:rFonts w:ascii="宋体" w:hAnsi="宋体" w:eastAsia="宋体"/>
    </w:rPr>
  </w:style>
  <w:style w:type="character" w:customStyle="1" w:styleId="100">
    <w:name w:val="Body Text Indent 2 Char"/>
    <w:autoRedefine/>
    <w:qFormat/>
    <w:locked/>
    <w:uiPriority w:val="99"/>
    <w:rPr>
      <w:rFonts w:ascii="宋体" w:eastAsia="宋体"/>
      <w:sz w:val="24"/>
    </w:rPr>
  </w:style>
  <w:style w:type="character" w:customStyle="1" w:styleId="101">
    <w:name w:val="org_name"/>
    <w:basedOn w:val="50"/>
    <w:autoRedefine/>
    <w:qFormat/>
    <w:uiPriority w:val="99"/>
    <w:rPr>
      <w:rFonts w:cs="Times New Roman"/>
    </w:rPr>
  </w:style>
  <w:style w:type="character" w:customStyle="1" w:styleId="102">
    <w:name w:val="org_name2"/>
    <w:basedOn w:val="50"/>
    <w:autoRedefine/>
    <w:qFormat/>
    <w:uiPriority w:val="99"/>
    <w:rPr>
      <w:rFonts w:cs="Times New Roman"/>
    </w:rPr>
  </w:style>
  <w:style w:type="character" w:customStyle="1" w:styleId="103">
    <w:name w:val="tip10"/>
    <w:autoRedefine/>
    <w:qFormat/>
    <w:uiPriority w:val="99"/>
    <w:rPr>
      <w:vanish/>
      <w:color w:val="FF0000"/>
      <w:sz w:val="18"/>
    </w:rPr>
  </w:style>
  <w:style w:type="character" w:customStyle="1" w:styleId="104">
    <w:name w:val="orange"/>
    <w:autoRedefine/>
    <w:qFormat/>
    <w:uiPriority w:val="99"/>
    <w:rPr>
      <w:color w:val="3FB58F"/>
    </w:rPr>
  </w:style>
  <w:style w:type="character" w:customStyle="1" w:styleId="105">
    <w:name w:val="bds_more"/>
    <w:basedOn w:val="50"/>
    <w:autoRedefine/>
    <w:qFormat/>
    <w:uiPriority w:val="99"/>
    <w:rPr>
      <w:rFonts w:cs="Times New Roman"/>
    </w:rPr>
  </w:style>
  <w:style w:type="character" w:customStyle="1" w:styleId="106">
    <w:name w:val="t-tag"/>
    <w:autoRedefine/>
    <w:qFormat/>
    <w:uiPriority w:val="99"/>
    <w:rPr>
      <w:color w:val="FFFFFF"/>
      <w:sz w:val="18"/>
      <w:shd w:val="clear" w:color="auto" w:fill="FE8833"/>
    </w:rPr>
  </w:style>
  <w:style w:type="character" w:customStyle="1" w:styleId="107">
    <w:name w:val="top-icon"/>
    <w:basedOn w:val="50"/>
    <w:autoRedefine/>
    <w:qFormat/>
    <w:uiPriority w:val="99"/>
    <w:rPr>
      <w:rFonts w:cs="Times New Roman"/>
    </w:rPr>
  </w:style>
  <w:style w:type="character" w:customStyle="1" w:styleId="108">
    <w:name w:val="Body Text Char"/>
    <w:autoRedefine/>
    <w:qFormat/>
    <w:locked/>
    <w:uiPriority w:val="99"/>
    <w:rPr>
      <w:sz w:val="24"/>
    </w:rPr>
  </w:style>
  <w:style w:type="character" w:customStyle="1" w:styleId="109">
    <w:name w:val="no72"/>
    <w:basedOn w:val="50"/>
    <w:autoRedefine/>
    <w:qFormat/>
    <w:uiPriority w:val="99"/>
    <w:rPr>
      <w:rFonts w:cs="Times New Roman"/>
    </w:rPr>
  </w:style>
  <w:style w:type="character" w:customStyle="1" w:styleId="110">
    <w:name w:val="bds_nopic2"/>
    <w:basedOn w:val="50"/>
    <w:autoRedefine/>
    <w:qFormat/>
    <w:uiPriority w:val="99"/>
    <w:rPr>
      <w:rFonts w:cs="Times New Roman"/>
    </w:rPr>
  </w:style>
  <w:style w:type="character" w:customStyle="1" w:styleId="111">
    <w:name w:val="Document Map Char"/>
    <w:autoRedefine/>
    <w:qFormat/>
    <w:uiPriority w:val="99"/>
    <w:rPr>
      <w:rFonts w:ascii="宋体"/>
      <w:sz w:val="18"/>
    </w:rPr>
  </w:style>
  <w:style w:type="character" w:customStyle="1" w:styleId="112">
    <w:name w:val="no6"/>
    <w:basedOn w:val="50"/>
    <w:autoRedefine/>
    <w:qFormat/>
    <w:uiPriority w:val="99"/>
    <w:rPr>
      <w:rFonts w:cs="Times New Roman"/>
    </w:rPr>
  </w:style>
  <w:style w:type="character" w:customStyle="1" w:styleId="113">
    <w:name w:val="tip"/>
    <w:autoRedefine/>
    <w:qFormat/>
    <w:uiPriority w:val="99"/>
    <w:rPr>
      <w:vanish/>
      <w:color w:val="FF0000"/>
      <w:sz w:val="18"/>
    </w:rPr>
  </w:style>
  <w:style w:type="character" w:customStyle="1" w:styleId="114">
    <w:name w:val="apple-converted-space"/>
    <w:basedOn w:val="50"/>
    <w:autoRedefine/>
    <w:qFormat/>
    <w:uiPriority w:val="99"/>
    <w:rPr>
      <w:rFonts w:cs="Times New Roman"/>
    </w:rPr>
  </w:style>
  <w:style w:type="character" w:customStyle="1" w:styleId="115">
    <w:name w:val="bds_more2"/>
    <w:basedOn w:val="50"/>
    <w:autoRedefine/>
    <w:qFormat/>
    <w:uiPriority w:val="99"/>
    <w:rPr>
      <w:rFonts w:cs="Times New Roman"/>
    </w:rPr>
  </w:style>
  <w:style w:type="character" w:customStyle="1" w:styleId="116">
    <w:name w:val="my-class"/>
    <w:basedOn w:val="50"/>
    <w:autoRedefine/>
    <w:qFormat/>
    <w:uiPriority w:val="99"/>
    <w:rPr>
      <w:rFonts w:cs="Times New Roman"/>
    </w:rPr>
  </w:style>
  <w:style w:type="character" w:customStyle="1" w:styleId="117">
    <w:name w:val="ui-bz-bg-hover"/>
    <w:autoRedefine/>
    <w:qFormat/>
    <w:uiPriority w:val="99"/>
    <w:rPr>
      <w:shd w:val="clear" w:color="auto" w:fill="000000"/>
    </w:rPr>
  </w:style>
  <w:style w:type="character" w:customStyle="1" w:styleId="118">
    <w:name w:val="no7"/>
    <w:basedOn w:val="50"/>
    <w:autoRedefine/>
    <w:qFormat/>
    <w:uiPriority w:val="99"/>
    <w:rPr>
      <w:rFonts w:cs="Times New Roman"/>
    </w:rPr>
  </w:style>
  <w:style w:type="character" w:customStyle="1" w:styleId="119">
    <w:name w:val="正文缩进 Char"/>
    <w:link w:val="13"/>
    <w:autoRedefine/>
    <w:qFormat/>
    <w:locked/>
    <w:uiPriority w:val="0"/>
    <w:rPr>
      <w:rFonts w:ascii="Times New Roman" w:hAnsi="Times New Roman" w:eastAsia="宋体" w:cs="Times New Roman"/>
      <w:kern w:val="0"/>
      <w:sz w:val="24"/>
      <w:szCs w:val="20"/>
    </w:rPr>
  </w:style>
  <w:style w:type="character" w:customStyle="1" w:styleId="120">
    <w:name w:val="ico-jiang1"/>
    <w:basedOn w:val="50"/>
    <w:autoRedefine/>
    <w:qFormat/>
    <w:uiPriority w:val="99"/>
    <w:rPr>
      <w:rFonts w:cs="Times New Roman"/>
    </w:rPr>
  </w:style>
  <w:style w:type="character" w:customStyle="1" w:styleId="121">
    <w:name w:val="no62"/>
    <w:basedOn w:val="50"/>
    <w:autoRedefine/>
    <w:qFormat/>
    <w:uiPriority w:val="99"/>
    <w:rPr>
      <w:rFonts w:cs="Times New Roman"/>
    </w:rPr>
  </w:style>
  <w:style w:type="character" w:customStyle="1" w:styleId="122">
    <w:name w:val="orange5"/>
    <w:autoRedefine/>
    <w:qFormat/>
    <w:uiPriority w:val="99"/>
    <w:rPr>
      <w:color w:val="3FB58F"/>
    </w:rPr>
  </w:style>
  <w:style w:type="character" w:customStyle="1" w:styleId="123">
    <w:name w:val="bds_more4"/>
    <w:basedOn w:val="50"/>
    <w:autoRedefine/>
    <w:qFormat/>
    <w:uiPriority w:val="99"/>
    <w:rPr>
      <w:rFonts w:cs="Times New Roman"/>
    </w:rPr>
  </w:style>
  <w:style w:type="character" w:customStyle="1" w:styleId="124">
    <w:name w:val="no5"/>
    <w:basedOn w:val="50"/>
    <w:autoRedefine/>
    <w:qFormat/>
    <w:uiPriority w:val="99"/>
    <w:rPr>
      <w:rFonts w:cs="Times New Roman"/>
    </w:rPr>
  </w:style>
  <w:style w:type="character" w:customStyle="1" w:styleId="125">
    <w:name w:val="bds_more3"/>
    <w:basedOn w:val="50"/>
    <w:autoRedefine/>
    <w:qFormat/>
    <w:uiPriority w:val="99"/>
    <w:rPr>
      <w:rFonts w:cs="Times New Roman"/>
    </w:rPr>
  </w:style>
  <w:style w:type="character" w:customStyle="1" w:styleId="126">
    <w:name w:val="no42"/>
    <w:basedOn w:val="50"/>
    <w:autoRedefine/>
    <w:qFormat/>
    <w:uiPriority w:val="99"/>
    <w:rPr>
      <w:rFonts w:cs="Times New Roman"/>
    </w:rPr>
  </w:style>
  <w:style w:type="character" w:customStyle="1" w:styleId="127">
    <w:name w:val="bds_nopic1"/>
    <w:basedOn w:val="50"/>
    <w:autoRedefine/>
    <w:qFormat/>
    <w:uiPriority w:val="99"/>
    <w:rPr>
      <w:rFonts w:cs="Times New Roman"/>
    </w:rPr>
  </w:style>
  <w:style w:type="character" w:customStyle="1" w:styleId="128">
    <w:name w:val="my-notice1"/>
    <w:basedOn w:val="50"/>
    <w:autoRedefine/>
    <w:qFormat/>
    <w:uiPriority w:val="99"/>
    <w:rPr>
      <w:rFonts w:cs="Times New Roman"/>
    </w:rPr>
  </w:style>
  <w:style w:type="character" w:customStyle="1" w:styleId="129">
    <w:name w:val="orange6"/>
    <w:autoRedefine/>
    <w:qFormat/>
    <w:uiPriority w:val="99"/>
    <w:rPr>
      <w:color w:val="3FB58F"/>
    </w:rPr>
  </w:style>
  <w:style w:type="character" w:customStyle="1" w:styleId="130">
    <w:name w:val="Document Map Char2"/>
    <w:autoRedefine/>
    <w:qFormat/>
    <w:locked/>
    <w:uiPriority w:val="99"/>
    <w:rPr>
      <w:rFonts w:ascii="宋体"/>
      <w:sz w:val="18"/>
    </w:rPr>
  </w:style>
  <w:style w:type="character" w:customStyle="1" w:styleId="131">
    <w:name w:val="ico-jiang3"/>
    <w:basedOn w:val="50"/>
    <w:autoRedefine/>
    <w:qFormat/>
    <w:uiPriority w:val="99"/>
    <w:rPr>
      <w:rFonts w:cs="Times New Roman"/>
    </w:rPr>
  </w:style>
  <w:style w:type="character" w:customStyle="1" w:styleId="132">
    <w:name w:val="tip13"/>
    <w:autoRedefine/>
    <w:qFormat/>
    <w:uiPriority w:val="99"/>
    <w:rPr>
      <w:vanish/>
      <w:color w:val="FF0000"/>
      <w:sz w:val="18"/>
    </w:rPr>
  </w:style>
  <w:style w:type="character" w:customStyle="1" w:styleId="133">
    <w:name w:val="正文文本缩进 2 Char"/>
    <w:basedOn w:val="50"/>
    <w:link w:val="27"/>
    <w:autoRedefine/>
    <w:qFormat/>
    <w:uiPriority w:val="0"/>
    <w:rPr>
      <w:rFonts w:ascii="宋体" w:hAnsi="Calibri" w:eastAsia="宋体" w:cs="Times New Roman"/>
      <w:kern w:val="0"/>
      <w:sz w:val="24"/>
      <w:szCs w:val="20"/>
    </w:rPr>
  </w:style>
  <w:style w:type="character" w:customStyle="1" w:styleId="134">
    <w:name w:val="Body Text Indent 2 Char1"/>
    <w:basedOn w:val="50"/>
    <w:autoRedefine/>
    <w:semiHidden/>
    <w:qFormat/>
    <w:locked/>
    <w:uiPriority w:val="99"/>
    <w:rPr>
      <w:rFonts w:cs="Times New Roman"/>
    </w:rPr>
  </w:style>
  <w:style w:type="character" w:customStyle="1" w:styleId="135">
    <w:name w:val="正文文本缩进 3 Char"/>
    <w:basedOn w:val="50"/>
    <w:link w:val="37"/>
    <w:autoRedefine/>
    <w:qFormat/>
    <w:uiPriority w:val="0"/>
    <w:rPr>
      <w:rFonts w:ascii="宋体" w:hAnsi="Calibri" w:eastAsia="宋体" w:cs="Times New Roman"/>
      <w:kern w:val="0"/>
      <w:sz w:val="20"/>
      <w:szCs w:val="20"/>
    </w:rPr>
  </w:style>
  <w:style w:type="character" w:customStyle="1" w:styleId="136">
    <w:name w:val="Body Text Indent 3 Char1"/>
    <w:basedOn w:val="50"/>
    <w:autoRedefine/>
    <w:semiHidden/>
    <w:qFormat/>
    <w:locked/>
    <w:uiPriority w:val="99"/>
    <w:rPr>
      <w:rFonts w:cs="Times New Roman"/>
      <w:sz w:val="16"/>
      <w:szCs w:val="16"/>
    </w:rPr>
  </w:style>
  <w:style w:type="character" w:customStyle="1" w:styleId="137">
    <w:name w:val="文档结构图 Char"/>
    <w:basedOn w:val="50"/>
    <w:link w:val="15"/>
    <w:autoRedefine/>
    <w:qFormat/>
    <w:uiPriority w:val="99"/>
    <w:rPr>
      <w:rFonts w:ascii="宋体" w:hAnsi="Calibri" w:eastAsia="宋体" w:cs="Times New Roman"/>
      <w:kern w:val="0"/>
      <w:sz w:val="18"/>
      <w:szCs w:val="20"/>
    </w:rPr>
  </w:style>
  <w:style w:type="character" w:customStyle="1" w:styleId="138">
    <w:name w:val="Document Map Char3"/>
    <w:basedOn w:val="50"/>
    <w:autoRedefine/>
    <w:semiHidden/>
    <w:qFormat/>
    <w:locked/>
    <w:uiPriority w:val="99"/>
    <w:rPr>
      <w:rFonts w:ascii="Times New Roman" w:hAnsi="Times New Roman" w:cs="Times New Roman"/>
      <w:sz w:val="2"/>
    </w:rPr>
  </w:style>
  <w:style w:type="paragraph" w:customStyle="1" w:styleId="139">
    <w:name w:val="_Style 1"/>
    <w:basedOn w:val="1"/>
    <w:autoRedefine/>
    <w:qFormat/>
    <w:uiPriority w:val="99"/>
    <w:pPr>
      <w:ind w:firstLine="420" w:firstLineChars="200"/>
    </w:pPr>
    <w:rPr>
      <w:rFonts w:ascii="Times New Roman" w:hAnsi="Times New Roman" w:eastAsia="宋体" w:cs="Times New Roman"/>
      <w:szCs w:val="24"/>
    </w:rPr>
  </w:style>
  <w:style w:type="character" w:customStyle="1" w:styleId="140">
    <w:name w:val="正文文本 Char"/>
    <w:basedOn w:val="50"/>
    <w:link w:val="18"/>
    <w:autoRedefine/>
    <w:qFormat/>
    <w:uiPriority w:val="0"/>
    <w:rPr>
      <w:rFonts w:ascii="Calibri" w:hAnsi="Calibri" w:eastAsia="宋体" w:cs="Times New Roman"/>
      <w:kern w:val="0"/>
      <w:sz w:val="24"/>
      <w:szCs w:val="20"/>
    </w:rPr>
  </w:style>
  <w:style w:type="character" w:customStyle="1" w:styleId="141">
    <w:name w:val="Body Text Char1"/>
    <w:basedOn w:val="50"/>
    <w:autoRedefine/>
    <w:semiHidden/>
    <w:qFormat/>
    <w:locked/>
    <w:uiPriority w:val="99"/>
    <w:rPr>
      <w:rFonts w:cs="Times New Roman"/>
    </w:rPr>
  </w:style>
  <w:style w:type="paragraph" w:customStyle="1" w:styleId="142">
    <w:name w:val="_Style 21"/>
    <w:basedOn w:val="1"/>
    <w:autoRedefine/>
    <w:qFormat/>
    <w:uiPriority w:val="99"/>
    <w:rPr>
      <w:rFonts w:ascii="Times New Roman" w:hAnsi="Times New Roman" w:eastAsia="宋体" w:cs="Times New Roman"/>
      <w:szCs w:val="20"/>
    </w:rPr>
  </w:style>
  <w:style w:type="paragraph" w:customStyle="1" w:styleId="143">
    <w:name w:val="p0"/>
    <w:basedOn w:val="1"/>
    <w:autoRedefine/>
    <w:qFormat/>
    <w:uiPriority w:val="99"/>
    <w:pPr>
      <w:widowControl/>
    </w:pPr>
    <w:rPr>
      <w:rFonts w:ascii="Times New Roman" w:hAnsi="Times New Roman" w:eastAsia="宋体" w:cs="Times New Roman"/>
      <w:kern w:val="0"/>
      <w:szCs w:val="21"/>
    </w:rPr>
  </w:style>
  <w:style w:type="paragraph" w:customStyle="1" w:styleId="144">
    <w:name w:val="xl37"/>
    <w:basedOn w:val="1"/>
    <w:autoRedefine/>
    <w:qFormat/>
    <w:uiPriority w:val="0"/>
    <w:pPr>
      <w:widowControl/>
      <w:pBdr>
        <w:left w:val="single" w:color="auto" w:sz="8" w:space="0"/>
        <w:right w:val="single" w:color="auto" w:sz="4" w:space="0"/>
      </w:pBdr>
      <w:spacing w:before="100" w:beforeAutospacing="1" w:after="100" w:afterAutospacing="1"/>
      <w:jc w:val="center"/>
      <w:textAlignment w:val="center"/>
    </w:pPr>
    <w:rPr>
      <w:rFonts w:ascii="宋体" w:hAnsi="宋体" w:eastAsia="宋体" w:cs="Times New Roman"/>
      <w:kern w:val="0"/>
      <w:sz w:val="18"/>
      <w:szCs w:val="18"/>
    </w:rPr>
  </w:style>
  <w:style w:type="paragraph" w:customStyle="1" w:styleId="145">
    <w:name w:val="xl25"/>
    <w:basedOn w:val="1"/>
    <w:autoRedefine/>
    <w:qFormat/>
    <w:uiPriority w:val="0"/>
    <w:pPr>
      <w:widowControl/>
      <w:spacing w:before="100" w:beforeAutospacing="1" w:after="100" w:afterAutospacing="1"/>
      <w:textAlignment w:val="center"/>
    </w:pPr>
    <w:rPr>
      <w:rFonts w:ascii="宋体" w:hAnsi="宋体" w:eastAsia="宋体" w:cs="Times New Roman"/>
      <w:kern w:val="0"/>
      <w:sz w:val="18"/>
      <w:szCs w:val="18"/>
    </w:rPr>
  </w:style>
  <w:style w:type="paragraph" w:customStyle="1" w:styleId="146">
    <w:name w:val="样式 样式 样式 样式 内容 + 首行缩进:  2 字符18 + 首行缩进:  5.71 厘米 + 首行缩进:  8.04 厘米..."/>
    <w:basedOn w:val="1"/>
    <w:autoRedefine/>
    <w:qFormat/>
    <w:uiPriority w:val="99"/>
    <w:pPr>
      <w:widowControl/>
      <w:spacing w:line="360" w:lineRule="auto"/>
      <w:ind w:firstLine="425" w:firstLineChars="177"/>
      <w:jc w:val="left"/>
    </w:pPr>
    <w:rPr>
      <w:rFonts w:ascii="Trebuchet MS" w:hAnsi="Trebuchet MS" w:eastAsia="宋体" w:cs="Times New Roman"/>
      <w:color w:val="404040"/>
      <w:kern w:val="0"/>
      <w:sz w:val="24"/>
      <w:szCs w:val="20"/>
      <w:lang w:eastAsia="en-US"/>
    </w:rPr>
  </w:style>
  <w:style w:type="paragraph" w:customStyle="1" w:styleId="147">
    <w:name w:val="无间隔11"/>
    <w:autoRedefine/>
    <w:qFormat/>
    <w:uiPriority w:val="0"/>
    <w:pPr>
      <w:widowControl w:val="0"/>
      <w:spacing w:line="360" w:lineRule="auto"/>
      <w:jc w:val="center"/>
    </w:pPr>
    <w:rPr>
      <w:rFonts w:ascii="Times New Roman" w:hAnsi="Times New Roman" w:eastAsia="宋体" w:cs="Times New Roman"/>
      <w:b/>
      <w:color w:val="000000"/>
      <w:kern w:val="2"/>
      <w:sz w:val="21"/>
      <w:szCs w:val="21"/>
      <w:lang w:val="zh-CN" w:eastAsia="zh-CN" w:bidi="ar-SA"/>
    </w:rPr>
  </w:style>
  <w:style w:type="paragraph" w:customStyle="1" w:styleId="148">
    <w:name w:val="列出段落11"/>
    <w:basedOn w:val="1"/>
    <w:autoRedefine/>
    <w:qFormat/>
    <w:uiPriority w:val="99"/>
    <w:pPr>
      <w:ind w:firstLine="420" w:firstLineChars="200"/>
    </w:pPr>
    <w:rPr>
      <w:rFonts w:ascii="Times New Roman" w:hAnsi="Times New Roman" w:eastAsia="宋体" w:cs="Times New Roman"/>
      <w:szCs w:val="24"/>
    </w:rPr>
  </w:style>
  <w:style w:type="paragraph" w:customStyle="1" w:styleId="149">
    <w:name w:val="_Style 2"/>
    <w:basedOn w:val="1"/>
    <w:next w:val="1"/>
    <w:autoRedefine/>
    <w:qFormat/>
    <w:uiPriority w:val="99"/>
    <w:pPr>
      <w:ind w:firstLine="420" w:firstLineChars="200"/>
    </w:pPr>
    <w:rPr>
      <w:rFonts w:ascii="Calibri" w:hAnsi="Calibri" w:eastAsia="宋体" w:cs="Times New Roman"/>
    </w:rPr>
  </w:style>
  <w:style w:type="paragraph" w:customStyle="1" w:styleId="150">
    <w:name w:val="txt14"/>
    <w:basedOn w:val="1"/>
    <w:autoRedefine/>
    <w:qFormat/>
    <w:uiPriority w:val="99"/>
    <w:pPr>
      <w:widowControl/>
      <w:spacing w:before="100" w:beforeAutospacing="1" w:after="100" w:afterAutospacing="1"/>
      <w:jc w:val="left"/>
    </w:pPr>
    <w:rPr>
      <w:rFonts w:ascii="宋体" w:hAnsi="宋体" w:eastAsia="宋体" w:cs="Times New Roman"/>
      <w:color w:val="000000"/>
      <w:kern w:val="0"/>
      <w:szCs w:val="21"/>
    </w:rPr>
  </w:style>
  <w:style w:type="paragraph" w:customStyle="1" w:styleId="151">
    <w:name w:val="_Style 11"/>
    <w:basedOn w:val="1"/>
    <w:autoRedefine/>
    <w:qFormat/>
    <w:uiPriority w:val="0"/>
    <w:rPr>
      <w:rFonts w:ascii="Times New Roman" w:hAnsi="Times New Roman" w:eastAsia="宋体" w:cs="Times New Roman"/>
      <w:szCs w:val="24"/>
    </w:rPr>
  </w:style>
  <w:style w:type="paragraph" w:customStyle="1" w:styleId="152">
    <w:name w:val="Char"/>
    <w:basedOn w:val="1"/>
    <w:autoRedefine/>
    <w:qFormat/>
    <w:uiPriority w:val="0"/>
    <w:rPr>
      <w:rFonts w:ascii="Times New Roman" w:hAnsi="Times New Roman" w:eastAsia="宋体" w:cs="Times New Roman"/>
      <w:szCs w:val="21"/>
    </w:rPr>
  </w:style>
  <w:style w:type="paragraph" w:customStyle="1" w:styleId="153">
    <w:name w:val="列出段落12"/>
    <w:basedOn w:val="1"/>
    <w:autoRedefine/>
    <w:qFormat/>
    <w:uiPriority w:val="0"/>
    <w:pPr>
      <w:ind w:firstLine="420" w:firstLineChars="200"/>
    </w:pPr>
    <w:rPr>
      <w:rFonts w:ascii="Times New Roman" w:hAnsi="Times New Roman" w:eastAsia="宋体" w:cs="Times New Roman"/>
      <w:szCs w:val="24"/>
    </w:rPr>
  </w:style>
  <w:style w:type="paragraph" w:customStyle="1" w:styleId="154">
    <w:name w:val="列出段落2"/>
    <w:basedOn w:val="1"/>
    <w:autoRedefine/>
    <w:qFormat/>
    <w:uiPriority w:val="99"/>
    <w:pPr>
      <w:ind w:firstLine="420" w:firstLineChars="200"/>
    </w:pPr>
    <w:rPr>
      <w:rFonts w:ascii="Times New Roman" w:hAnsi="Times New Roman" w:eastAsia="宋体" w:cs="Times New Roman"/>
      <w:szCs w:val="24"/>
    </w:rPr>
  </w:style>
  <w:style w:type="paragraph" w:customStyle="1" w:styleId="155">
    <w:name w:val="TOC 标题1"/>
    <w:basedOn w:val="156"/>
    <w:autoRedefine/>
    <w:qFormat/>
    <w:uiPriority w:val="0"/>
    <w:pPr>
      <w:keepLines/>
      <w:spacing w:before="480" w:after="0" w:line="276" w:lineRule="auto"/>
      <w:jc w:val="left"/>
      <w:outlineLvl w:val="9"/>
    </w:pPr>
    <w:rPr>
      <w:rFonts w:ascii="Cambria" w:hAnsi="Cambria" w:cs="Times New Roman"/>
      <w:color w:val="365F91"/>
      <w:kern w:val="0"/>
      <w:sz w:val="28"/>
      <w:szCs w:val="28"/>
    </w:rPr>
  </w:style>
  <w:style w:type="paragraph" w:customStyle="1" w:styleId="156">
    <w:name w:val="标题 11"/>
    <w:basedOn w:val="1"/>
    <w:qFormat/>
    <w:uiPriority w:val="0"/>
    <w:pPr>
      <w:keepNext/>
      <w:keepLines/>
      <w:spacing w:before="340" w:beforeLines="0" w:after="330" w:afterLines="0" w:line="576" w:lineRule="auto"/>
      <w:outlineLvl w:val="0"/>
    </w:pPr>
    <w:rPr>
      <w:rFonts w:ascii="Times New Roman" w:hAnsi="Times New Roman" w:eastAsia="宋体"/>
      <w:b/>
      <w:bCs/>
      <w:kern w:val="44"/>
      <w:sz w:val="44"/>
      <w:szCs w:val="44"/>
    </w:rPr>
  </w:style>
  <w:style w:type="paragraph" w:customStyle="1" w:styleId="157">
    <w:name w:val="正文文本缩进 31"/>
    <w:basedOn w:val="1"/>
    <w:autoRedefine/>
    <w:qFormat/>
    <w:uiPriority w:val="0"/>
    <w:pPr>
      <w:spacing w:line="440" w:lineRule="exact"/>
      <w:ind w:firstLine="412" w:firstLineChars="200"/>
    </w:pPr>
    <w:rPr>
      <w:rFonts w:ascii="宋体" w:hAnsi="宋体" w:eastAsia="宋体" w:cs="Times New Roman"/>
      <w:kern w:val="0"/>
      <w:sz w:val="20"/>
      <w:szCs w:val="20"/>
    </w:rPr>
  </w:style>
  <w:style w:type="character" w:customStyle="1" w:styleId="158">
    <w:name w:val="font41"/>
    <w:autoRedefine/>
    <w:qFormat/>
    <w:uiPriority w:val="99"/>
    <w:rPr>
      <w:rFonts w:hint="eastAsia" w:ascii="宋体" w:hAnsi="宋体" w:eastAsia="宋体" w:cs="宋体"/>
      <w:b/>
      <w:color w:val="000000"/>
      <w:sz w:val="22"/>
      <w:szCs w:val="22"/>
      <w:u w:val="none"/>
    </w:rPr>
  </w:style>
  <w:style w:type="character" w:customStyle="1" w:styleId="159">
    <w:name w:val="font81"/>
    <w:autoRedefine/>
    <w:qFormat/>
    <w:uiPriority w:val="99"/>
    <w:rPr>
      <w:rFonts w:hint="eastAsia" w:ascii="宋体" w:hAnsi="宋体" w:eastAsia="宋体" w:cs="宋体"/>
      <w:b/>
      <w:color w:val="000000"/>
      <w:sz w:val="22"/>
      <w:szCs w:val="22"/>
      <w:u w:val="none"/>
    </w:rPr>
  </w:style>
  <w:style w:type="character" w:customStyle="1" w:styleId="160">
    <w:name w:val="font21"/>
    <w:autoRedefine/>
    <w:qFormat/>
    <w:uiPriority w:val="0"/>
    <w:rPr>
      <w:rFonts w:hint="eastAsia" w:ascii="宋体" w:hAnsi="宋体" w:eastAsia="宋体" w:cs="宋体"/>
      <w:color w:val="000000"/>
      <w:sz w:val="18"/>
      <w:szCs w:val="18"/>
      <w:u w:val="none"/>
    </w:rPr>
  </w:style>
  <w:style w:type="character" w:customStyle="1" w:styleId="161">
    <w:name w:val="日期 Char"/>
    <w:link w:val="26"/>
    <w:autoRedefine/>
    <w:qFormat/>
    <w:uiPriority w:val="0"/>
    <w:rPr>
      <w:szCs w:val="21"/>
    </w:rPr>
  </w:style>
  <w:style w:type="character" w:customStyle="1" w:styleId="162">
    <w:name w:val="font01"/>
    <w:autoRedefine/>
    <w:qFormat/>
    <w:uiPriority w:val="99"/>
    <w:rPr>
      <w:rFonts w:hint="eastAsia" w:ascii="宋体" w:hAnsi="宋体" w:eastAsia="宋体" w:cs="宋体"/>
      <w:color w:val="000000"/>
      <w:sz w:val="22"/>
      <w:szCs w:val="22"/>
      <w:u w:val="none"/>
    </w:rPr>
  </w:style>
  <w:style w:type="character" w:customStyle="1" w:styleId="163">
    <w:name w:val="Char Char1"/>
    <w:autoRedefine/>
    <w:qFormat/>
    <w:uiPriority w:val="0"/>
    <w:rPr>
      <w:rFonts w:eastAsia="宋体"/>
      <w:kern w:val="2"/>
      <w:sz w:val="18"/>
      <w:szCs w:val="18"/>
      <w:lang w:val="en-US" w:eastAsia="zh-CN" w:bidi="ar-SA"/>
    </w:rPr>
  </w:style>
  <w:style w:type="character" w:customStyle="1" w:styleId="164">
    <w:name w:val="标题 Char"/>
    <w:link w:val="46"/>
    <w:autoRedefine/>
    <w:qFormat/>
    <w:uiPriority w:val="0"/>
    <w:rPr>
      <w:rFonts w:ascii="Cambria" w:hAnsi="Cambria" w:cs="Times New Roman"/>
      <w:b/>
      <w:bCs/>
      <w:sz w:val="32"/>
      <w:szCs w:val="32"/>
    </w:rPr>
  </w:style>
  <w:style w:type="character" w:customStyle="1" w:styleId="165">
    <w:name w:val="hei141"/>
    <w:autoRedefine/>
    <w:qFormat/>
    <w:uiPriority w:val="0"/>
    <w:rPr>
      <w:rFonts w:hint="eastAsia" w:ascii="宋体" w:hAnsi="宋体" w:eastAsia="宋体"/>
      <w:color w:val="000000"/>
      <w:sz w:val="19"/>
      <w:szCs w:val="19"/>
      <w:u w:val="none"/>
    </w:rPr>
  </w:style>
  <w:style w:type="character" w:customStyle="1" w:styleId="166">
    <w:name w:val="批注文字 Char"/>
    <w:link w:val="16"/>
    <w:autoRedefine/>
    <w:qFormat/>
    <w:uiPriority w:val="0"/>
  </w:style>
  <w:style w:type="character" w:customStyle="1" w:styleId="167">
    <w:name w:val="apple-style-span"/>
    <w:basedOn w:val="50"/>
    <w:autoRedefine/>
    <w:qFormat/>
    <w:uiPriority w:val="0"/>
  </w:style>
  <w:style w:type="character" w:customStyle="1" w:styleId="168">
    <w:name w:val="param-value"/>
    <w:autoRedefine/>
    <w:qFormat/>
    <w:uiPriority w:val="99"/>
    <w:rPr>
      <w:rFonts w:cs="Times New Roman"/>
    </w:rPr>
  </w:style>
  <w:style w:type="character" w:customStyle="1" w:styleId="169">
    <w:name w:val="font61"/>
    <w:autoRedefine/>
    <w:qFormat/>
    <w:uiPriority w:val="0"/>
    <w:rPr>
      <w:rFonts w:hint="eastAsia" w:ascii="宋体" w:hAnsi="宋体" w:eastAsia="宋体" w:cs="宋体"/>
      <w:color w:val="000000"/>
      <w:sz w:val="22"/>
      <w:szCs w:val="22"/>
      <w:u w:val="none"/>
    </w:rPr>
  </w:style>
  <w:style w:type="character" w:customStyle="1" w:styleId="170">
    <w:name w:val="font11"/>
    <w:autoRedefine/>
    <w:qFormat/>
    <w:uiPriority w:val="0"/>
    <w:rPr>
      <w:rFonts w:hint="eastAsia" w:ascii="宋体" w:hAnsi="宋体" w:eastAsia="宋体" w:cs="宋体"/>
      <w:color w:val="FF0000"/>
      <w:sz w:val="22"/>
      <w:szCs w:val="22"/>
      <w:u w:val="none"/>
    </w:rPr>
  </w:style>
  <w:style w:type="character" w:customStyle="1" w:styleId="171">
    <w:name w:val="批注主题 Char"/>
    <w:link w:val="47"/>
    <w:autoRedefine/>
    <w:qFormat/>
    <w:uiPriority w:val="0"/>
    <w:rPr>
      <w:b/>
      <w:bCs/>
    </w:rPr>
  </w:style>
  <w:style w:type="character" w:customStyle="1" w:styleId="172">
    <w:name w:val="批注文字 Char1"/>
    <w:basedOn w:val="50"/>
    <w:autoRedefine/>
    <w:semiHidden/>
    <w:qFormat/>
    <w:uiPriority w:val="99"/>
  </w:style>
  <w:style w:type="paragraph" w:customStyle="1" w:styleId="173">
    <w:name w:val="内文"/>
    <w:basedOn w:val="1"/>
    <w:autoRedefine/>
    <w:qFormat/>
    <w:uiPriority w:val="0"/>
    <w:pPr>
      <w:spacing w:line="500" w:lineRule="exact"/>
      <w:ind w:firstLine="560" w:firstLineChars="200"/>
    </w:pPr>
    <w:rPr>
      <w:rFonts w:ascii="方正仿宋简体" w:hAnsi="宋体" w:eastAsia="方正仿宋简体" w:cs="Times New Roman"/>
      <w:sz w:val="28"/>
      <w:szCs w:val="28"/>
    </w:rPr>
  </w:style>
  <w:style w:type="character" w:customStyle="1" w:styleId="174">
    <w:name w:val="批注主题 Char1"/>
    <w:basedOn w:val="172"/>
    <w:autoRedefine/>
    <w:qFormat/>
    <w:uiPriority w:val="0"/>
    <w:rPr>
      <w:b/>
      <w:bCs/>
    </w:rPr>
  </w:style>
  <w:style w:type="paragraph" w:customStyle="1" w:styleId="175">
    <w:name w:val="reader-word-layer reader-word-s1-17"/>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6">
    <w:name w:val="日期 Char1"/>
    <w:basedOn w:val="50"/>
    <w:autoRedefine/>
    <w:qFormat/>
    <w:uiPriority w:val="0"/>
  </w:style>
  <w:style w:type="paragraph" w:customStyle="1" w:styleId="177">
    <w:name w:val="reader-word-layer reader-word-s1-14"/>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8">
    <w:name w:val="脚注文本 Char"/>
    <w:basedOn w:val="50"/>
    <w:link w:val="35"/>
    <w:autoRedefine/>
    <w:semiHidden/>
    <w:qFormat/>
    <w:uiPriority w:val="0"/>
    <w:rPr>
      <w:rFonts w:ascii="Times New Roman" w:hAnsi="Times New Roman" w:eastAsia="宋体" w:cs="Times New Roman"/>
      <w:sz w:val="18"/>
      <w:szCs w:val="18"/>
    </w:rPr>
  </w:style>
  <w:style w:type="paragraph" w:customStyle="1" w:styleId="179">
    <w:name w:val="reader-word-layer reader-word-s1-16"/>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0">
    <w:name w:val="reader-word-layer reader-word-s1-15"/>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81">
    <w:name w:val="标题 Char1"/>
    <w:basedOn w:val="50"/>
    <w:autoRedefine/>
    <w:qFormat/>
    <w:uiPriority w:val="10"/>
    <w:rPr>
      <w:rFonts w:eastAsia="宋体" w:asciiTheme="majorHAnsi" w:hAnsiTheme="majorHAnsi" w:cstheme="majorBidi"/>
      <w:b/>
      <w:bCs/>
      <w:sz w:val="32"/>
      <w:szCs w:val="32"/>
    </w:rPr>
  </w:style>
  <w:style w:type="paragraph" w:customStyle="1" w:styleId="182">
    <w:name w:val="本文正文"/>
    <w:basedOn w:val="1"/>
    <w:autoRedefine/>
    <w:qFormat/>
    <w:uiPriority w:val="0"/>
    <w:pPr>
      <w:widowControl/>
      <w:spacing w:line="480" w:lineRule="exact"/>
      <w:ind w:firstLine="200" w:firstLineChars="200"/>
      <w:jc w:val="left"/>
    </w:pPr>
    <w:rPr>
      <w:rFonts w:ascii="宋体" w:hAnsi="宋体" w:eastAsia="宋体" w:cs="Times New Roman"/>
      <w:kern w:val="0"/>
      <w:sz w:val="24"/>
      <w:szCs w:val="24"/>
    </w:rPr>
  </w:style>
  <w:style w:type="paragraph" w:customStyle="1" w:styleId="183">
    <w:name w:val="reader-word-layer reader-word-s1-18"/>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4">
    <w:name w:val="Char Char Char1 Char Char Char Char"/>
    <w:basedOn w:val="1"/>
    <w:autoRedefine/>
    <w:qFormat/>
    <w:uiPriority w:val="99"/>
    <w:pPr>
      <w:spacing w:line="300" w:lineRule="auto"/>
    </w:pPr>
    <w:rPr>
      <w:rFonts w:ascii="Tahoma" w:hAnsi="Tahoma" w:eastAsia="宋体" w:cs="Times New Roman"/>
      <w:sz w:val="24"/>
      <w:szCs w:val="24"/>
    </w:rPr>
  </w:style>
  <w:style w:type="paragraph" w:customStyle="1" w:styleId="185">
    <w:name w:val="Default"/>
    <w:basedOn w:val="46"/>
    <w:autoRedefine/>
    <w:qFormat/>
    <w:uiPriority w:val="0"/>
    <w:pPr>
      <w:widowControl w:val="0"/>
      <w:autoSpaceDE w:val="0"/>
      <w:autoSpaceDN w:val="0"/>
      <w:adjustRightInd w:val="0"/>
      <w:jc w:val="both"/>
    </w:pPr>
    <w:rPr>
      <w:rFonts w:ascii="黑体" w:hAnsi="黑体" w:eastAsia="宋体" w:cs="黑体"/>
      <w:color w:val="000000"/>
      <w:sz w:val="24"/>
      <w:szCs w:val="24"/>
      <w:lang w:val="en-US" w:eastAsia="zh-CN" w:bidi="ar-SA"/>
    </w:rPr>
  </w:style>
  <w:style w:type="paragraph" w:customStyle="1" w:styleId="186">
    <w:name w:val="List Paragraph1"/>
    <w:basedOn w:val="1"/>
    <w:autoRedefine/>
    <w:qFormat/>
    <w:uiPriority w:val="0"/>
    <w:pPr>
      <w:ind w:firstLine="420" w:firstLineChars="200"/>
    </w:pPr>
    <w:rPr>
      <w:rFonts w:ascii="Times New Roman" w:hAnsi="Times New Roman" w:eastAsia="宋体" w:cs="Times New Roman"/>
      <w:szCs w:val="24"/>
    </w:rPr>
  </w:style>
  <w:style w:type="paragraph" w:customStyle="1" w:styleId="187">
    <w:name w:val="reader-word-layer reader-word-s1-11"/>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8">
    <w:name w:val="reader-word-layer reader-word-s1-19"/>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9">
    <w:name w:val="reader-word-layer reader-word-s1-10"/>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90">
    <w:name w:val="Char Char4"/>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191">
    <w:name w:val="reader-word-layer"/>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92">
    <w:name w:val="Char Char4 Char Char"/>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193">
    <w:name w:val="列出段落3"/>
    <w:basedOn w:val="1"/>
    <w:autoRedefine/>
    <w:qFormat/>
    <w:uiPriority w:val="0"/>
    <w:pPr>
      <w:ind w:firstLine="420" w:firstLineChars="200"/>
    </w:pPr>
    <w:rPr>
      <w:rFonts w:ascii="Times New Roman" w:hAnsi="Times New Roman" w:eastAsia="宋体" w:cs="Times New Roman"/>
      <w:szCs w:val="24"/>
    </w:rPr>
  </w:style>
  <w:style w:type="character" w:customStyle="1" w:styleId="194">
    <w:name w:val="Char Char12"/>
    <w:autoRedefine/>
    <w:qFormat/>
    <w:uiPriority w:val="0"/>
    <w:rPr>
      <w:rFonts w:eastAsia="宋体"/>
      <w:kern w:val="2"/>
      <w:sz w:val="18"/>
      <w:szCs w:val="18"/>
      <w:lang w:val="en-US" w:eastAsia="zh-CN" w:bidi="ar-SA"/>
    </w:rPr>
  </w:style>
  <w:style w:type="paragraph" w:customStyle="1" w:styleId="195">
    <w:name w:val="Char Char42"/>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196">
    <w:name w:val="Char Char4 Char Char2"/>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197">
    <w:name w:val="列出段落4"/>
    <w:basedOn w:val="1"/>
    <w:autoRedefine/>
    <w:qFormat/>
    <w:uiPriority w:val="0"/>
    <w:pPr>
      <w:ind w:firstLine="420" w:firstLineChars="200"/>
    </w:pPr>
    <w:rPr>
      <w:rFonts w:ascii="Times New Roman" w:hAnsi="Times New Roman" w:eastAsia="宋体" w:cs="Times New Roman"/>
      <w:szCs w:val="24"/>
    </w:rPr>
  </w:style>
  <w:style w:type="character" w:customStyle="1" w:styleId="198">
    <w:name w:val="Char Char11"/>
    <w:autoRedefine/>
    <w:qFormat/>
    <w:uiPriority w:val="0"/>
    <w:rPr>
      <w:rFonts w:eastAsia="宋体"/>
      <w:kern w:val="2"/>
      <w:sz w:val="18"/>
      <w:szCs w:val="18"/>
      <w:lang w:val="en-US" w:eastAsia="zh-CN" w:bidi="ar-SA"/>
    </w:rPr>
  </w:style>
  <w:style w:type="paragraph" w:customStyle="1" w:styleId="199">
    <w:name w:val="Char Char41"/>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200">
    <w:name w:val="Char Char4 Char Char1"/>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201">
    <w:name w:val="列出段落5"/>
    <w:basedOn w:val="1"/>
    <w:autoRedefine/>
    <w:qFormat/>
    <w:uiPriority w:val="0"/>
    <w:pPr>
      <w:ind w:firstLine="420" w:firstLineChars="200"/>
    </w:pPr>
    <w:rPr>
      <w:rFonts w:ascii="Times New Roman" w:hAnsi="Times New Roman" w:eastAsia="宋体" w:cs="Times New Roman"/>
      <w:szCs w:val="24"/>
    </w:rPr>
  </w:style>
  <w:style w:type="character" w:customStyle="1" w:styleId="202">
    <w:name w:val="bookmark-item"/>
    <w:basedOn w:val="50"/>
    <w:autoRedefine/>
    <w:qFormat/>
    <w:uiPriority w:val="0"/>
  </w:style>
  <w:style w:type="paragraph" w:styleId="203">
    <w:name w:val="List Paragraph"/>
    <w:basedOn w:val="1"/>
    <w:autoRedefine/>
    <w:qFormat/>
    <w:uiPriority w:val="34"/>
    <w:pPr>
      <w:ind w:firstLine="420" w:firstLineChars="200"/>
    </w:pPr>
    <w:rPr>
      <w:rFonts w:ascii="Calibri" w:hAnsi="Calibri" w:eastAsia="宋体" w:cs="Times New Roman"/>
    </w:rPr>
  </w:style>
  <w:style w:type="character" w:customStyle="1" w:styleId="204">
    <w:name w:val="纯文本 Char"/>
    <w:basedOn w:val="50"/>
    <w:link w:val="24"/>
    <w:autoRedefine/>
    <w:qFormat/>
    <w:uiPriority w:val="0"/>
    <w:rPr>
      <w:rFonts w:ascii="宋体" w:hAnsi="Courier New" w:eastAsia="宋体" w:cs="宋体"/>
      <w:kern w:val="2"/>
      <w:sz w:val="21"/>
      <w:szCs w:val="21"/>
    </w:rPr>
  </w:style>
  <w:style w:type="paragraph" w:customStyle="1" w:styleId="205">
    <w:name w:val="0"/>
    <w:basedOn w:val="1"/>
    <w:autoRedefine/>
    <w:qFormat/>
    <w:uiPriority w:val="0"/>
    <w:pPr>
      <w:widowControl/>
      <w:snapToGrid w:val="0"/>
      <w:jc w:val="left"/>
    </w:pPr>
    <w:rPr>
      <w:rFonts w:ascii="Times New Roman" w:hAnsi="Times New Roman" w:eastAsia="宋体" w:cs="Times New Roman"/>
      <w:kern w:val="0"/>
      <w:sz w:val="20"/>
      <w:szCs w:val="20"/>
    </w:rPr>
  </w:style>
  <w:style w:type="character" w:customStyle="1" w:styleId="206">
    <w:name w:val="标题 5 Char"/>
    <w:basedOn w:val="50"/>
    <w:link w:val="6"/>
    <w:autoRedefine/>
    <w:qFormat/>
    <w:uiPriority w:val="0"/>
    <w:rPr>
      <w:rFonts w:eastAsia="Arial Unicode MS"/>
      <w:b/>
      <w:sz w:val="28"/>
    </w:rPr>
  </w:style>
  <w:style w:type="character" w:customStyle="1" w:styleId="207">
    <w:name w:val="标题 6 Char"/>
    <w:basedOn w:val="50"/>
    <w:link w:val="7"/>
    <w:autoRedefine/>
    <w:qFormat/>
    <w:uiPriority w:val="0"/>
    <w:rPr>
      <w:rFonts w:ascii="Arial" w:hAnsi="Arial" w:eastAsia="黑体"/>
      <w:b/>
      <w:sz w:val="24"/>
    </w:rPr>
  </w:style>
  <w:style w:type="character" w:customStyle="1" w:styleId="208">
    <w:name w:val="标题 7 Char"/>
    <w:basedOn w:val="50"/>
    <w:link w:val="8"/>
    <w:autoRedefine/>
    <w:qFormat/>
    <w:uiPriority w:val="0"/>
    <w:rPr>
      <w:b/>
      <w:sz w:val="24"/>
    </w:rPr>
  </w:style>
  <w:style w:type="character" w:customStyle="1" w:styleId="209">
    <w:name w:val="标题 8 Char"/>
    <w:basedOn w:val="50"/>
    <w:link w:val="9"/>
    <w:autoRedefine/>
    <w:qFormat/>
    <w:uiPriority w:val="0"/>
    <w:rPr>
      <w:rFonts w:ascii="Arial" w:hAnsi="Arial" w:eastAsia="黑体"/>
      <w:sz w:val="24"/>
    </w:rPr>
  </w:style>
  <w:style w:type="character" w:customStyle="1" w:styleId="210">
    <w:name w:val="标题 9 Char"/>
    <w:basedOn w:val="50"/>
    <w:link w:val="10"/>
    <w:autoRedefine/>
    <w:qFormat/>
    <w:uiPriority w:val="0"/>
    <w:rPr>
      <w:rFonts w:ascii="Arial" w:hAnsi="Arial" w:eastAsia="黑体"/>
      <w:sz w:val="21"/>
    </w:rPr>
  </w:style>
  <w:style w:type="character" w:customStyle="1" w:styleId="211">
    <w:name w:val="正文文本 3 Char"/>
    <w:basedOn w:val="50"/>
    <w:link w:val="17"/>
    <w:autoRedefine/>
    <w:qFormat/>
    <w:uiPriority w:val="0"/>
    <w:rPr>
      <w:color w:val="000000"/>
      <w:kern w:val="2"/>
      <w:sz w:val="21"/>
    </w:rPr>
  </w:style>
  <w:style w:type="character" w:customStyle="1" w:styleId="212">
    <w:name w:val="副标题 Char"/>
    <w:basedOn w:val="50"/>
    <w:link w:val="33"/>
    <w:autoRedefine/>
    <w:qFormat/>
    <w:uiPriority w:val="0"/>
    <w:rPr>
      <w:rFonts w:ascii="Cambria" w:hAnsi="Cambria"/>
      <w:b/>
      <w:bCs/>
      <w:kern w:val="28"/>
      <w:sz w:val="32"/>
      <w:szCs w:val="32"/>
    </w:rPr>
  </w:style>
  <w:style w:type="character" w:customStyle="1" w:styleId="213">
    <w:name w:val="正文文本 2 Char"/>
    <w:basedOn w:val="50"/>
    <w:link w:val="41"/>
    <w:autoRedefine/>
    <w:qFormat/>
    <w:uiPriority w:val="0"/>
    <w:rPr>
      <w:rFonts w:ascii="宋体" w:hAnsi="宋体"/>
      <w:kern w:val="2"/>
      <w:sz w:val="18"/>
    </w:rPr>
  </w:style>
  <w:style w:type="character" w:customStyle="1" w:styleId="214">
    <w:name w:val="HTML 预设格式 Char"/>
    <w:basedOn w:val="50"/>
    <w:link w:val="43"/>
    <w:autoRedefine/>
    <w:qFormat/>
    <w:uiPriority w:val="0"/>
    <w:rPr>
      <w:rFonts w:ascii="Arial" w:hAnsi="Arial" w:cs="Arial"/>
      <w:sz w:val="24"/>
      <w:szCs w:val="24"/>
    </w:rPr>
  </w:style>
  <w:style w:type="character" w:customStyle="1" w:styleId="215">
    <w:name w:val="标题 4 Char"/>
    <w:basedOn w:val="50"/>
    <w:link w:val="5"/>
    <w:autoRedefine/>
    <w:qFormat/>
    <w:uiPriority w:val="0"/>
    <w:rPr>
      <w:rFonts w:asciiTheme="majorHAnsi" w:hAnsiTheme="majorHAnsi" w:eastAsiaTheme="majorEastAsia" w:cstheme="majorBidi"/>
      <w:b/>
      <w:bCs/>
      <w:kern w:val="2"/>
      <w:sz w:val="21"/>
      <w:szCs w:val="28"/>
    </w:rPr>
  </w:style>
  <w:style w:type="paragraph" w:customStyle="1" w:styleId="216">
    <w:name w:val="Char2"/>
    <w:basedOn w:val="1"/>
    <w:autoRedefine/>
    <w:qFormat/>
    <w:uiPriority w:val="0"/>
    <w:pPr>
      <w:tabs>
        <w:tab w:val="left" w:pos="360"/>
      </w:tabs>
      <w:snapToGrid w:val="0"/>
      <w:spacing w:line="360" w:lineRule="auto"/>
    </w:pPr>
    <w:rPr>
      <w:rFonts w:ascii="Times New Roman" w:hAnsi="Times New Roman" w:eastAsia="仿宋_GB2312" w:cs="宋体"/>
      <w:sz w:val="24"/>
      <w:szCs w:val="24"/>
    </w:rPr>
  </w:style>
  <w:style w:type="character" w:customStyle="1" w:styleId="217">
    <w:name w:val="纯文本 Char1"/>
    <w:basedOn w:val="50"/>
    <w:autoRedefine/>
    <w:semiHidden/>
    <w:qFormat/>
    <w:uiPriority w:val="99"/>
    <w:rPr>
      <w:rFonts w:ascii="宋体" w:hAnsi="Courier New" w:cs="Courier New"/>
      <w:szCs w:val="21"/>
    </w:rPr>
  </w:style>
  <w:style w:type="paragraph" w:customStyle="1" w:styleId="218">
    <w:name w:val="样式 标题 2 + Times New Roman 四号 非加粗 段前: 5 磅 段后: 0 磅 行距: 固定值 20..."/>
    <w:basedOn w:val="3"/>
    <w:autoRedefine/>
    <w:qFormat/>
    <w:uiPriority w:val="0"/>
    <w:pPr>
      <w:keepLines/>
      <w:widowControl w:val="0"/>
      <w:spacing w:before="100" w:after="0" w:line="400" w:lineRule="exact"/>
    </w:pPr>
    <w:rPr>
      <w:rFonts w:ascii="Times New Roman" w:hAnsi="Times New Roman" w:eastAsia="黑体" w:cs="宋体"/>
      <w:b w:val="0"/>
      <w:bCs w:val="0"/>
      <w:color w:val="auto"/>
      <w:kern w:val="2"/>
      <w:sz w:val="28"/>
      <w:szCs w:val="20"/>
    </w:rPr>
  </w:style>
  <w:style w:type="paragraph" w:customStyle="1" w:styleId="219">
    <w:name w:val="?y??"/>
    <w:autoRedefine/>
    <w:qFormat/>
    <w:uiPriority w:val="0"/>
    <w:pPr>
      <w:widowControl w:val="0"/>
      <w:overflowPunct w:val="0"/>
      <w:autoSpaceDE w:val="0"/>
      <w:autoSpaceDN w:val="0"/>
      <w:adjustRightInd w:val="0"/>
      <w:spacing w:line="357" w:lineRule="atLeast"/>
      <w:jc w:val="both"/>
      <w:textAlignment w:val="baseline"/>
    </w:pPr>
    <w:rPr>
      <w:rFonts w:ascii="Times New Roman" w:hAnsi="Times New Roman" w:eastAsia="宋体" w:cs="Times New Roman"/>
      <w:color w:val="000000"/>
      <w:sz w:val="21"/>
      <w:lang w:val="en-US" w:eastAsia="zh-CN" w:bidi="ar-SA"/>
    </w:rPr>
  </w:style>
  <w:style w:type="paragraph" w:customStyle="1" w:styleId="220">
    <w:name w:val="WPS Plain"/>
    <w:autoRedefine/>
    <w:qFormat/>
    <w:uiPriority w:val="0"/>
    <w:rPr>
      <w:rFonts w:ascii="Times New Roman" w:hAnsi="Times New Roman" w:eastAsia="宋体" w:cs="Times New Roman"/>
      <w:lang w:val="en-US" w:eastAsia="zh-CN" w:bidi="ar-SA"/>
    </w:rPr>
  </w:style>
  <w:style w:type="paragraph" w:customStyle="1" w:styleId="221">
    <w:name w:val="样式 标题 3 + (中文) 黑体 小四 非加粗 段前: 7.8 磅 段后: 0 磅 行距: 固定值 20 磅"/>
    <w:basedOn w:val="4"/>
    <w:autoRedefine/>
    <w:qFormat/>
    <w:uiPriority w:val="0"/>
    <w:pPr>
      <w:keepLines/>
      <w:widowControl w:val="0"/>
      <w:spacing w:before="0" w:after="0" w:line="400" w:lineRule="exact"/>
    </w:pPr>
    <w:rPr>
      <w:rFonts w:ascii="Times New Roman" w:hAnsi="Times New Roman" w:eastAsia="黑体" w:cs="Times New Roman"/>
      <w:b w:val="0"/>
      <w:bCs w:val="0"/>
      <w:color w:val="auto"/>
      <w:kern w:val="2"/>
      <w:sz w:val="24"/>
      <w:szCs w:val="20"/>
    </w:rPr>
  </w:style>
  <w:style w:type="character" w:customStyle="1" w:styleId="222">
    <w:name w:val="标题4 Char Char"/>
    <w:link w:val="223"/>
    <w:autoRedefine/>
    <w:qFormat/>
    <w:uiPriority w:val="0"/>
    <w:rPr>
      <w:rFonts w:ascii="Arial" w:hAnsi="Arial"/>
      <w:b/>
      <w:bCs/>
      <w:sz w:val="24"/>
      <w:szCs w:val="32"/>
    </w:rPr>
  </w:style>
  <w:style w:type="paragraph" w:customStyle="1" w:styleId="223">
    <w:name w:val="标题4"/>
    <w:basedOn w:val="3"/>
    <w:next w:val="21"/>
    <w:link w:val="222"/>
    <w:autoRedefine/>
    <w:qFormat/>
    <w:uiPriority w:val="0"/>
    <w:pPr>
      <w:keepLines/>
      <w:widowControl w:val="0"/>
      <w:spacing w:line="413" w:lineRule="auto"/>
    </w:pPr>
    <w:rPr>
      <w:rFonts w:ascii="Arial" w:hAnsi="Arial" w:cs="Times New Roman"/>
      <w:color w:val="auto"/>
      <w:sz w:val="24"/>
    </w:rPr>
  </w:style>
  <w:style w:type="character" w:customStyle="1" w:styleId="224">
    <w:name w:val="明显引用 Char"/>
    <w:link w:val="225"/>
    <w:autoRedefine/>
    <w:qFormat/>
    <w:uiPriority w:val="0"/>
    <w:rPr>
      <w:b/>
      <w:bCs/>
      <w:i/>
      <w:iCs/>
      <w:color w:val="4F81BD"/>
    </w:rPr>
  </w:style>
  <w:style w:type="paragraph" w:customStyle="1" w:styleId="225">
    <w:name w:val="明显引用1"/>
    <w:basedOn w:val="1"/>
    <w:next w:val="1"/>
    <w:link w:val="224"/>
    <w:autoRedefine/>
    <w:qFormat/>
    <w:uiPriority w:val="0"/>
    <w:pPr>
      <w:pBdr>
        <w:bottom w:val="single" w:color="4F81BD" w:sz="4" w:space="4"/>
      </w:pBdr>
      <w:spacing w:before="200" w:after="280"/>
      <w:ind w:left="936" w:right="936"/>
    </w:pPr>
    <w:rPr>
      <w:rFonts w:ascii="Times New Roman" w:hAnsi="Times New Roman" w:eastAsia="宋体" w:cs="Times New Roman"/>
      <w:b/>
      <w:bCs/>
      <w:i/>
      <w:iCs/>
      <w:color w:val="4F81BD"/>
      <w:kern w:val="0"/>
      <w:sz w:val="20"/>
      <w:szCs w:val="20"/>
    </w:rPr>
  </w:style>
  <w:style w:type="character" w:customStyle="1" w:styleId="226">
    <w:name w:val="明显引用 Char1"/>
    <w:basedOn w:val="50"/>
    <w:autoRedefine/>
    <w:qFormat/>
    <w:uiPriority w:val="30"/>
    <w:rPr>
      <w:b/>
      <w:bCs/>
      <w:i/>
      <w:iCs/>
      <w:color w:val="4F81BD"/>
    </w:rPr>
  </w:style>
  <w:style w:type="character" w:customStyle="1" w:styleId="227">
    <w:name w:val="书籍标题1"/>
    <w:autoRedefine/>
    <w:qFormat/>
    <w:uiPriority w:val="0"/>
    <w:rPr>
      <w:b/>
      <w:bCs/>
      <w:smallCaps/>
      <w:spacing w:val="5"/>
    </w:rPr>
  </w:style>
  <w:style w:type="character" w:customStyle="1" w:styleId="228">
    <w:name w:val="副标题 Char1"/>
    <w:basedOn w:val="50"/>
    <w:autoRedefine/>
    <w:qFormat/>
    <w:uiPriority w:val="11"/>
    <w:rPr>
      <w:rFonts w:ascii="Cambria" w:hAnsi="Cambria" w:cs="Times New Roman"/>
      <w:b/>
      <w:bCs/>
      <w:kern w:val="28"/>
      <w:sz w:val="32"/>
      <w:szCs w:val="32"/>
    </w:rPr>
  </w:style>
  <w:style w:type="character" w:customStyle="1" w:styleId="229">
    <w:name w:val="明显强调1"/>
    <w:autoRedefine/>
    <w:qFormat/>
    <w:uiPriority w:val="0"/>
    <w:rPr>
      <w:b/>
      <w:bCs/>
      <w:i/>
      <w:iCs/>
      <w:color w:val="4F81BD"/>
    </w:rPr>
  </w:style>
  <w:style w:type="character" w:customStyle="1" w:styleId="230">
    <w:name w:val="标题5 Char Char"/>
    <w:link w:val="231"/>
    <w:autoRedefine/>
    <w:qFormat/>
    <w:uiPriority w:val="0"/>
    <w:rPr>
      <w:rFonts w:ascii="Arial" w:hAnsi="Arial"/>
      <w:b/>
      <w:bCs/>
      <w:sz w:val="24"/>
      <w:szCs w:val="32"/>
    </w:rPr>
  </w:style>
  <w:style w:type="paragraph" w:customStyle="1" w:styleId="231">
    <w:name w:val="标题5"/>
    <w:basedOn w:val="4"/>
    <w:link w:val="230"/>
    <w:autoRedefine/>
    <w:qFormat/>
    <w:uiPriority w:val="0"/>
    <w:pPr>
      <w:keepLines/>
      <w:widowControl w:val="0"/>
      <w:spacing w:line="413" w:lineRule="auto"/>
    </w:pPr>
    <w:rPr>
      <w:rFonts w:ascii="Arial" w:hAnsi="Arial" w:cs="Times New Roman"/>
      <w:color w:val="auto"/>
      <w:sz w:val="24"/>
    </w:rPr>
  </w:style>
  <w:style w:type="character" w:customStyle="1" w:styleId="232">
    <w:name w:val="textcontents"/>
    <w:autoRedefine/>
    <w:qFormat/>
    <w:uiPriority w:val="0"/>
    <w:rPr>
      <w:rFonts w:cs="Times New Roman"/>
    </w:rPr>
  </w:style>
  <w:style w:type="character" w:customStyle="1" w:styleId="233">
    <w:name w:val="不明显强调1"/>
    <w:autoRedefine/>
    <w:qFormat/>
    <w:uiPriority w:val="0"/>
    <w:rPr>
      <w:i/>
      <w:iCs/>
      <w:color w:val="808080"/>
    </w:rPr>
  </w:style>
  <w:style w:type="character" w:customStyle="1" w:styleId="234">
    <w:name w:val="不明显参考1"/>
    <w:autoRedefine/>
    <w:qFormat/>
    <w:uiPriority w:val="0"/>
    <w:rPr>
      <w:smallCaps/>
      <w:color w:val="C0504D"/>
      <w:u w:val="single"/>
    </w:rPr>
  </w:style>
  <w:style w:type="character" w:customStyle="1" w:styleId="235">
    <w:name w:val="正文文本 Char1"/>
    <w:autoRedefine/>
    <w:qFormat/>
    <w:uiPriority w:val="0"/>
    <w:rPr>
      <w:kern w:val="2"/>
      <w:sz w:val="21"/>
      <w:szCs w:val="22"/>
    </w:rPr>
  </w:style>
  <w:style w:type="character" w:customStyle="1" w:styleId="236">
    <w:name w:val="批注文字 Char Char"/>
    <w:autoRedefine/>
    <w:qFormat/>
    <w:uiPriority w:val="0"/>
    <w:rPr>
      <w:rFonts w:ascii="宋体" w:hAnsi="Times New Roman" w:eastAsia="宋体" w:cs="Times New Roman"/>
      <w:sz w:val="28"/>
      <w:szCs w:val="20"/>
    </w:rPr>
  </w:style>
  <w:style w:type="character" w:customStyle="1" w:styleId="237">
    <w:name w:val="明显参考1"/>
    <w:autoRedefine/>
    <w:qFormat/>
    <w:uiPriority w:val="0"/>
    <w:rPr>
      <w:b/>
      <w:bCs/>
      <w:smallCaps/>
      <w:color w:val="C0504D"/>
      <w:spacing w:val="5"/>
      <w:u w:val="single"/>
    </w:rPr>
  </w:style>
  <w:style w:type="character" w:customStyle="1" w:styleId="238">
    <w:name w:val="引用 Char"/>
    <w:link w:val="239"/>
    <w:autoRedefine/>
    <w:qFormat/>
    <w:uiPriority w:val="0"/>
    <w:rPr>
      <w:i/>
      <w:iCs/>
      <w:color w:val="000000"/>
    </w:rPr>
  </w:style>
  <w:style w:type="paragraph" w:customStyle="1" w:styleId="239">
    <w:name w:val="引用1"/>
    <w:basedOn w:val="1"/>
    <w:next w:val="1"/>
    <w:link w:val="238"/>
    <w:autoRedefine/>
    <w:qFormat/>
    <w:uiPriority w:val="0"/>
    <w:rPr>
      <w:rFonts w:ascii="Times New Roman" w:hAnsi="Times New Roman" w:eastAsia="宋体" w:cs="Times New Roman"/>
      <w:i/>
      <w:iCs/>
      <w:color w:val="000000"/>
      <w:kern w:val="0"/>
      <w:sz w:val="20"/>
      <w:szCs w:val="20"/>
    </w:rPr>
  </w:style>
  <w:style w:type="character" w:customStyle="1" w:styleId="240">
    <w:name w:val="引用 Char1"/>
    <w:basedOn w:val="50"/>
    <w:autoRedefine/>
    <w:qFormat/>
    <w:uiPriority w:val="29"/>
    <w:rPr>
      <w:i/>
      <w:iCs/>
      <w:color w:val="000000"/>
    </w:rPr>
  </w:style>
  <w:style w:type="character" w:customStyle="1" w:styleId="241">
    <w:name w:val="文档结构图 Char1"/>
    <w:autoRedefine/>
    <w:qFormat/>
    <w:uiPriority w:val="0"/>
    <w:rPr>
      <w:rFonts w:ascii="宋体"/>
      <w:kern w:val="2"/>
      <w:sz w:val="18"/>
      <w:szCs w:val="18"/>
    </w:rPr>
  </w:style>
  <w:style w:type="paragraph" w:customStyle="1" w:styleId="242">
    <w:name w:val="修订1"/>
    <w:autoRedefine/>
    <w:qFormat/>
    <w:uiPriority w:val="99"/>
    <w:rPr>
      <w:rFonts w:ascii="Times New Roman" w:hAnsi="Times New Roman" w:eastAsia="宋体" w:cs="Times New Roman"/>
      <w:kern w:val="2"/>
      <w:sz w:val="21"/>
      <w:szCs w:val="24"/>
      <w:lang w:val="en-US" w:eastAsia="zh-CN" w:bidi="ar-SA"/>
    </w:rPr>
  </w:style>
  <w:style w:type="paragraph" w:customStyle="1" w:styleId="243">
    <w:name w:val="flNote"/>
    <w:basedOn w:val="1"/>
    <w:autoRedefine/>
    <w:qFormat/>
    <w:uiPriority w:val="0"/>
    <w:pPr>
      <w:adjustRightInd w:val="0"/>
      <w:spacing w:before="320" w:after="160" w:line="360" w:lineRule="atLeast"/>
      <w:jc w:val="center"/>
      <w:textAlignment w:val="baseline"/>
    </w:pPr>
    <w:rPr>
      <w:rFonts w:ascii="Arial" w:hAnsi="Times New Roman" w:eastAsia="黑体" w:cs="Times New Roman"/>
      <w:kern w:val="0"/>
      <w:sz w:val="30"/>
      <w:szCs w:val="20"/>
    </w:rPr>
  </w:style>
  <w:style w:type="paragraph" w:customStyle="1" w:styleId="244">
    <w:name w:val="空半行"/>
    <w:basedOn w:val="1"/>
    <w:autoRedefine/>
    <w:qFormat/>
    <w:uiPriority w:val="0"/>
    <w:pPr>
      <w:adjustRightInd w:val="0"/>
      <w:spacing w:line="120" w:lineRule="exact"/>
      <w:textAlignment w:val="baseline"/>
    </w:pPr>
    <w:rPr>
      <w:rFonts w:ascii="Times New Roman" w:hAnsi="Times New Roman" w:eastAsia="仿宋_GB2312" w:cs="Times New Roman"/>
      <w:color w:val="FFFFFF"/>
      <w:kern w:val="0"/>
      <w:sz w:val="30"/>
      <w:szCs w:val="20"/>
    </w:rPr>
  </w:style>
  <w:style w:type="character" w:customStyle="1" w:styleId="245">
    <w:name w:val="Intense Quote Char"/>
    <w:link w:val="246"/>
    <w:autoRedefine/>
    <w:qFormat/>
    <w:locked/>
    <w:uiPriority w:val="0"/>
    <w:rPr>
      <w:b/>
      <w:bCs/>
      <w:i/>
      <w:iCs/>
      <w:color w:val="4F81BD"/>
      <w:sz w:val="22"/>
    </w:rPr>
  </w:style>
  <w:style w:type="paragraph" w:customStyle="1" w:styleId="246">
    <w:name w:val="明显引用11"/>
    <w:basedOn w:val="1"/>
    <w:next w:val="1"/>
    <w:link w:val="245"/>
    <w:autoRedefine/>
    <w:qFormat/>
    <w:uiPriority w:val="0"/>
    <w:pPr>
      <w:pBdr>
        <w:bottom w:val="single" w:color="4F81BD" w:sz="4" w:space="4"/>
      </w:pBdr>
      <w:spacing w:before="200" w:after="280"/>
      <w:ind w:left="936" w:right="936"/>
    </w:pPr>
    <w:rPr>
      <w:rFonts w:ascii="Times New Roman" w:hAnsi="Times New Roman" w:eastAsia="宋体" w:cs="Times New Roman"/>
      <w:b/>
      <w:bCs/>
      <w:i/>
      <w:iCs/>
      <w:color w:val="4F81BD"/>
      <w:kern w:val="0"/>
      <w:sz w:val="22"/>
      <w:szCs w:val="20"/>
    </w:rPr>
  </w:style>
  <w:style w:type="character" w:customStyle="1" w:styleId="247">
    <w:name w:val="书籍标题111"/>
    <w:autoRedefine/>
    <w:qFormat/>
    <w:uiPriority w:val="0"/>
    <w:rPr>
      <w:b/>
      <w:bCs/>
      <w:smallCaps/>
      <w:spacing w:val="5"/>
    </w:rPr>
  </w:style>
  <w:style w:type="character" w:customStyle="1" w:styleId="248">
    <w:name w:val="明显强调111"/>
    <w:autoRedefine/>
    <w:qFormat/>
    <w:uiPriority w:val="0"/>
    <w:rPr>
      <w:b/>
      <w:bCs/>
      <w:i/>
      <w:iCs/>
      <w:color w:val="4F81BD"/>
    </w:rPr>
  </w:style>
  <w:style w:type="character" w:customStyle="1" w:styleId="249">
    <w:name w:val="不明显强调111"/>
    <w:autoRedefine/>
    <w:qFormat/>
    <w:uiPriority w:val="0"/>
    <w:rPr>
      <w:i/>
      <w:iCs/>
      <w:color w:val="808080"/>
    </w:rPr>
  </w:style>
  <w:style w:type="character" w:customStyle="1" w:styleId="250">
    <w:name w:val="不明显参考111"/>
    <w:autoRedefine/>
    <w:qFormat/>
    <w:uiPriority w:val="0"/>
    <w:rPr>
      <w:smallCaps/>
      <w:color w:val="auto"/>
      <w:u w:val="single"/>
    </w:rPr>
  </w:style>
  <w:style w:type="character" w:customStyle="1" w:styleId="251">
    <w:name w:val="明显参考111"/>
    <w:autoRedefine/>
    <w:qFormat/>
    <w:uiPriority w:val="0"/>
    <w:rPr>
      <w:b/>
      <w:bCs/>
      <w:smallCaps/>
      <w:color w:val="auto"/>
      <w:spacing w:val="5"/>
      <w:u w:val="single"/>
    </w:rPr>
  </w:style>
  <w:style w:type="character" w:customStyle="1" w:styleId="252">
    <w:name w:val="Quote Char"/>
    <w:link w:val="253"/>
    <w:autoRedefine/>
    <w:qFormat/>
    <w:locked/>
    <w:uiPriority w:val="0"/>
    <w:rPr>
      <w:i/>
      <w:iCs/>
      <w:color w:val="000000"/>
      <w:sz w:val="22"/>
    </w:rPr>
  </w:style>
  <w:style w:type="paragraph" w:customStyle="1" w:styleId="253">
    <w:name w:val="引用11"/>
    <w:basedOn w:val="1"/>
    <w:next w:val="1"/>
    <w:link w:val="252"/>
    <w:autoRedefine/>
    <w:qFormat/>
    <w:uiPriority w:val="0"/>
    <w:rPr>
      <w:rFonts w:ascii="Times New Roman" w:hAnsi="Times New Roman" w:eastAsia="宋体" w:cs="Times New Roman"/>
      <w:i/>
      <w:iCs/>
      <w:color w:val="000000"/>
      <w:kern w:val="0"/>
      <w:sz w:val="22"/>
      <w:szCs w:val="20"/>
    </w:rPr>
  </w:style>
  <w:style w:type="character" w:customStyle="1" w:styleId="254">
    <w:name w:val="Subtitle Char1"/>
    <w:autoRedefine/>
    <w:qFormat/>
    <w:locked/>
    <w:uiPriority w:val="0"/>
    <w:rPr>
      <w:rFonts w:ascii="Cambria" w:hAnsi="Cambria" w:cs="Cambria"/>
      <w:b/>
      <w:bCs/>
      <w:kern w:val="28"/>
      <w:sz w:val="32"/>
      <w:szCs w:val="32"/>
    </w:rPr>
  </w:style>
  <w:style w:type="character" w:customStyle="1" w:styleId="255">
    <w:name w:val="Title Char1"/>
    <w:autoRedefine/>
    <w:qFormat/>
    <w:locked/>
    <w:uiPriority w:val="0"/>
    <w:rPr>
      <w:rFonts w:ascii="Cambria" w:hAnsi="Cambria" w:cs="Cambria"/>
      <w:b/>
      <w:bCs/>
      <w:sz w:val="32"/>
      <w:szCs w:val="32"/>
    </w:rPr>
  </w:style>
  <w:style w:type="character" w:customStyle="1" w:styleId="256">
    <w:name w:val="Intense Quote Char1"/>
    <w:autoRedefine/>
    <w:qFormat/>
    <w:locked/>
    <w:uiPriority w:val="0"/>
    <w:rPr>
      <w:b/>
      <w:bCs/>
      <w:i/>
      <w:iCs/>
      <w:color w:val="4F81BD"/>
      <w:sz w:val="21"/>
      <w:szCs w:val="21"/>
    </w:rPr>
  </w:style>
  <w:style w:type="character" w:customStyle="1" w:styleId="257">
    <w:name w:val="Quote Char1"/>
    <w:autoRedefine/>
    <w:qFormat/>
    <w:locked/>
    <w:uiPriority w:val="0"/>
    <w:rPr>
      <w:i/>
      <w:iCs/>
      <w:color w:val="000000"/>
      <w:sz w:val="21"/>
      <w:szCs w:val="21"/>
    </w:rPr>
  </w:style>
  <w:style w:type="paragraph" w:customStyle="1" w:styleId="258">
    <w:name w:val="修订111"/>
    <w:autoRedefine/>
    <w:qFormat/>
    <w:uiPriority w:val="99"/>
    <w:rPr>
      <w:rFonts w:ascii="Times New Roman" w:hAnsi="Times New Roman" w:eastAsia="宋体" w:cs="Times New Roman"/>
      <w:kern w:val="2"/>
      <w:sz w:val="21"/>
      <w:szCs w:val="21"/>
      <w:lang w:val="en-US" w:eastAsia="zh-CN" w:bidi="ar-SA"/>
    </w:rPr>
  </w:style>
  <w:style w:type="paragraph" w:customStyle="1" w:styleId="259">
    <w:name w:val="TOC 标题111"/>
    <w:basedOn w:val="2"/>
    <w:next w:val="1"/>
    <w:autoRedefine/>
    <w:qFormat/>
    <w:uiPriority w:val="0"/>
    <w:pPr>
      <w:keepLines/>
      <w:widowControl w:val="0"/>
      <w:tabs>
        <w:tab w:val="left" w:pos="432"/>
      </w:tabs>
      <w:jc w:val="both"/>
      <w:outlineLvl w:val="9"/>
    </w:pPr>
    <w:rPr>
      <w:rFonts w:ascii="Calibri" w:hAnsi="Calibri" w:cs="Calibri"/>
      <w:color w:val="auto"/>
      <w:kern w:val="44"/>
    </w:rPr>
  </w:style>
  <w:style w:type="paragraph" w:customStyle="1" w:styleId="260">
    <w:name w:val="wumii-segment"/>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261">
    <w:name w:val="卷标题 Char"/>
    <w:autoRedefine/>
    <w:qFormat/>
    <w:uiPriority w:val="0"/>
    <w:rPr>
      <w:rFonts w:ascii="Times New Roman" w:hAnsi="Times New Roman" w:eastAsia="宋体" w:cs="Times New Roman"/>
      <w:kern w:val="44"/>
      <w:sz w:val="44"/>
      <w:szCs w:val="44"/>
    </w:rPr>
  </w:style>
  <w:style w:type="character" w:customStyle="1" w:styleId="262">
    <w:name w:val="H2 Char"/>
    <w:autoRedefine/>
    <w:qFormat/>
    <w:uiPriority w:val="0"/>
    <w:rPr>
      <w:rFonts w:ascii="Arial" w:hAnsi="Arial" w:eastAsia="宋体" w:cs="Times New Roman"/>
      <w:sz w:val="28"/>
      <w:szCs w:val="24"/>
    </w:rPr>
  </w:style>
  <w:style w:type="character" w:customStyle="1" w:styleId="263">
    <w:name w:val="h3 Char"/>
    <w:autoRedefine/>
    <w:qFormat/>
    <w:uiPriority w:val="0"/>
    <w:rPr>
      <w:rFonts w:ascii="Times New Roman" w:hAnsi="Times New Roman" w:eastAsia="宋体" w:cs="Times New Roman"/>
      <w:sz w:val="24"/>
      <w:szCs w:val="32"/>
    </w:rPr>
  </w:style>
  <w:style w:type="paragraph" w:customStyle="1" w:styleId="264">
    <w:name w:val="Char Char Char"/>
    <w:basedOn w:val="1"/>
    <w:autoRedefine/>
    <w:qFormat/>
    <w:uiPriority w:val="0"/>
    <w:rPr>
      <w:rFonts w:ascii="Times New Roman" w:hAnsi="Times New Roman" w:eastAsia="宋体" w:cs="Times New Roman"/>
      <w:szCs w:val="24"/>
    </w:rPr>
  </w:style>
  <w:style w:type="character" w:customStyle="1" w:styleId="265">
    <w:name w:val="Char Char6"/>
    <w:autoRedefine/>
    <w:qFormat/>
    <w:locked/>
    <w:uiPriority w:val="0"/>
    <w:rPr>
      <w:rFonts w:eastAsia="宋体"/>
      <w:kern w:val="2"/>
      <w:sz w:val="18"/>
      <w:lang w:val="en-US" w:eastAsia="zh-CN" w:bidi="ar-SA"/>
    </w:rPr>
  </w:style>
  <w:style w:type="paragraph" w:customStyle="1" w:styleId="266">
    <w:name w:val="Default Text"/>
    <w:basedOn w:val="1"/>
    <w:autoRedefine/>
    <w:qFormat/>
    <w:uiPriority w:val="0"/>
    <w:pPr>
      <w:widowControl/>
      <w:overflowPunct w:val="0"/>
      <w:autoSpaceDE w:val="0"/>
      <w:autoSpaceDN w:val="0"/>
      <w:adjustRightInd w:val="0"/>
      <w:jc w:val="left"/>
      <w:textAlignment w:val="baseline"/>
    </w:pPr>
    <w:rPr>
      <w:rFonts w:ascii="Times New Roman" w:hAnsi="Times New Roman" w:eastAsia="宋体" w:cs="Times New Roman"/>
      <w:kern w:val="0"/>
      <w:sz w:val="24"/>
      <w:szCs w:val="20"/>
    </w:rPr>
  </w:style>
  <w:style w:type="character" w:customStyle="1" w:styleId="267">
    <w:name w:val="Char Char19"/>
    <w:autoRedefine/>
    <w:qFormat/>
    <w:uiPriority w:val="0"/>
    <w:rPr>
      <w:rFonts w:eastAsia="宋体"/>
      <w:b/>
      <w:bCs/>
      <w:kern w:val="44"/>
      <w:sz w:val="44"/>
      <w:szCs w:val="44"/>
      <w:lang w:val="en-US" w:eastAsia="zh-CN" w:bidi="ar-SA"/>
    </w:rPr>
  </w:style>
  <w:style w:type="paragraph" w:customStyle="1" w:styleId="268">
    <w:name w:val="明显引用2"/>
    <w:basedOn w:val="1"/>
    <w:next w:val="1"/>
    <w:autoRedefine/>
    <w:qFormat/>
    <w:uiPriority w:val="0"/>
    <w:pPr>
      <w:pBdr>
        <w:bottom w:val="single" w:color="4F81BD" w:sz="4" w:space="4"/>
      </w:pBdr>
      <w:spacing w:before="200" w:after="280"/>
      <w:ind w:left="936" w:right="936"/>
    </w:pPr>
    <w:rPr>
      <w:rFonts w:ascii="Calibri" w:hAnsi="Calibri" w:eastAsia="宋体" w:cs="Times New Roman"/>
      <w:b/>
      <w:bCs/>
      <w:i/>
      <w:iCs/>
      <w:color w:val="4F81BD"/>
      <w:sz w:val="22"/>
    </w:rPr>
  </w:style>
  <w:style w:type="character" w:customStyle="1" w:styleId="269">
    <w:name w:val="书籍标题2"/>
    <w:autoRedefine/>
    <w:qFormat/>
    <w:uiPriority w:val="0"/>
    <w:rPr>
      <w:b/>
      <w:bCs/>
      <w:smallCaps/>
      <w:spacing w:val="5"/>
    </w:rPr>
  </w:style>
  <w:style w:type="character" w:customStyle="1" w:styleId="270">
    <w:name w:val="明显强调2"/>
    <w:autoRedefine/>
    <w:qFormat/>
    <w:uiPriority w:val="0"/>
    <w:rPr>
      <w:b/>
      <w:bCs/>
      <w:i/>
      <w:iCs/>
      <w:color w:val="4F81BD"/>
    </w:rPr>
  </w:style>
  <w:style w:type="character" w:customStyle="1" w:styleId="271">
    <w:name w:val="不明显强调2"/>
    <w:autoRedefine/>
    <w:qFormat/>
    <w:uiPriority w:val="0"/>
    <w:rPr>
      <w:i/>
      <w:iCs/>
      <w:color w:val="808080"/>
    </w:rPr>
  </w:style>
  <w:style w:type="character" w:customStyle="1" w:styleId="272">
    <w:name w:val="不明显参考2"/>
    <w:autoRedefine/>
    <w:qFormat/>
    <w:uiPriority w:val="0"/>
    <w:rPr>
      <w:smallCaps/>
      <w:color w:val="auto"/>
      <w:u w:val="single"/>
    </w:rPr>
  </w:style>
  <w:style w:type="character" w:customStyle="1" w:styleId="273">
    <w:name w:val="明显参考2"/>
    <w:autoRedefine/>
    <w:qFormat/>
    <w:uiPriority w:val="0"/>
    <w:rPr>
      <w:b/>
      <w:bCs/>
      <w:smallCaps/>
      <w:color w:val="auto"/>
      <w:spacing w:val="5"/>
      <w:u w:val="single"/>
    </w:rPr>
  </w:style>
  <w:style w:type="paragraph" w:customStyle="1" w:styleId="274">
    <w:name w:val="引用2"/>
    <w:basedOn w:val="1"/>
    <w:next w:val="1"/>
    <w:autoRedefine/>
    <w:qFormat/>
    <w:uiPriority w:val="0"/>
    <w:rPr>
      <w:rFonts w:ascii="Calibri" w:hAnsi="Calibri" w:eastAsia="宋体" w:cs="Times New Roman"/>
      <w:i/>
      <w:iCs/>
      <w:color w:val="000000"/>
      <w:sz w:val="22"/>
    </w:rPr>
  </w:style>
  <w:style w:type="paragraph" w:customStyle="1" w:styleId="275">
    <w:name w:val="无间隔2"/>
    <w:autoRedefine/>
    <w:qFormat/>
    <w:uiPriority w:val="0"/>
    <w:pPr>
      <w:widowControl w:val="0"/>
      <w:jc w:val="both"/>
    </w:pPr>
    <w:rPr>
      <w:rFonts w:ascii="Calibri" w:hAnsi="Calibri" w:eastAsia="宋体" w:cs="Calibri"/>
      <w:kern w:val="2"/>
      <w:sz w:val="21"/>
      <w:szCs w:val="21"/>
      <w:lang w:val="en-US" w:eastAsia="zh-CN" w:bidi="ar-SA"/>
    </w:rPr>
  </w:style>
  <w:style w:type="paragraph" w:customStyle="1" w:styleId="276">
    <w:name w:val="修订2"/>
    <w:autoRedefine/>
    <w:qFormat/>
    <w:uiPriority w:val="0"/>
    <w:rPr>
      <w:rFonts w:ascii="Times New Roman" w:hAnsi="Times New Roman" w:eastAsia="宋体" w:cs="Times New Roman"/>
      <w:kern w:val="2"/>
      <w:sz w:val="21"/>
      <w:szCs w:val="21"/>
      <w:lang w:val="en-US" w:eastAsia="zh-CN" w:bidi="ar-SA"/>
    </w:rPr>
  </w:style>
  <w:style w:type="paragraph" w:customStyle="1" w:styleId="277">
    <w:name w:val="TOC 标题2"/>
    <w:basedOn w:val="2"/>
    <w:next w:val="1"/>
    <w:autoRedefine/>
    <w:qFormat/>
    <w:uiPriority w:val="0"/>
    <w:pPr>
      <w:keepLines/>
      <w:widowControl w:val="0"/>
      <w:jc w:val="both"/>
      <w:outlineLvl w:val="9"/>
    </w:pPr>
    <w:rPr>
      <w:rFonts w:ascii="Calibri" w:hAnsi="Calibri" w:cs="Calibri"/>
      <w:color w:val="auto"/>
      <w:kern w:val="44"/>
    </w:rPr>
  </w:style>
  <w:style w:type="paragraph" w:customStyle="1" w:styleId="278">
    <w:name w:val="Char Char Char Char Char Char"/>
    <w:basedOn w:val="15"/>
    <w:autoRedefine/>
    <w:qFormat/>
    <w:uiPriority w:val="0"/>
    <w:pPr>
      <w:shd w:val="clear" w:color="auto" w:fill="000080"/>
      <w:adjustRightInd w:val="0"/>
      <w:spacing w:line="436" w:lineRule="exact"/>
      <w:ind w:left="357"/>
      <w:jc w:val="left"/>
      <w:outlineLvl w:val="3"/>
    </w:pPr>
    <w:rPr>
      <w:rFonts w:ascii="Tahoma" w:hAnsi="Tahoma"/>
      <w:b/>
      <w:kern w:val="2"/>
      <w:sz w:val="24"/>
      <w:szCs w:val="24"/>
    </w:rPr>
  </w:style>
  <w:style w:type="character" w:customStyle="1" w:styleId="279">
    <w:name w:val="charchar19"/>
    <w:autoRedefine/>
    <w:qFormat/>
    <w:uiPriority w:val="0"/>
    <w:rPr>
      <w:rFonts w:hint="default" w:ascii="Cambria" w:hAnsi="Cambria" w:eastAsia="Cambria" w:cs="Cambria"/>
      <w:b/>
      <w:i/>
      <w:color w:val="4F81BD"/>
    </w:rPr>
  </w:style>
  <w:style w:type="character" w:customStyle="1" w:styleId="280">
    <w:name w:val="charchar7"/>
    <w:autoRedefine/>
    <w:qFormat/>
    <w:uiPriority w:val="0"/>
    <w:rPr>
      <w:rFonts w:hint="default" w:ascii="Calibri" w:hAnsi="Calibri" w:cs="Calibri"/>
    </w:rPr>
  </w:style>
  <w:style w:type="character" w:customStyle="1" w:styleId="281">
    <w:name w:val="char"/>
    <w:autoRedefine/>
    <w:qFormat/>
    <w:uiPriority w:val="0"/>
    <w:rPr>
      <w:rFonts w:hint="default" w:ascii="Calibri" w:hAnsi="Calibri" w:cs="Calibri"/>
      <w:i/>
      <w:color w:val="000000"/>
    </w:rPr>
  </w:style>
  <w:style w:type="character" w:customStyle="1" w:styleId="282">
    <w:name w:val="charchar11"/>
    <w:autoRedefine/>
    <w:qFormat/>
    <w:uiPriority w:val="0"/>
    <w:rPr>
      <w:rFonts w:hint="default" w:ascii="Calibri" w:hAnsi="Calibri" w:cs="Calibri"/>
    </w:rPr>
  </w:style>
  <w:style w:type="character" w:customStyle="1" w:styleId="283">
    <w:name w:val="charchar12"/>
    <w:autoRedefine/>
    <w:qFormat/>
    <w:uiPriority w:val="0"/>
    <w:rPr>
      <w:rFonts w:hint="default" w:ascii="Calibri" w:hAnsi="Calibri" w:cs="Calibri"/>
    </w:rPr>
  </w:style>
  <w:style w:type="character" w:customStyle="1" w:styleId="284">
    <w:name w:val="charchar16"/>
    <w:autoRedefine/>
    <w:qFormat/>
    <w:uiPriority w:val="0"/>
    <w:rPr>
      <w:rFonts w:hint="default" w:ascii="Cambria" w:hAnsi="Cambria" w:eastAsia="Cambria" w:cs="Cambria"/>
      <w:i/>
      <w:color w:val="404040"/>
    </w:rPr>
  </w:style>
  <w:style w:type="character" w:customStyle="1" w:styleId="285">
    <w:name w:val="charchar3"/>
    <w:autoRedefine/>
    <w:qFormat/>
    <w:uiPriority w:val="0"/>
    <w:rPr>
      <w:rFonts w:hint="default" w:ascii="Calibri" w:hAnsi="Calibri" w:cs="Calibri"/>
      <w:color w:val="000000"/>
    </w:rPr>
  </w:style>
  <w:style w:type="character" w:customStyle="1" w:styleId="286">
    <w:name w:val="charchar8"/>
    <w:autoRedefine/>
    <w:qFormat/>
    <w:uiPriority w:val="0"/>
    <w:rPr>
      <w:rFonts w:hint="default" w:ascii="Calibri" w:hAnsi="Calibri" w:cs="Calibri"/>
    </w:rPr>
  </w:style>
  <w:style w:type="character" w:customStyle="1" w:styleId="287">
    <w:name w:val="charchar10"/>
    <w:autoRedefine/>
    <w:qFormat/>
    <w:uiPriority w:val="0"/>
    <w:rPr>
      <w:rFonts w:hint="default" w:ascii="Calibri" w:hAnsi="Calibri" w:cs="Calibri"/>
    </w:rPr>
  </w:style>
  <w:style w:type="character" w:customStyle="1" w:styleId="288">
    <w:name w:val="charchar18"/>
    <w:autoRedefine/>
    <w:qFormat/>
    <w:uiPriority w:val="0"/>
    <w:rPr>
      <w:rFonts w:hint="default" w:ascii="Cambria" w:hAnsi="Cambria" w:eastAsia="Cambria" w:cs="Cambria"/>
      <w:color w:val="243F60"/>
    </w:rPr>
  </w:style>
  <w:style w:type="character" w:customStyle="1" w:styleId="289">
    <w:name w:val="charchar5"/>
    <w:autoRedefine/>
    <w:qFormat/>
    <w:uiPriority w:val="0"/>
    <w:rPr>
      <w:rFonts w:hint="eastAsia" w:ascii="宋体" w:hAnsi="宋体" w:eastAsia="宋体" w:cs="宋体"/>
    </w:rPr>
  </w:style>
  <w:style w:type="character" w:customStyle="1" w:styleId="290">
    <w:name w:val="charchar15"/>
    <w:autoRedefine/>
    <w:qFormat/>
    <w:uiPriority w:val="0"/>
    <w:rPr>
      <w:rFonts w:hint="default" w:ascii="Cambria" w:hAnsi="Cambria" w:eastAsia="Cambria" w:cs="Cambria"/>
      <w:color w:val="4F81BD"/>
    </w:rPr>
  </w:style>
  <w:style w:type="character" w:customStyle="1" w:styleId="291">
    <w:name w:val="charchar4"/>
    <w:autoRedefine/>
    <w:qFormat/>
    <w:uiPriority w:val="0"/>
    <w:rPr>
      <w:rFonts w:hint="eastAsia" w:ascii="宋体" w:hAnsi="宋体" w:eastAsia="宋体" w:cs="宋体"/>
    </w:rPr>
  </w:style>
  <w:style w:type="character" w:customStyle="1" w:styleId="292">
    <w:name w:val="char0"/>
    <w:autoRedefine/>
    <w:qFormat/>
    <w:uiPriority w:val="0"/>
    <w:rPr>
      <w:rFonts w:hint="default" w:ascii="Calibri" w:hAnsi="Calibri" w:cs="Calibri"/>
      <w:b/>
      <w:i/>
      <w:color w:val="4F81BD"/>
    </w:rPr>
  </w:style>
  <w:style w:type="character" w:customStyle="1" w:styleId="293">
    <w:name w:val="charchar9"/>
    <w:autoRedefine/>
    <w:qFormat/>
    <w:uiPriority w:val="0"/>
    <w:rPr>
      <w:rFonts w:hint="default" w:ascii="Calibri" w:hAnsi="Calibri" w:cs="Calibri"/>
    </w:rPr>
  </w:style>
  <w:style w:type="character" w:customStyle="1" w:styleId="294">
    <w:name w:val="charchar22"/>
    <w:autoRedefine/>
    <w:qFormat/>
    <w:uiPriority w:val="0"/>
    <w:rPr>
      <w:rFonts w:hint="eastAsia" w:ascii="新宋体" w:hAnsi="新宋体" w:eastAsia="新宋体" w:cs="新宋体"/>
      <w:b/>
    </w:rPr>
  </w:style>
  <w:style w:type="character" w:customStyle="1" w:styleId="295">
    <w:name w:val="charchar1"/>
    <w:autoRedefine/>
    <w:qFormat/>
    <w:uiPriority w:val="0"/>
    <w:rPr>
      <w:rFonts w:hint="default" w:ascii="Cambria" w:hAnsi="Cambria" w:eastAsia="Cambria" w:cs="Cambria"/>
      <w:color w:val="17365D"/>
      <w:spacing w:val="5"/>
    </w:rPr>
  </w:style>
  <w:style w:type="character" w:customStyle="1" w:styleId="296">
    <w:name w:val="charchar20"/>
    <w:autoRedefine/>
    <w:qFormat/>
    <w:uiPriority w:val="0"/>
    <w:rPr>
      <w:rFonts w:hint="eastAsia" w:ascii="新宋体" w:hAnsi="新宋体" w:eastAsia="新宋体" w:cs="新宋体"/>
      <w:b/>
      <w:snapToGrid w:val="0"/>
    </w:rPr>
  </w:style>
  <w:style w:type="character" w:customStyle="1" w:styleId="297">
    <w:name w:val="charchar14"/>
    <w:autoRedefine/>
    <w:qFormat/>
    <w:uiPriority w:val="0"/>
    <w:rPr>
      <w:rFonts w:hint="default" w:ascii="Cambria" w:hAnsi="Cambria" w:eastAsia="Cambria" w:cs="Cambria"/>
      <w:i/>
      <w:color w:val="404040"/>
    </w:rPr>
  </w:style>
  <w:style w:type="character" w:customStyle="1" w:styleId="298">
    <w:name w:val="charchar2"/>
    <w:autoRedefine/>
    <w:qFormat/>
    <w:uiPriority w:val="0"/>
    <w:rPr>
      <w:rFonts w:hint="default" w:ascii="Calibri" w:hAnsi="Calibri" w:cs="Calibri"/>
      <w:b/>
    </w:rPr>
  </w:style>
  <w:style w:type="character" w:customStyle="1" w:styleId="299">
    <w:name w:val="charchar21"/>
    <w:autoRedefine/>
    <w:qFormat/>
    <w:uiPriority w:val="0"/>
    <w:rPr>
      <w:rFonts w:hint="eastAsia" w:ascii="新宋体" w:hAnsi="新宋体" w:eastAsia="新宋体" w:cs="新宋体"/>
      <w:b/>
    </w:rPr>
  </w:style>
  <w:style w:type="character" w:customStyle="1" w:styleId="300">
    <w:name w:val="charchar6"/>
    <w:autoRedefine/>
    <w:qFormat/>
    <w:uiPriority w:val="0"/>
    <w:rPr>
      <w:rFonts w:hint="eastAsia" w:ascii="宋体" w:hAnsi="宋体" w:eastAsia="宋体" w:cs="宋体"/>
      <w:b/>
    </w:rPr>
  </w:style>
  <w:style w:type="character" w:customStyle="1" w:styleId="301">
    <w:name w:val="charchar13"/>
    <w:autoRedefine/>
    <w:qFormat/>
    <w:uiPriority w:val="0"/>
    <w:rPr>
      <w:rFonts w:hint="eastAsia" w:ascii="宋体" w:hAnsi="宋体" w:eastAsia="宋体" w:cs="宋体"/>
    </w:rPr>
  </w:style>
  <w:style w:type="character" w:customStyle="1" w:styleId="302">
    <w:name w:val="charchar17"/>
    <w:autoRedefine/>
    <w:qFormat/>
    <w:uiPriority w:val="0"/>
    <w:rPr>
      <w:rFonts w:hint="default" w:ascii="Cambria" w:hAnsi="Cambria" w:eastAsia="Cambria" w:cs="Cambria"/>
      <w:i/>
      <w:color w:val="243F60"/>
    </w:rPr>
  </w:style>
  <w:style w:type="character" w:customStyle="1" w:styleId="303">
    <w:name w:val="charchar"/>
    <w:autoRedefine/>
    <w:qFormat/>
    <w:uiPriority w:val="0"/>
    <w:rPr>
      <w:rFonts w:hint="default" w:ascii="Cambria" w:hAnsi="Cambria" w:eastAsia="Cambria" w:cs="Cambria"/>
      <w:i/>
      <w:color w:val="4F81BD"/>
      <w:spacing w:val="15"/>
    </w:rPr>
  </w:style>
  <w:style w:type="character" w:customStyle="1" w:styleId="304">
    <w:name w:val="页眉 Char1"/>
    <w:autoRedefine/>
    <w:semiHidden/>
    <w:qFormat/>
    <w:uiPriority w:val="99"/>
    <w:rPr>
      <w:rFonts w:ascii="Calibri" w:hAnsi="Calibri" w:eastAsia="宋体" w:cs="Times New Roman"/>
      <w:sz w:val="18"/>
      <w:szCs w:val="18"/>
    </w:rPr>
  </w:style>
  <w:style w:type="paragraph" w:customStyle="1" w:styleId="305">
    <w:name w:val="z-窗体顶端11"/>
    <w:basedOn w:val="1"/>
    <w:next w:val="1"/>
    <w:autoRedefine/>
    <w:semiHidden/>
    <w:qFormat/>
    <w:uiPriority w:val="99"/>
    <w:pPr>
      <w:widowControl/>
      <w:pBdr>
        <w:bottom w:val="single" w:color="auto" w:sz="6" w:space="1"/>
      </w:pBdr>
      <w:jc w:val="center"/>
    </w:pPr>
    <w:rPr>
      <w:rFonts w:ascii="Arial" w:hAnsi="Arial" w:eastAsia="宋体" w:cs="Arial"/>
      <w:vanish/>
      <w:kern w:val="0"/>
      <w:sz w:val="16"/>
      <w:szCs w:val="16"/>
    </w:rPr>
  </w:style>
  <w:style w:type="paragraph" w:customStyle="1" w:styleId="306">
    <w:name w:val="z-窗体底端11"/>
    <w:basedOn w:val="1"/>
    <w:next w:val="1"/>
    <w:autoRedefine/>
    <w:semiHidden/>
    <w:qFormat/>
    <w:uiPriority w:val="99"/>
    <w:pPr>
      <w:widowControl/>
      <w:pBdr>
        <w:top w:val="single" w:color="auto" w:sz="6" w:space="1"/>
      </w:pBdr>
      <w:jc w:val="center"/>
    </w:pPr>
    <w:rPr>
      <w:rFonts w:ascii="Arial" w:hAnsi="Arial" w:eastAsia="宋体" w:cs="Arial"/>
      <w:vanish/>
      <w:kern w:val="0"/>
      <w:sz w:val="16"/>
      <w:szCs w:val="16"/>
    </w:rPr>
  </w:style>
  <w:style w:type="character" w:customStyle="1" w:styleId="307">
    <w:name w:val="书籍标题11"/>
    <w:autoRedefine/>
    <w:qFormat/>
    <w:uiPriority w:val="0"/>
    <w:rPr>
      <w:b/>
      <w:bCs/>
      <w:smallCaps/>
      <w:spacing w:val="5"/>
    </w:rPr>
  </w:style>
  <w:style w:type="character" w:customStyle="1" w:styleId="308">
    <w:name w:val="明显强调11"/>
    <w:autoRedefine/>
    <w:qFormat/>
    <w:uiPriority w:val="0"/>
    <w:rPr>
      <w:b/>
      <w:bCs/>
      <w:i/>
      <w:iCs/>
      <w:color w:val="4F81BD"/>
    </w:rPr>
  </w:style>
  <w:style w:type="character" w:customStyle="1" w:styleId="309">
    <w:name w:val="不明显强调11"/>
    <w:autoRedefine/>
    <w:qFormat/>
    <w:uiPriority w:val="0"/>
    <w:rPr>
      <w:i/>
      <w:iCs/>
      <w:color w:val="808080"/>
    </w:rPr>
  </w:style>
  <w:style w:type="character" w:customStyle="1" w:styleId="310">
    <w:name w:val="不明显参考11"/>
    <w:autoRedefine/>
    <w:qFormat/>
    <w:uiPriority w:val="0"/>
    <w:rPr>
      <w:smallCaps/>
      <w:color w:val="auto"/>
      <w:u w:val="single"/>
    </w:rPr>
  </w:style>
  <w:style w:type="character" w:customStyle="1" w:styleId="311">
    <w:name w:val="明显参考11"/>
    <w:autoRedefine/>
    <w:qFormat/>
    <w:uiPriority w:val="0"/>
    <w:rPr>
      <w:b/>
      <w:bCs/>
      <w:smallCaps/>
      <w:color w:val="auto"/>
      <w:spacing w:val="5"/>
      <w:u w:val="single"/>
    </w:rPr>
  </w:style>
  <w:style w:type="paragraph" w:customStyle="1" w:styleId="312">
    <w:name w:val="修订11"/>
    <w:autoRedefine/>
    <w:qFormat/>
    <w:uiPriority w:val="0"/>
    <w:rPr>
      <w:rFonts w:ascii="Times New Roman" w:hAnsi="Times New Roman" w:eastAsia="宋体" w:cs="Times New Roman"/>
      <w:kern w:val="2"/>
      <w:sz w:val="21"/>
      <w:szCs w:val="21"/>
      <w:lang w:val="en-US" w:eastAsia="zh-CN" w:bidi="ar-SA"/>
    </w:rPr>
  </w:style>
  <w:style w:type="paragraph" w:customStyle="1" w:styleId="313">
    <w:name w:val="TOC 标题11"/>
    <w:basedOn w:val="2"/>
    <w:next w:val="1"/>
    <w:autoRedefine/>
    <w:qFormat/>
    <w:uiPriority w:val="0"/>
    <w:pPr>
      <w:keepLines/>
      <w:widowControl w:val="0"/>
      <w:tabs>
        <w:tab w:val="left" w:pos="432"/>
      </w:tabs>
      <w:jc w:val="both"/>
      <w:outlineLvl w:val="9"/>
    </w:pPr>
    <w:rPr>
      <w:rFonts w:ascii="Calibri" w:hAnsi="Calibri" w:cs="Calibri"/>
      <w:color w:val="auto"/>
      <w:kern w:val="44"/>
    </w:rPr>
  </w:style>
  <w:style w:type="paragraph" w:customStyle="1" w:styleId="314">
    <w:name w:val="无间隔111"/>
    <w:autoRedefine/>
    <w:qFormat/>
    <w:uiPriority w:val="1"/>
    <w:pPr>
      <w:widowControl w:val="0"/>
      <w:spacing w:line="360" w:lineRule="auto"/>
      <w:jc w:val="center"/>
    </w:pPr>
    <w:rPr>
      <w:rFonts w:ascii="Times New Roman" w:hAnsi="Times New Roman" w:eastAsia="宋体" w:cs="Times New Roman"/>
      <w:b/>
      <w:color w:val="000000"/>
      <w:kern w:val="2"/>
      <w:sz w:val="21"/>
      <w:szCs w:val="21"/>
      <w:lang w:val="zh-CN" w:eastAsia="zh-CN" w:bidi="ar-SA"/>
    </w:rPr>
  </w:style>
  <w:style w:type="paragraph" w:customStyle="1" w:styleId="315">
    <w:name w:val="列出段落121"/>
    <w:basedOn w:val="1"/>
    <w:autoRedefine/>
    <w:qFormat/>
    <w:uiPriority w:val="0"/>
    <w:pPr>
      <w:ind w:firstLine="420" w:firstLineChars="200"/>
    </w:pPr>
    <w:rPr>
      <w:rFonts w:ascii="Times New Roman" w:hAnsi="Times New Roman" w:eastAsia="宋体" w:cs="Times New Roman"/>
      <w:szCs w:val="24"/>
    </w:rPr>
  </w:style>
  <w:style w:type="paragraph" w:customStyle="1" w:styleId="316">
    <w:name w:val="明显引用111"/>
    <w:basedOn w:val="1"/>
    <w:next w:val="1"/>
    <w:autoRedefine/>
    <w:qFormat/>
    <w:uiPriority w:val="0"/>
    <w:pPr>
      <w:pBdr>
        <w:bottom w:val="single" w:color="4F81BD" w:sz="4" w:space="4"/>
      </w:pBdr>
      <w:spacing w:before="200" w:after="280"/>
      <w:ind w:left="936" w:right="936"/>
    </w:pPr>
    <w:rPr>
      <w:rFonts w:ascii="Calibri" w:hAnsi="Calibri" w:eastAsia="宋体" w:cs="Times New Roman"/>
      <w:b/>
      <w:bCs/>
      <w:i/>
      <w:iCs/>
      <w:color w:val="4F81BD"/>
      <w:sz w:val="22"/>
    </w:rPr>
  </w:style>
  <w:style w:type="character" w:customStyle="1" w:styleId="317">
    <w:name w:val="书籍标题1111"/>
    <w:autoRedefine/>
    <w:qFormat/>
    <w:uiPriority w:val="0"/>
    <w:rPr>
      <w:b/>
      <w:bCs/>
      <w:smallCaps/>
      <w:spacing w:val="5"/>
    </w:rPr>
  </w:style>
  <w:style w:type="character" w:customStyle="1" w:styleId="318">
    <w:name w:val="明显强调1111"/>
    <w:autoRedefine/>
    <w:qFormat/>
    <w:uiPriority w:val="0"/>
    <w:rPr>
      <w:b/>
      <w:bCs/>
      <w:i/>
      <w:iCs/>
      <w:color w:val="4F81BD"/>
    </w:rPr>
  </w:style>
  <w:style w:type="character" w:customStyle="1" w:styleId="319">
    <w:name w:val="不明显强调1111"/>
    <w:autoRedefine/>
    <w:qFormat/>
    <w:uiPriority w:val="0"/>
    <w:rPr>
      <w:i/>
      <w:iCs/>
      <w:color w:val="808080"/>
    </w:rPr>
  </w:style>
  <w:style w:type="character" w:customStyle="1" w:styleId="320">
    <w:name w:val="不明显参考1111"/>
    <w:autoRedefine/>
    <w:qFormat/>
    <w:uiPriority w:val="0"/>
    <w:rPr>
      <w:smallCaps/>
      <w:color w:val="auto"/>
      <w:u w:val="single"/>
    </w:rPr>
  </w:style>
  <w:style w:type="character" w:customStyle="1" w:styleId="321">
    <w:name w:val="明显参考1111"/>
    <w:autoRedefine/>
    <w:qFormat/>
    <w:uiPriority w:val="0"/>
    <w:rPr>
      <w:b/>
      <w:bCs/>
      <w:smallCaps/>
      <w:color w:val="auto"/>
      <w:spacing w:val="5"/>
      <w:u w:val="single"/>
    </w:rPr>
  </w:style>
  <w:style w:type="paragraph" w:customStyle="1" w:styleId="322">
    <w:name w:val="引用111"/>
    <w:basedOn w:val="1"/>
    <w:next w:val="1"/>
    <w:autoRedefine/>
    <w:qFormat/>
    <w:uiPriority w:val="0"/>
    <w:rPr>
      <w:rFonts w:ascii="Calibri" w:hAnsi="Calibri" w:eastAsia="宋体" w:cs="Times New Roman"/>
      <w:i/>
      <w:iCs/>
      <w:color w:val="000000"/>
      <w:sz w:val="22"/>
    </w:rPr>
  </w:style>
  <w:style w:type="paragraph" w:customStyle="1" w:styleId="323">
    <w:name w:val="修订1111"/>
    <w:autoRedefine/>
    <w:qFormat/>
    <w:uiPriority w:val="99"/>
    <w:rPr>
      <w:rFonts w:ascii="Times New Roman" w:hAnsi="Times New Roman" w:eastAsia="宋体" w:cs="Times New Roman"/>
      <w:kern w:val="2"/>
      <w:sz w:val="21"/>
      <w:szCs w:val="21"/>
      <w:lang w:val="en-US" w:eastAsia="zh-CN" w:bidi="ar-SA"/>
    </w:rPr>
  </w:style>
  <w:style w:type="paragraph" w:customStyle="1" w:styleId="324">
    <w:name w:val="TOC 标题1111"/>
    <w:basedOn w:val="2"/>
    <w:next w:val="1"/>
    <w:autoRedefine/>
    <w:qFormat/>
    <w:uiPriority w:val="0"/>
    <w:pPr>
      <w:keepLines/>
      <w:widowControl w:val="0"/>
      <w:tabs>
        <w:tab w:val="left" w:pos="432"/>
      </w:tabs>
      <w:jc w:val="both"/>
      <w:outlineLvl w:val="9"/>
    </w:pPr>
    <w:rPr>
      <w:rFonts w:ascii="Calibri" w:hAnsi="Calibri" w:cs="Calibri"/>
      <w:color w:val="auto"/>
      <w:kern w:val="44"/>
    </w:rPr>
  </w:style>
  <w:style w:type="paragraph" w:customStyle="1" w:styleId="325">
    <w:name w:val="表名称"/>
    <w:basedOn w:val="13"/>
    <w:autoRedefine/>
    <w:qFormat/>
    <w:uiPriority w:val="0"/>
    <w:pPr>
      <w:numPr>
        <w:ilvl w:val="0"/>
        <w:numId w:val="1"/>
      </w:numPr>
      <w:ind w:firstLine="0" w:firstLineChars="0"/>
      <w:jc w:val="center"/>
    </w:pPr>
    <w:rPr>
      <w:rFonts w:ascii="Times New Roman" w:hAnsi="Times New Roman" w:eastAsia="楷体_GB2312" w:cs="Times New Roman"/>
    </w:rPr>
  </w:style>
  <w:style w:type="paragraph" w:styleId="326">
    <w:name w:val="No Spacing"/>
    <w:qFormat/>
    <w:uiPriority w:val="1"/>
    <w:pPr>
      <w:widowControl w:val="0"/>
    </w:pPr>
    <w:rPr>
      <w:rFonts w:ascii="宋体" w:hAnsi="宋体" w:eastAsia="宋体" w:cstheme="minorBidi"/>
      <w:kern w:val="2"/>
      <w:sz w:val="21"/>
      <w:szCs w:val="22"/>
      <w:lang w:val="en-US" w:eastAsia="zh-CN" w:bidi="ar-SA"/>
    </w:rPr>
  </w:style>
  <w:style w:type="paragraph" w:customStyle="1" w:styleId="327">
    <w:name w:val="本文正文格式"/>
    <w:basedOn w:val="1"/>
    <w:qFormat/>
    <w:uiPriority w:val="0"/>
    <w:pPr>
      <w:spacing w:line="520" w:lineRule="exact"/>
      <w:ind w:firstLine="280" w:firstLineChars="100"/>
    </w:pPr>
    <w:rPr>
      <w:rFonts w:ascii="宋体" w:hAnsi="宋体" w:eastAsia="宋体" w:cs="宋体"/>
      <w:kern w:val="52"/>
      <w:sz w:val="28"/>
      <w:szCs w:val="28"/>
    </w:rPr>
  </w:style>
  <w:style w:type="table" w:customStyle="1" w:styleId="328">
    <w:name w:val="Table Normal"/>
    <w:unhideWhenUsed/>
    <w:qFormat/>
    <w:uiPriority w:val="0"/>
    <w:tblPr>
      <w:tblCellMar>
        <w:top w:w="0" w:type="dxa"/>
        <w:left w:w="0" w:type="dxa"/>
        <w:bottom w:w="0" w:type="dxa"/>
        <w:right w:w="0" w:type="dxa"/>
      </w:tblCellMar>
    </w:tblPr>
  </w:style>
  <w:style w:type="paragraph" w:customStyle="1" w:styleId="329">
    <w:name w:val="Table Paragraph"/>
    <w:basedOn w:val="1"/>
    <w:qFormat/>
    <w:uiPriority w:val="0"/>
    <w:pPr>
      <w:autoSpaceDE w:val="0"/>
      <w:autoSpaceDN w:val="0"/>
      <w:jc w:val="left"/>
    </w:pPr>
    <w:rPr>
      <w:rFonts w:ascii="宋体" w:hAnsi="宋体" w:eastAsia="宋体" w:cs="宋体"/>
      <w:kern w:val="0"/>
      <w:sz w:val="22"/>
      <w:szCs w:val="22"/>
      <w:lang w:eastAsia="en-US"/>
    </w:rPr>
  </w:style>
  <w:style w:type="paragraph" w:customStyle="1" w:styleId="330">
    <w:name w:val="_Style 81"/>
    <w:basedOn w:val="2"/>
    <w:next w:val="1"/>
    <w:qFormat/>
    <w:uiPriority w:val="0"/>
    <w:pPr>
      <w:outlineLvl w:val="9"/>
    </w:pPr>
  </w:style>
  <w:style w:type="paragraph" w:customStyle="1" w:styleId="331">
    <w:name w:val="标题 31"/>
    <w:basedOn w:val="1"/>
    <w:qFormat/>
    <w:uiPriority w:val="0"/>
    <w:pPr>
      <w:keepNext/>
      <w:keepLines/>
      <w:spacing w:before="260" w:beforeLines="0" w:after="260" w:afterLines="0" w:line="413" w:lineRule="auto"/>
      <w:outlineLvl w:val="2"/>
    </w:pPr>
    <w:rPr>
      <w:rFonts w:ascii="Times New Roman" w:hAnsi="Times New Roman" w:eastAsia="宋体"/>
      <w:b/>
      <w:bCs/>
      <w:kern w:val="2"/>
      <w:sz w:val="32"/>
      <w:szCs w:val="32"/>
    </w:rPr>
  </w:style>
  <w:style w:type="paragraph" w:customStyle="1" w:styleId="332">
    <w:name w:val="标题 41"/>
    <w:basedOn w:val="1"/>
    <w:qFormat/>
    <w:uiPriority w:val="0"/>
    <w:pPr>
      <w:keepNext/>
      <w:keepLines/>
      <w:spacing w:before="280" w:beforeLines="0" w:after="290" w:afterLines="0" w:line="372" w:lineRule="auto"/>
      <w:outlineLvl w:val="3"/>
    </w:pPr>
    <w:rPr>
      <w:rFonts w:ascii="Cambria" w:hAnsi="Cambria" w:eastAsia="宋体"/>
      <w:b/>
      <w:bCs/>
      <w:kern w:val="2"/>
      <w:sz w:val="28"/>
      <w:szCs w:val="28"/>
    </w:rPr>
  </w:style>
  <w:style w:type="paragraph" w:customStyle="1" w:styleId="333">
    <w:name w:val="标题 51"/>
    <w:basedOn w:val="1"/>
    <w:qFormat/>
    <w:uiPriority w:val="0"/>
    <w:pPr>
      <w:keepNext/>
      <w:keepLines/>
      <w:spacing w:before="280" w:beforeLines="0" w:after="290" w:afterLines="0" w:line="372" w:lineRule="auto"/>
      <w:outlineLvl w:val="4"/>
    </w:pPr>
    <w:rPr>
      <w:rFonts w:ascii="Times New Roman" w:hAnsi="Times New Roman" w:eastAsia="宋体"/>
      <w:b/>
      <w:bCs/>
      <w:kern w:val="2"/>
      <w:sz w:val="28"/>
      <w:szCs w:val="28"/>
    </w:rPr>
  </w:style>
  <w:style w:type="character" w:customStyle="1" w:styleId="334">
    <w:name w:val="NormalCharacter"/>
    <w:qFormat/>
    <w:uiPriority w:val="0"/>
    <w:rPr>
      <w:rFonts w:ascii="Times New Roman" w:hAnsi="Times New Roman" w:eastAsia="宋体"/>
    </w:rPr>
  </w:style>
  <w:style w:type="paragraph" w:customStyle="1" w:styleId="335">
    <w:name w:val="页脚1"/>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923A31-1552-4096-BDC1-9F2E23365BB3}">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102</Pages>
  <Words>25458</Words>
  <Characters>27014</Characters>
  <Lines>355</Lines>
  <Paragraphs>100</Paragraphs>
  <TotalTime>6</TotalTime>
  <ScaleCrop>false</ScaleCrop>
  <LinksUpToDate>false</LinksUpToDate>
  <CharactersWithSpaces>29337</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2021-12-06T04:29:00Z</dcterms:created>
  <dc:creator>Administrator</dc:creator>
  <cp:lastModifiedBy>.</cp:lastModifiedBy>
  <cp:lastPrinted>2025-06-18T07:50:00Z</cp:lastPrinted>
  <dcterms:modified xsi:type="dcterms:W3CDTF">2026-06-15T17:04:35Z</dcterms:modified>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7A75F7A2751F4091900D1A56C2CA12A2_13</vt:lpwstr>
  </property>
  <property fmtid="{D5CDD505-2E9C-101B-9397-08002B2CF9AE}" pid="4" name="KSOTemplateDocerSaveRecord">
    <vt:lpwstr>eyJoZGlkIjoiYzE5M2NlMWI0ZmI4MTMyOTFjNDg1ODY2YTdiMDE0NzAiLCJ1c2VySWQiOiIyMDc2NjcyMDcifQ==</vt:lpwstr>
  </property>
</Properties>
</file>