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C3E5C">
      <w:pPr>
        <w:adjustRightInd w:val="0"/>
        <w:snapToGrid w:val="0"/>
        <w:jc w:val="left"/>
        <w:rPr>
          <w:rFonts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5520" cy="795655"/>
            <wp:effectExtent l="0" t="0" r="508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985520" cy="795655"/>
                    </a:xfrm>
                    <a:prstGeom prst="rect">
                      <a:avLst/>
                    </a:prstGeom>
                    <a:noFill/>
                    <a:ln>
                      <a:noFill/>
                    </a:ln>
                  </pic:spPr>
                </pic:pic>
              </a:graphicData>
            </a:graphic>
          </wp:inline>
        </w:drawing>
      </w:r>
    </w:p>
    <w:p w14:paraId="47611003">
      <w:pPr>
        <w:adjustRightInd w:val="0"/>
        <w:snapToGrid w:val="0"/>
        <w:spacing w:line="480" w:lineRule="exact"/>
        <w:jc w:val="center"/>
        <w:rPr>
          <w:rFonts w:ascii="仿宋" w:hAnsi="仿宋" w:eastAsia="仿宋" w:cs="仿宋"/>
          <w:bCs/>
          <w:color w:val="auto"/>
          <w:sz w:val="48"/>
          <w:szCs w:val="48"/>
          <w:highlight w:val="none"/>
        </w:rPr>
      </w:pPr>
    </w:p>
    <w:p w14:paraId="71B00C97">
      <w:pPr>
        <w:adjustRightInd w:val="0"/>
        <w:snapToGrid w:val="0"/>
        <w:spacing w:line="480" w:lineRule="exact"/>
        <w:jc w:val="center"/>
        <w:rPr>
          <w:rFonts w:ascii="仿宋" w:hAnsi="仿宋" w:eastAsia="仿宋" w:cs="仿宋"/>
          <w:bCs/>
          <w:color w:val="auto"/>
          <w:sz w:val="48"/>
          <w:szCs w:val="48"/>
          <w:highlight w:val="none"/>
        </w:rPr>
      </w:pPr>
      <w:r>
        <w:rPr>
          <w:rFonts w:hint="eastAsia" w:ascii="仿宋" w:hAnsi="仿宋" w:eastAsia="仿宋" w:cs="仿宋"/>
          <w:bCs/>
          <w:color w:val="auto"/>
          <w:sz w:val="48"/>
          <w:szCs w:val="48"/>
          <w:highlight w:val="none"/>
        </w:rPr>
        <w:t>招 标 文 件</w:t>
      </w:r>
    </w:p>
    <w:p w14:paraId="09E00454">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（公开招标-货物）</w:t>
      </w:r>
    </w:p>
    <w:p w14:paraId="7212CD93">
      <w:pPr>
        <w:adjustRightInd w:val="0"/>
        <w:snapToGrid w:val="0"/>
        <w:spacing w:line="480" w:lineRule="exact"/>
        <w:ind w:left="0" w:right="0" w:rightChars="0" w:firstLine="0" w:firstLineChars="0"/>
        <w:rPr>
          <w:rFonts w:ascii="仿宋" w:hAnsi="仿宋" w:eastAsia="仿宋" w:cs="仿宋"/>
          <w:bCs/>
          <w:color w:val="auto"/>
          <w:kern w:val="0"/>
          <w:sz w:val="32"/>
          <w:szCs w:val="32"/>
          <w:highlight w:val="none"/>
        </w:rPr>
      </w:pPr>
    </w:p>
    <w:p w14:paraId="5665700B">
      <w:pPr>
        <w:adjustRightInd w:val="0"/>
        <w:snapToGrid w:val="0"/>
        <w:spacing w:line="480" w:lineRule="exact"/>
        <w:ind w:left="0" w:right="0" w:rightChars="0" w:firstLine="0" w:firstLineChars="0"/>
        <w:rPr>
          <w:rFonts w:ascii="仿宋" w:hAnsi="仿宋" w:eastAsia="仿宋" w:cs="仿宋"/>
          <w:bCs/>
          <w:color w:val="auto"/>
          <w:sz w:val="32"/>
          <w:highlight w:val="none"/>
        </w:rPr>
      </w:pPr>
      <w:r>
        <w:rPr>
          <w:rFonts w:hint="default"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rPr>
        <w:t>新疆农业大学机电学院教学科研设备更新项目第一包</w:t>
      </w:r>
    </w:p>
    <w:p w14:paraId="0C8848B7">
      <w:pPr>
        <w:adjustRightInd w:val="0"/>
        <w:snapToGrid w:val="0"/>
        <w:spacing w:line="480" w:lineRule="exact"/>
        <w:rPr>
          <w:rFonts w:ascii="仿宋" w:hAnsi="仿宋" w:eastAsia="仿宋" w:cs="仿宋"/>
          <w:bCs/>
          <w:color w:val="auto"/>
          <w:kern w:val="0"/>
          <w:sz w:val="32"/>
          <w:szCs w:val="32"/>
          <w:highlight w:val="none"/>
        </w:rPr>
      </w:pPr>
    </w:p>
    <w:p w14:paraId="635A4B7A">
      <w:pPr>
        <w:adjustRightInd w:val="0"/>
        <w:snapToGrid w:val="0"/>
        <w:spacing w:line="480" w:lineRule="exact"/>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rPr>
        <w:t>新疆农业大学</w:t>
      </w:r>
    </w:p>
    <w:p w14:paraId="1A0E6D9A">
      <w:pPr>
        <w:adjustRightInd w:val="0"/>
        <w:snapToGrid w:val="0"/>
        <w:spacing w:line="480" w:lineRule="exact"/>
        <w:rPr>
          <w:rFonts w:ascii="仿宋" w:hAnsi="仿宋" w:eastAsia="仿宋" w:cs="仿宋"/>
          <w:bCs/>
          <w:color w:val="auto"/>
          <w:sz w:val="32"/>
          <w:szCs w:val="32"/>
          <w:highlight w:val="none"/>
        </w:rPr>
      </w:pPr>
    </w:p>
    <w:p w14:paraId="368F5E19">
      <w:pPr>
        <w:adjustRightInd w:val="0"/>
        <w:snapToGrid w:val="0"/>
        <w:spacing w:line="480" w:lineRule="exact"/>
        <w:rPr>
          <w:rFonts w:ascii="仿宋" w:hAnsi="仿宋" w:eastAsia="仿宋" w:cs="仿宋"/>
          <w:bCs/>
          <w:color w:val="auto"/>
          <w:sz w:val="32"/>
          <w:szCs w:val="24"/>
          <w:highlight w:val="none"/>
        </w:rPr>
      </w:pPr>
      <w:r>
        <w:rPr>
          <w:rFonts w:hint="default" w:ascii="仿宋" w:hAnsi="仿宋" w:eastAsia="仿宋" w:cs="仿宋"/>
          <w:bCs/>
          <w:color w:val="auto"/>
          <w:kern w:val="0"/>
          <w:sz w:val="32"/>
          <w:szCs w:val="32"/>
          <w:highlight w:val="none"/>
        </w:rPr>
        <w:t>联系人：</w:t>
      </w:r>
      <w:r>
        <w:rPr>
          <w:rFonts w:hint="eastAsia" w:ascii="仿宋" w:hAnsi="仿宋" w:eastAsia="仿宋" w:cs="仿宋"/>
          <w:bCs/>
          <w:color w:val="auto"/>
          <w:sz w:val="32"/>
          <w:highlight w:val="none"/>
        </w:rPr>
        <w:t>吴毅</w:t>
      </w:r>
    </w:p>
    <w:p w14:paraId="3519C4EB">
      <w:pPr>
        <w:adjustRightInd w:val="0"/>
        <w:snapToGrid w:val="0"/>
        <w:spacing w:line="276" w:lineRule="auto"/>
        <w:rPr>
          <w:rFonts w:ascii="仿宋" w:hAnsi="仿宋" w:eastAsia="仿宋" w:cs="仿宋"/>
          <w:bCs/>
          <w:color w:val="auto"/>
          <w:sz w:val="32"/>
          <w:szCs w:val="24"/>
          <w:highlight w:val="none"/>
        </w:rPr>
      </w:pPr>
      <w:bookmarkStart w:id="374" w:name="_GoBack"/>
      <w:bookmarkEnd w:id="374"/>
    </w:p>
    <w:p w14:paraId="38A42B10">
      <w:pPr>
        <w:adjustRightInd w:val="0"/>
        <w:snapToGrid w:val="0"/>
        <w:spacing w:line="276" w:lineRule="auto"/>
        <w:jc w:val="left"/>
        <w:rPr>
          <w:rFonts w:ascii="仿宋" w:hAnsi="仿宋" w:eastAsia="仿宋" w:cs="仿宋"/>
          <w:bCs/>
          <w:color w:val="auto"/>
          <w:sz w:val="32"/>
          <w:szCs w:val="24"/>
          <w:highlight w:val="none"/>
        </w:rPr>
      </w:pPr>
      <w:r>
        <w:rPr>
          <w:rFonts w:hint="default" w:ascii="仿宋" w:hAnsi="仿宋" w:eastAsia="仿宋" w:cs="仿宋"/>
          <w:bCs/>
          <w:color w:val="auto"/>
          <w:kern w:val="0"/>
          <w:sz w:val="32"/>
          <w:szCs w:val="32"/>
          <w:highlight w:val="none"/>
        </w:rPr>
        <w:t>电话：</w:t>
      </w:r>
      <w:r>
        <w:rPr>
          <w:rFonts w:hint="eastAsia" w:ascii="仿宋" w:hAnsi="仿宋" w:eastAsia="仿宋" w:cs="仿宋"/>
          <w:bCs/>
          <w:color w:val="auto"/>
          <w:sz w:val="32"/>
          <w:highlight w:val="none"/>
        </w:rPr>
        <w:t>18999193815</w:t>
      </w:r>
    </w:p>
    <w:p w14:paraId="0D14C76D">
      <w:pPr>
        <w:rPr>
          <w:rFonts w:ascii="仿宋" w:hAnsi="仿宋" w:eastAsia="仿宋" w:cs="仿宋"/>
          <w:color w:val="auto"/>
          <w:highlight w:val="none"/>
        </w:rPr>
      </w:pPr>
    </w:p>
    <w:p w14:paraId="7133666E">
      <w:pPr>
        <w:adjustRightInd w:val="0"/>
        <w:snapToGrid w:val="0"/>
        <w:spacing w:line="480" w:lineRule="exact"/>
        <w:jc w:val="left"/>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5BED6EE3">
      <w:pPr>
        <w:adjustRightInd w:val="0"/>
        <w:snapToGrid w:val="0"/>
        <w:spacing w:line="480" w:lineRule="exact"/>
        <w:jc w:val="center"/>
        <w:rPr>
          <w:rFonts w:ascii="仿宋" w:hAnsi="仿宋" w:eastAsia="仿宋" w:cs="仿宋"/>
          <w:bCs/>
          <w:color w:val="auto"/>
          <w:sz w:val="32"/>
          <w:szCs w:val="32"/>
          <w:highlight w:val="none"/>
        </w:rPr>
      </w:pPr>
    </w:p>
    <w:p w14:paraId="3EC3EE14">
      <w:pPr>
        <w:adjustRightInd w:val="0"/>
        <w:snapToGrid w:val="0"/>
        <w:spacing w:line="480" w:lineRule="exact"/>
        <w:rPr>
          <w:rFonts w:ascii="仿宋" w:hAnsi="仿宋" w:eastAsia="仿宋" w:cs="仿宋"/>
          <w:bCs/>
          <w:color w:val="auto"/>
          <w:sz w:val="32"/>
          <w:szCs w:val="32"/>
          <w:highlight w:val="none"/>
        </w:rPr>
      </w:pPr>
    </w:p>
    <w:p w14:paraId="7D915984">
      <w:pPr>
        <w:adjustRightInd w:val="0"/>
        <w:snapToGrid w:val="0"/>
        <w:spacing w:line="48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4C241E81">
      <w:pPr>
        <w:adjustRightInd w:val="0"/>
        <w:snapToGrid w:val="0"/>
        <w:spacing w:line="480" w:lineRule="exact"/>
        <w:rPr>
          <w:rFonts w:ascii="仿宋" w:hAnsi="仿宋" w:eastAsia="仿宋" w:cs="仿宋"/>
          <w:bCs/>
          <w:color w:val="auto"/>
          <w:sz w:val="32"/>
          <w:szCs w:val="32"/>
          <w:highlight w:val="none"/>
        </w:rPr>
      </w:pPr>
    </w:p>
    <w:p w14:paraId="20B316F4">
      <w:pPr>
        <w:adjustRightInd w:val="0"/>
        <w:snapToGrid w:val="0"/>
        <w:spacing w:line="48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联系人：马丹阳</w:t>
      </w:r>
    </w:p>
    <w:p w14:paraId="11844B30">
      <w:pPr>
        <w:adjustRightInd w:val="0"/>
        <w:snapToGrid w:val="0"/>
        <w:spacing w:line="480" w:lineRule="exact"/>
        <w:jc w:val="center"/>
        <w:rPr>
          <w:rFonts w:ascii="仿宋" w:hAnsi="仿宋" w:eastAsia="仿宋" w:cs="仿宋"/>
          <w:bCs/>
          <w:color w:val="auto"/>
          <w:sz w:val="32"/>
          <w:szCs w:val="32"/>
          <w:highlight w:val="none"/>
        </w:rPr>
      </w:pPr>
    </w:p>
    <w:p w14:paraId="1B451AED">
      <w:pPr>
        <w:adjustRightInd w:val="0"/>
        <w:snapToGrid w:val="0"/>
        <w:spacing w:line="480" w:lineRule="exact"/>
        <w:rPr>
          <w:rFonts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：0991-4661782</w:t>
      </w:r>
    </w:p>
    <w:p w14:paraId="4526A933">
      <w:pPr>
        <w:adjustRightInd w:val="0"/>
        <w:snapToGrid w:val="0"/>
        <w:spacing w:line="480" w:lineRule="exact"/>
        <w:rPr>
          <w:rFonts w:ascii="仿宋" w:hAnsi="仿宋" w:eastAsia="仿宋" w:cs="仿宋"/>
          <w:bCs/>
          <w:color w:val="auto"/>
          <w:sz w:val="32"/>
          <w:szCs w:val="32"/>
          <w:highlight w:val="none"/>
        </w:rPr>
      </w:pPr>
    </w:p>
    <w:p w14:paraId="7735DEB8">
      <w:pPr>
        <w:adjustRightInd w:val="0"/>
        <w:snapToGrid w:val="0"/>
        <w:spacing w:line="48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地址：乌鲁木齐市新兴街20号凤凰大厦五楼</w:t>
      </w:r>
    </w:p>
    <w:p w14:paraId="68AE26D6">
      <w:pPr>
        <w:adjustRightInd w:val="0"/>
        <w:snapToGrid w:val="0"/>
        <w:spacing w:line="480" w:lineRule="exact"/>
        <w:rPr>
          <w:rFonts w:ascii="仿宋" w:hAnsi="仿宋" w:eastAsia="仿宋" w:cs="仿宋"/>
          <w:bCs/>
          <w:color w:val="auto"/>
          <w:sz w:val="32"/>
          <w:szCs w:val="32"/>
          <w:highlight w:val="none"/>
        </w:rPr>
      </w:pPr>
    </w:p>
    <w:p w14:paraId="7C14D274">
      <w:pPr>
        <w:spacing w:line="288" w:lineRule="auto"/>
        <w:jc w:val="center"/>
        <w:rPr>
          <w:rFonts w:ascii="仿宋" w:hAnsi="仿宋" w:eastAsia="仿宋" w:cs="仿宋"/>
          <w:b/>
          <w:bCs/>
          <w:color w:val="auto"/>
          <w:sz w:val="24"/>
          <w:szCs w:val="24"/>
          <w:highlight w:val="none"/>
        </w:rPr>
        <w:sectPr>
          <w:headerReference r:id="rId3" w:type="default"/>
          <w:footerReference r:id="rId4" w:type="default"/>
          <w:pgSz w:w="11906" w:h="16838"/>
          <w:pgMar w:top="1361" w:right="1134" w:bottom="1361" w:left="1418" w:header="851" w:footer="992" w:gutter="0"/>
          <w:pgNumType w:start="1"/>
          <w:cols w:space="720" w:num="1"/>
          <w:docGrid w:type="lines" w:linePitch="312" w:charSpace="0"/>
        </w:sectPr>
      </w:pPr>
    </w:p>
    <w:p w14:paraId="45DAAFDD">
      <w:pPr>
        <w:spacing w:line="288"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目录</w:t>
      </w:r>
    </w:p>
    <w:p w14:paraId="5E6A1CC5">
      <w:pPr>
        <w:pStyle w:val="23"/>
        <w:tabs>
          <w:tab w:val="right" w:leader="dot" w:pos="9354"/>
        </w:tabs>
        <w:rPr>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_Toc9511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32"/>
          <w:highlight w:val="none"/>
        </w:rPr>
        <w:t>招标公告</w:t>
      </w:r>
      <w:r>
        <w:rPr>
          <w:color w:val="auto"/>
          <w:highlight w:val="none"/>
        </w:rPr>
        <w:tab/>
      </w:r>
      <w:r>
        <w:rPr>
          <w:color w:val="auto"/>
          <w:highlight w:val="none"/>
        </w:rPr>
        <w:fldChar w:fldCharType="begin"/>
      </w:r>
      <w:r>
        <w:rPr>
          <w:color w:val="auto"/>
          <w:highlight w:val="none"/>
        </w:rPr>
        <w:instrText xml:space="preserve"> PAGEREF _Toc9511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color w:val="auto"/>
          <w:highlight w:val="none"/>
        </w:rPr>
        <w:fldChar w:fldCharType="end"/>
      </w:r>
    </w:p>
    <w:p w14:paraId="2E167F89">
      <w:pPr>
        <w:pStyle w:val="23"/>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_Toc31691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_Toc31691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eastAsia="仿宋" w:cs="仿宋"/>
          <w:color w:val="auto"/>
          <w:highlight w:val="none"/>
        </w:rPr>
        <w:fldChar w:fldCharType="end"/>
      </w:r>
    </w:p>
    <w:p w14:paraId="7B8E4B72">
      <w:pPr>
        <w:pStyle w:val="23"/>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_Toc4949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第一章 投标人须知</w:t>
      </w:r>
      <w:r>
        <w:rPr>
          <w:color w:val="auto"/>
          <w:highlight w:val="none"/>
        </w:rPr>
        <w:tab/>
      </w:r>
      <w:r>
        <w:rPr>
          <w:color w:val="auto"/>
          <w:highlight w:val="none"/>
        </w:rPr>
        <w:fldChar w:fldCharType="begin"/>
      </w:r>
      <w:r>
        <w:rPr>
          <w:color w:val="auto"/>
          <w:highlight w:val="none"/>
        </w:rPr>
        <w:instrText xml:space="preserve"> PAGEREF _Toc4949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仿宋"/>
          <w:color w:val="auto"/>
          <w:highlight w:val="none"/>
        </w:rPr>
        <w:fldChar w:fldCharType="end"/>
      </w:r>
    </w:p>
    <w:p w14:paraId="41B3AD59">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_Toc32453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一、总则</w:t>
      </w:r>
      <w:r>
        <w:rPr>
          <w:color w:val="auto"/>
          <w:highlight w:val="none"/>
        </w:rPr>
        <w:tab/>
      </w:r>
      <w:r>
        <w:rPr>
          <w:color w:val="auto"/>
          <w:highlight w:val="none"/>
        </w:rPr>
        <w:fldChar w:fldCharType="begin"/>
      </w:r>
      <w:r>
        <w:rPr>
          <w:color w:val="auto"/>
          <w:highlight w:val="none"/>
        </w:rPr>
        <w:instrText xml:space="preserve"> PAGEREF _Toc32453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仿宋"/>
          <w:color w:val="auto"/>
          <w:highlight w:val="none"/>
        </w:rPr>
        <w:fldChar w:fldCharType="end"/>
      </w:r>
    </w:p>
    <w:p w14:paraId="5D4270E7">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_Toc22780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二、招标文件</w:t>
      </w:r>
      <w:r>
        <w:rPr>
          <w:color w:val="auto"/>
          <w:highlight w:val="none"/>
        </w:rPr>
        <w:tab/>
      </w:r>
      <w:r>
        <w:rPr>
          <w:color w:val="auto"/>
          <w:highlight w:val="none"/>
        </w:rPr>
        <w:fldChar w:fldCharType="begin"/>
      </w:r>
      <w:r>
        <w:rPr>
          <w:color w:val="auto"/>
          <w:highlight w:val="none"/>
        </w:rPr>
        <w:instrText xml:space="preserve"> PAGEREF _Toc22780 \h </w:instrText>
      </w:r>
      <w:r>
        <w:rPr>
          <w:color w:val="auto"/>
          <w:highlight w:val="none"/>
        </w:rPr>
        <w:fldChar w:fldCharType="separate"/>
      </w:r>
      <w:r>
        <w:rPr>
          <w:color w:val="auto"/>
          <w:highlight w:val="none"/>
        </w:rPr>
        <w:t>8</w:t>
      </w:r>
      <w:r>
        <w:rPr>
          <w:color w:val="auto"/>
          <w:highlight w:val="none"/>
        </w:rPr>
        <w:fldChar w:fldCharType="end"/>
      </w:r>
      <w:r>
        <w:rPr>
          <w:rFonts w:hint="eastAsia" w:ascii="仿宋" w:hAnsi="仿宋" w:eastAsia="仿宋" w:cs="仿宋"/>
          <w:color w:val="auto"/>
          <w:highlight w:val="none"/>
        </w:rPr>
        <w:fldChar w:fldCharType="end"/>
      </w:r>
    </w:p>
    <w:p w14:paraId="1D711B27">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_Toc7340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三、投标文件</w:t>
      </w:r>
      <w:r>
        <w:rPr>
          <w:color w:val="auto"/>
          <w:highlight w:val="none"/>
        </w:rPr>
        <w:tab/>
      </w:r>
      <w:r>
        <w:rPr>
          <w:color w:val="auto"/>
          <w:highlight w:val="none"/>
        </w:rPr>
        <w:fldChar w:fldCharType="begin"/>
      </w:r>
      <w:r>
        <w:rPr>
          <w:color w:val="auto"/>
          <w:highlight w:val="none"/>
        </w:rPr>
        <w:instrText xml:space="preserve"> PAGEREF _Toc7340 \h </w:instrText>
      </w:r>
      <w:r>
        <w:rPr>
          <w:color w:val="auto"/>
          <w:highlight w:val="none"/>
        </w:rPr>
        <w:fldChar w:fldCharType="separate"/>
      </w:r>
      <w:r>
        <w:rPr>
          <w:color w:val="auto"/>
          <w:highlight w:val="none"/>
        </w:rPr>
        <w:t>10</w:t>
      </w:r>
      <w:r>
        <w:rPr>
          <w:color w:val="auto"/>
          <w:highlight w:val="none"/>
        </w:rPr>
        <w:fldChar w:fldCharType="end"/>
      </w:r>
      <w:r>
        <w:rPr>
          <w:rFonts w:hint="eastAsia" w:ascii="仿宋" w:hAnsi="仿宋" w:eastAsia="仿宋" w:cs="仿宋"/>
          <w:color w:val="auto"/>
          <w:highlight w:val="none"/>
        </w:rPr>
        <w:fldChar w:fldCharType="end"/>
      </w:r>
    </w:p>
    <w:p w14:paraId="00E17BBB">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_Toc8913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四、投标</w:t>
      </w:r>
      <w:r>
        <w:rPr>
          <w:color w:val="auto"/>
          <w:highlight w:val="none"/>
        </w:rPr>
        <w:tab/>
      </w:r>
      <w:r>
        <w:rPr>
          <w:color w:val="auto"/>
          <w:highlight w:val="none"/>
        </w:rPr>
        <w:fldChar w:fldCharType="begin"/>
      </w:r>
      <w:r>
        <w:rPr>
          <w:color w:val="auto"/>
          <w:highlight w:val="none"/>
        </w:rPr>
        <w:instrText xml:space="preserve"> PAGEREF _Toc8913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color w:val="auto"/>
          <w:highlight w:val="none"/>
        </w:rPr>
        <w:fldChar w:fldCharType="end"/>
      </w:r>
    </w:p>
    <w:p w14:paraId="0468A070">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_Toc1079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五、开标</w:t>
      </w:r>
      <w:r>
        <w:rPr>
          <w:color w:val="auto"/>
          <w:highlight w:val="none"/>
        </w:rPr>
        <w:tab/>
      </w:r>
      <w:r>
        <w:rPr>
          <w:color w:val="auto"/>
          <w:highlight w:val="none"/>
        </w:rPr>
        <w:fldChar w:fldCharType="begin"/>
      </w:r>
      <w:r>
        <w:rPr>
          <w:color w:val="auto"/>
          <w:highlight w:val="none"/>
        </w:rPr>
        <w:instrText xml:space="preserve"> PAGEREF _Toc1079 \h </w:instrText>
      </w:r>
      <w:r>
        <w:rPr>
          <w:color w:val="auto"/>
          <w:highlight w:val="none"/>
        </w:rPr>
        <w:fldChar w:fldCharType="separate"/>
      </w:r>
      <w:r>
        <w:rPr>
          <w:color w:val="auto"/>
          <w:highlight w:val="none"/>
        </w:rPr>
        <w:t>13</w:t>
      </w:r>
      <w:r>
        <w:rPr>
          <w:color w:val="auto"/>
          <w:highlight w:val="none"/>
        </w:rPr>
        <w:fldChar w:fldCharType="end"/>
      </w:r>
      <w:r>
        <w:rPr>
          <w:rFonts w:hint="eastAsia" w:ascii="仿宋" w:hAnsi="仿宋" w:eastAsia="仿宋" w:cs="仿宋"/>
          <w:color w:val="auto"/>
          <w:highlight w:val="none"/>
        </w:rPr>
        <w:fldChar w:fldCharType="end"/>
      </w:r>
    </w:p>
    <w:p w14:paraId="73C8128A">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_Toc3635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六、评标</w:t>
      </w:r>
      <w:r>
        <w:rPr>
          <w:color w:val="auto"/>
          <w:highlight w:val="none"/>
        </w:rPr>
        <w:tab/>
      </w:r>
      <w:r>
        <w:rPr>
          <w:color w:val="auto"/>
          <w:highlight w:val="none"/>
        </w:rPr>
        <w:fldChar w:fldCharType="begin"/>
      </w:r>
      <w:r>
        <w:rPr>
          <w:color w:val="auto"/>
          <w:highlight w:val="none"/>
        </w:rPr>
        <w:instrText xml:space="preserve"> PAGEREF _Toc3635 \h </w:instrText>
      </w:r>
      <w:r>
        <w:rPr>
          <w:color w:val="auto"/>
          <w:highlight w:val="none"/>
        </w:rPr>
        <w:fldChar w:fldCharType="separate"/>
      </w:r>
      <w:r>
        <w:rPr>
          <w:color w:val="auto"/>
          <w:highlight w:val="none"/>
        </w:rPr>
        <w:t>13</w:t>
      </w:r>
      <w:r>
        <w:rPr>
          <w:color w:val="auto"/>
          <w:highlight w:val="none"/>
        </w:rPr>
        <w:fldChar w:fldCharType="end"/>
      </w:r>
      <w:r>
        <w:rPr>
          <w:rFonts w:hint="eastAsia" w:ascii="仿宋" w:hAnsi="仿宋" w:eastAsia="仿宋" w:cs="仿宋"/>
          <w:color w:val="auto"/>
          <w:highlight w:val="none"/>
        </w:rPr>
        <w:fldChar w:fldCharType="end"/>
      </w:r>
    </w:p>
    <w:p w14:paraId="09F9FAE1">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_Toc2218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七、定标及合同授予</w:t>
      </w:r>
      <w:r>
        <w:rPr>
          <w:color w:val="auto"/>
          <w:highlight w:val="none"/>
        </w:rPr>
        <w:tab/>
      </w:r>
      <w:r>
        <w:rPr>
          <w:color w:val="auto"/>
          <w:highlight w:val="none"/>
        </w:rPr>
        <w:fldChar w:fldCharType="begin"/>
      </w:r>
      <w:r>
        <w:rPr>
          <w:color w:val="auto"/>
          <w:highlight w:val="none"/>
        </w:rPr>
        <w:instrText xml:space="preserve"> PAGEREF _Toc2218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仿宋"/>
          <w:color w:val="auto"/>
          <w:highlight w:val="none"/>
        </w:rPr>
        <w:fldChar w:fldCharType="end"/>
      </w:r>
    </w:p>
    <w:p w14:paraId="086D1D74">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_Toc10032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八、纪律和监督</w:t>
      </w:r>
      <w:r>
        <w:rPr>
          <w:color w:val="auto"/>
          <w:highlight w:val="none"/>
        </w:rPr>
        <w:tab/>
      </w:r>
      <w:r>
        <w:rPr>
          <w:color w:val="auto"/>
          <w:highlight w:val="none"/>
        </w:rPr>
        <w:fldChar w:fldCharType="begin"/>
      </w:r>
      <w:r>
        <w:rPr>
          <w:color w:val="auto"/>
          <w:highlight w:val="none"/>
        </w:rPr>
        <w:instrText xml:space="preserve"> PAGEREF _Toc10032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仿宋"/>
          <w:color w:val="auto"/>
          <w:highlight w:val="none"/>
        </w:rPr>
        <w:fldChar w:fldCharType="end"/>
      </w:r>
    </w:p>
    <w:p w14:paraId="5F4C4987">
      <w:pPr>
        <w:pStyle w:val="23"/>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_Toc23628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第二章 评标办法</w:t>
      </w:r>
      <w:r>
        <w:rPr>
          <w:color w:val="auto"/>
          <w:highlight w:val="none"/>
        </w:rPr>
        <w:tab/>
      </w:r>
      <w:r>
        <w:rPr>
          <w:color w:val="auto"/>
          <w:highlight w:val="none"/>
        </w:rPr>
        <w:fldChar w:fldCharType="begin"/>
      </w:r>
      <w:r>
        <w:rPr>
          <w:color w:val="auto"/>
          <w:highlight w:val="none"/>
        </w:rPr>
        <w:instrText xml:space="preserve"> PAGEREF _Toc23628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14:paraId="5F1A8A1A">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_Toc7075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评审办法前附表</w:t>
      </w:r>
      <w:r>
        <w:rPr>
          <w:color w:val="auto"/>
          <w:highlight w:val="none"/>
        </w:rPr>
        <w:tab/>
      </w:r>
      <w:r>
        <w:rPr>
          <w:color w:val="auto"/>
          <w:highlight w:val="none"/>
        </w:rPr>
        <w:fldChar w:fldCharType="begin"/>
      </w:r>
      <w:r>
        <w:rPr>
          <w:color w:val="auto"/>
          <w:highlight w:val="none"/>
        </w:rPr>
        <w:instrText xml:space="preserve"> PAGEREF _Toc7075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color w:val="auto"/>
          <w:highlight w:val="none"/>
        </w:rPr>
        <w:fldChar w:fldCharType="end"/>
      </w:r>
    </w:p>
    <w:p w14:paraId="1682D4A4">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_Toc20365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一、评标方法</w:t>
      </w:r>
      <w:r>
        <w:rPr>
          <w:color w:val="auto"/>
          <w:highlight w:val="none"/>
        </w:rPr>
        <w:tab/>
      </w:r>
      <w:r>
        <w:rPr>
          <w:color w:val="auto"/>
          <w:highlight w:val="none"/>
        </w:rPr>
        <w:fldChar w:fldCharType="begin"/>
      </w:r>
      <w:r>
        <w:rPr>
          <w:color w:val="auto"/>
          <w:highlight w:val="none"/>
        </w:rPr>
        <w:instrText xml:space="preserve"> PAGEREF _Toc20365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14:paraId="619B9B02">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_Toc29743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二、评审标准</w:t>
      </w:r>
      <w:r>
        <w:rPr>
          <w:color w:val="auto"/>
          <w:highlight w:val="none"/>
        </w:rPr>
        <w:tab/>
      </w:r>
      <w:r>
        <w:rPr>
          <w:color w:val="auto"/>
          <w:highlight w:val="none"/>
        </w:rPr>
        <w:fldChar w:fldCharType="begin"/>
      </w:r>
      <w:r>
        <w:rPr>
          <w:color w:val="auto"/>
          <w:highlight w:val="none"/>
        </w:rPr>
        <w:instrText xml:space="preserve"> PAGEREF _Toc29743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14:paraId="473D6455">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_Toc17046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三、评标程序</w:t>
      </w:r>
      <w:r>
        <w:rPr>
          <w:color w:val="auto"/>
          <w:highlight w:val="none"/>
        </w:rPr>
        <w:tab/>
      </w:r>
      <w:r>
        <w:rPr>
          <w:color w:val="auto"/>
          <w:highlight w:val="none"/>
        </w:rPr>
        <w:fldChar w:fldCharType="begin"/>
      </w:r>
      <w:r>
        <w:rPr>
          <w:color w:val="auto"/>
          <w:highlight w:val="none"/>
        </w:rPr>
        <w:instrText xml:space="preserve"> PAGEREF _Toc17046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仿宋"/>
          <w:color w:val="auto"/>
          <w:highlight w:val="none"/>
        </w:rPr>
        <w:fldChar w:fldCharType="end"/>
      </w:r>
    </w:p>
    <w:p w14:paraId="5C10B75C">
      <w:pPr>
        <w:pStyle w:val="23"/>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_Toc27176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第三章 合同文本</w:t>
      </w:r>
      <w:r>
        <w:rPr>
          <w:color w:val="auto"/>
          <w:highlight w:val="none"/>
        </w:rPr>
        <w:tab/>
      </w:r>
      <w:r>
        <w:rPr>
          <w:color w:val="auto"/>
          <w:highlight w:val="none"/>
        </w:rPr>
        <w:fldChar w:fldCharType="begin"/>
      </w:r>
      <w:r>
        <w:rPr>
          <w:color w:val="auto"/>
          <w:highlight w:val="none"/>
        </w:rPr>
        <w:instrText xml:space="preserve"> PAGEREF _Toc27176 \h </w:instrText>
      </w:r>
      <w:r>
        <w:rPr>
          <w:color w:val="auto"/>
          <w:highlight w:val="none"/>
        </w:rPr>
        <w:fldChar w:fldCharType="separate"/>
      </w:r>
      <w:r>
        <w:rPr>
          <w:color w:val="auto"/>
          <w:highlight w:val="none"/>
        </w:rPr>
        <w:t>25</w:t>
      </w:r>
      <w:r>
        <w:rPr>
          <w:color w:val="auto"/>
          <w:highlight w:val="none"/>
        </w:rPr>
        <w:fldChar w:fldCharType="end"/>
      </w:r>
      <w:r>
        <w:rPr>
          <w:rFonts w:hint="eastAsia" w:ascii="仿宋" w:hAnsi="仿宋" w:eastAsia="仿宋" w:cs="仿宋"/>
          <w:color w:val="auto"/>
          <w:highlight w:val="none"/>
        </w:rPr>
        <w:fldChar w:fldCharType="end"/>
      </w:r>
    </w:p>
    <w:p w14:paraId="4E7D92C8">
      <w:pPr>
        <w:pStyle w:val="23"/>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_Toc9234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第四章 技术标准和要求</w:t>
      </w:r>
      <w:r>
        <w:rPr>
          <w:color w:val="auto"/>
          <w:highlight w:val="none"/>
        </w:rPr>
        <w:tab/>
      </w:r>
      <w:r>
        <w:rPr>
          <w:color w:val="auto"/>
          <w:highlight w:val="none"/>
        </w:rPr>
        <w:fldChar w:fldCharType="begin"/>
      </w:r>
      <w:r>
        <w:rPr>
          <w:color w:val="auto"/>
          <w:highlight w:val="none"/>
        </w:rPr>
        <w:instrText xml:space="preserve"> PAGEREF _Toc9234 \h </w:instrText>
      </w:r>
      <w:r>
        <w:rPr>
          <w:color w:val="auto"/>
          <w:highlight w:val="none"/>
        </w:rPr>
        <w:fldChar w:fldCharType="separate"/>
      </w:r>
      <w:r>
        <w:rPr>
          <w:color w:val="auto"/>
          <w:highlight w:val="none"/>
        </w:rPr>
        <w:t>29</w:t>
      </w:r>
      <w:r>
        <w:rPr>
          <w:color w:val="auto"/>
          <w:highlight w:val="none"/>
        </w:rPr>
        <w:fldChar w:fldCharType="end"/>
      </w:r>
      <w:r>
        <w:rPr>
          <w:rFonts w:hint="eastAsia" w:ascii="仿宋" w:hAnsi="仿宋" w:eastAsia="仿宋" w:cs="仿宋"/>
          <w:color w:val="auto"/>
          <w:highlight w:val="none"/>
        </w:rPr>
        <w:fldChar w:fldCharType="end"/>
      </w:r>
    </w:p>
    <w:p w14:paraId="2EFDEA40">
      <w:pPr>
        <w:pStyle w:val="23"/>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_Toc6645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_Toc6645 \h </w:instrText>
      </w:r>
      <w:r>
        <w:rPr>
          <w:color w:val="auto"/>
          <w:highlight w:val="none"/>
        </w:rPr>
        <w:fldChar w:fldCharType="separate"/>
      </w:r>
      <w:r>
        <w:rPr>
          <w:color w:val="auto"/>
          <w:highlight w:val="none"/>
        </w:rPr>
        <w:t>201</w:t>
      </w:r>
      <w:r>
        <w:rPr>
          <w:color w:val="auto"/>
          <w:highlight w:val="none"/>
        </w:rPr>
        <w:fldChar w:fldCharType="end"/>
      </w:r>
      <w:r>
        <w:rPr>
          <w:rFonts w:hint="eastAsia" w:ascii="仿宋" w:hAnsi="仿宋" w:eastAsia="仿宋" w:cs="仿宋"/>
          <w:color w:val="auto"/>
          <w:highlight w:val="none"/>
        </w:rPr>
        <w:fldChar w:fldCharType="end"/>
      </w:r>
    </w:p>
    <w:p w14:paraId="4C612380">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_Toc9432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一、开标一览表</w:t>
      </w:r>
      <w:r>
        <w:rPr>
          <w:color w:val="auto"/>
          <w:highlight w:val="none"/>
        </w:rPr>
        <w:tab/>
      </w:r>
      <w:r>
        <w:rPr>
          <w:color w:val="auto"/>
          <w:highlight w:val="none"/>
        </w:rPr>
        <w:fldChar w:fldCharType="begin"/>
      </w:r>
      <w:r>
        <w:rPr>
          <w:color w:val="auto"/>
          <w:highlight w:val="none"/>
        </w:rPr>
        <w:instrText xml:space="preserve"> PAGEREF _Toc9432 \h </w:instrText>
      </w:r>
      <w:r>
        <w:rPr>
          <w:color w:val="auto"/>
          <w:highlight w:val="none"/>
        </w:rPr>
        <w:fldChar w:fldCharType="separate"/>
      </w:r>
      <w:r>
        <w:rPr>
          <w:color w:val="auto"/>
          <w:highlight w:val="none"/>
        </w:rPr>
        <w:t>203</w:t>
      </w:r>
      <w:r>
        <w:rPr>
          <w:color w:val="auto"/>
          <w:highlight w:val="none"/>
        </w:rPr>
        <w:fldChar w:fldCharType="end"/>
      </w:r>
      <w:r>
        <w:rPr>
          <w:rFonts w:hint="eastAsia" w:ascii="仿宋" w:hAnsi="仿宋" w:eastAsia="仿宋" w:cs="仿宋"/>
          <w:color w:val="auto"/>
          <w:highlight w:val="none"/>
        </w:rPr>
        <w:fldChar w:fldCharType="end"/>
      </w:r>
    </w:p>
    <w:p w14:paraId="0F52017A">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_Toc20988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二、投标函</w:t>
      </w:r>
      <w:r>
        <w:rPr>
          <w:color w:val="auto"/>
          <w:highlight w:val="none"/>
        </w:rPr>
        <w:tab/>
      </w:r>
      <w:r>
        <w:rPr>
          <w:color w:val="auto"/>
          <w:highlight w:val="none"/>
        </w:rPr>
        <w:fldChar w:fldCharType="begin"/>
      </w:r>
      <w:r>
        <w:rPr>
          <w:color w:val="auto"/>
          <w:highlight w:val="none"/>
        </w:rPr>
        <w:instrText xml:space="preserve"> PAGEREF _Toc20988 \h </w:instrText>
      </w:r>
      <w:r>
        <w:rPr>
          <w:color w:val="auto"/>
          <w:highlight w:val="none"/>
        </w:rPr>
        <w:fldChar w:fldCharType="separate"/>
      </w:r>
      <w:r>
        <w:rPr>
          <w:color w:val="auto"/>
          <w:highlight w:val="none"/>
        </w:rPr>
        <w:t>204</w:t>
      </w:r>
      <w:r>
        <w:rPr>
          <w:color w:val="auto"/>
          <w:highlight w:val="none"/>
        </w:rPr>
        <w:fldChar w:fldCharType="end"/>
      </w:r>
      <w:r>
        <w:rPr>
          <w:rFonts w:hint="eastAsia" w:ascii="仿宋" w:hAnsi="仿宋" w:eastAsia="仿宋" w:cs="仿宋"/>
          <w:color w:val="auto"/>
          <w:highlight w:val="none"/>
        </w:rPr>
        <w:fldChar w:fldCharType="end"/>
      </w:r>
    </w:p>
    <w:p w14:paraId="1F2D4EEA">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_Toc25815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三、投标价格明细表</w:t>
      </w:r>
      <w:r>
        <w:rPr>
          <w:color w:val="auto"/>
          <w:highlight w:val="none"/>
        </w:rPr>
        <w:tab/>
      </w:r>
      <w:r>
        <w:rPr>
          <w:color w:val="auto"/>
          <w:highlight w:val="none"/>
        </w:rPr>
        <w:fldChar w:fldCharType="begin"/>
      </w:r>
      <w:r>
        <w:rPr>
          <w:color w:val="auto"/>
          <w:highlight w:val="none"/>
        </w:rPr>
        <w:instrText xml:space="preserve"> PAGEREF _Toc25815 \h </w:instrText>
      </w:r>
      <w:r>
        <w:rPr>
          <w:color w:val="auto"/>
          <w:highlight w:val="none"/>
        </w:rPr>
        <w:fldChar w:fldCharType="separate"/>
      </w:r>
      <w:r>
        <w:rPr>
          <w:color w:val="auto"/>
          <w:highlight w:val="none"/>
        </w:rPr>
        <w:t>205</w:t>
      </w:r>
      <w:r>
        <w:rPr>
          <w:color w:val="auto"/>
          <w:highlight w:val="none"/>
        </w:rPr>
        <w:fldChar w:fldCharType="end"/>
      </w:r>
      <w:r>
        <w:rPr>
          <w:rFonts w:hint="eastAsia" w:ascii="仿宋" w:hAnsi="仿宋" w:eastAsia="仿宋" w:cs="仿宋"/>
          <w:color w:val="auto"/>
          <w:highlight w:val="none"/>
        </w:rPr>
        <w:fldChar w:fldCharType="end"/>
      </w:r>
    </w:p>
    <w:p w14:paraId="3D0BDC26">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_Toc4702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4"/>
          <w:highlight w:val="none"/>
          <w:lang w:val="en-US" w:eastAsia="zh-CN"/>
        </w:rPr>
        <w:t>四</w:t>
      </w:r>
      <w:r>
        <w:rPr>
          <w:rFonts w:hint="eastAsia" w:ascii="仿宋" w:hAnsi="仿宋" w:eastAsia="仿宋" w:cs="仿宋"/>
          <w:bCs/>
          <w:color w:val="auto"/>
          <w:szCs w:val="24"/>
          <w:highlight w:val="none"/>
        </w:rPr>
        <w:t>、</w:t>
      </w:r>
      <w:r>
        <w:rPr>
          <w:rFonts w:hint="eastAsia" w:ascii="仿宋" w:hAnsi="仿宋" w:eastAsia="仿宋" w:cs="仿宋"/>
          <w:color w:val="auto"/>
          <w:szCs w:val="24"/>
          <w:highlight w:val="none"/>
          <w:lang w:eastAsia="zh-CN"/>
        </w:rPr>
        <w:t>中小企业投标价格统计表</w:t>
      </w:r>
      <w:r>
        <w:rPr>
          <w:color w:val="auto"/>
          <w:highlight w:val="none"/>
        </w:rPr>
        <w:tab/>
      </w:r>
      <w:r>
        <w:rPr>
          <w:color w:val="auto"/>
          <w:highlight w:val="none"/>
        </w:rPr>
        <w:fldChar w:fldCharType="begin"/>
      </w:r>
      <w:r>
        <w:rPr>
          <w:color w:val="auto"/>
          <w:highlight w:val="none"/>
        </w:rPr>
        <w:instrText xml:space="preserve"> PAGEREF _Toc4702 \h </w:instrText>
      </w:r>
      <w:r>
        <w:rPr>
          <w:color w:val="auto"/>
          <w:highlight w:val="none"/>
        </w:rPr>
        <w:fldChar w:fldCharType="separate"/>
      </w:r>
      <w:r>
        <w:rPr>
          <w:color w:val="auto"/>
          <w:highlight w:val="none"/>
        </w:rPr>
        <w:t>206</w:t>
      </w:r>
      <w:r>
        <w:rPr>
          <w:color w:val="auto"/>
          <w:highlight w:val="none"/>
        </w:rPr>
        <w:fldChar w:fldCharType="end"/>
      </w:r>
      <w:r>
        <w:rPr>
          <w:rFonts w:hint="eastAsia" w:ascii="仿宋" w:hAnsi="仿宋" w:eastAsia="仿宋" w:cs="仿宋"/>
          <w:color w:val="auto"/>
          <w:highlight w:val="none"/>
        </w:rPr>
        <w:fldChar w:fldCharType="end"/>
      </w:r>
    </w:p>
    <w:p w14:paraId="2CF5820B">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_Toc30902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五</w:t>
      </w:r>
      <w:r>
        <w:rPr>
          <w:rFonts w:hint="eastAsia" w:ascii="仿宋" w:hAnsi="仿宋" w:eastAsia="仿宋" w:cs="仿宋"/>
          <w:color w:val="auto"/>
          <w:szCs w:val="24"/>
          <w:highlight w:val="none"/>
        </w:rPr>
        <w:t>、商务条款偏离表</w:t>
      </w:r>
      <w:r>
        <w:rPr>
          <w:color w:val="auto"/>
          <w:highlight w:val="none"/>
        </w:rPr>
        <w:tab/>
      </w:r>
      <w:r>
        <w:rPr>
          <w:color w:val="auto"/>
          <w:highlight w:val="none"/>
        </w:rPr>
        <w:fldChar w:fldCharType="begin"/>
      </w:r>
      <w:r>
        <w:rPr>
          <w:color w:val="auto"/>
          <w:highlight w:val="none"/>
        </w:rPr>
        <w:instrText xml:space="preserve"> PAGEREF _Toc30902 \h </w:instrText>
      </w:r>
      <w:r>
        <w:rPr>
          <w:color w:val="auto"/>
          <w:highlight w:val="none"/>
        </w:rPr>
        <w:fldChar w:fldCharType="separate"/>
      </w:r>
      <w:r>
        <w:rPr>
          <w:color w:val="auto"/>
          <w:highlight w:val="none"/>
        </w:rPr>
        <w:t>207</w:t>
      </w:r>
      <w:r>
        <w:rPr>
          <w:color w:val="auto"/>
          <w:highlight w:val="none"/>
        </w:rPr>
        <w:fldChar w:fldCharType="end"/>
      </w:r>
      <w:r>
        <w:rPr>
          <w:rFonts w:hint="eastAsia" w:ascii="仿宋" w:hAnsi="仿宋" w:eastAsia="仿宋" w:cs="仿宋"/>
          <w:color w:val="auto"/>
          <w:highlight w:val="none"/>
        </w:rPr>
        <w:fldChar w:fldCharType="end"/>
      </w:r>
    </w:p>
    <w:p w14:paraId="18748776">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_Toc21848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六</w:t>
      </w:r>
      <w:r>
        <w:rPr>
          <w:rFonts w:hint="eastAsia" w:ascii="仿宋" w:hAnsi="仿宋" w:eastAsia="仿宋" w:cs="仿宋"/>
          <w:color w:val="auto"/>
          <w:szCs w:val="24"/>
          <w:highlight w:val="none"/>
        </w:rPr>
        <w:t>、技术条款偏离表</w:t>
      </w:r>
      <w:r>
        <w:rPr>
          <w:color w:val="auto"/>
          <w:highlight w:val="none"/>
        </w:rPr>
        <w:tab/>
      </w:r>
      <w:r>
        <w:rPr>
          <w:color w:val="auto"/>
          <w:highlight w:val="none"/>
        </w:rPr>
        <w:fldChar w:fldCharType="begin"/>
      </w:r>
      <w:r>
        <w:rPr>
          <w:color w:val="auto"/>
          <w:highlight w:val="none"/>
        </w:rPr>
        <w:instrText xml:space="preserve"> PAGEREF _Toc21848 \h </w:instrText>
      </w:r>
      <w:r>
        <w:rPr>
          <w:color w:val="auto"/>
          <w:highlight w:val="none"/>
        </w:rPr>
        <w:fldChar w:fldCharType="separate"/>
      </w:r>
      <w:r>
        <w:rPr>
          <w:color w:val="auto"/>
          <w:highlight w:val="none"/>
        </w:rPr>
        <w:t>208</w:t>
      </w:r>
      <w:r>
        <w:rPr>
          <w:color w:val="auto"/>
          <w:highlight w:val="none"/>
        </w:rPr>
        <w:fldChar w:fldCharType="end"/>
      </w:r>
      <w:r>
        <w:rPr>
          <w:rFonts w:hint="eastAsia" w:ascii="仿宋" w:hAnsi="仿宋" w:eastAsia="仿宋" w:cs="仿宋"/>
          <w:color w:val="auto"/>
          <w:highlight w:val="none"/>
        </w:rPr>
        <w:fldChar w:fldCharType="end"/>
      </w:r>
    </w:p>
    <w:p w14:paraId="64BF1D5C">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_Toc15137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七</w:t>
      </w:r>
      <w:r>
        <w:rPr>
          <w:rFonts w:hint="eastAsia" w:ascii="仿宋" w:hAnsi="仿宋" w:eastAsia="仿宋" w:cs="仿宋"/>
          <w:color w:val="auto"/>
          <w:szCs w:val="24"/>
          <w:highlight w:val="none"/>
        </w:rPr>
        <w:t>、法定代表人身份证明书</w:t>
      </w:r>
      <w:r>
        <w:rPr>
          <w:color w:val="auto"/>
          <w:highlight w:val="none"/>
        </w:rPr>
        <w:tab/>
      </w:r>
      <w:r>
        <w:rPr>
          <w:color w:val="auto"/>
          <w:highlight w:val="none"/>
        </w:rPr>
        <w:fldChar w:fldCharType="begin"/>
      </w:r>
      <w:r>
        <w:rPr>
          <w:color w:val="auto"/>
          <w:highlight w:val="none"/>
        </w:rPr>
        <w:instrText xml:space="preserve"> PAGEREF _Toc15137 \h </w:instrText>
      </w:r>
      <w:r>
        <w:rPr>
          <w:color w:val="auto"/>
          <w:highlight w:val="none"/>
        </w:rPr>
        <w:fldChar w:fldCharType="separate"/>
      </w:r>
      <w:r>
        <w:rPr>
          <w:color w:val="auto"/>
          <w:highlight w:val="none"/>
        </w:rPr>
        <w:t>209</w:t>
      </w:r>
      <w:r>
        <w:rPr>
          <w:color w:val="auto"/>
          <w:highlight w:val="none"/>
        </w:rPr>
        <w:fldChar w:fldCharType="end"/>
      </w:r>
      <w:r>
        <w:rPr>
          <w:rFonts w:hint="eastAsia" w:ascii="仿宋" w:hAnsi="仿宋" w:eastAsia="仿宋" w:cs="仿宋"/>
          <w:color w:val="auto"/>
          <w:highlight w:val="none"/>
        </w:rPr>
        <w:fldChar w:fldCharType="end"/>
      </w:r>
    </w:p>
    <w:p w14:paraId="6B928CB6">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_Toc22186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八</w:t>
      </w:r>
      <w:r>
        <w:rPr>
          <w:rFonts w:hint="eastAsia" w:ascii="仿宋" w:hAnsi="仿宋" w:eastAsia="仿宋" w:cs="仿宋"/>
          <w:color w:val="auto"/>
          <w:szCs w:val="24"/>
          <w:highlight w:val="none"/>
        </w:rPr>
        <w:t>、法定代表人授权委托书</w:t>
      </w:r>
      <w:r>
        <w:rPr>
          <w:color w:val="auto"/>
          <w:highlight w:val="none"/>
        </w:rPr>
        <w:tab/>
      </w:r>
      <w:r>
        <w:rPr>
          <w:color w:val="auto"/>
          <w:highlight w:val="none"/>
        </w:rPr>
        <w:fldChar w:fldCharType="begin"/>
      </w:r>
      <w:r>
        <w:rPr>
          <w:color w:val="auto"/>
          <w:highlight w:val="none"/>
        </w:rPr>
        <w:instrText xml:space="preserve"> PAGEREF _Toc22186 \h </w:instrText>
      </w:r>
      <w:r>
        <w:rPr>
          <w:color w:val="auto"/>
          <w:highlight w:val="none"/>
        </w:rPr>
        <w:fldChar w:fldCharType="separate"/>
      </w:r>
      <w:r>
        <w:rPr>
          <w:color w:val="auto"/>
          <w:highlight w:val="none"/>
        </w:rPr>
        <w:t>210</w:t>
      </w:r>
      <w:r>
        <w:rPr>
          <w:color w:val="auto"/>
          <w:highlight w:val="none"/>
        </w:rPr>
        <w:fldChar w:fldCharType="end"/>
      </w:r>
      <w:r>
        <w:rPr>
          <w:rFonts w:hint="eastAsia" w:ascii="仿宋" w:hAnsi="仿宋" w:eastAsia="仿宋" w:cs="仿宋"/>
          <w:color w:val="auto"/>
          <w:highlight w:val="none"/>
        </w:rPr>
        <w:fldChar w:fldCharType="end"/>
      </w:r>
    </w:p>
    <w:p w14:paraId="1DF7CF71">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_Toc7575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九</w:t>
      </w:r>
      <w:r>
        <w:rPr>
          <w:rFonts w:hint="eastAsia" w:ascii="仿宋" w:hAnsi="仿宋" w:eastAsia="仿宋" w:cs="仿宋"/>
          <w:color w:val="auto"/>
          <w:szCs w:val="24"/>
          <w:highlight w:val="none"/>
        </w:rPr>
        <w:t>、</w:t>
      </w:r>
      <w:r>
        <w:rPr>
          <w:rFonts w:hint="eastAsia" w:ascii="仿宋" w:hAnsi="仿宋" w:eastAsia="仿宋" w:cs="仿宋"/>
          <w:bCs/>
          <w:color w:val="auto"/>
          <w:szCs w:val="24"/>
          <w:highlight w:val="none"/>
        </w:rPr>
        <w:t>投标人资格条件证明材料</w:t>
      </w:r>
      <w:r>
        <w:rPr>
          <w:color w:val="auto"/>
          <w:highlight w:val="none"/>
        </w:rPr>
        <w:tab/>
      </w:r>
      <w:r>
        <w:rPr>
          <w:color w:val="auto"/>
          <w:highlight w:val="none"/>
        </w:rPr>
        <w:fldChar w:fldCharType="begin"/>
      </w:r>
      <w:r>
        <w:rPr>
          <w:color w:val="auto"/>
          <w:highlight w:val="none"/>
        </w:rPr>
        <w:instrText xml:space="preserve"> PAGEREF _Toc7575 \h </w:instrText>
      </w:r>
      <w:r>
        <w:rPr>
          <w:color w:val="auto"/>
          <w:highlight w:val="none"/>
        </w:rPr>
        <w:fldChar w:fldCharType="separate"/>
      </w:r>
      <w:r>
        <w:rPr>
          <w:color w:val="auto"/>
          <w:highlight w:val="none"/>
        </w:rPr>
        <w:t>211</w:t>
      </w:r>
      <w:r>
        <w:rPr>
          <w:color w:val="auto"/>
          <w:highlight w:val="none"/>
        </w:rPr>
        <w:fldChar w:fldCharType="end"/>
      </w:r>
      <w:r>
        <w:rPr>
          <w:rFonts w:hint="eastAsia" w:ascii="仿宋" w:hAnsi="仿宋" w:eastAsia="仿宋" w:cs="仿宋"/>
          <w:color w:val="auto"/>
          <w:highlight w:val="none"/>
        </w:rPr>
        <w:fldChar w:fldCharType="end"/>
      </w:r>
    </w:p>
    <w:p w14:paraId="76445FAD">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_Toc28554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十</w:t>
      </w:r>
      <w:r>
        <w:rPr>
          <w:rFonts w:hint="eastAsia" w:ascii="仿宋" w:hAnsi="仿宋" w:eastAsia="仿宋" w:cs="仿宋"/>
          <w:color w:val="auto"/>
          <w:szCs w:val="24"/>
          <w:highlight w:val="none"/>
        </w:rPr>
        <w:t>、投标人近年类似项目情况表</w:t>
      </w:r>
      <w:r>
        <w:rPr>
          <w:color w:val="auto"/>
          <w:highlight w:val="none"/>
        </w:rPr>
        <w:tab/>
      </w:r>
      <w:r>
        <w:rPr>
          <w:color w:val="auto"/>
          <w:highlight w:val="none"/>
        </w:rPr>
        <w:fldChar w:fldCharType="begin"/>
      </w:r>
      <w:r>
        <w:rPr>
          <w:color w:val="auto"/>
          <w:highlight w:val="none"/>
        </w:rPr>
        <w:instrText xml:space="preserve"> PAGEREF _Toc28554 \h </w:instrText>
      </w:r>
      <w:r>
        <w:rPr>
          <w:color w:val="auto"/>
          <w:highlight w:val="none"/>
        </w:rPr>
        <w:fldChar w:fldCharType="separate"/>
      </w:r>
      <w:r>
        <w:rPr>
          <w:color w:val="auto"/>
          <w:highlight w:val="none"/>
        </w:rPr>
        <w:t>221</w:t>
      </w:r>
      <w:r>
        <w:rPr>
          <w:color w:val="auto"/>
          <w:highlight w:val="none"/>
        </w:rPr>
        <w:fldChar w:fldCharType="end"/>
      </w:r>
      <w:r>
        <w:rPr>
          <w:rFonts w:hint="eastAsia" w:ascii="仿宋" w:hAnsi="仿宋" w:eastAsia="仿宋" w:cs="仿宋"/>
          <w:color w:val="auto"/>
          <w:highlight w:val="none"/>
        </w:rPr>
        <w:fldChar w:fldCharType="end"/>
      </w:r>
    </w:p>
    <w:p w14:paraId="2A78FE43">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_Toc20936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shd w:val="clear" w:color="auto" w:fill="FFFFFF" w:themeFill="background1"/>
        </w:rPr>
        <w:t>十</w:t>
      </w:r>
      <w:r>
        <w:rPr>
          <w:rFonts w:hint="eastAsia" w:ascii="仿宋" w:hAnsi="仿宋" w:eastAsia="仿宋" w:cs="仿宋"/>
          <w:color w:val="auto"/>
          <w:szCs w:val="24"/>
          <w:highlight w:val="none"/>
          <w:shd w:val="clear" w:color="auto" w:fill="FFFFFF" w:themeFill="background1"/>
          <w:lang w:val="en-US" w:eastAsia="zh-CN"/>
        </w:rPr>
        <w:t>一</w:t>
      </w:r>
      <w:r>
        <w:rPr>
          <w:rFonts w:hint="eastAsia" w:ascii="仿宋" w:hAnsi="仿宋" w:eastAsia="仿宋" w:cs="仿宋"/>
          <w:color w:val="auto"/>
          <w:szCs w:val="24"/>
          <w:highlight w:val="none"/>
          <w:shd w:val="clear" w:color="auto" w:fill="FFFFFF" w:themeFill="background1"/>
        </w:rPr>
        <w:t>、售后服务承诺书</w:t>
      </w:r>
      <w:r>
        <w:rPr>
          <w:color w:val="auto"/>
          <w:highlight w:val="none"/>
        </w:rPr>
        <w:tab/>
      </w:r>
      <w:r>
        <w:rPr>
          <w:color w:val="auto"/>
          <w:highlight w:val="none"/>
        </w:rPr>
        <w:fldChar w:fldCharType="begin"/>
      </w:r>
      <w:r>
        <w:rPr>
          <w:color w:val="auto"/>
          <w:highlight w:val="none"/>
        </w:rPr>
        <w:instrText xml:space="preserve"> PAGEREF _Toc20936 \h </w:instrText>
      </w:r>
      <w:r>
        <w:rPr>
          <w:color w:val="auto"/>
          <w:highlight w:val="none"/>
        </w:rPr>
        <w:fldChar w:fldCharType="separate"/>
      </w:r>
      <w:r>
        <w:rPr>
          <w:color w:val="auto"/>
          <w:highlight w:val="none"/>
        </w:rPr>
        <w:t>222</w:t>
      </w:r>
      <w:r>
        <w:rPr>
          <w:color w:val="auto"/>
          <w:highlight w:val="none"/>
        </w:rPr>
        <w:fldChar w:fldCharType="end"/>
      </w:r>
      <w:r>
        <w:rPr>
          <w:rFonts w:hint="eastAsia" w:ascii="仿宋" w:hAnsi="仿宋" w:eastAsia="仿宋" w:cs="仿宋"/>
          <w:color w:val="auto"/>
          <w:highlight w:val="none"/>
        </w:rPr>
        <w:fldChar w:fldCharType="end"/>
      </w:r>
    </w:p>
    <w:p w14:paraId="75FBCACD">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_Toc21274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shd w:val="clear" w:color="auto" w:fill="FFFFFF" w:themeFill="background1"/>
        </w:rPr>
        <w:t>十</w:t>
      </w:r>
      <w:r>
        <w:rPr>
          <w:rFonts w:hint="eastAsia" w:ascii="仿宋" w:hAnsi="仿宋" w:eastAsia="仿宋" w:cs="仿宋"/>
          <w:color w:val="auto"/>
          <w:szCs w:val="24"/>
          <w:highlight w:val="none"/>
          <w:shd w:val="clear" w:color="auto" w:fill="FFFFFF" w:themeFill="background1"/>
          <w:lang w:val="en-US" w:eastAsia="zh-CN"/>
        </w:rPr>
        <w:t>二</w:t>
      </w:r>
      <w:r>
        <w:rPr>
          <w:rFonts w:hint="eastAsia" w:ascii="仿宋" w:hAnsi="仿宋" w:eastAsia="仿宋" w:cs="仿宋"/>
          <w:color w:val="auto"/>
          <w:szCs w:val="24"/>
          <w:highlight w:val="none"/>
          <w:shd w:val="clear" w:color="auto" w:fill="FFFFFF" w:themeFill="background1"/>
        </w:rPr>
        <w:t>、技术方案</w:t>
      </w:r>
      <w:r>
        <w:rPr>
          <w:color w:val="auto"/>
          <w:highlight w:val="none"/>
        </w:rPr>
        <w:tab/>
      </w:r>
      <w:r>
        <w:rPr>
          <w:color w:val="auto"/>
          <w:highlight w:val="none"/>
        </w:rPr>
        <w:fldChar w:fldCharType="begin"/>
      </w:r>
      <w:r>
        <w:rPr>
          <w:color w:val="auto"/>
          <w:highlight w:val="none"/>
        </w:rPr>
        <w:instrText xml:space="preserve"> PAGEREF _Toc21274 \h </w:instrText>
      </w:r>
      <w:r>
        <w:rPr>
          <w:color w:val="auto"/>
          <w:highlight w:val="none"/>
        </w:rPr>
        <w:fldChar w:fldCharType="separate"/>
      </w:r>
      <w:r>
        <w:rPr>
          <w:color w:val="auto"/>
          <w:highlight w:val="none"/>
        </w:rPr>
        <w:t>223</w:t>
      </w:r>
      <w:r>
        <w:rPr>
          <w:color w:val="auto"/>
          <w:highlight w:val="none"/>
        </w:rPr>
        <w:fldChar w:fldCharType="end"/>
      </w:r>
      <w:r>
        <w:rPr>
          <w:rFonts w:hint="eastAsia" w:ascii="仿宋" w:hAnsi="仿宋" w:eastAsia="仿宋" w:cs="仿宋"/>
          <w:color w:val="auto"/>
          <w:highlight w:val="none"/>
        </w:rPr>
        <w:fldChar w:fldCharType="end"/>
      </w:r>
    </w:p>
    <w:p w14:paraId="3669C02C">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_Toc5810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、保证金缴纳证明材料</w:t>
      </w:r>
      <w:r>
        <w:rPr>
          <w:color w:val="auto"/>
          <w:highlight w:val="none"/>
        </w:rPr>
        <w:tab/>
      </w:r>
      <w:r>
        <w:rPr>
          <w:color w:val="auto"/>
          <w:highlight w:val="none"/>
        </w:rPr>
        <w:fldChar w:fldCharType="begin"/>
      </w:r>
      <w:r>
        <w:rPr>
          <w:color w:val="auto"/>
          <w:highlight w:val="none"/>
        </w:rPr>
        <w:instrText xml:space="preserve"> PAGEREF _Toc5810 \h </w:instrText>
      </w:r>
      <w:r>
        <w:rPr>
          <w:color w:val="auto"/>
          <w:highlight w:val="none"/>
        </w:rPr>
        <w:fldChar w:fldCharType="separate"/>
      </w:r>
      <w:r>
        <w:rPr>
          <w:color w:val="auto"/>
          <w:highlight w:val="none"/>
        </w:rPr>
        <w:t>224</w:t>
      </w:r>
      <w:r>
        <w:rPr>
          <w:color w:val="auto"/>
          <w:highlight w:val="none"/>
        </w:rPr>
        <w:fldChar w:fldCharType="end"/>
      </w:r>
      <w:r>
        <w:rPr>
          <w:rFonts w:hint="eastAsia" w:ascii="仿宋" w:hAnsi="仿宋" w:eastAsia="仿宋" w:cs="仿宋"/>
          <w:color w:val="auto"/>
          <w:highlight w:val="none"/>
        </w:rPr>
        <w:fldChar w:fldCharType="end"/>
      </w:r>
    </w:p>
    <w:p w14:paraId="60DCC6D0">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_Toc30263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四</w:t>
      </w:r>
      <w:r>
        <w:rPr>
          <w:rFonts w:hint="eastAsia" w:ascii="仿宋" w:hAnsi="仿宋" w:eastAsia="仿宋" w:cs="仿宋"/>
          <w:color w:val="auto"/>
          <w:szCs w:val="24"/>
          <w:highlight w:val="none"/>
        </w:rPr>
        <w:t>、其它需要提交的资料</w:t>
      </w:r>
      <w:r>
        <w:rPr>
          <w:color w:val="auto"/>
          <w:highlight w:val="none"/>
        </w:rPr>
        <w:tab/>
      </w:r>
      <w:r>
        <w:rPr>
          <w:color w:val="auto"/>
          <w:highlight w:val="none"/>
        </w:rPr>
        <w:fldChar w:fldCharType="begin"/>
      </w:r>
      <w:r>
        <w:rPr>
          <w:color w:val="auto"/>
          <w:highlight w:val="none"/>
        </w:rPr>
        <w:instrText xml:space="preserve"> PAGEREF _Toc30263 \h </w:instrText>
      </w:r>
      <w:r>
        <w:rPr>
          <w:color w:val="auto"/>
          <w:highlight w:val="none"/>
        </w:rPr>
        <w:fldChar w:fldCharType="separate"/>
      </w:r>
      <w:r>
        <w:rPr>
          <w:color w:val="auto"/>
          <w:highlight w:val="none"/>
        </w:rPr>
        <w:t>225</w:t>
      </w:r>
      <w:r>
        <w:rPr>
          <w:color w:val="auto"/>
          <w:highlight w:val="none"/>
        </w:rPr>
        <w:fldChar w:fldCharType="end"/>
      </w:r>
      <w:r>
        <w:rPr>
          <w:rFonts w:hint="eastAsia" w:ascii="仿宋" w:hAnsi="仿宋" w:eastAsia="仿宋" w:cs="仿宋"/>
          <w:color w:val="auto"/>
          <w:highlight w:val="none"/>
        </w:rPr>
        <w:fldChar w:fldCharType="end"/>
      </w:r>
    </w:p>
    <w:p w14:paraId="1F8B7927">
      <w:pPr>
        <w:pStyle w:val="23"/>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_Toc5616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第六章 补充条款</w:t>
      </w:r>
      <w:r>
        <w:rPr>
          <w:color w:val="auto"/>
          <w:highlight w:val="none"/>
        </w:rPr>
        <w:tab/>
      </w:r>
      <w:r>
        <w:rPr>
          <w:color w:val="auto"/>
          <w:highlight w:val="none"/>
        </w:rPr>
        <w:fldChar w:fldCharType="begin"/>
      </w:r>
      <w:r>
        <w:rPr>
          <w:color w:val="auto"/>
          <w:highlight w:val="none"/>
        </w:rPr>
        <w:instrText xml:space="preserve"> PAGEREF _Toc5616 \h </w:instrText>
      </w:r>
      <w:r>
        <w:rPr>
          <w:color w:val="auto"/>
          <w:highlight w:val="none"/>
        </w:rPr>
        <w:fldChar w:fldCharType="separate"/>
      </w:r>
      <w:r>
        <w:rPr>
          <w:color w:val="auto"/>
          <w:highlight w:val="none"/>
        </w:rPr>
        <w:t>226</w:t>
      </w:r>
      <w:r>
        <w:rPr>
          <w:color w:val="auto"/>
          <w:highlight w:val="none"/>
        </w:rPr>
        <w:fldChar w:fldCharType="end"/>
      </w:r>
      <w:r>
        <w:rPr>
          <w:rFonts w:hint="eastAsia" w:ascii="仿宋" w:hAnsi="仿宋" w:eastAsia="仿宋" w:cs="仿宋"/>
          <w:color w:val="auto"/>
          <w:highlight w:val="none"/>
        </w:rPr>
        <w:fldChar w:fldCharType="end"/>
      </w:r>
    </w:p>
    <w:p w14:paraId="3C69E2CF">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_Toc1119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szCs w:val="24"/>
          <w:highlight w:val="none"/>
        </w:rPr>
        <w:t>附件一、中小企业扶持政策</w:t>
      </w:r>
      <w:r>
        <w:rPr>
          <w:color w:val="auto"/>
          <w:highlight w:val="none"/>
        </w:rPr>
        <w:tab/>
      </w:r>
      <w:r>
        <w:rPr>
          <w:color w:val="auto"/>
          <w:highlight w:val="none"/>
        </w:rPr>
        <w:fldChar w:fldCharType="begin"/>
      </w:r>
      <w:r>
        <w:rPr>
          <w:color w:val="auto"/>
          <w:highlight w:val="none"/>
        </w:rPr>
        <w:instrText xml:space="preserve"> PAGEREF _Toc1119 \h </w:instrText>
      </w:r>
      <w:r>
        <w:rPr>
          <w:color w:val="auto"/>
          <w:highlight w:val="none"/>
        </w:rPr>
        <w:fldChar w:fldCharType="separate"/>
      </w:r>
      <w:r>
        <w:rPr>
          <w:color w:val="auto"/>
          <w:highlight w:val="none"/>
        </w:rPr>
        <w:t>226</w:t>
      </w:r>
      <w:r>
        <w:rPr>
          <w:color w:val="auto"/>
          <w:highlight w:val="none"/>
        </w:rPr>
        <w:fldChar w:fldCharType="end"/>
      </w:r>
      <w:r>
        <w:rPr>
          <w:rFonts w:hint="eastAsia" w:ascii="仿宋" w:hAnsi="仿宋" w:eastAsia="仿宋" w:cs="仿宋"/>
          <w:color w:val="auto"/>
          <w:highlight w:val="none"/>
        </w:rPr>
        <w:fldChar w:fldCharType="end"/>
      </w:r>
    </w:p>
    <w:p w14:paraId="676FADE6">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_Toc30451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szCs w:val="24"/>
          <w:highlight w:val="none"/>
        </w:rPr>
        <w:t>附件二、残疾人企业扶持政策</w:t>
      </w:r>
      <w:r>
        <w:rPr>
          <w:color w:val="auto"/>
          <w:highlight w:val="none"/>
        </w:rPr>
        <w:tab/>
      </w:r>
      <w:r>
        <w:rPr>
          <w:color w:val="auto"/>
          <w:highlight w:val="none"/>
        </w:rPr>
        <w:fldChar w:fldCharType="begin"/>
      </w:r>
      <w:r>
        <w:rPr>
          <w:color w:val="auto"/>
          <w:highlight w:val="none"/>
        </w:rPr>
        <w:instrText xml:space="preserve"> PAGEREF _Toc30451 \h </w:instrText>
      </w:r>
      <w:r>
        <w:rPr>
          <w:color w:val="auto"/>
          <w:highlight w:val="none"/>
        </w:rPr>
        <w:fldChar w:fldCharType="separate"/>
      </w:r>
      <w:r>
        <w:rPr>
          <w:color w:val="auto"/>
          <w:highlight w:val="none"/>
        </w:rPr>
        <w:t>230</w:t>
      </w:r>
      <w:r>
        <w:rPr>
          <w:color w:val="auto"/>
          <w:highlight w:val="none"/>
        </w:rPr>
        <w:fldChar w:fldCharType="end"/>
      </w:r>
      <w:r>
        <w:rPr>
          <w:rFonts w:hint="eastAsia" w:ascii="仿宋" w:hAnsi="仿宋" w:eastAsia="仿宋" w:cs="仿宋"/>
          <w:color w:val="auto"/>
          <w:highlight w:val="none"/>
        </w:rPr>
        <w:fldChar w:fldCharType="end"/>
      </w:r>
    </w:p>
    <w:p w14:paraId="3E34CD03">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_Toc12671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szCs w:val="24"/>
          <w:highlight w:val="none"/>
        </w:rPr>
        <w:t>附件三、监狱扶持政策</w:t>
      </w:r>
      <w:r>
        <w:rPr>
          <w:color w:val="auto"/>
          <w:highlight w:val="none"/>
        </w:rPr>
        <w:tab/>
      </w:r>
      <w:r>
        <w:rPr>
          <w:color w:val="auto"/>
          <w:highlight w:val="none"/>
        </w:rPr>
        <w:fldChar w:fldCharType="begin"/>
      </w:r>
      <w:r>
        <w:rPr>
          <w:color w:val="auto"/>
          <w:highlight w:val="none"/>
        </w:rPr>
        <w:instrText xml:space="preserve"> PAGEREF _Toc12671 \h </w:instrText>
      </w:r>
      <w:r>
        <w:rPr>
          <w:color w:val="auto"/>
          <w:highlight w:val="none"/>
        </w:rPr>
        <w:fldChar w:fldCharType="separate"/>
      </w:r>
      <w:r>
        <w:rPr>
          <w:color w:val="auto"/>
          <w:highlight w:val="none"/>
        </w:rPr>
        <w:t>232</w:t>
      </w:r>
      <w:r>
        <w:rPr>
          <w:color w:val="auto"/>
          <w:highlight w:val="none"/>
        </w:rPr>
        <w:fldChar w:fldCharType="end"/>
      </w:r>
      <w:r>
        <w:rPr>
          <w:rFonts w:hint="eastAsia" w:ascii="仿宋" w:hAnsi="仿宋" w:eastAsia="仿宋" w:cs="仿宋"/>
          <w:color w:val="auto"/>
          <w:highlight w:val="none"/>
        </w:rPr>
        <w:fldChar w:fldCharType="end"/>
      </w:r>
    </w:p>
    <w:p w14:paraId="0B9DB82F">
      <w:pPr>
        <w:pStyle w:val="29"/>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_Toc400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szCs w:val="24"/>
          <w:highlight w:val="none"/>
        </w:rPr>
        <w:t>附件四、实施本国产品标准及相关政策</w:t>
      </w:r>
      <w:r>
        <w:rPr>
          <w:color w:val="auto"/>
          <w:highlight w:val="none"/>
        </w:rPr>
        <w:tab/>
      </w:r>
      <w:r>
        <w:rPr>
          <w:color w:val="auto"/>
          <w:highlight w:val="none"/>
        </w:rPr>
        <w:fldChar w:fldCharType="begin"/>
      </w:r>
      <w:r>
        <w:rPr>
          <w:color w:val="auto"/>
          <w:highlight w:val="none"/>
        </w:rPr>
        <w:instrText xml:space="preserve"> PAGEREF _Toc400 \h </w:instrText>
      </w:r>
      <w:r>
        <w:rPr>
          <w:color w:val="auto"/>
          <w:highlight w:val="none"/>
        </w:rPr>
        <w:fldChar w:fldCharType="separate"/>
      </w:r>
      <w:r>
        <w:rPr>
          <w:color w:val="auto"/>
          <w:highlight w:val="none"/>
        </w:rPr>
        <w:t>234</w:t>
      </w:r>
      <w:r>
        <w:rPr>
          <w:color w:val="auto"/>
          <w:highlight w:val="none"/>
        </w:rPr>
        <w:fldChar w:fldCharType="end"/>
      </w:r>
      <w:r>
        <w:rPr>
          <w:rFonts w:hint="eastAsia" w:ascii="仿宋" w:hAnsi="仿宋" w:eastAsia="仿宋" w:cs="仿宋"/>
          <w:color w:val="auto"/>
          <w:highlight w:val="none"/>
        </w:rPr>
        <w:fldChar w:fldCharType="end"/>
      </w:r>
    </w:p>
    <w:p w14:paraId="1C03C0FA">
      <w:pPr>
        <w:rPr>
          <w:rFonts w:ascii="仿宋" w:hAnsi="仿宋" w:eastAsia="仿宋" w:cs="仿宋"/>
          <w:color w:val="auto"/>
          <w:highlight w:val="none"/>
        </w:rPr>
      </w:pPr>
      <w:r>
        <w:rPr>
          <w:rFonts w:hint="eastAsia" w:ascii="仿宋" w:hAnsi="仿宋" w:eastAsia="仿宋" w:cs="仿宋"/>
          <w:color w:val="auto"/>
          <w:highlight w:val="none"/>
        </w:rPr>
        <w:fldChar w:fldCharType="end"/>
      </w:r>
      <w:bookmarkStart w:id="0" w:name="_Toc17403"/>
    </w:p>
    <w:p w14:paraId="570EEF77">
      <w:pPr>
        <w:jc w:val="center"/>
        <w:outlineLvl w:val="0"/>
        <w:rPr>
          <w:rFonts w:ascii="仿宋" w:hAnsi="仿宋" w:eastAsia="仿宋" w:cs="仿宋"/>
          <w:b/>
          <w:bCs/>
          <w:color w:val="auto"/>
          <w:sz w:val="32"/>
          <w:szCs w:val="32"/>
          <w:highlight w:val="none"/>
        </w:rPr>
        <w:sectPr>
          <w:footerReference r:id="rId5" w:type="default"/>
          <w:pgSz w:w="11906" w:h="16838"/>
          <w:pgMar w:top="1361" w:right="1134" w:bottom="1361" w:left="1418" w:header="851" w:footer="992" w:gutter="0"/>
          <w:pgNumType w:start="1"/>
          <w:cols w:space="720" w:num="1"/>
          <w:docGrid w:type="lines" w:linePitch="312" w:charSpace="0"/>
        </w:sectPr>
      </w:pPr>
    </w:p>
    <w:p w14:paraId="73058E5B">
      <w:pPr>
        <w:spacing w:line="360" w:lineRule="auto"/>
        <w:jc w:val="center"/>
        <w:outlineLvl w:val="0"/>
        <w:rPr>
          <w:rFonts w:ascii="仿宋" w:hAnsi="仿宋" w:eastAsia="仿宋" w:cs="仿宋"/>
          <w:b/>
          <w:bCs/>
          <w:color w:val="auto"/>
          <w:sz w:val="24"/>
          <w:szCs w:val="24"/>
          <w:highlight w:val="none"/>
        </w:rPr>
      </w:pPr>
      <w:bookmarkStart w:id="1" w:name="_Toc9511"/>
      <w:r>
        <w:rPr>
          <w:rFonts w:hint="eastAsia" w:ascii="仿宋" w:hAnsi="仿宋" w:eastAsia="仿宋" w:cs="仿宋"/>
          <w:b/>
          <w:bCs/>
          <w:color w:val="auto"/>
          <w:sz w:val="32"/>
          <w:szCs w:val="32"/>
          <w:highlight w:val="none"/>
        </w:rPr>
        <w:t>招标公告</w:t>
      </w:r>
      <w:bookmarkEnd w:id="0"/>
      <w:bookmarkEnd w:id="1"/>
    </w:p>
    <w:p w14:paraId="37332901">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40B8CD3A">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新疆农业大学机电学院教学科研设备更新项目第一包的潜在投标人应在政采云平台线上获取招标文件，并于2026年</w:t>
      </w:r>
      <w:r>
        <w:rPr>
          <w:rFonts w:hint="eastAsia" w:ascii="仿宋" w:hAnsi="仿宋" w:eastAsia="仿宋" w:cs="仿宋"/>
          <w:color w:val="auto"/>
          <w:sz w:val="24"/>
          <w:szCs w:val="24"/>
          <w:highlight w:val="none"/>
          <w:lang w:eastAsia="zh-CN"/>
        </w:rPr>
        <w:t>06月29日 11:00</w:t>
      </w:r>
      <w:r>
        <w:rPr>
          <w:rFonts w:hint="eastAsia" w:ascii="仿宋" w:hAnsi="仿宋" w:eastAsia="仿宋" w:cs="仿宋"/>
          <w:color w:val="auto"/>
          <w:sz w:val="24"/>
          <w:szCs w:val="24"/>
          <w:highlight w:val="none"/>
        </w:rPr>
        <w:t>（北京时间）前递交投标文件。</w:t>
      </w:r>
    </w:p>
    <w:p w14:paraId="0CA5F6F3">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55FF89B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项目编号：XJXSJ-2026（ZC）-</w:t>
      </w:r>
      <w:r>
        <w:rPr>
          <w:rFonts w:hint="eastAsia" w:ascii="仿宋" w:hAnsi="仿宋" w:eastAsia="仿宋" w:cs="仿宋"/>
          <w:color w:val="auto"/>
          <w:sz w:val="24"/>
          <w:szCs w:val="24"/>
          <w:highlight w:val="none"/>
          <w:lang w:val="en-US" w:eastAsia="zh-CN"/>
        </w:rPr>
        <w:t>301</w:t>
      </w:r>
      <w:r>
        <w:rPr>
          <w:rFonts w:hint="eastAsia" w:ascii="仿宋" w:hAnsi="仿宋" w:eastAsia="仿宋" w:cs="仿宋"/>
          <w:color w:val="auto"/>
          <w:sz w:val="24"/>
          <w:szCs w:val="24"/>
          <w:highlight w:val="none"/>
        </w:rPr>
        <w:t>-01</w:t>
      </w:r>
    </w:p>
    <w:p w14:paraId="475214BB">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项目名称：新疆农业大学机电学院教学科研设备更新项目第一包</w:t>
      </w:r>
    </w:p>
    <w:p w14:paraId="32F22413">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0E5EB416">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预算金额（元）：22510000.00</w:t>
      </w:r>
    </w:p>
    <w:p w14:paraId="622F78E5">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最高限价（元）：22510000.00</w:t>
      </w:r>
    </w:p>
    <w:p w14:paraId="7B3E66C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数量:1批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用途：</w:t>
      </w:r>
      <w:r>
        <w:rPr>
          <w:rFonts w:hint="eastAsia" w:ascii="MS Gothic" w:hAnsi="MS Gothic" w:eastAsia="MS Gothic" w:cs="MS Gothic"/>
          <w:color w:val="auto"/>
          <w:sz w:val="24"/>
          <w:szCs w:val="24"/>
          <w:highlight w:val="none"/>
        </w:rPr>
        <w:t>‌</w:t>
      </w:r>
      <w:r>
        <w:rPr>
          <w:rFonts w:hint="eastAsia" w:ascii="仿宋" w:hAnsi="仿宋" w:eastAsia="仿宋" w:cs="仿宋"/>
          <w:color w:val="auto"/>
          <w:sz w:val="24"/>
          <w:szCs w:val="24"/>
          <w:highlight w:val="none"/>
        </w:rPr>
        <w:t>项目聚焦</w:t>
      </w:r>
      <w:r>
        <w:rPr>
          <w:rFonts w:hint="eastAsia" w:ascii="MS Gothic" w:hAnsi="MS Gothic" w:eastAsia="MS Gothic" w:cs="MS Gothic"/>
          <w:color w:val="auto"/>
          <w:sz w:val="24"/>
          <w:szCs w:val="24"/>
          <w:highlight w:val="none"/>
        </w:rPr>
        <w:t>‌</w:t>
      </w:r>
      <w:r>
        <w:rPr>
          <w:rFonts w:hint="eastAsia" w:ascii="仿宋" w:hAnsi="仿宋" w:eastAsia="仿宋" w:cs="仿宋"/>
          <w:color w:val="auto"/>
          <w:sz w:val="24"/>
          <w:szCs w:val="24"/>
          <w:highlight w:val="none"/>
        </w:rPr>
        <w:t>新工科背景下农业工程与智能装备的深度融合</w:t>
      </w:r>
      <w:r>
        <w:rPr>
          <w:rFonts w:hint="eastAsia" w:ascii="MS Gothic" w:hAnsi="MS Gothic" w:eastAsia="MS Gothic" w:cs="MS Gothic"/>
          <w:color w:val="auto"/>
          <w:sz w:val="24"/>
          <w:szCs w:val="24"/>
          <w:highlight w:val="none"/>
        </w:rPr>
        <w:t>‌</w:t>
      </w:r>
      <w:r>
        <w:rPr>
          <w:rFonts w:hint="eastAsia" w:ascii="仿宋" w:hAnsi="仿宋" w:eastAsia="仿宋" w:cs="仿宋"/>
          <w:color w:val="auto"/>
          <w:sz w:val="24"/>
          <w:szCs w:val="24"/>
          <w:highlight w:val="none"/>
        </w:rPr>
        <w:t>，通过引进一批高精度、模块化、智能化的教学科研设备，打造覆盖“设计—仿真—制造—测试”全链条的实训环境。项目强调‌虚实结合、产教融合‌，服务于本科实验教学、研究生科研创新及教师技术攻关，推动机电类专业向数字化、智能化方向转型升级。采购要求详见招标文件。</w:t>
      </w:r>
    </w:p>
    <w:p w14:paraId="2AAB8AD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合同履约期限：自合同签订之日起在指定时间内送达采购人指定地点并安装调试完毕。详见</w:t>
      </w:r>
      <w:r>
        <w:rPr>
          <w:rFonts w:hint="eastAsia" w:ascii="仿宋" w:hAnsi="仿宋" w:eastAsia="仿宋" w:cs="仿宋"/>
          <w:color w:val="auto"/>
          <w:sz w:val="24"/>
          <w:szCs w:val="24"/>
          <w:highlight w:val="none"/>
          <w:lang w:val="en-US" w:eastAsia="zh-CN"/>
        </w:rPr>
        <w:t>招标文件</w:t>
      </w:r>
      <w:r>
        <w:rPr>
          <w:rFonts w:hint="eastAsia" w:ascii="仿宋" w:hAnsi="仿宋" w:eastAsia="仿宋" w:cs="仿宋"/>
          <w:color w:val="auto"/>
          <w:sz w:val="24"/>
          <w:szCs w:val="24"/>
          <w:highlight w:val="none"/>
        </w:rPr>
        <w:t>第四章技术标准和要求中的设备清单中的合同履约期限（天）。</w:t>
      </w:r>
    </w:p>
    <w:p w14:paraId="11F986F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本项目（否）接受联合体投标。</w:t>
      </w:r>
    </w:p>
    <w:p w14:paraId="2CBA6733">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二、投标人的资格要求：</w:t>
      </w:r>
    </w:p>
    <w:p w14:paraId="0615EA58">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15DCF222">
      <w:pPr>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2、本项目投标人所投货物制造商中</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小微企业的报价不低于总报价的</w:t>
      </w:r>
      <w:r>
        <w:rPr>
          <w:rFonts w:hint="eastAsia" w:ascii="仿宋" w:hAnsi="仿宋" w:eastAsia="仿宋" w:cs="仿宋"/>
          <w:color w:val="auto"/>
          <w:sz w:val="24"/>
          <w:szCs w:val="24"/>
          <w:highlight w:val="none"/>
          <w:lang w:val="en-US" w:eastAsia="zh-CN"/>
        </w:rPr>
        <w:t>19.99</w:t>
      </w:r>
      <w:r>
        <w:rPr>
          <w:rFonts w:hint="eastAsia" w:ascii="仿宋" w:hAnsi="仿宋" w:eastAsia="仿宋" w:cs="仿宋"/>
          <w:color w:val="auto"/>
          <w:sz w:val="24"/>
          <w:szCs w:val="24"/>
          <w:highlight w:val="none"/>
        </w:rPr>
        <w:t>% ，中小企业的报价不低于总报价的</w:t>
      </w:r>
      <w:r>
        <w:rPr>
          <w:rFonts w:hint="eastAsia" w:ascii="仿宋" w:hAnsi="仿宋" w:eastAsia="仿宋" w:cs="仿宋"/>
          <w:color w:val="auto"/>
          <w:sz w:val="24"/>
          <w:szCs w:val="24"/>
          <w:highlight w:val="none"/>
          <w:lang w:val="en-US" w:eastAsia="zh-CN"/>
        </w:rPr>
        <w:t>22.26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p>
    <w:p w14:paraId="57088E42">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如在“信用中国”网站（www.creditchina.gov.cn）、中国政府采购网（www.ccgp.gov.cn）等渠道被列入失信被执行人、重大税收违法失信主体、政府采购严重违法失信行为记录名单，尚在处罚期内的将被拒绝参加本次采购活动。</w:t>
      </w:r>
    </w:p>
    <w:p w14:paraId="7E464D12">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三、获取招标文件</w:t>
      </w:r>
    </w:p>
    <w:p w14:paraId="6A07963C">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时间：2026年</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日至2026年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04</w:t>
      </w:r>
      <w:r>
        <w:rPr>
          <w:rFonts w:hint="eastAsia" w:ascii="仿宋" w:hAnsi="仿宋" w:eastAsia="仿宋" w:cs="仿宋"/>
          <w:color w:val="auto"/>
          <w:sz w:val="24"/>
          <w:szCs w:val="24"/>
          <w:highlight w:val="none"/>
        </w:rPr>
        <w:t>日，每天上午00:00至14:00，下午14:00至23:59（北京时间，法定节假日除外）</w:t>
      </w:r>
    </w:p>
    <w:p w14:paraId="401B6ED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w:t>
      </w:r>
    </w:p>
    <w:p w14:paraId="7776F46E">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式：投标人登录政采云平台https://www.zcygov.cn/在线申请获取采购文件（进入“项目采购”应用，在获取采购文件菜单中选择项目，申请获取采购文件），或者点击采购公告底部潜在投标人“获取采购文件”，页面跳转后登陆，直接获取采购文件。</w:t>
      </w:r>
    </w:p>
    <w:p w14:paraId="298C1C1E">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售价（元）：0</w:t>
      </w:r>
    </w:p>
    <w:p w14:paraId="7F1F83FC">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四、提交投标文件截止时间、开标时间和地点</w:t>
      </w:r>
    </w:p>
    <w:p w14:paraId="7717599F">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提交投标文件截止时间：2026年</w:t>
      </w:r>
      <w:r>
        <w:rPr>
          <w:rFonts w:hint="eastAsia" w:ascii="仿宋" w:hAnsi="仿宋" w:eastAsia="仿宋" w:cs="仿宋"/>
          <w:color w:val="auto"/>
          <w:sz w:val="24"/>
          <w:szCs w:val="24"/>
          <w:highlight w:val="none"/>
          <w:lang w:eastAsia="zh-CN"/>
        </w:rPr>
        <w:t>06月29日 11:00</w:t>
      </w:r>
      <w:r>
        <w:rPr>
          <w:rFonts w:hint="eastAsia" w:ascii="仿宋" w:hAnsi="仿宋" w:eastAsia="仿宋" w:cs="仿宋"/>
          <w:color w:val="auto"/>
          <w:sz w:val="24"/>
          <w:szCs w:val="24"/>
          <w:highlight w:val="none"/>
        </w:rPr>
        <w:t>（北京时间）</w:t>
      </w:r>
    </w:p>
    <w:p w14:paraId="55D62B5C">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投标地点：请登录政采云投标客户端投标</w:t>
      </w:r>
    </w:p>
    <w:p w14:paraId="144A5958">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开标时间：2026年</w:t>
      </w:r>
      <w:r>
        <w:rPr>
          <w:rFonts w:hint="eastAsia" w:ascii="仿宋" w:hAnsi="仿宋" w:eastAsia="仿宋" w:cs="仿宋"/>
          <w:color w:val="auto"/>
          <w:sz w:val="24"/>
          <w:szCs w:val="24"/>
          <w:highlight w:val="none"/>
          <w:lang w:eastAsia="zh-CN"/>
        </w:rPr>
        <w:t>06月29日 11:00</w:t>
      </w:r>
      <w:r>
        <w:rPr>
          <w:rFonts w:hint="eastAsia" w:ascii="仿宋" w:hAnsi="仿宋" w:eastAsia="仿宋" w:cs="仿宋"/>
          <w:color w:val="auto"/>
          <w:sz w:val="24"/>
          <w:szCs w:val="24"/>
          <w:highlight w:val="none"/>
        </w:rPr>
        <w:t>（北京时间）</w:t>
      </w:r>
    </w:p>
    <w:p w14:paraId="03522E2F">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开标地点：投标人登录政采云平台https://www.zcygov.cn/，进入“项目采购-开标评标-右边选择对应项目点击“进入项目”进入开标大厅。</w:t>
      </w:r>
    </w:p>
    <w:p w14:paraId="02C270CF">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五、公告期限</w:t>
      </w:r>
    </w:p>
    <w:p w14:paraId="786E5D5C">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3D00910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六、对本次采购提出询问，请按以下方式联系</w:t>
      </w:r>
    </w:p>
    <w:p w14:paraId="59C94AA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1A41EBF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称：新疆农业大学</w:t>
      </w:r>
    </w:p>
    <w:p w14:paraId="6E055F6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址：乌鲁木齐市农大东路</w:t>
      </w:r>
    </w:p>
    <w:p w14:paraId="5F28FC7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联系方式：18999193815</w:t>
      </w:r>
    </w:p>
    <w:p w14:paraId="426AD86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17FD63A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6EE3DA6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址：乌鲁木齐市新兴街20号凤凰大厦五楼</w:t>
      </w:r>
    </w:p>
    <w:p w14:paraId="363E5CC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联系方式：18690890996</w:t>
      </w:r>
    </w:p>
    <w:p w14:paraId="1179794A">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7C2EB43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项目联系人：马丹阳</w:t>
      </w:r>
    </w:p>
    <w:p w14:paraId="26C3B15D">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szCs w:val="24"/>
          <w:highlight w:val="none"/>
        </w:rPr>
        <w:t>电 话：0991-4661782</w:t>
      </w:r>
    </w:p>
    <w:p w14:paraId="3C78167A">
      <w:pPr>
        <w:spacing w:line="360" w:lineRule="auto"/>
        <w:rPr>
          <w:rFonts w:ascii="仿宋" w:hAnsi="仿宋" w:eastAsia="仿宋" w:cs="仿宋"/>
          <w:color w:val="auto"/>
          <w:sz w:val="24"/>
          <w:highlight w:val="none"/>
        </w:rPr>
        <w:sectPr>
          <w:footerReference r:id="rId6" w:type="default"/>
          <w:pgSz w:w="11906" w:h="16838"/>
          <w:pgMar w:top="1361" w:right="1134" w:bottom="1361" w:left="1418" w:header="851" w:footer="992" w:gutter="0"/>
          <w:pgNumType w:start="1"/>
          <w:cols w:space="720" w:num="1"/>
          <w:docGrid w:type="lines" w:linePitch="312" w:charSpace="0"/>
        </w:sectPr>
      </w:pPr>
    </w:p>
    <w:p w14:paraId="66030A0E">
      <w:pPr>
        <w:spacing w:line="440" w:lineRule="exact"/>
        <w:jc w:val="center"/>
        <w:outlineLvl w:val="0"/>
        <w:rPr>
          <w:rFonts w:ascii="仿宋" w:hAnsi="仿宋" w:eastAsia="仿宋" w:cs="仿宋"/>
          <w:b/>
          <w:color w:val="auto"/>
          <w:sz w:val="24"/>
          <w:szCs w:val="24"/>
          <w:highlight w:val="none"/>
        </w:rPr>
      </w:pPr>
      <w:bookmarkStart w:id="2" w:name="_Toc23861"/>
      <w:bookmarkStart w:id="3" w:name="_Toc31691"/>
      <w:r>
        <w:rPr>
          <w:rFonts w:hint="eastAsia" w:ascii="仿宋" w:hAnsi="仿宋" w:eastAsia="仿宋" w:cs="仿宋"/>
          <w:b/>
          <w:color w:val="auto"/>
          <w:sz w:val="24"/>
          <w:szCs w:val="24"/>
          <w:highlight w:val="none"/>
        </w:rPr>
        <w:t>投标人须知前附表</w:t>
      </w:r>
      <w:bookmarkEnd w:id="2"/>
      <w:bookmarkEnd w:id="3"/>
    </w:p>
    <w:tbl>
      <w:tblPr>
        <w:tblStyle w:val="38"/>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410"/>
        <w:gridCol w:w="7073"/>
      </w:tblGrid>
      <w:tr w14:paraId="66377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1DA59CB8">
            <w:pPr>
              <w:jc w:val="center"/>
              <w:rPr>
                <w:rFonts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项号</w:t>
            </w:r>
          </w:p>
        </w:tc>
        <w:tc>
          <w:tcPr>
            <w:tcW w:w="8483" w:type="dxa"/>
            <w:gridSpan w:val="2"/>
            <w:vAlign w:val="center"/>
          </w:tcPr>
          <w:p w14:paraId="757A0C51">
            <w:pPr>
              <w:jc w:val="center"/>
              <w:rPr>
                <w:rFonts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编列内容</w:t>
            </w:r>
          </w:p>
        </w:tc>
      </w:tr>
      <w:tr w14:paraId="58DA8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7919E163">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410" w:type="dxa"/>
            <w:vAlign w:val="center"/>
          </w:tcPr>
          <w:p w14:paraId="70E89D6E">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7073" w:type="dxa"/>
            <w:vAlign w:val="center"/>
          </w:tcPr>
          <w:p w14:paraId="26EC7894">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新疆农业大学机电学院教学科研设备更新项目第一包</w:t>
            </w:r>
          </w:p>
        </w:tc>
      </w:tr>
      <w:tr w14:paraId="482F0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1FC7F17">
            <w:pPr>
              <w:jc w:val="center"/>
              <w:rPr>
                <w:rFonts w:ascii="仿宋" w:hAnsi="仿宋" w:eastAsia="仿宋" w:cs="仿宋"/>
                <w:color w:val="auto"/>
                <w:kern w:val="0"/>
                <w:szCs w:val="21"/>
                <w:highlight w:val="none"/>
              </w:rPr>
            </w:pPr>
          </w:p>
        </w:tc>
        <w:tc>
          <w:tcPr>
            <w:tcW w:w="1410" w:type="dxa"/>
            <w:vAlign w:val="center"/>
          </w:tcPr>
          <w:p w14:paraId="5EA46D3F">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w:t>
            </w:r>
          </w:p>
        </w:tc>
        <w:tc>
          <w:tcPr>
            <w:tcW w:w="7073" w:type="dxa"/>
            <w:vAlign w:val="center"/>
          </w:tcPr>
          <w:p w14:paraId="64FFE632">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XJXSJ-2026（ZC）-</w:t>
            </w:r>
            <w:r>
              <w:rPr>
                <w:rFonts w:hint="eastAsia" w:ascii="仿宋" w:hAnsi="仿宋" w:eastAsia="仿宋" w:cs="仿宋"/>
                <w:color w:val="auto"/>
                <w:kern w:val="0"/>
                <w:szCs w:val="21"/>
                <w:highlight w:val="none"/>
                <w:lang w:val="en-US" w:eastAsia="zh-CN"/>
              </w:rPr>
              <w:t>301</w:t>
            </w:r>
            <w:r>
              <w:rPr>
                <w:rFonts w:hint="eastAsia" w:ascii="仿宋" w:hAnsi="仿宋" w:eastAsia="仿宋" w:cs="仿宋"/>
                <w:color w:val="auto"/>
                <w:kern w:val="0"/>
                <w:szCs w:val="21"/>
                <w:highlight w:val="none"/>
              </w:rPr>
              <w:t>-01</w:t>
            </w:r>
          </w:p>
        </w:tc>
      </w:tr>
      <w:tr w14:paraId="21190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EB8524E">
            <w:pPr>
              <w:jc w:val="center"/>
              <w:rPr>
                <w:rFonts w:ascii="仿宋" w:hAnsi="仿宋" w:eastAsia="仿宋" w:cs="仿宋"/>
                <w:color w:val="auto"/>
                <w:kern w:val="0"/>
                <w:szCs w:val="21"/>
                <w:highlight w:val="none"/>
              </w:rPr>
            </w:pPr>
          </w:p>
        </w:tc>
        <w:tc>
          <w:tcPr>
            <w:tcW w:w="1410" w:type="dxa"/>
            <w:vAlign w:val="center"/>
          </w:tcPr>
          <w:p w14:paraId="103A54ED">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7073" w:type="dxa"/>
            <w:vAlign w:val="center"/>
          </w:tcPr>
          <w:p w14:paraId="28D8D2BA">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w:t>
            </w:r>
          </w:p>
        </w:tc>
      </w:tr>
      <w:tr w14:paraId="0C1A5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85" w:hRule="atLeast"/>
          <w:jc w:val="center"/>
        </w:trPr>
        <w:tc>
          <w:tcPr>
            <w:tcW w:w="597" w:type="dxa"/>
            <w:vMerge w:val="continue"/>
            <w:vAlign w:val="center"/>
          </w:tcPr>
          <w:p w14:paraId="57262A81">
            <w:pPr>
              <w:jc w:val="center"/>
              <w:rPr>
                <w:rFonts w:ascii="仿宋" w:hAnsi="仿宋" w:eastAsia="仿宋" w:cs="仿宋"/>
                <w:color w:val="auto"/>
                <w:kern w:val="0"/>
                <w:szCs w:val="21"/>
                <w:highlight w:val="none"/>
              </w:rPr>
            </w:pPr>
          </w:p>
        </w:tc>
        <w:tc>
          <w:tcPr>
            <w:tcW w:w="1410" w:type="dxa"/>
            <w:vAlign w:val="center"/>
          </w:tcPr>
          <w:p w14:paraId="6E398C20">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7073" w:type="dxa"/>
            <w:vAlign w:val="center"/>
          </w:tcPr>
          <w:p w14:paraId="30C18BBB">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新疆新世纪招标有限公司</w:t>
            </w:r>
          </w:p>
        </w:tc>
      </w:tr>
      <w:tr w14:paraId="10300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68CFB953">
            <w:pPr>
              <w:jc w:val="center"/>
              <w:rPr>
                <w:rFonts w:ascii="仿宋" w:hAnsi="仿宋" w:eastAsia="仿宋" w:cs="仿宋"/>
                <w:color w:val="auto"/>
                <w:kern w:val="0"/>
                <w:szCs w:val="21"/>
                <w:highlight w:val="none"/>
              </w:rPr>
            </w:pPr>
          </w:p>
        </w:tc>
        <w:tc>
          <w:tcPr>
            <w:tcW w:w="1410" w:type="dxa"/>
            <w:vAlign w:val="center"/>
          </w:tcPr>
          <w:p w14:paraId="0405A6B5">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项目地点</w:t>
            </w:r>
          </w:p>
        </w:tc>
        <w:tc>
          <w:tcPr>
            <w:tcW w:w="7073" w:type="dxa"/>
            <w:vAlign w:val="center"/>
          </w:tcPr>
          <w:p w14:paraId="67D92367">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乌鲁木齐市</w:t>
            </w:r>
          </w:p>
        </w:tc>
      </w:tr>
      <w:tr w14:paraId="3A76A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1CD73208">
            <w:pPr>
              <w:jc w:val="center"/>
              <w:rPr>
                <w:rFonts w:ascii="仿宋" w:hAnsi="仿宋" w:eastAsia="仿宋" w:cs="仿宋"/>
                <w:color w:val="auto"/>
                <w:kern w:val="0"/>
                <w:szCs w:val="21"/>
                <w:highlight w:val="none"/>
              </w:rPr>
            </w:pPr>
          </w:p>
        </w:tc>
        <w:tc>
          <w:tcPr>
            <w:tcW w:w="1410" w:type="dxa"/>
            <w:vAlign w:val="center"/>
          </w:tcPr>
          <w:p w14:paraId="06A70FA3">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资金来源</w:t>
            </w:r>
          </w:p>
        </w:tc>
        <w:tc>
          <w:tcPr>
            <w:tcW w:w="7073" w:type="dxa"/>
            <w:vAlign w:val="center"/>
          </w:tcPr>
          <w:p w14:paraId="520F9291">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财政拨款专项经费</w:t>
            </w:r>
          </w:p>
        </w:tc>
      </w:tr>
      <w:tr w14:paraId="5B90A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407FB7C">
            <w:pPr>
              <w:jc w:val="center"/>
              <w:rPr>
                <w:rFonts w:ascii="仿宋" w:hAnsi="仿宋" w:eastAsia="仿宋" w:cs="仿宋"/>
                <w:color w:val="auto"/>
                <w:kern w:val="0"/>
                <w:szCs w:val="21"/>
                <w:highlight w:val="none"/>
              </w:rPr>
            </w:pPr>
          </w:p>
        </w:tc>
        <w:tc>
          <w:tcPr>
            <w:tcW w:w="1410" w:type="dxa"/>
            <w:vAlign w:val="center"/>
          </w:tcPr>
          <w:p w14:paraId="7147B303">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采购预算金额</w:t>
            </w:r>
          </w:p>
        </w:tc>
        <w:tc>
          <w:tcPr>
            <w:tcW w:w="7073" w:type="dxa"/>
            <w:vAlign w:val="center"/>
          </w:tcPr>
          <w:p w14:paraId="66AB7ABD">
            <w:pPr>
              <w:keepNext/>
              <w:widowControl/>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22510000.00</w:t>
            </w:r>
            <w:r>
              <w:rPr>
                <w:rFonts w:hint="eastAsia" w:ascii="仿宋" w:hAnsi="仿宋" w:eastAsia="仿宋" w:cs="仿宋"/>
                <w:color w:val="auto"/>
                <w:kern w:val="0"/>
                <w:szCs w:val="21"/>
                <w:highlight w:val="none"/>
                <w:lang w:val="en-US" w:eastAsia="zh-CN"/>
              </w:rPr>
              <w:t>元</w:t>
            </w:r>
          </w:p>
        </w:tc>
      </w:tr>
      <w:tr w14:paraId="3AEBA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65F4BF9">
            <w:pPr>
              <w:jc w:val="center"/>
              <w:rPr>
                <w:rFonts w:ascii="仿宋" w:hAnsi="仿宋" w:eastAsia="仿宋" w:cs="仿宋"/>
                <w:color w:val="auto"/>
                <w:kern w:val="0"/>
                <w:szCs w:val="21"/>
                <w:highlight w:val="none"/>
              </w:rPr>
            </w:pPr>
          </w:p>
        </w:tc>
        <w:tc>
          <w:tcPr>
            <w:tcW w:w="1410" w:type="dxa"/>
            <w:vAlign w:val="center"/>
          </w:tcPr>
          <w:p w14:paraId="20F2822D">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最高限价</w:t>
            </w:r>
          </w:p>
        </w:tc>
        <w:tc>
          <w:tcPr>
            <w:tcW w:w="7073" w:type="dxa"/>
            <w:vAlign w:val="center"/>
          </w:tcPr>
          <w:p w14:paraId="1278AF59">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总价限价：</w:t>
            </w:r>
            <w:r>
              <w:rPr>
                <w:rFonts w:hint="eastAsia" w:ascii="仿宋" w:hAnsi="仿宋" w:eastAsia="仿宋" w:cs="仿宋"/>
                <w:color w:val="auto"/>
                <w:kern w:val="0"/>
                <w:szCs w:val="21"/>
                <w:highlight w:val="none"/>
              </w:rPr>
              <w:t>22510000.00</w:t>
            </w:r>
            <w:r>
              <w:rPr>
                <w:rFonts w:hint="eastAsia" w:ascii="仿宋" w:hAnsi="仿宋" w:eastAsia="仿宋" w:cs="仿宋"/>
                <w:color w:val="auto"/>
                <w:kern w:val="0"/>
                <w:szCs w:val="21"/>
                <w:highlight w:val="none"/>
                <w:lang w:val="en-US" w:eastAsia="zh-CN"/>
              </w:rPr>
              <w:t>元</w:t>
            </w:r>
          </w:p>
          <w:p w14:paraId="28E1848B">
            <w:pPr>
              <w:keepNext/>
              <w:widowControl/>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单价限价：详见</w:t>
            </w:r>
            <w:r>
              <w:rPr>
                <w:rFonts w:hint="eastAsia" w:ascii="仿宋" w:hAnsi="仿宋" w:eastAsia="仿宋" w:cs="仿宋"/>
                <w:color w:val="auto"/>
                <w:kern w:val="0"/>
                <w:szCs w:val="21"/>
                <w:highlight w:val="none"/>
              </w:rPr>
              <w:t>第四章 技术标准和要求</w:t>
            </w:r>
          </w:p>
        </w:tc>
      </w:tr>
      <w:tr w14:paraId="3C752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86" w:hRule="atLeast"/>
          <w:jc w:val="center"/>
        </w:trPr>
        <w:tc>
          <w:tcPr>
            <w:tcW w:w="597" w:type="dxa"/>
            <w:vMerge w:val="continue"/>
            <w:vAlign w:val="center"/>
          </w:tcPr>
          <w:p w14:paraId="7DC8AD66">
            <w:pPr>
              <w:jc w:val="center"/>
              <w:rPr>
                <w:rFonts w:ascii="仿宋" w:hAnsi="仿宋" w:eastAsia="仿宋" w:cs="仿宋"/>
                <w:color w:val="auto"/>
                <w:kern w:val="0"/>
                <w:szCs w:val="21"/>
                <w:highlight w:val="none"/>
              </w:rPr>
            </w:pPr>
          </w:p>
        </w:tc>
        <w:tc>
          <w:tcPr>
            <w:tcW w:w="1410" w:type="dxa"/>
            <w:vAlign w:val="center"/>
          </w:tcPr>
          <w:p w14:paraId="16B12841">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是否单一产品</w:t>
            </w:r>
          </w:p>
        </w:tc>
        <w:tc>
          <w:tcPr>
            <w:tcW w:w="7073" w:type="dxa"/>
            <w:vAlign w:val="center"/>
          </w:tcPr>
          <w:p w14:paraId="25620561">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否，核心产品为机械创新（理实虚+数字孪生）实训平台</w:t>
            </w:r>
          </w:p>
        </w:tc>
      </w:tr>
      <w:tr w14:paraId="72214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79" w:hRule="atLeast"/>
          <w:jc w:val="center"/>
        </w:trPr>
        <w:tc>
          <w:tcPr>
            <w:tcW w:w="597" w:type="dxa"/>
            <w:vMerge w:val="continue"/>
            <w:vAlign w:val="center"/>
          </w:tcPr>
          <w:p w14:paraId="74EBF100">
            <w:pPr>
              <w:jc w:val="center"/>
              <w:rPr>
                <w:rFonts w:ascii="仿宋" w:hAnsi="仿宋" w:eastAsia="仿宋" w:cs="仿宋"/>
                <w:color w:val="auto"/>
                <w:kern w:val="0"/>
                <w:szCs w:val="21"/>
                <w:highlight w:val="none"/>
              </w:rPr>
            </w:pPr>
          </w:p>
        </w:tc>
        <w:tc>
          <w:tcPr>
            <w:tcW w:w="1410" w:type="dxa"/>
            <w:vAlign w:val="center"/>
          </w:tcPr>
          <w:p w14:paraId="1A89724E">
            <w:pPr>
              <w:keepNext/>
              <w:widowControl/>
              <w:jc w:val="distribute"/>
              <w:rPr>
                <w:rFonts w:ascii="仿宋" w:hAnsi="仿宋" w:eastAsia="仿宋" w:cs="仿宋"/>
                <w:color w:val="auto"/>
                <w:szCs w:val="21"/>
                <w:highlight w:val="none"/>
              </w:rPr>
            </w:pPr>
            <w:r>
              <w:rPr>
                <w:rFonts w:hint="eastAsia" w:ascii="仿宋" w:hAnsi="仿宋" w:eastAsia="仿宋" w:cs="仿宋"/>
                <w:color w:val="auto"/>
                <w:kern w:val="0"/>
                <w:szCs w:val="21"/>
                <w:highlight w:val="none"/>
              </w:rPr>
              <w:t>合同履约期限</w:t>
            </w:r>
          </w:p>
        </w:tc>
        <w:tc>
          <w:tcPr>
            <w:tcW w:w="7073" w:type="dxa"/>
            <w:vAlign w:val="center"/>
          </w:tcPr>
          <w:p w14:paraId="25F2E3FE">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自合同签订之日起在指定时间内送达采购人指定地点并安装调试完毕。</w:t>
            </w:r>
            <w:bookmarkStart w:id="4" w:name="OLE_LINK24"/>
            <w:r>
              <w:rPr>
                <w:rFonts w:hint="eastAsia" w:ascii="仿宋" w:hAnsi="仿宋" w:eastAsia="仿宋" w:cs="仿宋"/>
                <w:color w:val="auto"/>
                <w:kern w:val="0"/>
                <w:szCs w:val="21"/>
                <w:highlight w:val="none"/>
              </w:rPr>
              <w:t>详见</w:t>
            </w:r>
            <w:r>
              <w:rPr>
                <w:rFonts w:hint="eastAsia" w:ascii="仿宋" w:hAnsi="仿宋" w:eastAsia="仿宋" w:cs="仿宋"/>
                <w:color w:val="auto"/>
                <w:kern w:val="0"/>
                <w:szCs w:val="21"/>
                <w:highlight w:val="none"/>
                <w:lang w:val="en-US" w:eastAsia="zh-CN"/>
              </w:rPr>
              <w:t>招标文件</w:t>
            </w:r>
            <w:r>
              <w:rPr>
                <w:rFonts w:hint="eastAsia" w:ascii="仿宋" w:hAnsi="仿宋" w:eastAsia="仿宋" w:cs="仿宋"/>
                <w:color w:val="auto"/>
                <w:kern w:val="0"/>
                <w:szCs w:val="21"/>
                <w:highlight w:val="none"/>
              </w:rPr>
              <w:t>第四章技术标准和要求中的设备清单中的合同履约期限（天）。</w:t>
            </w:r>
            <w:bookmarkEnd w:id="4"/>
          </w:p>
        </w:tc>
      </w:tr>
      <w:tr w14:paraId="262D1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90" w:hRule="atLeast"/>
          <w:jc w:val="center"/>
        </w:trPr>
        <w:tc>
          <w:tcPr>
            <w:tcW w:w="597" w:type="dxa"/>
            <w:vMerge w:val="continue"/>
            <w:vAlign w:val="center"/>
          </w:tcPr>
          <w:p w14:paraId="030524D4">
            <w:pPr>
              <w:jc w:val="center"/>
              <w:rPr>
                <w:rFonts w:ascii="仿宋" w:hAnsi="仿宋" w:eastAsia="仿宋" w:cs="仿宋"/>
                <w:color w:val="auto"/>
                <w:kern w:val="0"/>
                <w:szCs w:val="21"/>
                <w:highlight w:val="none"/>
              </w:rPr>
            </w:pPr>
          </w:p>
        </w:tc>
        <w:tc>
          <w:tcPr>
            <w:tcW w:w="1410" w:type="dxa"/>
            <w:vAlign w:val="center"/>
          </w:tcPr>
          <w:p w14:paraId="77627CC1">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供货地点</w:t>
            </w:r>
          </w:p>
        </w:tc>
        <w:tc>
          <w:tcPr>
            <w:tcW w:w="7073" w:type="dxa"/>
            <w:vAlign w:val="center"/>
          </w:tcPr>
          <w:p w14:paraId="1858EA9C">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采购人指定地点(新疆农业大学院内）</w:t>
            </w:r>
          </w:p>
        </w:tc>
      </w:tr>
      <w:tr w14:paraId="4E8C9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B91F7A6">
            <w:pPr>
              <w:jc w:val="center"/>
              <w:rPr>
                <w:rFonts w:ascii="仿宋" w:hAnsi="仿宋" w:eastAsia="仿宋" w:cs="仿宋"/>
                <w:color w:val="auto"/>
                <w:kern w:val="0"/>
                <w:szCs w:val="21"/>
                <w:highlight w:val="none"/>
              </w:rPr>
            </w:pPr>
          </w:p>
        </w:tc>
        <w:tc>
          <w:tcPr>
            <w:tcW w:w="1410" w:type="dxa"/>
            <w:vAlign w:val="center"/>
          </w:tcPr>
          <w:p w14:paraId="19D66E67">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质保期</w:t>
            </w:r>
          </w:p>
        </w:tc>
        <w:tc>
          <w:tcPr>
            <w:tcW w:w="7073" w:type="dxa"/>
            <w:vAlign w:val="center"/>
          </w:tcPr>
          <w:p w14:paraId="525629C0">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1年（技术指标参数含质保要求的按参数执行，未注明按1年执行。）</w:t>
            </w:r>
          </w:p>
        </w:tc>
      </w:tr>
      <w:tr w14:paraId="03DFF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38D3B14">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410" w:type="dxa"/>
            <w:vAlign w:val="center"/>
          </w:tcPr>
          <w:p w14:paraId="5C201DB2">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7073" w:type="dxa"/>
            <w:vAlign w:val="center"/>
          </w:tcPr>
          <w:p w14:paraId="57200EAE">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新疆农业大学机电学院教学科研设备更新项目第一包范围内的所有工作内容，关于采购范围的详细说明见招标文件第四章“技术标准和要求”。</w:t>
            </w:r>
          </w:p>
        </w:tc>
      </w:tr>
      <w:tr w14:paraId="3FB62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2AB695D">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410" w:type="dxa"/>
            <w:vAlign w:val="center"/>
          </w:tcPr>
          <w:p w14:paraId="44F5DEE4">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采购方式</w:t>
            </w:r>
          </w:p>
        </w:tc>
        <w:tc>
          <w:tcPr>
            <w:tcW w:w="7073" w:type="dxa"/>
            <w:vAlign w:val="center"/>
          </w:tcPr>
          <w:p w14:paraId="27749CF5">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公开招标</w:t>
            </w:r>
          </w:p>
        </w:tc>
      </w:tr>
      <w:tr w14:paraId="3BD3B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AAE1A25">
            <w:pPr>
              <w:jc w:val="center"/>
              <w:rPr>
                <w:rFonts w:ascii="仿宋" w:hAnsi="仿宋" w:eastAsia="仿宋" w:cs="仿宋"/>
                <w:color w:val="auto"/>
                <w:kern w:val="0"/>
                <w:szCs w:val="21"/>
                <w:highlight w:val="none"/>
              </w:rPr>
            </w:pPr>
          </w:p>
        </w:tc>
        <w:tc>
          <w:tcPr>
            <w:tcW w:w="1410" w:type="dxa"/>
            <w:vAlign w:val="center"/>
          </w:tcPr>
          <w:p w14:paraId="142DD3D6">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资格审查方式</w:t>
            </w:r>
          </w:p>
        </w:tc>
        <w:tc>
          <w:tcPr>
            <w:tcW w:w="7073" w:type="dxa"/>
            <w:vAlign w:val="center"/>
          </w:tcPr>
          <w:p w14:paraId="3D247CC7">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资格后审</w:t>
            </w:r>
          </w:p>
        </w:tc>
      </w:tr>
      <w:tr w14:paraId="7DE50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3E446AE">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410" w:type="dxa"/>
            <w:vAlign w:val="center"/>
          </w:tcPr>
          <w:p w14:paraId="27785582">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评审办法</w:t>
            </w:r>
          </w:p>
        </w:tc>
        <w:tc>
          <w:tcPr>
            <w:tcW w:w="7073" w:type="dxa"/>
            <w:vAlign w:val="center"/>
          </w:tcPr>
          <w:p w14:paraId="4E751CF7">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综合评分法</w:t>
            </w:r>
          </w:p>
        </w:tc>
      </w:tr>
      <w:tr w14:paraId="42DCC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650FBD9">
            <w:pPr>
              <w:jc w:val="center"/>
              <w:rPr>
                <w:rFonts w:ascii="仿宋" w:hAnsi="仿宋" w:eastAsia="仿宋" w:cs="仿宋"/>
                <w:color w:val="auto"/>
                <w:kern w:val="0"/>
                <w:szCs w:val="21"/>
                <w:highlight w:val="none"/>
              </w:rPr>
            </w:pPr>
          </w:p>
        </w:tc>
        <w:tc>
          <w:tcPr>
            <w:tcW w:w="1410" w:type="dxa"/>
            <w:vAlign w:val="center"/>
          </w:tcPr>
          <w:p w14:paraId="7BDA9E27">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定标方法</w:t>
            </w:r>
          </w:p>
        </w:tc>
        <w:tc>
          <w:tcPr>
            <w:tcW w:w="7073" w:type="dxa"/>
            <w:vAlign w:val="center"/>
          </w:tcPr>
          <w:p w14:paraId="0CF234B5">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评标委员会推荐三名中标候选人</w:t>
            </w:r>
          </w:p>
        </w:tc>
      </w:tr>
      <w:tr w14:paraId="34D1F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A7F0C50">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410" w:type="dxa"/>
            <w:vAlign w:val="center"/>
          </w:tcPr>
          <w:p w14:paraId="67081514">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投标人的资格要求</w:t>
            </w:r>
          </w:p>
        </w:tc>
        <w:tc>
          <w:tcPr>
            <w:tcW w:w="7073" w:type="dxa"/>
            <w:vAlign w:val="center"/>
          </w:tcPr>
          <w:p w14:paraId="3C1D8D10">
            <w:pPr>
              <w:keepNext/>
              <w:widowControl/>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1、满足《中华人民共和国政府采购法》第二十二条规定。</w:t>
            </w:r>
          </w:p>
          <w:p w14:paraId="54B96EC3">
            <w:pPr>
              <w:keepNext/>
              <w:widowControl/>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本项目投标人所投货物制造商中“小微企业的报价不低于总报价的19.99% ，中小企业的报价不低于总报价的22.26%”</w:t>
            </w:r>
            <w:r>
              <w:rPr>
                <w:rFonts w:hint="eastAsia" w:ascii="仿宋" w:hAnsi="仿宋" w:eastAsia="仿宋" w:cs="仿宋"/>
                <w:color w:val="auto"/>
                <w:highlight w:val="none"/>
              </w:rPr>
              <w:t>。</w:t>
            </w:r>
          </w:p>
          <w:p w14:paraId="68DB0169">
            <w:pPr>
              <w:keepNext/>
              <w:widowControl/>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3、投标人如在“信用中国”网站（www.creditchina.gov.cn）、中国政府采购网（www.ccgp.gov.cn）等渠道被列入失信被执行人、重大税收违法失信主体、政府采购严重违法失信行为记录名单，尚在处罚期内的将被拒绝参加本次采购活动。</w:t>
            </w:r>
          </w:p>
        </w:tc>
      </w:tr>
      <w:tr w14:paraId="2E971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65AB418">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410" w:type="dxa"/>
            <w:vAlign w:val="center"/>
          </w:tcPr>
          <w:p w14:paraId="10BBF355">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投标人不得存在的情形</w:t>
            </w:r>
          </w:p>
        </w:tc>
        <w:tc>
          <w:tcPr>
            <w:tcW w:w="7073" w:type="dxa"/>
            <w:vAlign w:val="center"/>
          </w:tcPr>
          <w:p w14:paraId="1572CC0A">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1、本项目不接受联合体。</w:t>
            </w:r>
          </w:p>
          <w:p w14:paraId="700A4C09">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2、单位负责人为同一人或者存在直接控股、管理关系的不同投标人，不得参加同一合同项下的政府采购活动。</w:t>
            </w:r>
          </w:p>
          <w:p w14:paraId="5613DC25">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3、除单一来源采购项目外，为采购项目提供整体设计、规范编制或者项目管理、监理、检测等服务的投标人，不得再参加该采购项目的其他采购活动。</w:t>
            </w:r>
          </w:p>
          <w:p w14:paraId="52F1606A">
            <w:pPr>
              <w:keepNext/>
              <w:widowControl/>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4、投标人处于被责令停业、财产被接管、冻结和破产状态，以及投标资格被取消或者被暂停且在暂停期内。</w:t>
            </w:r>
          </w:p>
          <w:p w14:paraId="110CAEB5">
            <w:pPr>
              <w:keepNext/>
              <w:widowControl/>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5、法律规定的其它情形。</w:t>
            </w:r>
          </w:p>
        </w:tc>
      </w:tr>
      <w:tr w14:paraId="1038F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4F35AF6">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410" w:type="dxa"/>
            <w:vAlign w:val="center"/>
          </w:tcPr>
          <w:p w14:paraId="36F59304">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招标文件费</w:t>
            </w:r>
          </w:p>
        </w:tc>
        <w:tc>
          <w:tcPr>
            <w:tcW w:w="7073" w:type="dxa"/>
            <w:vAlign w:val="center"/>
          </w:tcPr>
          <w:p w14:paraId="0615DFD7">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0元</w:t>
            </w:r>
          </w:p>
        </w:tc>
      </w:tr>
      <w:tr w14:paraId="64432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475ECAB">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410" w:type="dxa"/>
            <w:vAlign w:val="center"/>
          </w:tcPr>
          <w:p w14:paraId="6B054611">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投标保证金</w:t>
            </w:r>
          </w:p>
        </w:tc>
        <w:tc>
          <w:tcPr>
            <w:tcW w:w="7073" w:type="dxa"/>
            <w:vAlign w:val="center"/>
          </w:tcPr>
          <w:p w14:paraId="445DF462">
            <w:pPr>
              <w:widowControl/>
              <w:spacing w:line="288" w:lineRule="auto"/>
              <w:ind w:firstLine="420" w:firstLineChars="200"/>
              <w:jc w:val="left"/>
              <w:rPr>
                <w:rFonts w:ascii="仿宋" w:hAnsi="仿宋" w:eastAsia="仿宋" w:cs="仿宋"/>
                <w:b/>
                <w:bCs/>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1、投标保证金金额：2</w:t>
            </w:r>
            <w:r>
              <w:rPr>
                <w:rFonts w:hint="eastAsia" w:ascii="仿宋" w:hAnsi="仿宋" w:eastAsia="仿宋" w:cs="仿宋"/>
                <w:color w:val="auto"/>
                <w:kern w:val="0"/>
                <w:szCs w:val="21"/>
                <w:highlight w:val="none"/>
                <w:shd w:val="clear" w:color="auto" w:fill="FFFFFF" w:themeFill="background1"/>
                <w:lang w:val="en-US" w:eastAsia="zh-CN"/>
              </w:rPr>
              <w:t>2</w:t>
            </w:r>
            <w:r>
              <w:rPr>
                <w:rFonts w:hint="eastAsia" w:ascii="仿宋" w:hAnsi="仿宋" w:eastAsia="仿宋" w:cs="仿宋"/>
                <w:color w:val="auto"/>
                <w:kern w:val="0"/>
                <w:szCs w:val="21"/>
                <w:highlight w:val="none"/>
                <w:shd w:val="clear" w:color="auto" w:fill="FFFFFF" w:themeFill="background1"/>
              </w:rPr>
              <w:t>0000.00元</w:t>
            </w:r>
          </w:p>
          <w:p w14:paraId="63753754">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2、提交截止时间：同投标文件递交截止时间</w:t>
            </w:r>
          </w:p>
          <w:p w14:paraId="22D888A7">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3、提交形式：投标保证金以支票、汇票、本票或者金融机构、担保机构出具的保函等非现金形式提交至采购代理机构。</w:t>
            </w:r>
          </w:p>
          <w:p w14:paraId="67FF4129">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4、银行账户信息</w:t>
            </w:r>
          </w:p>
          <w:p w14:paraId="4673C193">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61D5EBA8">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66BE8244">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35985CAC">
            <w:pPr>
              <w:widowControl/>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3127F087">
            <w:pPr>
              <w:widowControl/>
              <w:spacing w:line="288" w:lineRule="auto"/>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5、投标人在提交投标保证金时需备注项目名称简称。</w:t>
            </w:r>
          </w:p>
        </w:tc>
      </w:tr>
      <w:tr w14:paraId="4FB36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0410B9C">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410" w:type="dxa"/>
            <w:vAlign w:val="center"/>
          </w:tcPr>
          <w:p w14:paraId="5A6715FE">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现场踏勘</w:t>
            </w:r>
          </w:p>
        </w:tc>
        <w:tc>
          <w:tcPr>
            <w:tcW w:w="7073" w:type="dxa"/>
            <w:vAlign w:val="center"/>
          </w:tcPr>
          <w:p w14:paraId="3FC3A590">
            <w:pPr>
              <w:jc w:val="left"/>
              <w:rPr>
                <w:rFonts w:ascii="仿宋" w:hAnsi="仿宋" w:eastAsia="仿宋" w:cs="仿宋"/>
                <w:color w:val="auto"/>
                <w:kern w:val="0"/>
                <w:szCs w:val="21"/>
                <w:highlight w:val="none"/>
              </w:rPr>
            </w:pPr>
            <w:r>
              <w:rPr>
                <w:rFonts w:hint="eastAsia" w:ascii="仿宋" w:hAnsi="仿宋" w:eastAsia="仿宋" w:cs="仿宋"/>
                <w:color w:val="auto"/>
                <w:szCs w:val="21"/>
                <w:highlight w:val="none"/>
              </w:rPr>
              <w:t>不组织</w:t>
            </w:r>
          </w:p>
        </w:tc>
      </w:tr>
      <w:tr w14:paraId="49554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0F41A38">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1410" w:type="dxa"/>
            <w:vAlign w:val="center"/>
          </w:tcPr>
          <w:p w14:paraId="1F9E9DC1">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招标答疑</w:t>
            </w:r>
          </w:p>
        </w:tc>
        <w:tc>
          <w:tcPr>
            <w:tcW w:w="7073" w:type="dxa"/>
            <w:vAlign w:val="center"/>
          </w:tcPr>
          <w:p w14:paraId="2316AC90">
            <w:pPr>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提出询问的，应当在投标文件递交截止时间15日前以书面形式（加盖公章）递交至新疆新世纪招标有限公司，否则采购人不作任何解释。</w:t>
            </w:r>
          </w:p>
          <w:p w14:paraId="37E6D3AD">
            <w:pPr>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对招标文件提出质疑的，应当在获取招标文件或者招标文件公告期限届满之日起7个工作日内一次性以书面形式（按照财政部制定的质疑函范本编写）提出并递交至采购代理机构。</w:t>
            </w:r>
          </w:p>
          <w:p w14:paraId="2D5352A4">
            <w:pPr>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质疑接收人：马丹阳；联系方式：0991-4661782。</w:t>
            </w:r>
          </w:p>
          <w:p w14:paraId="7096194B">
            <w:pPr>
              <w:ind w:firstLine="420" w:firstLineChars="200"/>
              <w:jc w:val="left"/>
              <w:rPr>
                <w:rFonts w:ascii="仿宋" w:hAnsi="仿宋" w:eastAsia="仿宋" w:cs="仿宋"/>
                <w:color w:val="auto"/>
                <w:szCs w:val="21"/>
                <w:highlight w:val="none"/>
              </w:rPr>
            </w:pPr>
            <w:r>
              <w:rPr>
                <w:rFonts w:hint="eastAsia" w:ascii="仿宋" w:hAnsi="仿宋" w:eastAsia="仿宋" w:cs="仿宋"/>
                <w:color w:val="auto"/>
                <w:kern w:val="0"/>
                <w:szCs w:val="21"/>
                <w:highlight w:val="none"/>
              </w:rPr>
              <w:t>注：1、投标人必须在法定质疑期内一次性提出针对同一采购程序环节的质疑；</w:t>
            </w:r>
            <w:r>
              <w:rPr>
                <w:rFonts w:hint="eastAsia" w:ascii="仿宋" w:hAnsi="仿宋" w:eastAsia="仿宋" w:cs="仿宋"/>
                <w:color w:val="auto"/>
                <w:szCs w:val="21"/>
                <w:highlight w:val="none"/>
              </w:rPr>
              <w:t>投标人投诉的事项不得超出已质疑事项的范围。2、</w:t>
            </w:r>
            <w:r>
              <w:rPr>
                <w:rFonts w:hint="eastAsia" w:ascii="仿宋" w:hAnsi="仿宋" w:eastAsia="仿宋" w:cs="仿宋"/>
                <w:color w:val="auto"/>
                <w:kern w:val="0"/>
                <w:szCs w:val="21"/>
                <w:highlight w:val="none"/>
              </w:rPr>
              <w:t>投标人</w:t>
            </w:r>
            <w:r>
              <w:rPr>
                <w:rFonts w:hint="eastAsia" w:ascii="仿宋" w:hAnsi="仿宋" w:eastAsia="仿宋" w:cs="仿宋"/>
                <w:color w:val="auto"/>
                <w:szCs w:val="21"/>
                <w:highlight w:val="none"/>
              </w:rPr>
              <w:t>在国家法律规定的时间内未提出书面疑问，视为对招标文件的技术参数、资格条件、评审方法、合同文本等所有内容无异议。</w:t>
            </w:r>
          </w:p>
        </w:tc>
      </w:tr>
      <w:tr w14:paraId="4E169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7F2C6D6">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410" w:type="dxa"/>
            <w:vAlign w:val="center"/>
          </w:tcPr>
          <w:p w14:paraId="67C2F72D">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w:t>
            </w:r>
          </w:p>
        </w:tc>
        <w:tc>
          <w:tcPr>
            <w:tcW w:w="7073" w:type="dxa"/>
            <w:vAlign w:val="center"/>
          </w:tcPr>
          <w:p w14:paraId="3D9167B8">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本次采购采用电子交易方式，电子交易平台为“政采云平台（https://www.zcygov.cn/）”。投标人参与本项目电子交易活动前，应注册成为政府采购云平台正式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0E44C6AD">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 </w:t>
            </w:r>
          </w:p>
          <w:p w14:paraId="7F86A399">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3、加密的电子投标文件应在投标文件递交截止时间前通过政采云平台上传完成。逾期上传或者未上传指定地点的投标文件，不予受理。</w:t>
            </w:r>
          </w:p>
          <w:p w14:paraId="6B3F3318">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4、投标人在开标前须提前配置好电脑浏览器，开标时请使用制作加密电子投标文件的CA锁进行解密及报价确认。本项目投标文件解密时间定为30分钟，如因自身原因导致无法正常解密，后果由投标人自行承担。</w:t>
            </w:r>
          </w:p>
          <w:p w14:paraId="72980C23">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5、如遇“政采云平台（https://www.zcygov.cn/）”电子交易规则调整，以最新要求为准。</w:t>
            </w:r>
          </w:p>
        </w:tc>
      </w:tr>
      <w:tr w14:paraId="7DDAD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35085FB">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410" w:type="dxa"/>
            <w:vAlign w:val="center"/>
          </w:tcPr>
          <w:p w14:paraId="5330CF71">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投标文件递交</w:t>
            </w:r>
          </w:p>
        </w:tc>
        <w:tc>
          <w:tcPr>
            <w:tcW w:w="7073" w:type="dxa"/>
            <w:vAlign w:val="center"/>
          </w:tcPr>
          <w:p w14:paraId="1292F30D">
            <w:pPr>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截止时间：</w:t>
            </w:r>
            <w:r>
              <w:rPr>
                <w:rFonts w:hint="eastAsia" w:ascii="仿宋" w:hAnsi="仿宋" w:eastAsia="仿宋" w:cs="仿宋"/>
                <w:color w:val="auto"/>
                <w:kern w:val="0"/>
                <w:szCs w:val="21"/>
                <w:highlight w:val="none"/>
                <w:u w:val="single"/>
              </w:rPr>
              <w:t>2026年</w:t>
            </w:r>
            <w:r>
              <w:rPr>
                <w:rFonts w:hint="eastAsia" w:ascii="仿宋" w:hAnsi="仿宋" w:eastAsia="仿宋" w:cs="仿宋"/>
                <w:color w:val="auto"/>
                <w:kern w:val="0"/>
                <w:szCs w:val="21"/>
                <w:highlight w:val="none"/>
                <w:u w:val="single"/>
                <w:lang w:eastAsia="zh-CN"/>
              </w:rPr>
              <w:t>06月29日 11:00</w:t>
            </w:r>
            <w:r>
              <w:rPr>
                <w:rFonts w:hint="eastAsia" w:ascii="仿宋" w:hAnsi="仿宋" w:eastAsia="仿宋" w:cs="仿宋"/>
                <w:color w:val="auto"/>
                <w:kern w:val="0"/>
                <w:szCs w:val="21"/>
                <w:highlight w:val="none"/>
                <w:u w:val="single"/>
              </w:rPr>
              <w:t>（北京时间）</w:t>
            </w:r>
          </w:p>
          <w:p w14:paraId="2A82FAC3">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递交地点：政采云平台（https://www.zcygov.cn/）</w:t>
            </w:r>
          </w:p>
        </w:tc>
      </w:tr>
      <w:tr w14:paraId="1F191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F954F20">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c>
          <w:tcPr>
            <w:tcW w:w="1410" w:type="dxa"/>
            <w:vAlign w:val="center"/>
          </w:tcPr>
          <w:p w14:paraId="2E096A73">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w:t>
            </w:r>
          </w:p>
        </w:tc>
        <w:tc>
          <w:tcPr>
            <w:tcW w:w="7073" w:type="dxa"/>
            <w:vAlign w:val="center"/>
          </w:tcPr>
          <w:p w14:paraId="3A457FDD">
            <w:pPr>
              <w:jc w:val="left"/>
              <w:rPr>
                <w:rFonts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时间：</w:t>
            </w:r>
            <w:r>
              <w:rPr>
                <w:rFonts w:hint="eastAsia" w:ascii="仿宋" w:hAnsi="仿宋" w:eastAsia="仿宋" w:cs="仿宋"/>
                <w:color w:val="auto"/>
                <w:kern w:val="0"/>
                <w:szCs w:val="21"/>
                <w:highlight w:val="none"/>
                <w:u w:val="single"/>
              </w:rPr>
              <w:t>2026年</w:t>
            </w:r>
            <w:r>
              <w:rPr>
                <w:rFonts w:hint="eastAsia" w:ascii="仿宋" w:hAnsi="仿宋" w:eastAsia="仿宋" w:cs="仿宋"/>
                <w:color w:val="auto"/>
                <w:kern w:val="0"/>
                <w:szCs w:val="21"/>
                <w:highlight w:val="none"/>
                <w:u w:val="single"/>
                <w:lang w:eastAsia="zh-CN"/>
              </w:rPr>
              <w:t>06月29日 11:00</w:t>
            </w:r>
            <w:r>
              <w:rPr>
                <w:rFonts w:hint="eastAsia" w:ascii="仿宋" w:hAnsi="仿宋" w:eastAsia="仿宋" w:cs="仿宋"/>
                <w:color w:val="auto"/>
                <w:kern w:val="0"/>
                <w:szCs w:val="21"/>
                <w:highlight w:val="none"/>
                <w:u w:val="single"/>
              </w:rPr>
              <w:t>（北京时间）</w:t>
            </w:r>
          </w:p>
          <w:p w14:paraId="17472312">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地点：政采云平台（https://www.zcygov.cn/）</w:t>
            </w:r>
          </w:p>
        </w:tc>
      </w:tr>
      <w:tr w14:paraId="2C334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1B75169">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410" w:type="dxa"/>
            <w:vAlign w:val="center"/>
          </w:tcPr>
          <w:p w14:paraId="10BAF8B9">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投标有效期</w:t>
            </w:r>
          </w:p>
        </w:tc>
        <w:tc>
          <w:tcPr>
            <w:tcW w:w="7073" w:type="dxa"/>
            <w:vAlign w:val="center"/>
          </w:tcPr>
          <w:p w14:paraId="6FE480EF">
            <w:pPr>
              <w:keepNext/>
              <w:widowControl/>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自投标截止之日90日历日</w:t>
            </w:r>
          </w:p>
        </w:tc>
      </w:tr>
      <w:tr w14:paraId="3F543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6063EBE">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15</w:t>
            </w:r>
          </w:p>
        </w:tc>
        <w:tc>
          <w:tcPr>
            <w:tcW w:w="1410" w:type="dxa"/>
            <w:vAlign w:val="center"/>
          </w:tcPr>
          <w:p w14:paraId="78A1E0E0">
            <w:pPr>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公告发布媒体</w:t>
            </w:r>
          </w:p>
        </w:tc>
        <w:tc>
          <w:tcPr>
            <w:tcW w:w="7073" w:type="dxa"/>
            <w:vAlign w:val="center"/>
          </w:tcPr>
          <w:p w14:paraId="753CFA1E">
            <w:pPr>
              <w:jc w:val="left"/>
              <w:rPr>
                <w:rFonts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shd w:val="clear" w:color="auto" w:fill="FFFFFF" w:themeFill="background1"/>
              </w:rPr>
              <w:t>新疆政府采购网</w:t>
            </w:r>
          </w:p>
        </w:tc>
      </w:tr>
      <w:tr w14:paraId="33378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DD28590">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16</w:t>
            </w:r>
          </w:p>
        </w:tc>
        <w:tc>
          <w:tcPr>
            <w:tcW w:w="1410" w:type="dxa"/>
            <w:vAlign w:val="center"/>
          </w:tcPr>
          <w:p w14:paraId="305A945E">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7073" w:type="dxa"/>
            <w:vAlign w:val="center"/>
          </w:tcPr>
          <w:p w14:paraId="1DFAB6B0">
            <w:pPr>
              <w:spacing w:line="288" w:lineRule="auto"/>
              <w:ind w:firstLine="420" w:firstLineChars="200"/>
              <w:jc w:val="left"/>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1、履约保证金金额：无。</w:t>
            </w:r>
          </w:p>
          <w:p w14:paraId="363F3DED">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2、投标人应当以支票、汇票、本票或者金融机构、担保机构出具的保函等非现金形式提交履约保证金。</w:t>
            </w:r>
          </w:p>
        </w:tc>
      </w:tr>
      <w:tr w14:paraId="0A919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323" w:hRule="atLeast"/>
          <w:jc w:val="center"/>
        </w:trPr>
        <w:tc>
          <w:tcPr>
            <w:tcW w:w="597" w:type="dxa"/>
            <w:vAlign w:val="center"/>
          </w:tcPr>
          <w:p w14:paraId="74F2AED7">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17</w:t>
            </w:r>
          </w:p>
        </w:tc>
        <w:tc>
          <w:tcPr>
            <w:tcW w:w="1410" w:type="dxa"/>
            <w:vAlign w:val="center"/>
          </w:tcPr>
          <w:p w14:paraId="1D2A5489">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中小企业政策说明</w:t>
            </w:r>
          </w:p>
        </w:tc>
        <w:tc>
          <w:tcPr>
            <w:tcW w:w="7073" w:type="dxa"/>
            <w:vAlign w:val="center"/>
          </w:tcPr>
          <w:p w14:paraId="7BF9CAEE">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8EB1162">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在政府采购活动中，投标人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2D06BF6F">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3、在货物采购项目中，投标人提供的货物既有中小企业制造货物，也有大型企业制造货物的，不享受本办法规定的中小企业扶持政策。</w:t>
            </w:r>
          </w:p>
          <w:p w14:paraId="76EACF33">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4、以联合体形式参加政府采购活动，联合体各方均为中小企业的，联合体视同中小企业。其中，联合体各方均为小微企业的，联合体视同小微企业。</w:t>
            </w:r>
          </w:p>
          <w:p w14:paraId="291BDB7A">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5、投标人经享受扶持政策获得政府采购合同的，小微企业不得将合同分包给大中型企业，中型企业不得将合同分包给大型企业；</w:t>
            </w:r>
          </w:p>
          <w:p w14:paraId="2CBFAC37">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6、残疾人福利性单位和监狱企业视同小型、微型企业。</w:t>
            </w:r>
          </w:p>
          <w:p w14:paraId="503E8C1A">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7、根据“关于印发中小企业划型标准规定的通知(工信部联企业〔2011〕300号)”等有关规定，本项目标的所属行业为工业。</w:t>
            </w:r>
          </w:p>
        </w:tc>
      </w:tr>
      <w:tr w14:paraId="78CAC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F720C06">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18</w:t>
            </w:r>
          </w:p>
        </w:tc>
        <w:tc>
          <w:tcPr>
            <w:tcW w:w="1410" w:type="dxa"/>
            <w:vAlign w:val="center"/>
          </w:tcPr>
          <w:p w14:paraId="2543E9D2">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合同分包</w:t>
            </w:r>
          </w:p>
        </w:tc>
        <w:tc>
          <w:tcPr>
            <w:tcW w:w="7073" w:type="dxa"/>
            <w:vAlign w:val="center"/>
          </w:tcPr>
          <w:p w14:paraId="396DD423">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☑不允许分包</w:t>
            </w:r>
          </w:p>
          <w:p w14:paraId="45701B0E">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□允许分包</w:t>
            </w:r>
          </w:p>
        </w:tc>
      </w:tr>
      <w:tr w14:paraId="6E6C7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661888E">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19</w:t>
            </w:r>
          </w:p>
        </w:tc>
        <w:tc>
          <w:tcPr>
            <w:tcW w:w="1410" w:type="dxa"/>
            <w:vAlign w:val="center"/>
          </w:tcPr>
          <w:p w14:paraId="36C07665">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进口产品</w:t>
            </w:r>
          </w:p>
        </w:tc>
        <w:tc>
          <w:tcPr>
            <w:tcW w:w="7073" w:type="dxa"/>
            <w:vAlign w:val="center"/>
          </w:tcPr>
          <w:p w14:paraId="108ACD1F">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☑不接受</w:t>
            </w:r>
          </w:p>
          <w:p w14:paraId="37EBDC3A">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□接受</w:t>
            </w:r>
          </w:p>
        </w:tc>
      </w:tr>
      <w:tr w14:paraId="7B3A1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359ABF6">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20</w:t>
            </w:r>
          </w:p>
        </w:tc>
        <w:tc>
          <w:tcPr>
            <w:tcW w:w="1410" w:type="dxa"/>
            <w:vAlign w:val="center"/>
          </w:tcPr>
          <w:p w14:paraId="3226D8C1">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本国产品政策说明</w:t>
            </w:r>
          </w:p>
        </w:tc>
        <w:tc>
          <w:tcPr>
            <w:tcW w:w="7073" w:type="dxa"/>
            <w:vAlign w:val="center"/>
          </w:tcPr>
          <w:p w14:paraId="17563C88">
            <w:pPr>
              <w:keepNext/>
              <w:widowControl/>
              <w:ind w:firstLine="420" w:firstLineChars="200"/>
              <w:jc w:val="left"/>
              <w:rPr>
                <w:rFonts w:ascii="仿宋" w:hAnsi="仿宋" w:eastAsia="仿宋" w:cs="仿宋"/>
                <w:color w:val="auto"/>
                <w:kern w:val="0"/>
                <w:szCs w:val="21"/>
                <w:highlight w:val="none"/>
              </w:rPr>
            </w:pPr>
            <w:bookmarkStart w:id="5" w:name="OLE_LINK1"/>
            <w:r>
              <w:rPr>
                <w:rFonts w:hint="eastAsia" w:ascii="仿宋" w:hAnsi="仿宋" w:eastAsia="仿宋" w:cs="仿宋"/>
                <w:color w:val="auto"/>
                <w:kern w:val="0"/>
                <w:szCs w:val="21"/>
                <w:highlight w:val="none"/>
              </w:rPr>
              <w:t>根据《国务院办公厅关于在政府采购中实施本国产品标准及相关政策的通知》（国办发〔2025〕34号）的相关规定，投标产品符合“本国产品标准”的，按照以下政策执行价格评审优惠：</w:t>
            </w:r>
          </w:p>
          <w:p w14:paraId="625CEDC5">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政府采购活动中既有本国产品又有非本国产品参与竞争的，依法对本国产品给予价格评审优惠，对本国产品的报价给予20%的价格扣除，用扣除后的价格参与评审。</w:t>
            </w:r>
          </w:p>
          <w:p w14:paraId="221A7988">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CB51D83">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供应商对其提供的产品出具《关于符合本国产品标准的声明函》或财政部会同有关部门规定的有关证明文件。出具符合要求的《声明函》或有关证明文件的，该产品视为本国产品。</w:t>
            </w:r>
            <w:bookmarkEnd w:id="5"/>
          </w:p>
        </w:tc>
      </w:tr>
      <w:tr w14:paraId="04C21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DF388AB">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1410" w:type="dxa"/>
            <w:vAlign w:val="center"/>
          </w:tcPr>
          <w:p w14:paraId="02CF1238">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样品</w:t>
            </w:r>
          </w:p>
        </w:tc>
        <w:tc>
          <w:tcPr>
            <w:tcW w:w="7073" w:type="dxa"/>
            <w:vAlign w:val="center"/>
          </w:tcPr>
          <w:p w14:paraId="5CFA98D4">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☑不要求</w:t>
            </w:r>
          </w:p>
          <w:p w14:paraId="14C5D67C">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w:t>
            </w:r>
          </w:p>
        </w:tc>
      </w:tr>
      <w:tr w14:paraId="710FE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54154AB">
            <w:pPr>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p>
        </w:tc>
        <w:tc>
          <w:tcPr>
            <w:tcW w:w="1410" w:type="dxa"/>
            <w:vAlign w:val="center"/>
          </w:tcPr>
          <w:p w14:paraId="5659F14C">
            <w:pPr>
              <w:keepNext/>
              <w:widowControl/>
              <w:jc w:val="distribute"/>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说明</w:t>
            </w:r>
          </w:p>
        </w:tc>
        <w:tc>
          <w:tcPr>
            <w:tcW w:w="7073" w:type="dxa"/>
            <w:vAlign w:val="center"/>
          </w:tcPr>
          <w:p w14:paraId="538ACDE5">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1、招标文件中所述政策法规、标准规范等文件，如有新文件则按新文件执行，如已废止则仅为参考。</w:t>
            </w:r>
          </w:p>
          <w:p w14:paraId="0F09A981">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2、投标人须根据招标文件要求在投标文件中提供评审所需的相应证明材料扫描件。</w:t>
            </w:r>
          </w:p>
          <w:p w14:paraId="00B86F24">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3、建议投标人对本招标文件技术要求进行点对点应答，根据本招标文件的要求,结合所投产品的实际参数值，进行逐条逐项答复、说明和解释。</w:t>
            </w:r>
          </w:p>
          <w:p w14:paraId="3E8C712D">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4、最低报价不能作为中标的保证。</w:t>
            </w:r>
          </w:p>
          <w:p w14:paraId="2CDE8E90">
            <w:pPr>
              <w:keepNext/>
              <w:widowControl/>
              <w:ind w:firstLine="420" w:firstLineChars="200"/>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5、本表内容如与后文内容不一致处，以本表为准。</w:t>
            </w:r>
          </w:p>
        </w:tc>
      </w:tr>
    </w:tbl>
    <w:p w14:paraId="0A0F90CC">
      <w:pPr>
        <w:rPr>
          <w:rFonts w:ascii="仿宋" w:hAnsi="仿宋" w:eastAsia="仿宋" w:cs="仿宋"/>
          <w:color w:val="auto"/>
          <w:kern w:val="0"/>
          <w:sz w:val="24"/>
          <w:szCs w:val="24"/>
          <w:highlight w:val="none"/>
        </w:rPr>
      </w:pPr>
    </w:p>
    <w:p w14:paraId="1232A194">
      <w:pPr>
        <w:spacing w:line="360" w:lineRule="auto"/>
        <w:jc w:val="center"/>
        <w:outlineLvl w:val="0"/>
        <w:rPr>
          <w:rFonts w:ascii="仿宋" w:hAnsi="仿宋" w:eastAsia="仿宋" w:cs="仿宋"/>
          <w:b/>
          <w:color w:val="auto"/>
          <w:sz w:val="24"/>
          <w:szCs w:val="24"/>
          <w:highlight w:val="none"/>
        </w:rPr>
      </w:pPr>
      <w:bookmarkStart w:id="6" w:name="_BookMark_3"/>
      <w:bookmarkEnd w:id="6"/>
      <w:r>
        <w:rPr>
          <w:rFonts w:hint="eastAsia" w:ascii="仿宋" w:hAnsi="仿宋" w:eastAsia="仿宋" w:cs="仿宋"/>
          <w:color w:val="auto"/>
          <w:kern w:val="0"/>
          <w:sz w:val="24"/>
          <w:szCs w:val="24"/>
          <w:highlight w:val="none"/>
        </w:rPr>
        <w:br w:type="page"/>
      </w:r>
      <w:bookmarkStart w:id="7" w:name="_Toc4949"/>
      <w:bookmarkStart w:id="8" w:name="_Toc3764"/>
      <w:r>
        <w:rPr>
          <w:rFonts w:hint="eastAsia" w:ascii="仿宋" w:hAnsi="仿宋" w:eastAsia="仿宋" w:cs="仿宋"/>
          <w:b/>
          <w:color w:val="auto"/>
          <w:sz w:val="24"/>
          <w:szCs w:val="24"/>
          <w:highlight w:val="none"/>
        </w:rPr>
        <w:t>第一章 投标人须知</w:t>
      </w:r>
      <w:bookmarkEnd w:id="7"/>
      <w:bookmarkEnd w:id="8"/>
      <w:bookmarkStart w:id="9" w:name="_BookMark_2"/>
      <w:bookmarkEnd w:id="9"/>
    </w:p>
    <w:p w14:paraId="3B6D5879">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10" w:name="_Toc31299"/>
      <w:bookmarkStart w:id="11" w:name="_Toc25054"/>
      <w:bookmarkStart w:id="12" w:name="_Toc32453"/>
      <w:bookmarkStart w:id="13" w:name="_Toc130252597"/>
      <w:r>
        <w:rPr>
          <w:rFonts w:hint="eastAsia" w:ascii="仿宋" w:hAnsi="仿宋" w:eastAsia="仿宋" w:cs="仿宋"/>
          <w:b/>
          <w:color w:val="auto"/>
          <w:sz w:val="24"/>
          <w:szCs w:val="24"/>
          <w:highlight w:val="none"/>
        </w:rPr>
        <w:t>一、总则</w:t>
      </w:r>
      <w:bookmarkEnd w:id="10"/>
      <w:bookmarkEnd w:id="11"/>
      <w:bookmarkEnd w:id="12"/>
      <w:bookmarkEnd w:id="13"/>
    </w:p>
    <w:p w14:paraId="6CE7EC2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1.1采购项目概况</w:t>
      </w:r>
    </w:p>
    <w:p w14:paraId="185B77F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1.1.1项目名称：见投标人须知前附表。</w:t>
      </w:r>
    </w:p>
    <w:p w14:paraId="0816633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1.1.2项目编号：见投标人须知前附表。</w:t>
      </w:r>
    </w:p>
    <w:p w14:paraId="5DE869E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1.1.3采购人：见投标人须知前附表。</w:t>
      </w:r>
    </w:p>
    <w:p w14:paraId="38339C9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1.1.4采购代理机构：见投标人须知前附表。</w:t>
      </w:r>
    </w:p>
    <w:p w14:paraId="2F0BD06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1.1.5项目地点：见投标人须知前附表。</w:t>
      </w:r>
    </w:p>
    <w:p w14:paraId="7347076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1.1.6资金来源：见投标人须知前附表。</w:t>
      </w:r>
    </w:p>
    <w:p w14:paraId="06F43AF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1.1.7采购预算金额：见投标人须知前附表。</w:t>
      </w:r>
    </w:p>
    <w:p w14:paraId="6287A87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1.1.8最高限价：见投标人须知前附表。</w:t>
      </w:r>
    </w:p>
    <w:p w14:paraId="0957C68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1.1.9是否单一产品：见投标人须知前附表。</w:t>
      </w:r>
    </w:p>
    <w:p w14:paraId="07684A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1.1.10合同履约期限：见投标人须知前附表。</w:t>
      </w:r>
    </w:p>
    <w:p w14:paraId="47052DE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1.1.11供货地点：见投标人须知前附表。</w:t>
      </w:r>
    </w:p>
    <w:p w14:paraId="2CBDED9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1.1.12质保期：见投标人须知前附表。</w:t>
      </w:r>
    </w:p>
    <w:p w14:paraId="0D4FFC4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1.2采购范围：见投标人须知前附表。</w:t>
      </w:r>
    </w:p>
    <w:p w14:paraId="508D8A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1.3采购方式和资格审查方式</w:t>
      </w:r>
    </w:p>
    <w:p w14:paraId="610EF8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1.3.1采购方式：见投标人须知前附表。</w:t>
      </w:r>
    </w:p>
    <w:p w14:paraId="1664044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1.3.2资格审查方式：见投标人须知前附表。</w:t>
      </w:r>
    </w:p>
    <w:p w14:paraId="1605444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 评审办法及定标方法</w:t>
      </w:r>
    </w:p>
    <w:p w14:paraId="631936E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1.4.1评审办法：见投标人须知前附表。</w:t>
      </w:r>
    </w:p>
    <w:p w14:paraId="595B1C7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1.4.2定标方法：见投标人须知前附表。</w:t>
      </w:r>
    </w:p>
    <w:p w14:paraId="1760136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1.5投标人的资格要求：见投标人须知前附表。</w:t>
      </w:r>
    </w:p>
    <w:p w14:paraId="5BD5B1F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1.6投标人不得存在的情形：见投标人须知前附表。</w:t>
      </w:r>
    </w:p>
    <w:p w14:paraId="3018E5C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1.7费用承担</w:t>
      </w:r>
    </w:p>
    <w:p w14:paraId="46342B6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1.7.1招标文件费：见投标人须知前附表。</w:t>
      </w:r>
    </w:p>
    <w:p w14:paraId="5A730BE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1.7.2投标人应承担其编制投标文件与递交投标文件所涉及的一切费用，无论投标结果如何，采购人及采购代理机构对上述费用不作任何补偿。采购代理咨询费由中标人支付。</w:t>
      </w:r>
    </w:p>
    <w:p w14:paraId="0A9B865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1.8投标保证金：见投标人须知前附表。</w:t>
      </w:r>
    </w:p>
    <w:p w14:paraId="0B7C812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1.9现场踏勘</w:t>
      </w:r>
    </w:p>
    <w:p w14:paraId="4273AA0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1.9.1投标人须知前附表如规定组织踏勘现场的，采购人或采购代理机构按投标人须知前附表规定的时间、地点组织投标人踏勘项目现场。</w:t>
      </w:r>
    </w:p>
    <w:p w14:paraId="6A4FC2B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1.9.2投标人踏勘现场发生的费用自理。</w:t>
      </w:r>
    </w:p>
    <w:p w14:paraId="10EDA1F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1.9.3除采购人或采购代理机构的原因外，投标人自行负责在踏勘现场中所发生的人员伤亡和财产损失。</w:t>
      </w:r>
    </w:p>
    <w:p w14:paraId="076BAFD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1.9.4采购人或采购代理机构在踏勘现场中介绍的项目有关情况，供投标人在编制投标文件时参考，采购人或采购代理机构不对投标人据此作出的判断和决策负责。</w:t>
      </w:r>
    </w:p>
    <w:p w14:paraId="4945918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1.10招标答疑</w:t>
      </w:r>
    </w:p>
    <w:p w14:paraId="0CED2B1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1.10.1投标人若有询问或质疑，应按投标人须知前附表规定的时间、方式向采购人或采购代理机构提出，要求采购人对招标文件予以澄清。</w:t>
      </w:r>
    </w:p>
    <w:p w14:paraId="019A973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1.11投标文件：见投标人须知前附表。</w:t>
      </w:r>
    </w:p>
    <w:p w14:paraId="22A75FD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1.12投标文件递交：见投标人须知前附表。</w:t>
      </w:r>
    </w:p>
    <w:p w14:paraId="0A1371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1.13开标：见投标人须知前附表。</w:t>
      </w:r>
    </w:p>
    <w:p w14:paraId="26FDBBC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1.14投标有效期：见投标人须知前附表。</w:t>
      </w:r>
    </w:p>
    <w:p w14:paraId="6F19980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1.15公告发布媒体：见投标人须知前附表。</w:t>
      </w:r>
    </w:p>
    <w:p w14:paraId="43E9EE6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1.16履约保证金：见投标人须知前附表。</w:t>
      </w:r>
    </w:p>
    <w:p w14:paraId="006B4A3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1.17中小企业政策说明：见投标人须知前附表。</w:t>
      </w:r>
    </w:p>
    <w:p w14:paraId="2F0B22A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1.18合同分包：见投标人须知前附表。</w:t>
      </w:r>
    </w:p>
    <w:p w14:paraId="593D587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1.19进口产品：见投标人须知前附表。</w:t>
      </w:r>
    </w:p>
    <w:p w14:paraId="217836A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1.20本国产品政策说明：见投标人须知前附表。</w:t>
      </w:r>
    </w:p>
    <w:p w14:paraId="1BD6275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1.21样品：见投标人须知前附表。</w:t>
      </w:r>
    </w:p>
    <w:p w14:paraId="01AF4F8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1.22保密</w:t>
      </w:r>
    </w:p>
    <w:p w14:paraId="3D8AC69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参与招标投标活动的各方应当对招标文件和投标文件中的商业和技术等秘密保密，否则应当承担相应的法律责任。</w:t>
      </w:r>
    </w:p>
    <w:p w14:paraId="0FF21CF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1.23语言文字</w:t>
      </w:r>
    </w:p>
    <w:p w14:paraId="564E662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除专用术语外，与招标投标有关的语言均应当使用中文。必要时专用术语应附有中文注释。</w:t>
      </w:r>
    </w:p>
    <w:p w14:paraId="18B2D7D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1.24计量单位</w:t>
      </w:r>
    </w:p>
    <w:p w14:paraId="20101B5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所有计量均采用中华人民共和国法定计量单位。</w:t>
      </w:r>
    </w:p>
    <w:p w14:paraId="24F6B613">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14" w:name="_Toc21470"/>
      <w:bookmarkStart w:id="15" w:name="_Toc9197"/>
      <w:bookmarkStart w:id="16" w:name="_Toc535592196"/>
      <w:bookmarkStart w:id="17" w:name="_Toc22780"/>
      <w:r>
        <w:rPr>
          <w:rFonts w:hint="eastAsia" w:ascii="仿宋" w:hAnsi="仿宋" w:eastAsia="仿宋" w:cs="仿宋"/>
          <w:b/>
          <w:color w:val="auto"/>
          <w:sz w:val="24"/>
          <w:szCs w:val="24"/>
          <w:highlight w:val="none"/>
        </w:rPr>
        <w:t>二、招标文件</w:t>
      </w:r>
      <w:bookmarkEnd w:id="14"/>
      <w:bookmarkEnd w:id="15"/>
      <w:bookmarkEnd w:id="16"/>
      <w:bookmarkEnd w:id="17"/>
    </w:p>
    <w:p w14:paraId="27B3B0F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 招标文件的组成</w:t>
      </w:r>
    </w:p>
    <w:p w14:paraId="3399118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（1）招标公告</w:t>
      </w:r>
    </w:p>
    <w:p w14:paraId="1242566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（2）投标人须知前附表</w:t>
      </w:r>
    </w:p>
    <w:p w14:paraId="15F9E95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（3）投标人须知</w:t>
      </w:r>
    </w:p>
    <w:p w14:paraId="2F79775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（4）评标办法</w:t>
      </w:r>
    </w:p>
    <w:p w14:paraId="61E4EC9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（5）合同文本；</w:t>
      </w:r>
    </w:p>
    <w:p w14:paraId="2654895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（6）技术标准和要求；</w:t>
      </w:r>
    </w:p>
    <w:p w14:paraId="1424879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（7）投标文件格式；</w:t>
      </w:r>
    </w:p>
    <w:p w14:paraId="5872C1A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457B67E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（9）根据本章第2.4款对招标文件所作的澄清、修改，构成招标文件的组成部分。</w:t>
      </w:r>
    </w:p>
    <w:p w14:paraId="2A4CD82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2.2招标文件的获取</w:t>
      </w:r>
    </w:p>
    <w:p w14:paraId="610D8A4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凡有意参加并符合投标人须知前附表“投标人的资格要求”的投标人，均可获取招标文件。</w:t>
      </w:r>
    </w:p>
    <w:p w14:paraId="5F7F1A3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2.3招标文件的澄清</w:t>
      </w:r>
    </w:p>
    <w:p w14:paraId="2A1D87F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2.3.1 投标人应当仔细阅读和检查招标文件的全部内容。如发现缺失或附件不全，应当及时向采购人提出，以便补齐。如有疑问，应当在投标人须知前附表规定的时间、方式向采购人提出，要求采购人对招标文件予以澄清。</w:t>
      </w:r>
    </w:p>
    <w:p w14:paraId="49F5323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2.3.2 招标文件的澄清将按照投标人须知前附表规定的时间、方式发布，但不指明澄清问题的来源。</w:t>
      </w:r>
    </w:p>
    <w:p w14:paraId="5E93757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2.4招标文件的修改</w:t>
      </w:r>
    </w:p>
    <w:p w14:paraId="5A0F27A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 招标文件的修改将按照投标人须知前附表规定的时间、方式发布，但不指明澄清问题的来源。</w:t>
      </w:r>
    </w:p>
    <w:p w14:paraId="127048E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在投标人须知前附表规定的截止时间前，无论出于何种原因，采购人或采购代理机构可主动地或在解答潜在投标人提出的澄清问题时对招标文件进行修改。</w:t>
      </w:r>
    </w:p>
    <w:p w14:paraId="78AA3BC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2.4.3 招标文件的修改部分是招标文件的组成部分对投标人具有约束力。</w:t>
      </w:r>
    </w:p>
    <w:p w14:paraId="35C359E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2.4.4 当采购人发放的招标文件及招标文件的答疑文件、修改文件、补充文件前后不一致，发生矛盾情况时，以最后发出的为准。</w:t>
      </w:r>
    </w:p>
    <w:p w14:paraId="225C668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2.4.5 如果招标文件各个组成部分之间出现歧义或相互矛盾，或任何文件中呈现明显的或不符合逻辑等的错误，或在文件编写过程中经常出现的打印错误等，投标人应将需要澄清的内容在投标人须知前附表规定的时间之前提出。根据合同条款中的相关约定，如果投标人在投标过程中未能发现并对有关歧义、矛盾或错误提出澄清请求，而在中标后发现并提出，中标人将必须接受由采购人依据合同有关条款而做出的书面澄清。</w:t>
      </w:r>
    </w:p>
    <w:p w14:paraId="4DD7308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由于本项目采用电子招标方式，潜在投标人的名单将在提交投标文件截止时间后才会解密。因此，采购人或采购代理机构无法通过传统的传真或邮件方式，将招标文件的澄清或修改内容逐一通知到每位已获取招标文件的潜在投标人。为确保信息的及时性和准确性，澄清或修改的内容将仅在政采云平台以更正公告的形式发布。潜在投标人需密切关注该网站，及时查看并下载相关更正公告。若因潜在投标人未能及时查看或下载相关更正公告，而导致的一切后果，将由潜在投标人自行承担。</w:t>
      </w:r>
    </w:p>
    <w:p w14:paraId="536E5854">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18" w:name="_BookMark_6"/>
      <w:bookmarkEnd w:id="18"/>
      <w:bookmarkStart w:id="19" w:name="_Toc7340"/>
      <w:bookmarkStart w:id="20" w:name="_Toc535592197"/>
      <w:bookmarkStart w:id="21" w:name="_Toc5120"/>
      <w:bookmarkStart w:id="22" w:name="_Toc5138"/>
      <w:r>
        <w:rPr>
          <w:rFonts w:hint="eastAsia" w:ascii="仿宋" w:hAnsi="仿宋" w:eastAsia="仿宋" w:cs="仿宋"/>
          <w:b/>
          <w:color w:val="auto"/>
          <w:sz w:val="24"/>
          <w:szCs w:val="24"/>
          <w:highlight w:val="none"/>
        </w:rPr>
        <w:t>三、投标文件</w:t>
      </w:r>
      <w:bookmarkEnd w:id="19"/>
      <w:bookmarkEnd w:id="20"/>
      <w:bookmarkEnd w:id="21"/>
      <w:bookmarkEnd w:id="22"/>
    </w:p>
    <w:p w14:paraId="4B3F76D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投标文件的组成：</w:t>
      </w:r>
    </w:p>
    <w:p w14:paraId="5CBE03C5">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（1）、开标一览表</w:t>
      </w:r>
    </w:p>
    <w:p w14:paraId="00A3803A">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（2）、投标函</w:t>
      </w:r>
    </w:p>
    <w:p w14:paraId="1B7AD484">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（3）、投标价格明细表</w:t>
      </w:r>
    </w:p>
    <w:p w14:paraId="5C315A00">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lang w:eastAsia="zh-CN"/>
        </w:rPr>
        <w:t>中小企业投标价格统计表</w:t>
      </w:r>
    </w:p>
    <w:p w14:paraId="63CEEAAB">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（5）、商务条款偏离表</w:t>
      </w:r>
    </w:p>
    <w:p w14:paraId="35A4E1B2">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（6）、技术条款偏离表</w:t>
      </w:r>
    </w:p>
    <w:p w14:paraId="11734322">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（7）、法定代表人身份证明书</w:t>
      </w:r>
    </w:p>
    <w:p w14:paraId="0DE31E2F">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（8）、法定代表人授权委托书</w:t>
      </w:r>
    </w:p>
    <w:p w14:paraId="5D09B8B4">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（9）、投标人资格条件证明材料</w:t>
      </w:r>
    </w:p>
    <w:p w14:paraId="58FFC41B">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（10）、投标人近年类似项目情况表</w:t>
      </w:r>
    </w:p>
    <w:p w14:paraId="67131D2B">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（11）、售后服务承诺书</w:t>
      </w:r>
    </w:p>
    <w:p w14:paraId="6352E0E5">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（12）、技术方案</w:t>
      </w:r>
    </w:p>
    <w:p w14:paraId="7D8AAF11">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（13）、保证金缴纳证明材料</w:t>
      </w:r>
    </w:p>
    <w:p w14:paraId="4C6B255F">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）、其它需要提交的资料</w:t>
      </w:r>
    </w:p>
    <w:p w14:paraId="458593A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投标价格</w:t>
      </w:r>
    </w:p>
    <w:p w14:paraId="307DC429">
      <w:pPr>
        <w:widowControl/>
        <w:shd w:val="clear" w:color="auto" w:fill="FFFFFF"/>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3.2.1</w:t>
      </w:r>
      <w:r>
        <w:rPr>
          <w:rFonts w:hint="eastAsia" w:ascii="仿宋" w:hAnsi="仿宋" w:eastAsia="仿宋" w:cs="仿宋"/>
          <w:color w:val="auto"/>
          <w:sz w:val="24"/>
          <w:szCs w:val="24"/>
          <w:highlight w:val="none"/>
        </w:rPr>
        <w:t>投标价格应包括投标人履行本项目合同（如果成交）所必须的所有成本费用和成交投标人应承担的一切费用，包括但不仅限于外购件、外协件、配套件、备品备件、全套设备全部内容、专用工具、原材料及生产制造、检验、油漆、包装、专利费、保险、利税（各种税费）、管理、运输、装卸、运杂费、设备的安装调试（含辅材、开箱费）、配合费、调试、检验验收、人员培训费、技术资料（含中文与外文的翻译费）、售后服务、技术指导、维保、招标文件所要求的其它服务事项及与合同有关的交钥匙工程等全部费用。未列和没有填写的项目费用，采购人将视为已包括在投标价格中。</w:t>
      </w:r>
    </w:p>
    <w:p w14:paraId="63DB1A9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投标人的投标价格不得超出本项目最高限价。</w:t>
      </w:r>
    </w:p>
    <w:p w14:paraId="6798919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 投标有效期</w:t>
      </w:r>
    </w:p>
    <w:p w14:paraId="6316FDB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 在投标人须知前附表规定的投标有效期内，投标人不得要求撤销或修改其投标文件。</w:t>
      </w:r>
    </w:p>
    <w:p w14:paraId="040F37F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出现特殊情况需要延长投标有效期的，采购人将通知所有投标人延长投标有效期。投标人同意延长的，应当相应延长其投标保证金的有效期，但不得要求或被允许修改或撤销其投标文件；投标人拒绝延长的，其投标失效，但投标人有权收回其投标保证金。</w:t>
      </w:r>
    </w:p>
    <w:p w14:paraId="56E3795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 投标保证金</w:t>
      </w:r>
    </w:p>
    <w:p w14:paraId="6FB3D52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投标人应于投标截止时间前按投标人须知前附表规定数额提交投标保证金。未提交投标保证金的，将被视为非响应性投标而予以拒绝。联合体投标的，其投标保证金由牵头人递交，并应符合投标人须知前附表的规定。</w:t>
      </w:r>
    </w:p>
    <w:p w14:paraId="61060ADE">
      <w:pPr>
        <w:shd w:val="clear" w:color="auto" w:fill="FFFFFF"/>
        <w:snapToGrid w:val="0"/>
        <w:spacing w:line="384" w:lineRule="auto"/>
        <w:ind w:firstLine="360" w:firstLineChars="150"/>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3.4.2</w:t>
      </w:r>
      <w:r>
        <w:rPr>
          <w:rFonts w:hint="eastAsia" w:ascii="仿宋" w:hAnsi="仿宋" w:eastAsia="仿宋" w:cs="仿宋"/>
          <w:color w:val="auto"/>
          <w:sz w:val="24"/>
          <w:szCs w:val="24"/>
          <w:highlight w:val="none"/>
        </w:rPr>
        <w:t>投标保证金以支票、汇票、本票或者金融机构、担保机构出具的保函等非现金形式提交至采购代理机构。</w:t>
      </w:r>
    </w:p>
    <w:p w14:paraId="3FDBD9AA">
      <w:pPr>
        <w:shd w:val="clear" w:color="auto" w:fill="FFFFFF"/>
        <w:snapToGrid w:val="0"/>
        <w:spacing w:line="384" w:lineRule="auto"/>
        <w:ind w:firstLine="360" w:firstLineChars="15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3.4.3投标保证金是为了保护采购人免遭因投标人的行为而蒙受损失。采购人在因投标人的行为受到损害时可根据相关法律规定没收投标人的投标保证金。</w:t>
      </w:r>
    </w:p>
    <w:p w14:paraId="703A21A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 采购人或者采购代理机构应当自中标通知书发出之日起5个工作日内退还未中标人的投标保证金，自采购合同签订之日起5个工作日内退还中标人的投标保证金。</w:t>
      </w:r>
    </w:p>
    <w:p w14:paraId="0128F34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3.4.5投标保证金有效期与投标有效期一致。</w:t>
      </w:r>
    </w:p>
    <w:p w14:paraId="1B09EA4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3.4.6有下列情形之一的，投标保证金不予退还：</w:t>
      </w:r>
    </w:p>
    <w:p w14:paraId="666C4B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（1）开标后在投标有效期内，投标人撤销其投标的； </w:t>
      </w:r>
    </w:p>
    <w:p w14:paraId="639D3AA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（2）中标后无正当理由不与采购人签订合同的；</w:t>
      </w:r>
    </w:p>
    <w:p w14:paraId="21E124B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（3）中标人与采购人订立背离合同实质性内容的其他协议；</w:t>
      </w:r>
    </w:p>
    <w:p w14:paraId="554B465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（4）将中标项目转让给他人，或者在投标文件中未说明，且未经采购人同意，将中标项目分包给他人的；</w:t>
      </w:r>
    </w:p>
    <w:p w14:paraId="43D6761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（5）存在串通投标行为的；</w:t>
      </w:r>
    </w:p>
    <w:p w14:paraId="157CF4D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（6）存在弄虚作假或提供虚假材料谋取中标的；</w:t>
      </w:r>
    </w:p>
    <w:p w14:paraId="75C9EDE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（7）投标人其他未按招标文件规定和合同约定履行义务的行为。</w:t>
      </w:r>
    </w:p>
    <w:p w14:paraId="5EB915F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（8）法律法规规定的其它情形</w:t>
      </w:r>
    </w:p>
    <w:p w14:paraId="7D8D0E4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投标文件的编制</w:t>
      </w:r>
    </w:p>
    <w:p w14:paraId="2769C0A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3.5.1投标文件应按第五章“投标文件格式”进行编写，如有必要，可以增加附页，作为投标文件的组成部分。</w:t>
      </w:r>
    </w:p>
    <w:p w14:paraId="1F1111C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3.5.2投标文件应当对招标文件有关采购范围、技术与服务要求等实质性内容做出响应。</w:t>
      </w:r>
    </w:p>
    <w:p w14:paraId="6CE4A95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bookmarkStart w:id="23" w:name="_BookMark_7"/>
      <w:bookmarkEnd w:id="23"/>
      <w:bookmarkStart w:id="24" w:name="_Toc535592198"/>
      <w:r>
        <w:rPr>
          <w:rFonts w:hint="eastAsia" w:ascii="仿宋" w:hAnsi="仿宋" w:eastAsia="仿宋" w:cs="仿宋"/>
          <w:color w:val="auto"/>
          <w:kern w:val="0"/>
          <w:sz w:val="24"/>
          <w:szCs w:val="24"/>
          <w:highlight w:val="none"/>
          <w:shd w:val="clear" w:color="auto" w:fill="FFFFFF" w:themeFill="background1"/>
        </w:rPr>
        <w:t>3.5.3电子投标文件的制作须使用相应的制作工具软件。</w:t>
      </w:r>
    </w:p>
    <w:p w14:paraId="1B41F7A1">
      <w:pPr>
        <w:widowControl/>
        <w:shd w:val="clear" w:color="auto" w:fill="FFFFFF"/>
        <w:snapToGrid w:val="0"/>
        <w:spacing w:line="360" w:lineRule="auto"/>
        <w:ind w:firstLine="480" w:firstLineChars="200"/>
        <w:rPr>
          <w:rFonts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3.5.4电子招投标文件具有法律效力，与其他形式的招投标文件在内容和格式上等同，若投标文件与招标文件要求不一致，其内容影响成交结果时，责任由投标人自行承担。投标人递交的电子投标文件因投标人自身原因而导致无法导入电子辅助评标系统，该投标文件视为无效投标文件，将导致其投标被拒绝</w:t>
      </w:r>
      <w:r>
        <w:rPr>
          <w:rFonts w:hint="eastAsia" w:ascii="仿宋" w:hAnsi="仿宋" w:eastAsia="仿宋" w:cs="仿宋"/>
          <w:color w:val="auto"/>
          <w:sz w:val="24"/>
          <w:highlight w:val="none"/>
          <w:shd w:val="clear" w:color="auto" w:fill="FFFFFF" w:themeFill="background1"/>
        </w:rPr>
        <w:t>。</w:t>
      </w:r>
    </w:p>
    <w:p w14:paraId="4CC5A0CC">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25" w:name="_Toc18120"/>
      <w:bookmarkStart w:id="26" w:name="_Toc8913"/>
      <w:bookmarkStart w:id="27" w:name="_Toc834"/>
      <w:r>
        <w:rPr>
          <w:rFonts w:hint="eastAsia" w:ascii="仿宋" w:hAnsi="仿宋" w:eastAsia="仿宋" w:cs="仿宋"/>
          <w:b/>
          <w:color w:val="auto"/>
          <w:sz w:val="24"/>
          <w:szCs w:val="24"/>
          <w:highlight w:val="none"/>
        </w:rPr>
        <w:t>四、投标</w:t>
      </w:r>
      <w:bookmarkEnd w:id="24"/>
      <w:bookmarkEnd w:id="25"/>
      <w:bookmarkEnd w:id="26"/>
      <w:bookmarkEnd w:id="27"/>
    </w:p>
    <w:p w14:paraId="54B68C9F">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bookmarkStart w:id="28" w:name="_BookMark_8"/>
      <w:bookmarkEnd w:id="28"/>
      <w:bookmarkStart w:id="29" w:name="_Toc535592199"/>
      <w:r>
        <w:rPr>
          <w:rFonts w:hint="eastAsia" w:ascii="仿宋" w:hAnsi="仿宋" w:eastAsia="仿宋" w:cs="仿宋"/>
          <w:bCs/>
          <w:color w:val="auto"/>
          <w:sz w:val="24"/>
          <w:szCs w:val="24"/>
          <w:highlight w:val="none"/>
        </w:rPr>
        <w:t xml:space="preserve">4.1本次采购采用电子交易方式，电子交易平台为“政采云平台（https://www.zcygov.cn/）”。投标人参与本项目电子交易活动前，应注册成为政府采购云平台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7A3D99C8">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w:t>
      </w:r>
    </w:p>
    <w:p w14:paraId="28418EAF">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4.3投标文件的递交</w:t>
      </w:r>
    </w:p>
    <w:p w14:paraId="760BA151">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4.3.1加密的电子投标文件应在投标文件递交截止时间前通过政采云平台上传完成。逾期上传或者未上传指定地点的投标文件，采购人不予受理。</w:t>
      </w:r>
    </w:p>
    <w:p w14:paraId="3738A726">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4.3.2采购人事先约定延长投标文件递交截止时间的，采购人与投标人以前的投标截止期方面的全部权利、责任和义务，将适用延长至新的投标截止期。</w:t>
      </w:r>
    </w:p>
    <w:p w14:paraId="13712710">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4.3.3投标人或其投标文件存在下列情形之一的，采购人对其投标文件不予受理：</w:t>
      </w:r>
    </w:p>
    <w:p w14:paraId="76F4448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（1）逾期上传的投标文件；</w:t>
      </w:r>
    </w:p>
    <w:p w14:paraId="13F53C2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（2）未上传指定地点的投标文件；</w:t>
      </w:r>
    </w:p>
    <w:p w14:paraId="42120AB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（3）未按要求加密的投标文件；</w:t>
      </w:r>
    </w:p>
    <w:p w14:paraId="4932318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（4）未在规定时间内解密的投标文件。</w:t>
      </w:r>
    </w:p>
    <w:p w14:paraId="25A2C51D">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4.4投标文件的修改与撤回</w:t>
      </w:r>
    </w:p>
    <w:p w14:paraId="70709E6F">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4.4.1投标人应在投标须知前附表中规定的截止时间前，可以撤回已上传的投标文件。如要修改，必须在撤回并修改后在规定的投标文件递交截止时间之前将修改后的投标文件再重新上传。在投标文件递交截止时间之后，投标人不得对上传的投标文件撤销或修改。</w:t>
      </w:r>
    </w:p>
    <w:p w14:paraId="2B7AEB4E">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4.5投标文件格式</w:t>
      </w:r>
    </w:p>
    <w:p w14:paraId="25A1E73B">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4.5.1投标文件格式见第五章。</w:t>
      </w:r>
    </w:p>
    <w:p w14:paraId="4F307862">
      <w:pPr>
        <w:tabs>
          <w:tab w:val="center" w:pos="4832"/>
          <w:tab w:val="left" w:pos="7140"/>
        </w:tabs>
        <w:spacing w:line="360" w:lineRule="auto"/>
        <w:ind w:firstLine="470" w:firstLineChars="196"/>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4.5.2投标人应使用本招标文件后面提供的投标文件格式填写，如不够用时，投标人可按同样格式自行编制和填补，如果本招标文件未提供格式的，投标人可自行编制。</w:t>
      </w:r>
    </w:p>
    <w:p w14:paraId="1187190D">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30" w:name="_Toc1079"/>
      <w:bookmarkStart w:id="31" w:name="_Toc29411"/>
      <w:bookmarkStart w:id="32" w:name="_Toc8957"/>
      <w:r>
        <w:rPr>
          <w:rFonts w:hint="eastAsia" w:ascii="仿宋" w:hAnsi="仿宋" w:eastAsia="仿宋" w:cs="仿宋"/>
          <w:b/>
          <w:color w:val="auto"/>
          <w:sz w:val="24"/>
          <w:szCs w:val="24"/>
          <w:highlight w:val="none"/>
        </w:rPr>
        <w:t>五、开标</w:t>
      </w:r>
      <w:bookmarkEnd w:id="29"/>
      <w:bookmarkEnd w:id="30"/>
      <w:bookmarkEnd w:id="31"/>
      <w:bookmarkEnd w:id="32"/>
    </w:p>
    <w:p w14:paraId="06D8CC3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 开标时间和地点</w:t>
      </w:r>
    </w:p>
    <w:p w14:paraId="461EE7D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采购人或采购代理机构将在投标人须知前附表规定的时间、地点公开开标，所有潜在投标人均可</w:t>
      </w:r>
      <w:r>
        <w:rPr>
          <w:rFonts w:hint="eastAsia" w:ascii="仿宋" w:hAnsi="仿宋" w:eastAsia="仿宋" w:cs="仿宋"/>
          <w:color w:val="auto"/>
          <w:sz w:val="24"/>
          <w:szCs w:val="24"/>
          <w:highlight w:val="none"/>
        </w:rPr>
        <w:t>登录政采云平台https://www.zcygov.cn/，进入“项目采购-开标评标-右边选择对应项目点击“进入项目”进入开标大厅。</w:t>
      </w:r>
    </w:p>
    <w:p w14:paraId="2AB1141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 开标程序</w:t>
      </w:r>
    </w:p>
    <w:p w14:paraId="665CD99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按下列程序进行开标：</w:t>
      </w:r>
    </w:p>
    <w:p w14:paraId="1315A11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（1）投标人解密投标文件</w:t>
      </w:r>
    </w:p>
    <w:p w14:paraId="3FD20AF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（2）唱标</w:t>
      </w:r>
    </w:p>
    <w:p w14:paraId="77FC234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（3）投标人确认</w:t>
      </w:r>
    </w:p>
    <w:p w14:paraId="1EE29B2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（4）开标结束</w:t>
      </w:r>
    </w:p>
    <w:p w14:paraId="76664BA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14:paraId="4D72345E">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33" w:name="_BookMark_9"/>
      <w:bookmarkEnd w:id="33"/>
      <w:bookmarkStart w:id="34" w:name="_Toc3635"/>
      <w:bookmarkStart w:id="35" w:name="_Toc14199"/>
      <w:bookmarkStart w:id="36" w:name="_Toc1874"/>
      <w:bookmarkStart w:id="37" w:name="_Toc535592200"/>
      <w:r>
        <w:rPr>
          <w:rFonts w:hint="eastAsia" w:ascii="仿宋" w:hAnsi="仿宋" w:eastAsia="仿宋" w:cs="仿宋"/>
          <w:b/>
          <w:color w:val="auto"/>
          <w:sz w:val="24"/>
          <w:szCs w:val="24"/>
          <w:highlight w:val="none"/>
        </w:rPr>
        <w:t>六、评标</w:t>
      </w:r>
      <w:bookmarkEnd w:id="34"/>
      <w:bookmarkEnd w:id="35"/>
      <w:bookmarkEnd w:id="36"/>
      <w:bookmarkEnd w:id="37"/>
    </w:p>
    <w:p w14:paraId="314FD23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 评标委员会</w:t>
      </w:r>
    </w:p>
    <w:p w14:paraId="5E3F65A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6.1.1 评标由采购人按照《政府采购评标专家管理办法》财库〔2016〕198号，依法组建的评标委员会负责。评标委员会由采购人熟悉相关业务的代表，以及有关技术、经济等方面的专家组成。</w:t>
      </w:r>
    </w:p>
    <w:p w14:paraId="412CDA2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6.1.2 评标委员会成员有下列情形之一的，应当回避：</w:t>
      </w:r>
    </w:p>
    <w:p w14:paraId="70B982A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（1）参加采购活动前三年内,与投标人存在劳动关系,或者担任过投标人的董事、监事,或者是投标人的控股股东或实际控制人。</w:t>
      </w:r>
    </w:p>
    <w:p w14:paraId="17D6FA6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（2）与投标人的法定代表人或者负责人有夫妻、直系血亲、三代以内旁系血亲或者近姻亲关系。</w:t>
      </w:r>
    </w:p>
    <w:p w14:paraId="2D50BC8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（3）与投标人有其他可能影响政府采购活动公平、公正进行的关系。</w:t>
      </w:r>
    </w:p>
    <w:p w14:paraId="0D5E281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 评标原则</w:t>
      </w:r>
    </w:p>
    <w:p w14:paraId="7035D7E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评标活动遵循公平、公正、科学和择优的原则。</w:t>
      </w:r>
    </w:p>
    <w:p w14:paraId="5CA8539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6.3 评标</w:t>
      </w:r>
    </w:p>
    <w:p w14:paraId="409BBB2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评标委员会按照招标文件中规定的方法、评标因素、标准和程序对投标文件进行评标。</w:t>
      </w:r>
    </w:p>
    <w:p w14:paraId="31684F5E">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38" w:name="_BookMark_10"/>
      <w:bookmarkEnd w:id="38"/>
      <w:bookmarkStart w:id="39" w:name="_Toc10869"/>
      <w:bookmarkStart w:id="40" w:name="_Toc3956"/>
      <w:bookmarkStart w:id="41" w:name="_Toc2218"/>
      <w:bookmarkStart w:id="42" w:name="_Toc535592201"/>
      <w:r>
        <w:rPr>
          <w:rFonts w:hint="eastAsia" w:ascii="仿宋" w:hAnsi="仿宋" w:eastAsia="仿宋" w:cs="仿宋"/>
          <w:b/>
          <w:color w:val="auto"/>
          <w:sz w:val="24"/>
          <w:szCs w:val="24"/>
          <w:highlight w:val="none"/>
        </w:rPr>
        <w:t>七、定标及合同授予</w:t>
      </w:r>
      <w:bookmarkEnd w:id="39"/>
      <w:bookmarkEnd w:id="40"/>
      <w:bookmarkEnd w:id="41"/>
      <w:bookmarkEnd w:id="42"/>
    </w:p>
    <w:p w14:paraId="09B98E7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2E9AF90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评标委员会按照招标文件中规定的方法、评标因素、标准和程序对投标文件进行评标，并按投标人须知前附表的规定向采购人推荐中标候选人。采购人依据评标委员会推荐的中标候选人确定中标人。</w:t>
      </w:r>
    </w:p>
    <w:p w14:paraId="0A4FF87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7.1.2采购人从中标候选人中确定出中标人的原则：采购人应当确定排名第一的中标候选人为中标人。排名第一的中标候选人放弃中标、因不可抗力不能履行合同、拒绝与采购人签订合同，不按照招标文件要求提交履约保证金、或者被查实存在影响中标结果的违法行为等情形，不符合中标条件的，采购人可以按照评标委员会推荐的中标候选人名单排名依次确定其他中标候选人为中标人。</w:t>
      </w:r>
    </w:p>
    <w:p w14:paraId="38FC3AF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7.2中标结果公告</w:t>
      </w:r>
    </w:p>
    <w:p w14:paraId="3F6FA72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在公告中标结果的同时，采购人或者采购代理机构向中标人发出中标通知书；对未通过资格审查的投标人，应当告知其未通过的原因。</w:t>
      </w:r>
    </w:p>
    <w:p w14:paraId="396C08D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009CD8A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在签订合同前，中标人应按投标人须知前附表规定的金额、形式向采购人提交履约保证金。联合体中标的，其履约保证金由牵头人提交，并应符合投标人须知前附表的规定。</w:t>
      </w:r>
    </w:p>
    <w:p w14:paraId="1C2F8A3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7.3.2 中标人未按要求提交履约保证金的，视为放弃中标，其投标保证金不予退还；给采购人造成的损失超过投标保证金数额的，中标人还应当对超过部分予以赔偿。</w:t>
      </w:r>
    </w:p>
    <w:p w14:paraId="66D6C8E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58E7537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7.4.1采购人应当自中标通知书发出之日起30日内，按照招标文件和中标人投标文件的规定，与中标人签订书面合同。</w:t>
      </w:r>
    </w:p>
    <w:p w14:paraId="3D79440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7.4.2发出中标通知书后，采购人无正当理由拒签合同的，给中标人造成损失的，还应当赔偿中标人损失。</w:t>
      </w:r>
    </w:p>
    <w:p w14:paraId="7033DE4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7.4.3发出中标通知书后，中标人无正当理由拒签合同的，采购人将取消其中标资格，其投标保证金不予退还；给采购人造成的损失超过投标保证金数额的，中标人还应当对超过部分予以赔偿。</w:t>
      </w:r>
    </w:p>
    <w:p w14:paraId="10E2BE1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7.4.4 中标人拒绝与采购人签订合同的，采购人可以按照评标报告推荐的中标候选人名单排序，确定下一候选人为中标人，也可以重新开展政府采购活动。</w:t>
      </w:r>
    </w:p>
    <w:p w14:paraId="65A3DEC2">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43" w:name="_BookMark_11"/>
      <w:bookmarkEnd w:id="43"/>
      <w:bookmarkStart w:id="44" w:name="_Toc14256"/>
      <w:bookmarkStart w:id="45" w:name="_Toc24040"/>
      <w:bookmarkStart w:id="46" w:name="_Toc10032"/>
      <w:bookmarkStart w:id="47" w:name="_Toc535592202"/>
      <w:r>
        <w:rPr>
          <w:rFonts w:hint="eastAsia" w:ascii="仿宋" w:hAnsi="仿宋" w:eastAsia="仿宋" w:cs="仿宋"/>
          <w:b/>
          <w:color w:val="auto"/>
          <w:sz w:val="24"/>
          <w:szCs w:val="24"/>
          <w:highlight w:val="none"/>
        </w:rPr>
        <w:t>八、纪律和监督</w:t>
      </w:r>
      <w:bookmarkEnd w:id="44"/>
      <w:bookmarkEnd w:id="45"/>
      <w:bookmarkEnd w:id="46"/>
      <w:bookmarkEnd w:id="47"/>
    </w:p>
    <w:p w14:paraId="5AA5A73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8.1 对采购人的纪律要求</w:t>
      </w:r>
    </w:p>
    <w:p w14:paraId="200CFB0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采购人不得泄漏招标投标活动中应当保密的情况和资料，不得与投标人串通损害国家利益、社会公共利益或者他人合法权益。</w:t>
      </w:r>
    </w:p>
    <w:p w14:paraId="2D06A2F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8.2 对投标人的纪律要求</w:t>
      </w:r>
    </w:p>
    <w:p w14:paraId="72A6C7C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034A11C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8.3 对评标委员会成员的纪律要求</w:t>
      </w:r>
    </w:p>
    <w:p w14:paraId="4B98D10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不得收受他人的财物或者其他好处，不得向他人透露对投标文件的评标和比较、中标候选人的推荐情况以及评标有关的其他情况。在评标活动中，评标委员会成员不得擅离职守，影响评标程序正常进行，不得使用评标办法没有规定的评标因素和标准进行评标。</w:t>
      </w:r>
    </w:p>
    <w:p w14:paraId="40984CF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8.4 对与评标活动有关的工作人员的纪律要求</w:t>
      </w:r>
    </w:p>
    <w:p w14:paraId="2DCE8D6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与评标活动有关的工作人员不得收受他人的财物或者其他好处，不得向他人透露对投标文件的评标和比较、中标候选人的推荐情况以及评标有关的其他情况。在评标活动中，与评标活动有关的工作人员不得擅离职守，影响评标程序正常进行。</w:t>
      </w:r>
    </w:p>
    <w:p w14:paraId="6812ABA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8.5 监督</w:t>
      </w:r>
    </w:p>
    <w:p w14:paraId="2F50620A">
      <w:pPr>
        <w:widowControl/>
        <w:shd w:val="clear" w:color="auto" w:fill="FFFFFF"/>
        <w:snapToGrid w:val="0"/>
        <w:spacing w:line="360" w:lineRule="auto"/>
        <w:ind w:firstLine="480" w:firstLineChars="200"/>
        <w:rPr>
          <w:rFonts w:ascii="仿宋" w:hAnsi="仿宋" w:eastAsia="仿宋" w:cs="仿宋"/>
          <w:bCs/>
          <w:color w:val="auto"/>
          <w:kern w:val="0"/>
          <w:sz w:val="24"/>
          <w:szCs w:val="24"/>
          <w:highlight w:val="none"/>
        </w:rPr>
      </w:pPr>
      <w:r>
        <w:rPr>
          <w:rFonts w:hint="eastAsia" w:ascii="仿宋" w:hAnsi="仿宋" w:eastAsia="仿宋" w:cs="仿宋"/>
          <w:color w:val="auto"/>
          <w:kern w:val="0"/>
          <w:sz w:val="24"/>
          <w:szCs w:val="24"/>
          <w:highlight w:val="none"/>
        </w:rPr>
        <w:t>本项目的招标投标活动及其相关当事人应当接受有管辖权的监督部门依法实施的监督。</w:t>
      </w:r>
      <w:r>
        <w:rPr>
          <w:rFonts w:hint="eastAsia" w:ascii="仿宋" w:hAnsi="仿宋" w:eastAsia="仿宋" w:cs="仿宋"/>
          <w:bCs/>
          <w:color w:val="auto"/>
          <w:kern w:val="0"/>
          <w:sz w:val="24"/>
          <w:szCs w:val="24"/>
          <w:highlight w:val="none"/>
        </w:rPr>
        <w:br w:type="page"/>
      </w:r>
    </w:p>
    <w:p w14:paraId="39CDE5D6">
      <w:pPr>
        <w:widowControl/>
        <w:shd w:val="clear" w:color="auto" w:fill="FFFFFF"/>
        <w:snapToGrid w:val="0"/>
        <w:spacing w:line="360" w:lineRule="auto"/>
        <w:jc w:val="center"/>
        <w:outlineLvl w:val="0"/>
        <w:rPr>
          <w:rFonts w:ascii="仿宋" w:hAnsi="仿宋" w:eastAsia="仿宋" w:cs="仿宋"/>
          <w:b/>
          <w:color w:val="auto"/>
          <w:sz w:val="24"/>
          <w:szCs w:val="24"/>
          <w:highlight w:val="none"/>
        </w:rPr>
      </w:pPr>
      <w:bookmarkStart w:id="48" w:name="_Toc2631"/>
      <w:bookmarkStart w:id="49" w:name="_Toc23628"/>
      <w:r>
        <w:rPr>
          <w:rFonts w:hint="eastAsia" w:ascii="仿宋" w:hAnsi="仿宋" w:eastAsia="仿宋" w:cs="仿宋"/>
          <w:b/>
          <w:color w:val="auto"/>
          <w:sz w:val="24"/>
          <w:szCs w:val="24"/>
          <w:highlight w:val="none"/>
        </w:rPr>
        <w:t>第二章 评标办法</w:t>
      </w:r>
      <w:bookmarkEnd w:id="48"/>
      <w:bookmarkEnd w:id="49"/>
    </w:p>
    <w:p w14:paraId="2AF7122B">
      <w:pPr>
        <w:tabs>
          <w:tab w:val="center" w:pos="4832"/>
          <w:tab w:val="left" w:pos="7140"/>
        </w:tabs>
        <w:spacing w:line="360" w:lineRule="auto"/>
        <w:jc w:val="center"/>
        <w:outlineLvl w:val="1"/>
        <w:rPr>
          <w:rFonts w:ascii="仿宋" w:hAnsi="仿宋" w:eastAsia="仿宋" w:cs="仿宋"/>
          <w:b/>
          <w:color w:val="auto"/>
          <w:sz w:val="24"/>
          <w:szCs w:val="24"/>
          <w:highlight w:val="none"/>
        </w:rPr>
      </w:pPr>
      <w:bookmarkStart w:id="50" w:name="_BookMark_1"/>
      <w:bookmarkEnd w:id="50"/>
      <w:bookmarkStart w:id="51" w:name="_Toc7075"/>
      <w:bookmarkStart w:id="52" w:name="_Toc18705"/>
      <w:bookmarkStart w:id="53" w:name="_Toc58342531"/>
      <w:bookmarkStart w:id="54" w:name="_Toc501719166"/>
      <w:r>
        <w:rPr>
          <w:rFonts w:hint="eastAsia" w:ascii="仿宋" w:hAnsi="仿宋" w:eastAsia="仿宋" w:cs="仿宋"/>
          <w:b/>
          <w:color w:val="auto"/>
          <w:sz w:val="24"/>
          <w:szCs w:val="24"/>
          <w:highlight w:val="none"/>
        </w:rPr>
        <w:t>评审办法前附表</w:t>
      </w:r>
      <w:bookmarkEnd w:id="51"/>
      <w:bookmarkEnd w:id="52"/>
      <w:bookmarkEnd w:id="53"/>
    </w:p>
    <w:tbl>
      <w:tblPr>
        <w:tblStyle w:val="38"/>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2783"/>
        <w:gridCol w:w="5744"/>
      </w:tblGrid>
      <w:tr w14:paraId="5C5D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6380C3C6">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783" w:type="dxa"/>
            <w:tcMar>
              <w:top w:w="0" w:type="dxa"/>
              <w:left w:w="28" w:type="dxa"/>
              <w:bottom w:w="0" w:type="dxa"/>
              <w:right w:w="28" w:type="dxa"/>
            </w:tcMar>
            <w:vAlign w:val="center"/>
          </w:tcPr>
          <w:p w14:paraId="5DE3800F">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条款内容</w:t>
            </w:r>
          </w:p>
        </w:tc>
        <w:tc>
          <w:tcPr>
            <w:tcW w:w="5744" w:type="dxa"/>
            <w:tcMar>
              <w:top w:w="0" w:type="dxa"/>
              <w:left w:w="28" w:type="dxa"/>
              <w:bottom w:w="0" w:type="dxa"/>
              <w:right w:w="28" w:type="dxa"/>
            </w:tcMar>
            <w:vAlign w:val="center"/>
          </w:tcPr>
          <w:p w14:paraId="7BB4A653">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编列内容</w:t>
            </w:r>
          </w:p>
        </w:tc>
      </w:tr>
      <w:tr w14:paraId="3EB61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612" w:type="dxa"/>
            <w:tcMar>
              <w:top w:w="0" w:type="dxa"/>
              <w:left w:w="28" w:type="dxa"/>
              <w:bottom w:w="0" w:type="dxa"/>
              <w:right w:w="28" w:type="dxa"/>
            </w:tcMar>
            <w:vAlign w:val="center"/>
          </w:tcPr>
          <w:p w14:paraId="0FDE82F4">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783" w:type="dxa"/>
            <w:tcMar>
              <w:top w:w="0" w:type="dxa"/>
              <w:left w:w="28" w:type="dxa"/>
              <w:bottom w:w="0" w:type="dxa"/>
              <w:right w:w="28" w:type="dxa"/>
            </w:tcMar>
            <w:vAlign w:val="center"/>
          </w:tcPr>
          <w:p w14:paraId="66528D53">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分值构成</w:t>
            </w:r>
          </w:p>
          <w:p w14:paraId="08049C52">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(总分100分)</w:t>
            </w:r>
          </w:p>
        </w:tc>
        <w:tc>
          <w:tcPr>
            <w:tcW w:w="5744" w:type="dxa"/>
            <w:tcMar>
              <w:top w:w="0" w:type="dxa"/>
              <w:left w:w="28" w:type="dxa"/>
              <w:bottom w:w="0" w:type="dxa"/>
              <w:right w:w="28" w:type="dxa"/>
            </w:tcMar>
            <w:vAlign w:val="center"/>
          </w:tcPr>
          <w:p w14:paraId="33EDB03C">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1.详细评审部分70分</w:t>
            </w:r>
          </w:p>
          <w:p w14:paraId="408EBB59">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2.投标报价部分30分</w:t>
            </w:r>
          </w:p>
        </w:tc>
      </w:tr>
      <w:tr w14:paraId="2E6D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7" w:hRule="atLeast"/>
          <w:jc w:val="center"/>
        </w:trPr>
        <w:tc>
          <w:tcPr>
            <w:tcW w:w="612" w:type="dxa"/>
            <w:tcMar>
              <w:top w:w="0" w:type="dxa"/>
              <w:left w:w="28" w:type="dxa"/>
              <w:bottom w:w="0" w:type="dxa"/>
              <w:right w:w="28" w:type="dxa"/>
            </w:tcMar>
            <w:vAlign w:val="center"/>
          </w:tcPr>
          <w:p w14:paraId="6BD3CCC8">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783" w:type="dxa"/>
            <w:tcMar>
              <w:top w:w="0" w:type="dxa"/>
              <w:left w:w="28" w:type="dxa"/>
              <w:bottom w:w="0" w:type="dxa"/>
              <w:right w:w="28" w:type="dxa"/>
            </w:tcMar>
            <w:vAlign w:val="center"/>
          </w:tcPr>
          <w:p w14:paraId="37641888">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资格审查</w:t>
            </w:r>
          </w:p>
        </w:tc>
        <w:tc>
          <w:tcPr>
            <w:tcW w:w="5744" w:type="dxa"/>
            <w:tcMar>
              <w:top w:w="0" w:type="dxa"/>
              <w:left w:w="28" w:type="dxa"/>
              <w:bottom w:w="0" w:type="dxa"/>
              <w:right w:w="28" w:type="dxa"/>
            </w:tcMar>
            <w:vAlign w:val="center"/>
          </w:tcPr>
          <w:p w14:paraId="160DE742">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详见《资格审查标准》</w:t>
            </w:r>
          </w:p>
        </w:tc>
      </w:tr>
      <w:tr w14:paraId="1AD0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3E5CDDD5">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783" w:type="dxa"/>
            <w:tcMar>
              <w:top w:w="0" w:type="dxa"/>
              <w:left w:w="28" w:type="dxa"/>
              <w:bottom w:w="0" w:type="dxa"/>
              <w:right w:w="28" w:type="dxa"/>
            </w:tcMar>
            <w:vAlign w:val="center"/>
          </w:tcPr>
          <w:p w14:paraId="0BB71364">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完备性及符合性审查</w:t>
            </w:r>
          </w:p>
        </w:tc>
        <w:tc>
          <w:tcPr>
            <w:tcW w:w="5744" w:type="dxa"/>
            <w:tcMar>
              <w:top w:w="0" w:type="dxa"/>
              <w:left w:w="28" w:type="dxa"/>
              <w:bottom w:w="0" w:type="dxa"/>
              <w:right w:w="28" w:type="dxa"/>
            </w:tcMar>
            <w:vAlign w:val="center"/>
          </w:tcPr>
          <w:p w14:paraId="096FA319">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详见《符合性审查标准》</w:t>
            </w:r>
          </w:p>
        </w:tc>
      </w:tr>
      <w:tr w14:paraId="3BF0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4F95E0AF">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2783" w:type="dxa"/>
            <w:tcMar>
              <w:top w:w="0" w:type="dxa"/>
              <w:left w:w="28" w:type="dxa"/>
              <w:bottom w:w="0" w:type="dxa"/>
              <w:right w:w="28" w:type="dxa"/>
            </w:tcMar>
          </w:tcPr>
          <w:p w14:paraId="43D97EE1">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投标品牌统计</w:t>
            </w:r>
          </w:p>
        </w:tc>
        <w:tc>
          <w:tcPr>
            <w:tcW w:w="5744" w:type="dxa"/>
            <w:tcMar>
              <w:top w:w="0" w:type="dxa"/>
              <w:left w:w="28" w:type="dxa"/>
              <w:bottom w:w="0" w:type="dxa"/>
              <w:right w:w="28" w:type="dxa"/>
            </w:tcMar>
            <w:vAlign w:val="center"/>
          </w:tcPr>
          <w:p w14:paraId="09E54765">
            <w:pPr>
              <w:rPr>
                <w:rFonts w:ascii="仿宋" w:hAnsi="仿宋" w:eastAsia="仿宋" w:cs="仿宋"/>
                <w:color w:val="auto"/>
                <w:highlight w:val="none"/>
              </w:rPr>
            </w:pPr>
            <w:r>
              <w:rPr>
                <w:rFonts w:hint="eastAsia" w:ascii="仿宋" w:hAnsi="仿宋" w:eastAsia="仿宋" w:cs="仿宋"/>
                <w:color w:val="auto"/>
                <w:szCs w:val="21"/>
                <w:highlight w:val="none"/>
              </w:rPr>
              <w:t>详见本节第3.5款</w:t>
            </w:r>
          </w:p>
        </w:tc>
      </w:tr>
      <w:tr w14:paraId="774E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vMerge w:val="restart"/>
            <w:tcMar>
              <w:top w:w="0" w:type="dxa"/>
              <w:left w:w="28" w:type="dxa"/>
              <w:bottom w:w="0" w:type="dxa"/>
              <w:right w:w="28" w:type="dxa"/>
            </w:tcMar>
            <w:vAlign w:val="center"/>
          </w:tcPr>
          <w:p w14:paraId="1C913BB2">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2783" w:type="dxa"/>
            <w:vMerge w:val="restart"/>
            <w:tcMar>
              <w:top w:w="0" w:type="dxa"/>
              <w:left w:w="28" w:type="dxa"/>
              <w:bottom w:w="0" w:type="dxa"/>
              <w:right w:w="28" w:type="dxa"/>
            </w:tcMar>
            <w:vAlign w:val="center"/>
          </w:tcPr>
          <w:p w14:paraId="0AABE5B2">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详细评审</w:t>
            </w:r>
          </w:p>
        </w:tc>
        <w:tc>
          <w:tcPr>
            <w:tcW w:w="5744" w:type="dxa"/>
            <w:tcMar>
              <w:top w:w="0" w:type="dxa"/>
              <w:left w:w="28" w:type="dxa"/>
              <w:bottom w:w="0" w:type="dxa"/>
              <w:right w:w="28" w:type="dxa"/>
            </w:tcMar>
            <w:vAlign w:val="center"/>
          </w:tcPr>
          <w:p w14:paraId="7F97A2D2">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详见《详细评审标准》及本节第3.6款</w:t>
            </w:r>
          </w:p>
        </w:tc>
      </w:tr>
      <w:tr w14:paraId="7571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32" w:hRule="atLeast"/>
          <w:jc w:val="center"/>
        </w:trPr>
        <w:tc>
          <w:tcPr>
            <w:tcW w:w="612" w:type="dxa"/>
            <w:vMerge w:val="continue"/>
            <w:tcMar>
              <w:top w:w="0" w:type="dxa"/>
              <w:left w:w="28" w:type="dxa"/>
              <w:bottom w:w="0" w:type="dxa"/>
              <w:right w:w="28" w:type="dxa"/>
            </w:tcMar>
            <w:vAlign w:val="center"/>
          </w:tcPr>
          <w:p w14:paraId="10C2B47D">
            <w:pPr>
              <w:spacing w:line="360" w:lineRule="auto"/>
              <w:jc w:val="center"/>
              <w:rPr>
                <w:rFonts w:ascii="仿宋" w:hAnsi="仿宋" w:eastAsia="仿宋" w:cs="仿宋"/>
                <w:color w:val="auto"/>
                <w:szCs w:val="21"/>
                <w:highlight w:val="none"/>
              </w:rPr>
            </w:pPr>
          </w:p>
        </w:tc>
        <w:tc>
          <w:tcPr>
            <w:tcW w:w="2783" w:type="dxa"/>
            <w:vMerge w:val="continue"/>
            <w:tcMar>
              <w:top w:w="0" w:type="dxa"/>
              <w:left w:w="28" w:type="dxa"/>
              <w:bottom w:w="0" w:type="dxa"/>
              <w:right w:w="28" w:type="dxa"/>
            </w:tcMar>
            <w:vAlign w:val="center"/>
          </w:tcPr>
          <w:p w14:paraId="1892E0FA">
            <w:pPr>
              <w:spacing w:line="360" w:lineRule="auto"/>
              <w:jc w:val="center"/>
              <w:rPr>
                <w:rFonts w:ascii="仿宋" w:hAnsi="仿宋" w:eastAsia="仿宋" w:cs="仿宋"/>
                <w:color w:val="auto"/>
                <w:szCs w:val="21"/>
                <w:highlight w:val="none"/>
              </w:rPr>
            </w:pPr>
          </w:p>
        </w:tc>
        <w:tc>
          <w:tcPr>
            <w:tcW w:w="5744" w:type="dxa"/>
            <w:tcMar>
              <w:top w:w="0" w:type="dxa"/>
              <w:left w:w="28" w:type="dxa"/>
              <w:bottom w:w="0" w:type="dxa"/>
              <w:right w:w="28" w:type="dxa"/>
            </w:tcMar>
            <w:vAlign w:val="center"/>
          </w:tcPr>
          <w:p w14:paraId="55CD87D3">
            <w:pPr>
              <w:spacing w:line="360" w:lineRule="auto"/>
              <w:rPr>
                <w:rFonts w:ascii="仿宋" w:hAnsi="仿宋" w:eastAsia="仿宋" w:cs="仿宋"/>
                <w:color w:val="auto"/>
                <w:highlight w:val="none"/>
              </w:rPr>
            </w:pPr>
            <w:r>
              <w:rPr>
                <w:rFonts w:hint="eastAsia" w:ascii="仿宋" w:hAnsi="仿宋" w:eastAsia="仿宋" w:cs="仿宋"/>
                <w:color w:val="auto"/>
                <w:highlight w:val="none"/>
              </w:rPr>
              <w:t>投标报价得分计算方法：</w:t>
            </w:r>
          </w:p>
          <w:p w14:paraId="48E07B8C">
            <w:pPr>
              <w:spacing w:line="360" w:lineRule="auto"/>
              <w:rPr>
                <w:rFonts w:ascii="仿宋" w:hAnsi="仿宋" w:eastAsia="仿宋" w:cs="仿宋"/>
                <w:color w:val="auto"/>
                <w:highlight w:val="none"/>
              </w:rPr>
            </w:pPr>
            <w:r>
              <w:rPr>
                <w:rFonts w:hint="eastAsia" w:ascii="仿宋" w:hAnsi="仿宋" w:eastAsia="仿宋" w:cs="仿宋"/>
                <w:color w:val="auto"/>
                <w:highlight w:val="none"/>
              </w:rPr>
              <w:t>1.投标报价的确定</w:t>
            </w:r>
          </w:p>
          <w:p w14:paraId="66F09827">
            <w:pPr>
              <w:spacing w:line="360" w:lineRule="auto"/>
              <w:rPr>
                <w:rFonts w:ascii="仿宋" w:hAnsi="仿宋" w:eastAsia="仿宋" w:cs="仿宋"/>
                <w:color w:val="auto"/>
                <w:highlight w:val="none"/>
              </w:rPr>
            </w:pPr>
            <w:r>
              <w:rPr>
                <w:rFonts w:hint="eastAsia" w:ascii="仿宋" w:hAnsi="仿宋" w:eastAsia="仿宋" w:cs="仿宋"/>
                <w:color w:val="auto"/>
                <w:highlight w:val="none"/>
              </w:rPr>
              <w:t>投标报价是指经评审的且不超过最高限价的投标价格</w:t>
            </w:r>
          </w:p>
          <w:p w14:paraId="3709F865">
            <w:pPr>
              <w:spacing w:line="360" w:lineRule="auto"/>
              <w:rPr>
                <w:rFonts w:ascii="仿宋" w:hAnsi="仿宋" w:eastAsia="仿宋" w:cs="仿宋"/>
                <w:color w:val="auto"/>
                <w:highlight w:val="none"/>
              </w:rPr>
            </w:pPr>
            <w:r>
              <w:rPr>
                <w:rFonts w:hint="eastAsia" w:ascii="仿宋" w:hAnsi="仿宋" w:eastAsia="仿宋" w:cs="仿宋"/>
                <w:color w:val="auto"/>
                <w:highlight w:val="none"/>
              </w:rPr>
              <w:t>2.评标基准价的确定</w:t>
            </w:r>
          </w:p>
          <w:p w14:paraId="148B0792">
            <w:pPr>
              <w:spacing w:line="360" w:lineRule="auto"/>
              <w:rPr>
                <w:rFonts w:ascii="仿宋" w:hAnsi="仿宋" w:eastAsia="仿宋" w:cs="仿宋"/>
                <w:color w:val="auto"/>
                <w:highlight w:val="none"/>
              </w:rPr>
            </w:pPr>
            <w:r>
              <w:rPr>
                <w:rFonts w:hint="eastAsia" w:ascii="仿宋" w:hAnsi="仿宋" w:eastAsia="仿宋" w:cs="仿宋"/>
                <w:color w:val="auto"/>
                <w:highlight w:val="none"/>
              </w:rPr>
              <w:t>满足招标文件要求且投标报价最低的为评标基准价</w:t>
            </w:r>
          </w:p>
          <w:p w14:paraId="34AE2D74">
            <w:pPr>
              <w:spacing w:line="360" w:lineRule="auto"/>
              <w:rPr>
                <w:rFonts w:ascii="仿宋" w:hAnsi="仿宋" w:eastAsia="仿宋" w:cs="仿宋"/>
                <w:color w:val="auto"/>
                <w:highlight w:val="none"/>
              </w:rPr>
            </w:pPr>
            <w:r>
              <w:rPr>
                <w:rFonts w:hint="eastAsia" w:ascii="仿宋" w:hAnsi="仿宋" w:eastAsia="仿宋" w:cs="仿宋"/>
                <w:color w:val="auto"/>
                <w:highlight w:val="none"/>
              </w:rPr>
              <w:t>3.投标报价得分=(评标基准价／投标报价)×30</w:t>
            </w:r>
          </w:p>
          <w:p w14:paraId="19128493">
            <w:pPr>
              <w:spacing w:line="360" w:lineRule="auto"/>
              <w:rPr>
                <w:rFonts w:ascii="仿宋" w:hAnsi="仿宋" w:eastAsia="仿宋" w:cs="仿宋"/>
                <w:color w:val="auto"/>
                <w:highlight w:val="none"/>
              </w:rPr>
            </w:pPr>
            <w:r>
              <w:rPr>
                <w:rFonts w:hint="eastAsia" w:ascii="仿宋" w:hAnsi="仿宋" w:eastAsia="仿宋" w:cs="仿宋"/>
                <w:color w:val="auto"/>
                <w:highlight w:val="none"/>
              </w:rPr>
              <w:t>4.评分分值计算保留小数点后两位，小数点后三位“四舍五入”。</w:t>
            </w:r>
          </w:p>
          <w:p w14:paraId="7674AF2D">
            <w:pPr>
              <w:spacing w:line="360" w:lineRule="auto"/>
              <w:rPr>
                <w:rFonts w:ascii="仿宋" w:hAnsi="仿宋" w:eastAsia="仿宋" w:cs="仿宋"/>
                <w:color w:val="auto"/>
                <w:highlight w:val="none"/>
              </w:rPr>
            </w:pPr>
            <w:r>
              <w:rPr>
                <w:rFonts w:hint="eastAsia" w:ascii="仿宋" w:hAnsi="仿宋" w:eastAsia="仿宋" w:cs="仿宋"/>
                <w:color w:val="auto"/>
                <w:highlight w:val="none"/>
              </w:rPr>
              <w:t>5.政府采购活动中既有本国产品又有非本国产品参与竞争的，依法对本国产品给予价格评审优惠，对本国产品的报价给予20%的价格扣除，用扣除后的价格参与评审。</w:t>
            </w:r>
          </w:p>
        </w:tc>
      </w:tr>
    </w:tbl>
    <w:p w14:paraId="1486A040">
      <w:pPr>
        <w:widowControl/>
        <w:shd w:val="clear" w:color="auto" w:fill="FFFFFF"/>
        <w:snapToGrid w:val="0"/>
        <w:spacing w:line="276" w:lineRule="auto"/>
        <w:jc w:val="center"/>
        <w:rPr>
          <w:rFonts w:ascii="仿宋" w:hAnsi="仿宋" w:eastAsia="仿宋" w:cs="仿宋"/>
          <w:b/>
          <w:color w:val="auto"/>
          <w:kern w:val="0"/>
          <w:sz w:val="24"/>
          <w:szCs w:val="24"/>
          <w:highlight w:val="none"/>
        </w:rPr>
      </w:pPr>
    </w:p>
    <w:bookmarkEnd w:id="54"/>
    <w:p w14:paraId="0BBE6EA0">
      <w:pPr>
        <w:widowControl/>
        <w:shd w:val="clear" w:color="auto" w:fill="FFFFFF"/>
        <w:snapToGrid w:val="0"/>
        <w:spacing w:line="276" w:lineRule="auto"/>
        <w:jc w:val="center"/>
        <w:rPr>
          <w:rFonts w:ascii="仿宋" w:hAnsi="仿宋" w:eastAsia="仿宋" w:cs="仿宋"/>
          <w:b/>
          <w:color w:val="auto"/>
          <w:kern w:val="0"/>
          <w:sz w:val="24"/>
          <w:szCs w:val="24"/>
          <w:highlight w:val="none"/>
        </w:rPr>
      </w:pPr>
      <w:bookmarkStart w:id="55" w:name="_Toc501719167"/>
      <w:r>
        <w:rPr>
          <w:rFonts w:hint="eastAsia" w:ascii="仿宋" w:hAnsi="仿宋" w:eastAsia="仿宋" w:cs="仿宋"/>
          <w:b/>
          <w:color w:val="auto"/>
          <w:kern w:val="0"/>
          <w:sz w:val="24"/>
          <w:szCs w:val="24"/>
          <w:highlight w:val="none"/>
        </w:rPr>
        <w:t>《资格审查标准》</w:t>
      </w:r>
    </w:p>
    <w:tbl>
      <w:tblPr>
        <w:tblStyle w:val="3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2"/>
        <w:gridCol w:w="3587"/>
        <w:gridCol w:w="4787"/>
      </w:tblGrid>
      <w:tr w14:paraId="50A6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23A6AC85">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1976" w:type="pct"/>
            <w:vAlign w:val="center"/>
          </w:tcPr>
          <w:p w14:paraId="4C352D3A">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2635" w:type="pct"/>
            <w:vAlign w:val="center"/>
          </w:tcPr>
          <w:p w14:paraId="2F14EBC7">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65DA2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0C36F257">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1976" w:type="pct"/>
            <w:vAlign w:val="center"/>
          </w:tcPr>
          <w:p w14:paraId="32FB9C71">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具有独立承担民事责任的能力。</w:t>
            </w:r>
          </w:p>
        </w:tc>
        <w:tc>
          <w:tcPr>
            <w:tcW w:w="2635" w:type="pct"/>
            <w:vAlign w:val="center"/>
          </w:tcPr>
          <w:p w14:paraId="79AD74A9">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1、如投标人是企业（包括合伙企业)，应提供在工商部门注册的有效“企业法人营业执照”或“营业执照”;</w:t>
            </w:r>
          </w:p>
          <w:p w14:paraId="0E6180E4">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2、如投标人是事业单位，应提供有效的“事业单位法人证书”;</w:t>
            </w:r>
          </w:p>
          <w:p w14:paraId="4D9A6A4B">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3、如投标人是非企业专业服务机构的，应提供执业许可证等证明文件;</w:t>
            </w:r>
          </w:p>
          <w:p w14:paraId="37EC9351">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4、如投标人是个体工商户，应提供有效的“个体工商户营业执照”;</w:t>
            </w:r>
          </w:p>
          <w:p w14:paraId="09DC5CA0">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5、如投标人是自然人，应提供有效的自然人身份证明。</w:t>
            </w:r>
          </w:p>
        </w:tc>
      </w:tr>
      <w:tr w14:paraId="504F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7C93496A">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1976" w:type="pct"/>
            <w:vAlign w:val="center"/>
          </w:tcPr>
          <w:p w14:paraId="39745C3F">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具有良好的商业信誉和健全的财务会计制度。</w:t>
            </w:r>
          </w:p>
        </w:tc>
        <w:tc>
          <w:tcPr>
            <w:tcW w:w="2635" w:type="pct"/>
            <w:vAlign w:val="center"/>
          </w:tcPr>
          <w:p w14:paraId="4003B6BA">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满足下述一条要求即可：</w:t>
            </w:r>
          </w:p>
          <w:p w14:paraId="6985CF3D">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要求1、经审计的财务报告（2024年度或2025年度，包括“四表-注”，即资产负债表、利润表、现金流量表、所有者权益变动表及其附注）或银行出具的资信证明（投标文件递交截止之日前六个月内任意一个月</w:t>
            </w:r>
            <w:r>
              <w:rPr>
                <w:rFonts w:hint="eastAsia" w:ascii="仿宋" w:hAnsi="仿宋" w:eastAsia="仿宋" w:cs="仿宋"/>
                <w:color w:val="auto"/>
                <w:spacing w:val="10"/>
                <w:szCs w:val="24"/>
                <w:highlight w:val="none"/>
                <w:shd w:val="clear" w:color="auto" w:fill="FFFFFF" w:themeFill="background1"/>
              </w:rPr>
              <w:t>，不限制采购人主体</w:t>
            </w:r>
            <w:r>
              <w:rPr>
                <w:rFonts w:hint="eastAsia" w:ascii="仿宋" w:hAnsi="仿宋" w:eastAsia="仿宋" w:cs="仿宋"/>
                <w:color w:val="auto"/>
                <w:kern w:val="0"/>
                <w:szCs w:val="24"/>
                <w:highlight w:val="none"/>
              </w:rPr>
              <w:t>）。</w:t>
            </w:r>
          </w:p>
          <w:p w14:paraId="4D6C56EA">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要求2、成立不足</w:t>
            </w:r>
            <w:r>
              <w:rPr>
                <w:rFonts w:hint="eastAsia" w:ascii="仿宋" w:hAnsi="仿宋" w:eastAsia="仿宋" w:cs="仿宋"/>
                <w:color w:val="auto"/>
                <w:spacing w:val="10"/>
                <w:szCs w:val="24"/>
                <w:highlight w:val="none"/>
                <w:shd w:val="clear" w:color="auto" w:fill="FFFFFF" w:themeFill="background1"/>
              </w:rPr>
              <w:t>六</w:t>
            </w:r>
            <w:r>
              <w:rPr>
                <w:rFonts w:hint="eastAsia" w:ascii="仿宋" w:hAnsi="仿宋" w:eastAsia="仿宋" w:cs="仿宋"/>
                <w:color w:val="auto"/>
                <w:kern w:val="0"/>
                <w:szCs w:val="24"/>
                <w:highlight w:val="none"/>
              </w:rPr>
              <w:t>个月（以投标文件递交截止之日为期限）的投标人无需提供。</w:t>
            </w:r>
          </w:p>
        </w:tc>
      </w:tr>
      <w:tr w14:paraId="66A19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0621528E">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1976" w:type="pct"/>
            <w:vAlign w:val="center"/>
          </w:tcPr>
          <w:p w14:paraId="4768B733">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具有履行合同所必需的设备和专业技术能力。</w:t>
            </w:r>
          </w:p>
        </w:tc>
        <w:tc>
          <w:tcPr>
            <w:tcW w:w="2635" w:type="pct"/>
            <w:vAlign w:val="center"/>
          </w:tcPr>
          <w:p w14:paraId="1749006A">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提供《具有履行合同所必需的设备和专业技术能力的承诺函》，加盖投标人章。</w:t>
            </w:r>
          </w:p>
        </w:tc>
      </w:tr>
      <w:tr w14:paraId="3DAFD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5F379F66">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1976" w:type="pct"/>
            <w:vAlign w:val="center"/>
          </w:tcPr>
          <w:p w14:paraId="73EAFD7E">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有依法缴纳税收和社会保障资金的良好记录。</w:t>
            </w:r>
          </w:p>
        </w:tc>
        <w:tc>
          <w:tcPr>
            <w:tcW w:w="2635" w:type="pct"/>
            <w:vAlign w:val="center"/>
          </w:tcPr>
          <w:p w14:paraId="190BCB21">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1、依法缴纳税收的证明材料：</w:t>
            </w:r>
          </w:p>
          <w:p w14:paraId="747C6A4E">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投标人参加政府采购活动前一段时间（投标文件递交截止之日前六个月内任一个月）内缴纳税收的完税凭证（指各种完税证、缴款书、印花税票、扣（收）税凭证以及其他完税证明，提供上述任意一种即可）。</w:t>
            </w:r>
          </w:p>
          <w:p w14:paraId="640730D0">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2、依法缴纳社会保障资金的证明材料：</w:t>
            </w:r>
          </w:p>
          <w:p w14:paraId="02E88CC8">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2E6D99BE">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3、依法免税或不需要缴纳社会保障资金的投标人，应提供相应文件证明其依法免税或不需要缴纳社会保障资金。</w:t>
            </w:r>
          </w:p>
        </w:tc>
      </w:tr>
      <w:tr w14:paraId="5C3B8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1D56D4E1">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1976" w:type="pct"/>
            <w:vAlign w:val="center"/>
          </w:tcPr>
          <w:p w14:paraId="27318C37">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p>
        </w:tc>
        <w:tc>
          <w:tcPr>
            <w:tcW w:w="2635" w:type="pct"/>
            <w:vAlign w:val="center"/>
          </w:tcPr>
          <w:p w14:paraId="32DCD09B">
            <w:pPr>
              <w:ind w:firstLine="210" w:firstLineChars="100"/>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4"/>
                <w:highlight w:val="none"/>
              </w:rPr>
              <w:t>提供《参加政府采购活动前3年内在经营活动中没有重大违法记录的书面声明》，加盖投标人章。</w:t>
            </w:r>
          </w:p>
        </w:tc>
      </w:tr>
      <w:tr w14:paraId="55FAD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73B99E24">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1976" w:type="pct"/>
            <w:vAlign w:val="center"/>
          </w:tcPr>
          <w:p w14:paraId="32F4CF67">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本项目投标人所投货物制造商中“小微企业的报价不低于总报价的19.99% ，中小企业的报价不低于总报价的22.26%”</w:t>
            </w:r>
            <w:r>
              <w:rPr>
                <w:rFonts w:hint="eastAsia" w:ascii="仿宋" w:hAnsi="仿宋" w:eastAsia="仿宋" w:cs="仿宋"/>
                <w:color w:val="auto"/>
                <w:szCs w:val="21"/>
                <w:highlight w:val="none"/>
                <w:shd w:val="clear" w:color="auto" w:fill="FFFFFF" w:themeFill="background1"/>
              </w:rPr>
              <w:t>。</w:t>
            </w:r>
          </w:p>
        </w:tc>
        <w:tc>
          <w:tcPr>
            <w:tcW w:w="2635" w:type="pct"/>
            <w:vAlign w:val="center"/>
          </w:tcPr>
          <w:p w14:paraId="767B7349">
            <w:pPr>
              <w:ind w:firstLine="210" w:firstLineChars="100"/>
              <w:jc w:val="left"/>
              <w:rPr>
                <w:rFonts w:hint="eastAsia" w:ascii="仿宋" w:hAnsi="仿宋" w:eastAsia="仿宋" w:cs="仿宋"/>
                <w:color w:val="auto"/>
                <w:kern w:val="0"/>
                <w:szCs w:val="24"/>
                <w:highlight w:val="none"/>
                <w:lang w:eastAsia="zh-CN"/>
              </w:rPr>
            </w:pPr>
            <w:r>
              <w:rPr>
                <w:rFonts w:hint="eastAsia" w:ascii="仿宋" w:hAnsi="仿宋" w:eastAsia="仿宋" w:cs="仿宋"/>
                <w:color w:val="auto"/>
                <w:kern w:val="0"/>
                <w:szCs w:val="24"/>
                <w:highlight w:val="none"/>
                <w:lang w:val="en-US" w:eastAsia="zh-CN"/>
              </w:rPr>
              <w:t>按招标文件要求提供“</w:t>
            </w:r>
            <w:r>
              <w:rPr>
                <w:rFonts w:hint="eastAsia" w:ascii="仿宋" w:hAnsi="仿宋" w:eastAsia="仿宋" w:cs="仿宋"/>
                <w:color w:val="auto"/>
                <w:kern w:val="0"/>
                <w:szCs w:val="24"/>
                <w:highlight w:val="none"/>
                <w:lang w:eastAsia="zh-CN"/>
              </w:rPr>
              <w:t>中小企业投标价格统计表</w:t>
            </w:r>
          </w:p>
          <w:p w14:paraId="74C573DD">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lang w:val="en-US" w:eastAsia="zh-CN"/>
              </w:rPr>
              <w:t>”和对应的中小企业声明函。</w:t>
            </w:r>
          </w:p>
        </w:tc>
      </w:tr>
      <w:tr w14:paraId="1027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4" w:hRule="atLeast"/>
          <w:jc w:val="center"/>
        </w:trPr>
        <w:tc>
          <w:tcPr>
            <w:tcW w:w="387" w:type="pct"/>
            <w:vAlign w:val="center"/>
          </w:tcPr>
          <w:p w14:paraId="120F8318">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1976" w:type="pct"/>
            <w:vAlign w:val="center"/>
          </w:tcPr>
          <w:p w14:paraId="7824E1EB">
            <w:pPr>
              <w:spacing w:line="360" w:lineRule="auto"/>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tc>
        <w:tc>
          <w:tcPr>
            <w:tcW w:w="2635" w:type="pct"/>
            <w:vAlign w:val="center"/>
          </w:tcPr>
          <w:p w14:paraId="39FBE909">
            <w:pPr>
              <w:ind w:firstLine="210" w:firstLineChars="100"/>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以采购人或者采购代理机构查询记录为准。</w:t>
            </w:r>
          </w:p>
        </w:tc>
      </w:tr>
      <w:tr w14:paraId="3AB30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5000" w:type="pct"/>
            <w:gridSpan w:val="3"/>
            <w:vAlign w:val="center"/>
          </w:tcPr>
          <w:p w14:paraId="628C4800">
            <w:pPr>
              <w:widowControl/>
              <w:shd w:val="clear" w:color="auto" w:fill="FFFFFF"/>
              <w:snapToGrid w:val="0"/>
              <w:spacing w:line="360" w:lineRule="auto"/>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 如果资格评审中有一项不满足审查标准的，采购人将认定该投标人不通过资格审查，投标文件将被拒绝评审。并且不允许投标人通过修改或撤销其不符合要求的差异或保留，使之成为具有响应性的投标。</w:t>
            </w:r>
          </w:p>
        </w:tc>
      </w:tr>
    </w:tbl>
    <w:p w14:paraId="00D8E117">
      <w:pPr>
        <w:widowControl/>
        <w:shd w:val="clear" w:color="auto" w:fill="FFFFFF"/>
        <w:snapToGrid w:val="0"/>
        <w:spacing w:line="276" w:lineRule="auto"/>
        <w:jc w:val="center"/>
        <w:rPr>
          <w:rFonts w:ascii="仿宋" w:hAnsi="仿宋" w:eastAsia="仿宋" w:cs="仿宋"/>
          <w:b/>
          <w:color w:val="auto"/>
          <w:kern w:val="0"/>
          <w:sz w:val="24"/>
          <w:szCs w:val="24"/>
          <w:highlight w:val="none"/>
        </w:rPr>
      </w:pPr>
    </w:p>
    <w:p w14:paraId="1B3FECE0">
      <w:pPr>
        <w:widowControl/>
        <w:shd w:val="clear" w:color="auto" w:fill="FFFFFF"/>
        <w:snapToGrid w:val="0"/>
        <w:spacing w:line="276" w:lineRule="auto"/>
        <w:jc w:val="center"/>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《符合性审查标准》</w:t>
      </w:r>
      <w:bookmarkEnd w:id="55"/>
    </w:p>
    <w:tbl>
      <w:tblPr>
        <w:tblStyle w:val="38"/>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2"/>
        <w:gridCol w:w="4929"/>
        <w:gridCol w:w="3446"/>
      </w:tblGrid>
      <w:tr w14:paraId="684D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7E6F05B8">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4929" w:type="dxa"/>
            <w:vAlign w:val="center"/>
          </w:tcPr>
          <w:p w14:paraId="043B5FF7">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3446" w:type="dxa"/>
            <w:vAlign w:val="center"/>
          </w:tcPr>
          <w:p w14:paraId="74DD4930">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206CA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090E1BC6">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4929" w:type="dxa"/>
            <w:vAlign w:val="center"/>
          </w:tcPr>
          <w:p w14:paraId="7D4C2EED">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投标文件必须按招标文件要求加盖投标人章、法定代表人章（或签字）。</w:t>
            </w:r>
          </w:p>
        </w:tc>
        <w:tc>
          <w:tcPr>
            <w:tcW w:w="3446" w:type="dxa"/>
            <w:vAlign w:val="center"/>
          </w:tcPr>
          <w:p w14:paraId="6EB13C8C">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317E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03BC7500">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4929" w:type="dxa"/>
            <w:vAlign w:val="center"/>
          </w:tcPr>
          <w:p w14:paraId="6FE136F2">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投标价格明细表必须完整填写。</w:t>
            </w:r>
          </w:p>
        </w:tc>
        <w:tc>
          <w:tcPr>
            <w:tcW w:w="3446" w:type="dxa"/>
            <w:vAlign w:val="center"/>
          </w:tcPr>
          <w:p w14:paraId="2E05D9BA">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7323E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5BF9C88B">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4929" w:type="dxa"/>
            <w:vAlign w:val="center"/>
          </w:tcPr>
          <w:p w14:paraId="188F695F">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投标价格不得超过投标人须知前附表中的最高限价。</w:t>
            </w:r>
          </w:p>
        </w:tc>
        <w:tc>
          <w:tcPr>
            <w:tcW w:w="3446" w:type="dxa"/>
            <w:vAlign w:val="center"/>
          </w:tcPr>
          <w:p w14:paraId="50CA1211">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65C9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22" w:type="dxa"/>
            <w:tcMar>
              <w:top w:w="0" w:type="dxa"/>
              <w:left w:w="28" w:type="dxa"/>
              <w:bottom w:w="0" w:type="dxa"/>
              <w:right w:w="28" w:type="dxa"/>
            </w:tcMar>
            <w:vAlign w:val="center"/>
          </w:tcPr>
          <w:p w14:paraId="4306AEC8">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4929" w:type="dxa"/>
            <w:vAlign w:val="center"/>
          </w:tcPr>
          <w:p w14:paraId="726C14C8">
            <w:pPr>
              <w:widowControl/>
              <w:shd w:val="clear" w:color="auto" w:fill="FFFFFF"/>
              <w:snapToGrid w:val="0"/>
              <w:spacing w:line="360" w:lineRule="auto"/>
              <w:rPr>
                <w:rFonts w:ascii="仿宋" w:hAnsi="仿宋" w:eastAsia="仿宋" w:cs="仿宋"/>
                <w:color w:val="auto"/>
                <w:highlight w:val="none"/>
              </w:rPr>
            </w:pPr>
            <w:r>
              <w:rPr>
                <w:rFonts w:hint="eastAsia" w:ascii="仿宋" w:hAnsi="仿宋" w:eastAsia="仿宋" w:cs="仿宋"/>
                <w:color w:val="auto"/>
                <w:kern w:val="0"/>
                <w:szCs w:val="24"/>
                <w:highlight w:val="none"/>
              </w:rPr>
              <w:t>售后服务承诺必须提供，并盖投标人章。</w:t>
            </w:r>
          </w:p>
        </w:tc>
        <w:tc>
          <w:tcPr>
            <w:tcW w:w="3446" w:type="dxa"/>
            <w:tcMar>
              <w:top w:w="0" w:type="dxa"/>
              <w:left w:w="28" w:type="dxa"/>
              <w:bottom w:w="0" w:type="dxa"/>
              <w:right w:w="28" w:type="dxa"/>
            </w:tcMar>
            <w:vAlign w:val="center"/>
          </w:tcPr>
          <w:p w14:paraId="37662C9A">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23CE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0A82BF14">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4929" w:type="dxa"/>
            <w:vAlign w:val="center"/>
          </w:tcPr>
          <w:p w14:paraId="54E923AD">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合同履约期限和质保期必须满足招标文件要求。</w:t>
            </w:r>
          </w:p>
        </w:tc>
        <w:tc>
          <w:tcPr>
            <w:tcW w:w="3446" w:type="dxa"/>
            <w:tcMar>
              <w:top w:w="0" w:type="dxa"/>
              <w:left w:w="28" w:type="dxa"/>
              <w:bottom w:w="0" w:type="dxa"/>
              <w:right w:w="28" w:type="dxa"/>
            </w:tcMar>
            <w:vAlign w:val="center"/>
          </w:tcPr>
          <w:p w14:paraId="0F0A93A5">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1528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50C35E06">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4929" w:type="dxa"/>
            <w:vAlign w:val="center"/>
          </w:tcPr>
          <w:p w14:paraId="71FAFB72">
            <w:pPr>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投标保证金必须按照招标文件要求缴纳。</w:t>
            </w:r>
          </w:p>
        </w:tc>
        <w:tc>
          <w:tcPr>
            <w:tcW w:w="3446" w:type="dxa"/>
            <w:tcMar>
              <w:top w:w="0" w:type="dxa"/>
              <w:left w:w="28" w:type="dxa"/>
              <w:bottom w:w="0" w:type="dxa"/>
              <w:right w:w="28" w:type="dxa"/>
            </w:tcMar>
            <w:vAlign w:val="center"/>
          </w:tcPr>
          <w:p w14:paraId="448D3A80">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保证金缴纳证明材料：汇款凭证或支票或汇票或保函或保证金收据等的扫描件。</w:t>
            </w:r>
          </w:p>
          <w:p w14:paraId="790A2487">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注：采用电汇方式缴纳的，若投标人未提供上述证明材料，但采购代理机构已查实足额缴纳的，视为已按规定缴纳保证金。</w:t>
            </w:r>
          </w:p>
        </w:tc>
      </w:tr>
      <w:tr w14:paraId="521C6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4386B776">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4929" w:type="dxa"/>
            <w:vAlign w:val="center"/>
          </w:tcPr>
          <w:p w14:paraId="2239129E">
            <w:pPr>
              <w:widowControl/>
              <w:shd w:val="clear" w:color="auto" w:fill="FFFFFF"/>
              <w:snapToGrid w:val="0"/>
              <w:spacing w:line="360" w:lineRule="auto"/>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投标文件符合招标文件全部实质性要求。</w:t>
            </w:r>
          </w:p>
        </w:tc>
        <w:tc>
          <w:tcPr>
            <w:tcW w:w="3446" w:type="dxa"/>
            <w:tcMar>
              <w:top w:w="0" w:type="dxa"/>
              <w:left w:w="28" w:type="dxa"/>
              <w:bottom w:w="0" w:type="dxa"/>
              <w:right w:w="28" w:type="dxa"/>
            </w:tcMar>
            <w:vAlign w:val="center"/>
          </w:tcPr>
          <w:p w14:paraId="028C0EB2">
            <w:pPr>
              <w:widowControl/>
              <w:shd w:val="clear" w:color="auto" w:fill="FFFFFF"/>
              <w:snapToGrid w:val="0"/>
              <w:spacing w:line="360" w:lineRule="auto"/>
              <w:jc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7185A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097" w:type="dxa"/>
            <w:gridSpan w:val="3"/>
            <w:vAlign w:val="center"/>
          </w:tcPr>
          <w:p w14:paraId="26B10E7D">
            <w:pPr>
              <w:widowControl/>
              <w:shd w:val="clear" w:color="auto" w:fill="FFFFFF"/>
              <w:snapToGrid w:val="0"/>
              <w:spacing w:line="360" w:lineRule="auto"/>
              <w:jc w:val="left"/>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完备性及符合性审查中有一项不满足评审标准的，评标委员会将认定该投标人不通过完备性及符合性审查，不得进入下一阶段评审。并且不允许投标人通过修改或撤销其不符合要求的差异或保留，使之成为具有响应性的投标。</w:t>
            </w:r>
          </w:p>
        </w:tc>
      </w:tr>
    </w:tbl>
    <w:p w14:paraId="6B02D017">
      <w:pPr>
        <w:rPr>
          <w:rFonts w:ascii="仿宋" w:hAnsi="仿宋" w:eastAsia="仿宋" w:cs="仿宋"/>
          <w:color w:val="auto"/>
          <w:highlight w:val="none"/>
        </w:rPr>
      </w:pPr>
    </w:p>
    <w:p w14:paraId="65F5F033">
      <w:pPr>
        <w:pStyle w:val="12"/>
        <w:jc w:val="center"/>
        <w:rPr>
          <w:rFonts w:ascii="仿宋" w:hAnsi="仿宋" w:eastAsia="仿宋" w:cs="仿宋"/>
          <w:b/>
          <w:color w:val="auto"/>
          <w:szCs w:val="24"/>
          <w:highlight w:val="none"/>
        </w:rPr>
      </w:pPr>
      <w:bookmarkStart w:id="56" w:name="_Toc115977387"/>
      <w:bookmarkStart w:id="57" w:name="_Toc12409"/>
      <w:bookmarkStart w:id="58" w:name="_Toc24504"/>
      <w:bookmarkStart w:id="59" w:name="_Toc485312286"/>
      <w:r>
        <w:rPr>
          <w:rFonts w:hint="eastAsia" w:ascii="仿宋" w:hAnsi="仿宋" w:eastAsia="仿宋" w:cs="仿宋"/>
          <w:b/>
          <w:color w:val="auto"/>
          <w:szCs w:val="24"/>
          <w:highlight w:val="none"/>
        </w:rPr>
        <w:t>《详细评审标准》</w:t>
      </w:r>
    </w:p>
    <w:tbl>
      <w:tblPr>
        <w:tblStyle w:val="38"/>
        <w:tblpPr w:leftFromText="180" w:rightFromText="180" w:vertAnchor="text" w:horzAnchor="page" w:tblpX="1442" w:tblpY="88"/>
        <w:tblOverlap w:val="never"/>
        <w:tblW w:w="50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8"/>
        <w:gridCol w:w="964"/>
        <w:gridCol w:w="746"/>
        <w:gridCol w:w="6896"/>
      </w:tblGrid>
      <w:tr w14:paraId="2FA5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88" w:type="pct"/>
            <w:vAlign w:val="center"/>
          </w:tcPr>
          <w:p w14:paraId="7B5870CD">
            <w:pPr>
              <w:widowControl/>
              <w:shd w:val="clear" w:color="auto" w:fill="FFFFFF"/>
              <w:snapToGrid w:val="0"/>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527" w:type="pct"/>
            <w:vAlign w:val="center"/>
          </w:tcPr>
          <w:p w14:paraId="0E69B175">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评审项目</w:t>
            </w:r>
          </w:p>
        </w:tc>
        <w:tc>
          <w:tcPr>
            <w:tcW w:w="408" w:type="pct"/>
            <w:vAlign w:val="center"/>
          </w:tcPr>
          <w:p w14:paraId="29786159">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标准分</w:t>
            </w:r>
          </w:p>
        </w:tc>
        <w:tc>
          <w:tcPr>
            <w:tcW w:w="3775" w:type="pct"/>
            <w:vAlign w:val="center"/>
          </w:tcPr>
          <w:p w14:paraId="2A75C024">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评审标准</w:t>
            </w:r>
          </w:p>
        </w:tc>
      </w:tr>
      <w:tr w14:paraId="36CFA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88" w:type="pct"/>
            <w:tcMar>
              <w:top w:w="0" w:type="dxa"/>
              <w:left w:w="108" w:type="dxa"/>
              <w:bottom w:w="0" w:type="dxa"/>
              <w:right w:w="108" w:type="dxa"/>
            </w:tcMar>
            <w:vAlign w:val="center"/>
          </w:tcPr>
          <w:p w14:paraId="7EBE35A6">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527" w:type="pct"/>
            <w:tcMar>
              <w:top w:w="0" w:type="dxa"/>
              <w:left w:w="108" w:type="dxa"/>
              <w:bottom w:w="0" w:type="dxa"/>
              <w:right w:w="108" w:type="dxa"/>
            </w:tcMar>
            <w:vAlign w:val="center"/>
          </w:tcPr>
          <w:p w14:paraId="6E1BCD46">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类似业绩</w:t>
            </w:r>
          </w:p>
        </w:tc>
        <w:tc>
          <w:tcPr>
            <w:tcW w:w="408" w:type="pct"/>
            <w:tcMar>
              <w:top w:w="0" w:type="dxa"/>
              <w:left w:w="108" w:type="dxa"/>
              <w:bottom w:w="0" w:type="dxa"/>
              <w:right w:w="108" w:type="dxa"/>
            </w:tcMar>
            <w:vAlign w:val="center"/>
          </w:tcPr>
          <w:p w14:paraId="727024EB">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3775" w:type="pct"/>
            <w:tcMar>
              <w:top w:w="0" w:type="dxa"/>
              <w:left w:w="108" w:type="dxa"/>
              <w:bottom w:w="0" w:type="dxa"/>
              <w:right w:w="108" w:type="dxa"/>
            </w:tcMar>
            <w:vAlign w:val="center"/>
          </w:tcPr>
          <w:p w14:paraId="322B2337">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投标人或产品制造商近三年(2023年1月1日-至今)完成的类似业绩，一项计1分，最多计2项(须提供合同扫描件)。</w:t>
            </w:r>
          </w:p>
        </w:tc>
      </w:tr>
      <w:tr w14:paraId="57C58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88" w:type="pct"/>
            <w:tcMar>
              <w:top w:w="0" w:type="dxa"/>
              <w:left w:w="108" w:type="dxa"/>
              <w:bottom w:w="0" w:type="dxa"/>
              <w:right w:w="108" w:type="dxa"/>
            </w:tcMar>
            <w:vAlign w:val="center"/>
          </w:tcPr>
          <w:p w14:paraId="466BADB0">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527" w:type="pct"/>
            <w:tcMar>
              <w:top w:w="0" w:type="dxa"/>
              <w:left w:w="108" w:type="dxa"/>
              <w:bottom w:w="0" w:type="dxa"/>
              <w:right w:w="108" w:type="dxa"/>
            </w:tcMar>
            <w:vAlign w:val="center"/>
          </w:tcPr>
          <w:p w14:paraId="138294D4">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技术指标</w:t>
            </w:r>
          </w:p>
        </w:tc>
        <w:tc>
          <w:tcPr>
            <w:tcW w:w="408" w:type="pct"/>
            <w:tcMar>
              <w:top w:w="0" w:type="dxa"/>
              <w:left w:w="108" w:type="dxa"/>
              <w:bottom w:w="0" w:type="dxa"/>
              <w:right w:w="108" w:type="dxa"/>
            </w:tcMar>
            <w:vAlign w:val="center"/>
          </w:tcPr>
          <w:p w14:paraId="23E6CDAC">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40</w:t>
            </w:r>
          </w:p>
        </w:tc>
        <w:tc>
          <w:tcPr>
            <w:tcW w:w="3775" w:type="pct"/>
            <w:tcMar>
              <w:top w:w="0" w:type="dxa"/>
              <w:left w:w="108" w:type="dxa"/>
              <w:bottom w:w="0" w:type="dxa"/>
              <w:right w:w="108" w:type="dxa"/>
            </w:tcMar>
            <w:vAlign w:val="center"/>
          </w:tcPr>
          <w:p w14:paraId="03F43AD2">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技术指标全部满足采购文件要求，无偏离得</w:t>
            </w:r>
            <w:r>
              <w:rPr>
                <w:rFonts w:ascii="仿宋" w:hAnsi="仿宋" w:eastAsia="仿宋" w:cs="仿宋"/>
                <w:color w:val="auto"/>
                <w:kern w:val="0"/>
                <w:szCs w:val="21"/>
                <w:highlight w:val="none"/>
              </w:rPr>
              <w:t>40</w:t>
            </w:r>
            <w:r>
              <w:rPr>
                <w:rFonts w:hint="eastAsia" w:ascii="仿宋" w:hAnsi="仿宋" w:eastAsia="仿宋" w:cs="仿宋"/>
                <w:color w:val="auto"/>
                <w:kern w:val="0"/>
                <w:szCs w:val="21"/>
                <w:highlight w:val="none"/>
              </w:rPr>
              <w:t>分，标“</w:t>
            </w:r>
            <w:bookmarkStart w:id="60" w:name="OLE_LINK2"/>
            <w:r>
              <w:rPr>
                <w:rFonts w:hint="eastAsia" w:ascii="仿宋" w:hAnsi="仿宋" w:eastAsia="仿宋" w:cs="仿宋"/>
                <w:color w:val="auto"/>
                <w:kern w:val="0"/>
                <w:szCs w:val="21"/>
                <w:highlight w:val="none"/>
              </w:rPr>
              <w:t>★</w:t>
            </w:r>
            <w:bookmarkEnd w:id="60"/>
            <w:r>
              <w:rPr>
                <w:rFonts w:hint="eastAsia" w:ascii="仿宋" w:hAnsi="仿宋" w:eastAsia="仿宋" w:cs="仿宋"/>
                <w:color w:val="auto"/>
                <w:kern w:val="0"/>
                <w:szCs w:val="21"/>
                <w:highlight w:val="none"/>
              </w:rPr>
              <w:t>”为关键参数，须实质性响应，不允许负偏，有一项负偏离属于无效投标；标注“▲”为重要参数，参数每缺少或负偏离一项扣</w:t>
            </w:r>
            <w:r>
              <w:rPr>
                <w:rFonts w:ascii="仿宋" w:hAnsi="仿宋" w:eastAsia="仿宋" w:cs="仿宋"/>
                <w:color w:val="auto"/>
                <w:kern w:val="0"/>
                <w:szCs w:val="21"/>
                <w:highlight w:val="none"/>
              </w:rPr>
              <w:t>0.5</w:t>
            </w:r>
            <w:r>
              <w:rPr>
                <w:rFonts w:hint="eastAsia" w:ascii="仿宋" w:hAnsi="仿宋" w:eastAsia="仿宋" w:cs="仿宋"/>
                <w:color w:val="auto"/>
                <w:kern w:val="0"/>
                <w:szCs w:val="21"/>
                <w:highlight w:val="none"/>
              </w:rPr>
              <w:t>分；非标“★”、</w:t>
            </w:r>
            <w:bookmarkStart w:id="61" w:name="OLE_LINK27"/>
            <w:r>
              <w:rPr>
                <w:rFonts w:hint="eastAsia" w:ascii="仿宋" w:hAnsi="仿宋" w:eastAsia="仿宋" w:cs="仿宋"/>
                <w:color w:val="auto"/>
                <w:kern w:val="0"/>
                <w:szCs w:val="21"/>
                <w:highlight w:val="none"/>
              </w:rPr>
              <w:t>“▲”</w:t>
            </w:r>
            <w:bookmarkEnd w:id="61"/>
            <w:r>
              <w:rPr>
                <w:rFonts w:hint="eastAsia" w:ascii="仿宋" w:hAnsi="仿宋" w:eastAsia="仿宋" w:cs="仿宋"/>
                <w:color w:val="auto"/>
                <w:kern w:val="0"/>
                <w:szCs w:val="21"/>
                <w:highlight w:val="none"/>
              </w:rPr>
              <w:t>参数缺少或负偏离一项的项扣</w:t>
            </w:r>
            <w:r>
              <w:rPr>
                <w:rFonts w:ascii="仿宋" w:hAnsi="仿宋" w:eastAsia="仿宋" w:cs="仿宋"/>
                <w:color w:val="auto"/>
                <w:kern w:val="0"/>
                <w:szCs w:val="21"/>
                <w:highlight w:val="none"/>
              </w:rPr>
              <w:t>0.05</w:t>
            </w:r>
            <w:r>
              <w:rPr>
                <w:rFonts w:hint="eastAsia" w:ascii="仿宋" w:hAnsi="仿宋" w:eastAsia="仿宋" w:cs="仿宋"/>
                <w:color w:val="auto"/>
                <w:kern w:val="0"/>
                <w:szCs w:val="21"/>
                <w:highlight w:val="none"/>
              </w:rPr>
              <w:t>分；扣完为止。</w:t>
            </w:r>
          </w:p>
          <w:p w14:paraId="53729E0A">
            <w:pPr>
              <w:keepNext w:val="0"/>
              <w:widowControl w:val="0"/>
              <w:spacing w:line="360" w:lineRule="auto"/>
              <w:ind w:firstLine="420" w:firstLineChars="200"/>
              <w:jc w:val="both"/>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注：技术指标参数要求提供证明材料的，须附对应的证明材料，若未提供有效证明材料或证明材料不符合参数要求的则该参数将被视为负偏离。</w:t>
            </w:r>
          </w:p>
        </w:tc>
      </w:tr>
      <w:tr w14:paraId="6343F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88" w:type="pct"/>
            <w:tcMar>
              <w:top w:w="0" w:type="dxa"/>
              <w:left w:w="108" w:type="dxa"/>
              <w:bottom w:w="0" w:type="dxa"/>
              <w:right w:w="108" w:type="dxa"/>
            </w:tcMar>
            <w:vAlign w:val="center"/>
          </w:tcPr>
          <w:p w14:paraId="46C75B70">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527" w:type="pct"/>
            <w:tcMar>
              <w:top w:w="0" w:type="dxa"/>
              <w:left w:w="108" w:type="dxa"/>
              <w:bottom w:w="0" w:type="dxa"/>
              <w:right w:w="108" w:type="dxa"/>
            </w:tcMar>
            <w:vAlign w:val="center"/>
          </w:tcPr>
          <w:p w14:paraId="24015427">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实施方案</w:t>
            </w:r>
          </w:p>
        </w:tc>
        <w:tc>
          <w:tcPr>
            <w:tcW w:w="408" w:type="pct"/>
            <w:tcMar>
              <w:top w:w="0" w:type="dxa"/>
              <w:left w:w="108" w:type="dxa"/>
              <w:bottom w:w="0" w:type="dxa"/>
              <w:right w:w="108" w:type="dxa"/>
            </w:tcMar>
            <w:vAlign w:val="center"/>
          </w:tcPr>
          <w:p w14:paraId="512062C2">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9</w:t>
            </w:r>
          </w:p>
        </w:tc>
        <w:tc>
          <w:tcPr>
            <w:tcW w:w="3775" w:type="pct"/>
            <w:tcMar>
              <w:top w:w="0" w:type="dxa"/>
              <w:left w:w="108" w:type="dxa"/>
              <w:bottom w:w="0" w:type="dxa"/>
              <w:right w:w="108" w:type="dxa"/>
            </w:tcMar>
            <w:vAlign w:val="center"/>
          </w:tcPr>
          <w:p w14:paraId="27012F22">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实施方案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①供货计划，②</w:t>
            </w:r>
            <w:r>
              <w:rPr>
                <w:rFonts w:hint="eastAsia" w:ascii="仿宋" w:hAnsi="仿宋" w:eastAsia="仿宋" w:cs="仿宋"/>
                <w:color w:val="auto"/>
                <w:szCs w:val="21"/>
                <w:highlight w:val="none"/>
              </w:rPr>
              <w:t>成品包装、运输保护措施，</w:t>
            </w:r>
            <w:r>
              <w:rPr>
                <w:rFonts w:hint="eastAsia" w:ascii="仿宋" w:hAnsi="仿宋" w:eastAsia="仿宋" w:cs="仿宋"/>
                <w:color w:val="auto"/>
                <w:kern w:val="0"/>
                <w:szCs w:val="21"/>
                <w:highlight w:val="none"/>
              </w:rPr>
              <w:t>③安装调试措施；3部分要素。</w:t>
            </w:r>
          </w:p>
          <w:p w14:paraId="24645B38">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w:t>
            </w:r>
            <w:r>
              <w:rPr>
                <w:rFonts w:ascii="仿宋" w:hAnsi="仿宋" w:eastAsia="仿宋" w:cs="仿宋"/>
                <w:color w:val="auto"/>
                <w:szCs w:val="21"/>
                <w:highlight w:val="none"/>
              </w:rPr>
              <w:t>9</w:t>
            </w:r>
            <w:r>
              <w:rPr>
                <w:rFonts w:hint="eastAsia" w:ascii="仿宋" w:hAnsi="仿宋" w:eastAsia="仿宋" w:cs="仿宋"/>
                <w:color w:val="auto"/>
                <w:szCs w:val="21"/>
                <w:highlight w:val="none"/>
              </w:rPr>
              <w:t>分，每缺一个要素扣</w:t>
            </w:r>
            <w:r>
              <w:rPr>
                <w:rFonts w:ascii="仿宋" w:hAnsi="仿宋" w:eastAsia="仿宋" w:cs="仿宋"/>
                <w:color w:val="auto"/>
                <w:szCs w:val="21"/>
                <w:highlight w:val="none"/>
              </w:rPr>
              <w:t>3</w:t>
            </w:r>
            <w:r>
              <w:rPr>
                <w:rFonts w:hint="eastAsia" w:ascii="仿宋" w:hAnsi="仿宋" w:eastAsia="仿宋" w:cs="仿宋"/>
                <w:color w:val="auto"/>
                <w:szCs w:val="21"/>
                <w:highlight w:val="none"/>
              </w:rPr>
              <w:t>分，每个要素里每有一处内容缺陷扣</w:t>
            </w:r>
            <w:r>
              <w:rPr>
                <w:rFonts w:ascii="仿宋" w:hAnsi="仿宋" w:eastAsia="仿宋" w:cs="仿宋"/>
                <w:color w:val="auto"/>
                <w:szCs w:val="21"/>
                <w:highlight w:val="none"/>
              </w:rPr>
              <w:t>1</w:t>
            </w:r>
            <w:r>
              <w:rPr>
                <w:rFonts w:hint="eastAsia" w:ascii="仿宋" w:hAnsi="仿宋" w:eastAsia="仿宋" w:cs="仿宋"/>
                <w:color w:val="auto"/>
                <w:szCs w:val="21"/>
                <w:highlight w:val="none"/>
              </w:rPr>
              <w:t>分（扣完为止）。</w:t>
            </w:r>
          </w:p>
        </w:tc>
      </w:tr>
      <w:tr w14:paraId="4B7EE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88" w:type="pct"/>
            <w:tcMar>
              <w:top w:w="0" w:type="dxa"/>
              <w:left w:w="108" w:type="dxa"/>
              <w:bottom w:w="0" w:type="dxa"/>
              <w:right w:w="108" w:type="dxa"/>
            </w:tcMar>
            <w:vAlign w:val="center"/>
          </w:tcPr>
          <w:p w14:paraId="369EB01D">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527" w:type="pct"/>
            <w:tcMar>
              <w:top w:w="0" w:type="dxa"/>
              <w:left w:w="108" w:type="dxa"/>
              <w:bottom w:w="0" w:type="dxa"/>
              <w:right w:w="108" w:type="dxa"/>
            </w:tcMar>
            <w:vAlign w:val="center"/>
          </w:tcPr>
          <w:p w14:paraId="47CD8A38">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质量保证方案</w:t>
            </w:r>
          </w:p>
        </w:tc>
        <w:tc>
          <w:tcPr>
            <w:tcW w:w="408" w:type="pct"/>
            <w:tcMar>
              <w:top w:w="0" w:type="dxa"/>
              <w:left w:w="108" w:type="dxa"/>
              <w:bottom w:w="0" w:type="dxa"/>
              <w:right w:w="108" w:type="dxa"/>
            </w:tcMar>
            <w:vAlign w:val="center"/>
          </w:tcPr>
          <w:p w14:paraId="5FBF60B4">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5</w:t>
            </w:r>
          </w:p>
        </w:tc>
        <w:tc>
          <w:tcPr>
            <w:tcW w:w="3775" w:type="pct"/>
            <w:tcMar>
              <w:top w:w="0" w:type="dxa"/>
              <w:left w:w="108" w:type="dxa"/>
              <w:bottom w:w="0" w:type="dxa"/>
              <w:right w:w="108" w:type="dxa"/>
            </w:tcMar>
            <w:vAlign w:val="center"/>
          </w:tcPr>
          <w:p w14:paraId="036C2F8C">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①质量检测措施，②质量管理制度；2部分要素。</w:t>
            </w:r>
          </w:p>
          <w:p w14:paraId="06669205">
            <w:pP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所有要素齐全且完全满足项目要求得</w:t>
            </w:r>
            <w:r>
              <w:rPr>
                <w:rFonts w:ascii="仿宋" w:hAnsi="仿宋" w:eastAsia="仿宋" w:cs="仿宋"/>
                <w:color w:val="auto"/>
                <w:szCs w:val="21"/>
                <w:highlight w:val="none"/>
              </w:rPr>
              <w:t>5</w:t>
            </w:r>
            <w:r>
              <w:rPr>
                <w:rFonts w:hint="eastAsia" w:ascii="仿宋" w:hAnsi="仿宋" w:eastAsia="仿宋" w:cs="仿宋"/>
                <w:color w:val="auto"/>
                <w:szCs w:val="21"/>
                <w:highlight w:val="none"/>
              </w:rPr>
              <w:t>分，每缺一个要素扣</w:t>
            </w:r>
            <w:r>
              <w:rPr>
                <w:rFonts w:ascii="仿宋" w:hAnsi="仿宋" w:eastAsia="仿宋" w:cs="仿宋"/>
                <w:color w:val="auto"/>
                <w:szCs w:val="21"/>
                <w:highlight w:val="none"/>
              </w:rPr>
              <w:t>2.5</w:t>
            </w:r>
            <w:r>
              <w:rPr>
                <w:rFonts w:hint="eastAsia" w:ascii="仿宋" w:hAnsi="仿宋" w:eastAsia="仿宋" w:cs="仿宋"/>
                <w:color w:val="auto"/>
                <w:szCs w:val="21"/>
                <w:highlight w:val="none"/>
              </w:rPr>
              <w:t>分，每个要素里每有一处内容缺陷扣1分（扣完为止）。</w:t>
            </w:r>
          </w:p>
        </w:tc>
      </w:tr>
      <w:tr w14:paraId="4946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88" w:type="pct"/>
            <w:tcMar>
              <w:top w:w="0" w:type="dxa"/>
              <w:left w:w="108" w:type="dxa"/>
              <w:bottom w:w="0" w:type="dxa"/>
              <w:right w:w="108" w:type="dxa"/>
            </w:tcMar>
            <w:vAlign w:val="center"/>
          </w:tcPr>
          <w:p w14:paraId="345BE583">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527" w:type="pct"/>
            <w:tcMar>
              <w:top w:w="0" w:type="dxa"/>
              <w:left w:w="108" w:type="dxa"/>
              <w:bottom w:w="0" w:type="dxa"/>
              <w:right w:w="108" w:type="dxa"/>
            </w:tcMar>
            <w:vAlign w:val="center"/>
          </w:tcPr>
          <w:p w14:paraId="7134C4C5">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应急预案</w:t>
            </w:r>
          </w:p>
        </w:tc>
        <w:tc>
          <w:tcPr>
            <w:tcW w:w="408" w:type="pct"/>
            <w:tcMar>
              <w:top w:w="0" w:type="dxa"/>
              <w:left w:w="108" w:type="dxa"/>
              <w:bottom w:w="0" w:type="dxa"/>
              <w:right w:w="108" w:type="dxa"/>
            </w:tcMar>
            <w:vAlign w:val="center"/>
          </w:tcPr>
          <w:p w14:paraId="2BE9C6C1">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3775" w:type="pct"/>
            <w:tcMar>
              <w:top w:w="0" w:type="dxa"/>
              <w:left w:w="108" w:type="dxa"/>
              <w:bottom w:w="0" w:type="dxa"/>
              <w:right w:w="108" w:type="dxa"/>
            </w:tcMar>
            <w:vAlign w:val="center"/>
          </w:tcPr>
          <w:p w14:paraId="03DFA562">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应急预案</w:t>
            </w:r>
            <w:r>
              <w:rPr>
                <w:rFonts w:hint="eastAsia" w:ascii="仿宋" w:hAnsi="仿宋" w:eastAsia="仿宋" w:cs="仿宋"/>
                <w:color w:val="auto"/>
                <w:szCs w:val="21"/>
                <w:highlight w:val="none"/>
              </w:rPr>
              <w:t>包括但不限于：①风险预防措施，②应急响应流程；</w:t>
            </w:r>
            <w:r>
              <w:rPr>
                <w:rFonts w:hint="eastAsia" w:ascii="仿宋" w:hAnsi="仿宋" w:eastAsia="仿宋" w:cs="仿宋"/>
                <w:color w:val="auto"/>
                <w:kern w:val="0"/>
                <w:szCs w:val="21"/>
                <w:highlight w:val="none"/>
              </w:rPr>
              <w:t>2部分要素。</w:t>
            </w:r>
          </w:p>
          <w:p w14:paraId="2EC4ECB8">
            <w:pP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所有要素齐全且完全满足项目要求得4分，每缺一个要素扣2分，每个要素里每有一处内容缺陷扣1分（扣完为止）。</w:t>
            </w:r>
          </w:p>
        </w:tc>
      </w:tr>
      <w:tr w14:paraId="42FD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88" w:type="pct"/>
            <w:tcMar>
              <w:top w:w="0" w:type="dxa"/>
              <w:left w:w="108" w:type="dxa"/>
              <w:bottom w:w="0" w:type="dxa"/>
              <w:right w:w="108" w:type="dxa"/>
            </w:tcMar>
            <w:vAlign w:val="center"/>
          </w:tcPr>
          <w:p w14:paraId="560EB1FC">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527" w:type="pct"/>
            <w:tcMar>
              <w:top w:w="0" w:type="dxa"/>
              <w:left w:w="108" w:type="dxa"/>
              <w:bottom w:w="0" w:type="dxa"/>
              <w:right w:w="108" w:type="dxa"/>
            </w:tcMar>
            <w:vAlign w:val="center"/>
          </w:tcPr>
          <w:p w14:paraId="40B70767">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培训方案</w:t>
            </w:r>
          </w:p>
        </w:tc>
        <w:tc>
          <w:tcPr>
            <w:tcW w:w="408" w:type="pct"/>
            <w:tcMar>
              <w:top w:w="0" w:type="dxa"/>
              <w:left w:w="108" w:type="dxa"/>
              <w:bottom w:w="0" w:type="dxa"/>
              <w:right w:w="108" w:type="dxa"/>
            </w:tcMar>
            <w:vAlign w:val="center"/>
          </w:tcPr>
          <w:p w14:paraId="20CE6EFE">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3775" w:type="pct"/>
            <w:tcMar>
              <w:top w:w="0" w:type="dxa"/>
              <w:left w:w="108" w:type="dxa"/>
              <w:bottom w:w="0" w:type="dxa"/>
              <w:right w:w="108" w:type="dxa"/>
            </w:tcMar>
            <w:vAlign w:val="center"/>
          </w:tcPr>
          <w:p w14:paraId="2F81D2B4">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培训方案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①培训计划，②培训内容；2部分要素。</w:t>
            </w:r>
          </w:p>
          <w:p w14:paraId="37887BCF">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所有要素齐全且完全满足项目要求得4分，每缺一个要素扣2分，每个要素里每有一处内容缺陷扣1分（扣完为止）。</w:t>
            </w:r>
          </w:p>
        </w:tc>
      </w:tr>
      <w:tr w14:paraId="03C5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88" w:type="pct"/>
            <w:tcMar>
              <w:top w:w="0" w:type="dxa"/>
              <w:left w:w="108" w:type="dxa"/>
              <w:bottom w:w="0" w:type="dxa"/>
              <w:right w:w="108" w:type="dxa"/>
            </w:tcMar>
            <w:vAlign w:val="center"/>
          </w:tcPr>
          <w:p w14:paraId="287D1E9B">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527" w:type="pct"/>
            <w:tcMar>
              <w:top w:w="0" w:type="dxa"/>
              <w:left w:w="108" w:type="dxa"/>
              <w:bottom w:w="0" w:type="dxa"/>
              <w:right w:w="108" w:type="dxa"/>
            </w:tcMar>
            <w:vAlign w:val="center"/>
          </w:tcPr>
          <w:p w14:paraId="06395B72">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p>
        </w:tc>
        <w:tc>
          <w:tcPr>
            <w:tcW w:w="408" w:type="pct"/>
            <w:tcMar>
              <w:top w:w="0" w:type="dxa"/>
              <w:left w:w="108" w:type="dxa"/>
              <w:bottom w:w="0" w:type="dxa"/>
              <w:right w:w="108" w:type="dxa"/>
            </w:tcMar>
            <w:vAlign w:val="center"/>
          </w:tcPr>
          <w:p w14:paraId="6594B0F0">
            <w:pPr>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6</w:t>
            </w:r>
          </w:p>
        </w:tc>
        <w:tc>
          <w:tcPr>
            <w:tcW w:w="3775" w:type="pct"/>
            <w:tcMar>
              <w:top w:w="0" w:type="dxa"/>
              <w:left w:w="108" w:type="dxa"/>
              <w:bottom w:w="0" w:type="dxa"/>
              <w:right w:w="108" w:type="dxa"/>
            </w:tcMar>
            <w:vAlign w:val="center"/>
          </w:tcPr>
          <w:p w14:paraId="27737913">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①质量\非质量问题退换方案及时效，②</w:t>
            </w:r>
            <w:r>
              <w:rPr>
                <w:rFonts w:hint="eastAsia" w:ascii="仿宋" w:hAnsi="仿宋" w:eastAsia="仿宋" w:cs="仿宋"/>
                <w:color w:val="auto"/>
                <w:szCs w:val="21"/>
                <w:highlight w:val="none"/>
              </w:rPr>
              <w:t>备品备件，③</w:t>
            </w:r>
            <w:r>
              <w:rPr>
                <w:rFonts w:hint="eastAsia" w:ascii="仿宋" w:hAnsi="仿宋" w:eastAsia="仿宋" w:cs="仿宋"/>
                <w:color w:val="auto"/>
                <w:kern w:val="0"/>
                <w:szCs w:val="21"/>
                <w:highlight w:val="none"/>
              </w:rPr>
              <w:t>故障维修处理措施；3部分要素。</w:t>
            </w:r>
          </w:p>
          <w:p w14:paraId="7E89E3BD">
            <w:pPr>
              <w:spacing w:line="360" w:lineRule="auto"/>
              <w:ind w:firstLine="420" w:firstLineChars="200"/>
              <w:rPr>
                <w:rFonts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w:t>
            </w:r>
            <w:r>
              <w:rPr>
                <w:rFonts w:ascii="仿宋" w:hAnsi="仿宋" w:eastAsia="仿宋" w:cs="仿宋"/>
                <w:color w:val="auto"/>
                <w:szCs w:val="21"/>
                <w:highlight w:val="none"/>
              </w:rPr>
              <w:t>6</w:t>
            </w:r>
            <w:r>
              <w:rPr>
                <w:rFonts w:hint="eastAsia" w:ascii="仿宋" w:hAnsi="仿宋" w:eastAsia="仿宋" w:cs="仿宋"/>
                <w:color w:val="auto"/>
                <w:szCs w:val="21"/>
                <w:highlight w:val="none"/>
              </w:rPr>
              <w:t>分，每缺一个要素扣</w:t>
            </w:r>
            <w:r>
              <w:rPr>
                <w:rFonts w:ascii="仿宋" w:hAnsi="仿宋" w:eastAsia="仿宋" w:cs="仿宋"/>
                <w:color w:val="auto"/>
                <w:szCs w:val="21"/>
                <w:highlight w:val="none"/>
              </w:rPr>
              <w:t>2</w:t>
            </w:r>
            <w:r>
              <w:rPr>
                <w:rFonts w:hint="eastAsia" w:ascii="仿宋" w:hAnsi="仿宋" w:eastAsia="仿宋" w:cs="仿宋"/>
                <w:color w:val="auto"/>
                <w:szCs w:val="21"/>
                <w:highlight w:val="none"/>
              </w:rPr>
              <w:t>分，每个要素里每有一处内容缺陷扣</w:t>
            </w:r>
            <w:r>
              <w:rPr>
                <w:rFonts w:ascii="仿宋" w:hAnsi="仿宋" w:eastAsia="仿宋" w:cs="仿宋"/>
                <w:color w:val="auto"/>
                <w:szCs w:val="21"/>
                <w:highlight w:val="none"/>
              </w:rPr>
              <w:t>1</w:t>
            </w:r>
            <w:r>
              <w:rPr>
                <w:rFonts w:hint="eastAsia" w:ascii="仿宋" w:hAnsi="仿宋" w:eastAsia="仿宋" w:cs="仿宋"/>
                <w:color w:val="auto"/>
                <w:szCs w:val="21"/>
                <w:highlight w:val="none"/>
              </w:rPr>
              <w:t>分（扣完为止）。</w:t>
            </w:r>
          </w:p>
        </w:tc>
      </w:tr>
      <w:tr w14:paraId="1E294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816" w:type="pct"/>
            <w:gridSpan w:val="2"/>
            <w:tcMar>
              <w:top w:w="0" w:type="dxa"/>
              <w:left w:w="108" w:type="dxa"/>
              <w:bottom w:w="0" w:type="dxa"/>
              <w:right w:w="108" w:type="dxa"/>
            </w:tcMar>
            <w:vAlign w:val="center"/>
          </w:tcPr>
          <w:p w14:paraId="6411A238">
            <w:pPr>
              <w:spacing w:line="360" w:lineRule="auto"/>
              <w:ind w:left="-105" w:leftChars="-50" w:right="-105" w:rightChars="-50"/>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小计</w:t>
            </w:r>
          </w:p>
        </w:tc>
        <w:tc>
          <w:tcPr>
            <w:tcW w:w="408" w:type="pct"/>
            <w:tcMar>
              <w:top w:w="0" w:type="dxa"/>
              <w:left w:w="108" w:type="dxa"/>
              <w:bottom w:w="0" w:type="dxa"/>
              <w:right w:w="108" w:type="dxa"/>
            </w:tcMar>
            <w:vAlign w:val="center"/>
          </w:tcPr>
          <w:p w14:paraId="55F86BB4">
            <w:pPr>
              <w:spacing w:line="360"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70</w:t>
            </w:r>
          </w:p>
        </w:tc>
        <w:tc>
          <w:tcPr>
            <w:tcW w:w="3775" w:type="pct"/>
            <w:tcMar>
              <w:top w:w="0" w:type="dxa"/>
              <w:left w:w="108" w:type="dxa"/>
              <w:bottom w:w="0" w:type="dxa"/>
              <w:right w:w="108" w:type="dxa"/>
            </w:tcMar>
            <w:vAlign w:val="center"/>
          </w:tcPr>
          <w:p w14:paraId="50D537FB">
            <w:pPr>
              <w:spacing w:line="360" w:lineRule="auto"/>
              <w:ind w:firstLine="420" w:firstLineChars="200"/>
              <w:rPr>
                <w:rFonts w:ascii="仿宋" w:hAnsi="仿宋" w:eastAsia="仿宋" w:cs="仿宋"/>
                <w:color w:val="auto"/>
                <w:szCs w:val="21"/>
                <w:highlight w:val="none"/>
              </w:rPr>
            </w:pPr>
          </w:p>
        </w:tc>
      </w:tr>
      <w:tr w14:paraId="580B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5000" w:type="pct"/>
            <w:gridSpan w:val="4"/>
            <w:tcMar>
              <w:top w:w="0" w:type="dxa"/>
              <w:left w:w="108" w:type="dxa"/>
              <w:bottom w:w="0" w:type="dxa"/>
              <w:right w:w="108" w:type="dxa"/>
            </w:tcMar>
            <w:vAlign w:val="center"/>
          </w:tcPr>
          <w:p w14:paraId="073107D6">
            <w:pPr>
              <w:spacing w:line="360" w:lineRule="auto"/>
              <w:ind w:firstLine="420" w:firstLineChars="200"/>
              <w:rPr>
                <w:rFonts w:ascii="仿宋" w:hAnsi="仿宋" w:eastAsia="仿宋" w:cs="仿宋"/>
                <w:color w:val="auto"/>
                <w:szCs w:val="21"/>
                <w:highlight w:val="none"/>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3F98D929">
      <w:pPr>
        <w:rPr>
          <w:rFonts w:ascii="仿宋" w:hAnsi="仿宋" w:eastAsia="仿宋" w:cs="仿宋"/>
          <w:b/>
          <w:color w:val="auto"/>
          <w:szCs w:val="24"/>
          <w:highlight w:val="none"/>
        </w:rPr>
      </w:pPr>
    </w:p>
    <w:p w14:paraId="415444B7">
      <w:pPr>
        <w:rPr>
          <w:rFonts w:ascii="仿宋" w:hAnsi="仿宋" w:eastAsia="仿宋" w:cs="仿宋"/>
          <w:color w:val="auto"/>
          <w:highlight w:val="none"/>
        </w:rPr>
      </w:pPr>
    </w:p>
    <w:p w14:paraId="58DCFEF7">
      <w:pPr>
        <w:rPr>
          <w:rFonts w:ascii="仿宋" w:hAnsi="仿宋" w:eastAsia="仿宋" w:cs="仿宋"/>
          <w:color w:val="auto"/>
          <w:highlight w:val="none"/>
        </w:rPr>
      </w:pPr>
    </w:p>
    <w:p w14:paraId="312E2572">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62" w:name="_Toc20365"/>
      <w:r>
        <w:rPr>
          <w:rFonts w:hint="eastAsia" w:ascii="仿宋" w:hAnsi="仿宋" w:eastAsia="仿宋" w:cs="仿宋"/>
          <w:b/>
          <w:color w:val="auto"/>
          <w:sz w:val="24"/>
          <w:szCs w:val="24"/>
          <w:highlight w:val="none"/>
        </w:rPr>
        <w:t>一、评标方法</w:t>
      </w:r>
      <w:bookmarkEnd w:id="56"/>
      <w:bookmarkEnd w:id="57"/>
      <w:bookmarkEnd w:id="58"/>
      <w:bookmarkEnd w:id="62"/>
    </w:p>
    <w:p w14:paraId="525F467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本次评标采用综合评分法。评标委员会对满足招标文件实质性要求的投标文件，按照本节规定的评审标准进行评审。评标中各评委若发生意见分歧，以少数服从多数原则确定。</w:t>
      </w:r>
    </w:p>
    <w:p w14:paraId="2C1F9BC6">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63" w:name="_Toc115977388"/>
      <w:bookmarkStart w:id="64" w:name="_Toc8393"/>
      <w:bookmarkStart w:id="65" w:name="_Toc32415"/>
      <w:bookmarkStart w:id="66" w:name="_Toc29743"/>
      <w:r>
        <w:rPr>
          <w:rFonts w:hint="eastAsia" w:ascii="仿宋" w:hAnsi="仿宋" w:eastAsia="仿宋" w:cs="仿宋"/>
          <w:b/>
          <w:color w:val="auto"/>
          <w:sz w:val="24"/>
          <w:szCs w:val="24"/>
          <w:highlight w:val="none"/>
        </w:rPr>
        <w:t>二、评审标准</w:t>
      </w:r>
      <w:bookmarkEnd w:id="63"/>
      <w:bookmarkEnd w:id="64"/>
      <w:bookmarkEnd w:id="65"/>
      <w:bookmarkEnd w:id="66"/>
    </w:p>
    <w:p w14:paraId="53A7D28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2.1资格审查：评审因素和评审标准见《资格审查标准》。</w:t>
      </w:r>
    </w:p>
    <w:p w14:paraId="68441F1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2.2完备性及符合性审查：评审因素和评审标准见《符合性审查标准》。</w:t>
      </w:r>
    </w:p>
    <w:p w14:paraId="186AA3D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 投标品牌：评审因素和评审标准见本节第3.5款。</w:t>
      </w:r>
    </w:p>
    <w:p w14:paraId="4E1BE55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2.4详细评审：</w:t>
      </w:r>
    </w:p>
    <w:p w14:paraId="1F3B097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2.4.1详细评审：评审因素和评审标准见《详细评审标准》及本节第3.6款。</w:t>
      </w:r>
    </w:p>
    <w:p w14:paraId="36E6C43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投标报价评分标准：</w:t>
      </w:r>
    </w:p>
    <w:p w14:paraId="4E015AD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（1）分值构成：见评标办法前附表。</w:t>
      </w:r>
    </w:p>
    <w:p w14:paraId="250728E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（2）评标基准价的确定：见评标办法前附表。</w:t>
      </w:r>
    </w:p>
    <w:p w14:paraId="1EB7DE6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（3）投标报价得分的计算：见评标办法前附表。</w:t>
      </w:r>
    </w:p>
    <w:p w14:paraId="0EDB3A9C">
      <w:pPr>
        <w:tabs>
          <w:tab w:val="center" w:pos="4832"/>
          <w:tab w:val="left" w:pos="7140"/>
        </w:tabs>
        <w:spacing w:line="360" w:lineRule="auto"/>
        <w:ind w:firstLine="472" w:firstLineChars="196"/>
        <w:jc w:val="left"/>
        <w:outlineLvl w:val="1"/>
        <w:rPr>
          <w:rFonts w:ascii="仿宋" w:hAnsi="仿宋" w:eastAsia="仿宋" w:cs="仿宋"/>
          <w:b/>
          <w:color w:val="auto"/>
          <w:sz w:val="24"/>
          <w:szCs w:val="24"/>
          <w:highlight w:val="none"/>
        </w:rPr>
      </w:pPr>
      <w:bookmarkStart w:id="67" w:name="_Toc9604"/>
      <w:bookmarkStart w:id="68" w:name="_Toc17046"/>
      <w:bookmarkStart w:id="69" w:name="_Toc24086"/>
      <w:bookmarkStart w:id="70" w:name="_Toc115977389"/>
      <w:r>
        <w:rPr>
          <w:rFonts w:hint="eastAsia" w:ascii="仿宋" w:hAnsi="仿宋" w:eastAsia="仿宋" w:cs="仿宋"/>
          <w:b/>
          <w:color w:val="auto"/>
          <w:sz w:val="24"/>
          <w:szCs w:val="24"/>
          <w:highlight w:val="none"/>
        </w:rPr>
        <w:t>三、评标程序</w:t>
      </w:r>
      <w:bookmarkEnd w:id="67"/>
      <w:bookmarkEnd w:id="68"/>
      <w:bookmarkEnd w:id="69"/>
      <w:bookmarkEnd w:id="70"/>
    </w:p>
    <w:p w14:paraId="0B64207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基本程序</w:t>
      </w:r>
    </w:p>
    <w:p w14:paraId="1B3DDB4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评标活动将按以下步骤进行：</w:t>
      </w:r>
    </w:p>
    <w:p w14:paraId="2F131F05">
      <w:pPr>
        <w:pStyle w:val="199"/>
        <w:widowControl/>
        <w:numPr>
          <w:ilvl w:val="0"/>
          <w:numId w:val="1"/>
        </w:numPr>
        <w:shd w:val="clear" w:color="auto" w:fill="FFFFFF"/>
        <w:snapToGrid w:val="0"/>
        <w:spacing w:line="360" w:lineRule="auto"/>
        <w:ind w:firstLineChars="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评标准备</w:t>
      </w:r>
    </w:p>
    <w:p w14:paraId="0B99DAF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 资格审查</w:t>
      </w:r>
    </w:p>
    <w:p w14:paraId="2870CDA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 完备性及符合性审查</w:t>
      </w:r>
    </w:p>
    <w:p w14:paraId="0A8F514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 投标品牌统计</w:t>
      </w:r>
    </w:p>
    <w:p w14:paraId="372E963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 详细评审</w:t>
      </w:r>
    </w:p>
    <w:p w14:paraId="1145B25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 澄清、说明或补正</w:t>
      </w:r>
    </w:p>
    <w:p w14:paraId="39D899B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 推荐中标候选人及提交评标报告</w:t>
      </w:r>
    </w:p>
    <w:p w14:paraId="458CD11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评标准备</w:t>
      </w:r>
    </w:p>
    <w:p w14:paraId="463E95F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3.2.1评标委员会成员签到</w:t>
      </w:r>
    </w:p>
    <w:p w14:paraId="6A0BA4B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评标委员会成员到达评标现场时应当在签到表上签到以证明其出席。</w:t>
      </w:r>
    </w:p>
    <w:p w14:paraId="5BBB73C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评标委员会的分工</w:t>
      </w:r>
    </w:p>
    <w:p w14:paraId="415544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3.2.2.1评标委员会首先推选一名评标委员会主任。评标委员会主任负责评标活动的组织领导工作。评标委员会主任与评标委员会其它成员具有同等的评标权力。</w:t>
      </w:r>
    </w:p>
    <w:p w14:paraId="7F35A15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3.2.2.2 评标委员会主任除履行自己作为评标委员会成员独立评标的职责外，主要负责以下工作：</w:t>
      </w:r>
    </w:p>
    <w:p w14:paraId="477B2E7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（1）组织评标委员会成员学习招标文件；</w:t>
      </w:r>
    </w:p>
    <w:p w14:paraId="5BB27D5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（2）汇总各评标委员会成员认为需要投标人澄清、说明或者补正的问题；</w:t>
      </w:r>
    </w:p>
    <w:p w14:paraId="697F8B4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（3）组织评标委员会对投标人质询并对投标人的答复进行评审；</w:t>
      </w:r>
    </w:p>
    <w:p w14:paraId="5D10369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（4）对出现较大争议的事项进行书面记录；</w:t>
      </w:r>
    </w:p>
    <w:p w14:paraId="520AC6A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（5）组织收回评标过程中使用的文件、表格和评标记录以及其它资料，并查验评标记录的完整性及有效性；</w:t>
      </w:r>
    </w:p>
    <w:p w14:paraId="0273A3F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（6）组织对评标结论进行复核确认；</w:t>
      </w:r>
    </w:p>
    <w:p w14:paraId="29656C5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（7）组织编写评标报告。</w:t>
      </w:r>
    </w:p>
    <w:p w14:paraId="32FAB90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熟悉文件资料</w:t>
      </w:r>
    </w:p>
    <w:p w14:paraId="5799F7F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3.2.3.1 评标委员会主任应当组织评标委员会成员认真研究招标文件，了解和熟悉招标目的、招标范围、技术标准和要求，掌握评标标准和方法。</w:t>
      </w:r>
    </w:p>
    <w:p w14:paraId="48CAD38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3.2.3.2 采购人或采购代理机构应当向评标委员会提供评标所需的信息和数据，包括：</w:t>
      </w:r>
    </w:p>
    <w:p w14:paraId="282224E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（1）招标文件及其澄清修改等招标文件补充；</w:t>
      </w:r>
    </w:p>
    <w:p w14:paraId="40EFA97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（2）未在开标会上当场拒绝的各投标文件；</w:t>
      </w:r>
    </w:p>
    <w:p w14:paraId="4544D60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（3）开标会记录；</w:t>
      </w:r>
    </w:p>
    <w:p w14:paraId="7CD3B34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（4）评标表格；</w:t>
      </w:r>
    </w:p>
    <w:p w14:paraId="60921B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（5）其它信息和数据。</w:t>
      </w:r>
    </w:p>
    <w:p w14:paraId="6037482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3.3资格审查</w:t>
      </w:r>
    </w:p>
    <w:p w14:paraId="43D739B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依据本章规定的评审因素和审查标准，对投标人的资格审查资料进行资格审查。资格审查有一项未通过审查标准，采购人将认定整个投标文件不响应招标文件而否决其投标，并且不允许投标人通过修改或撤销其不符合要求的差异或保留，使之成为具有响应性的投标。</w:t>
      </w:r>
    </w:p>
    <w:p w14:paraId="32CEC50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3.4完备性及符合性审查</w:t>
      </w:r>
    </w:p>
    <w:p w14:paraId="41696E5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评标委员依据本章规定的评审因素和评审标准，对投标人的投标文件进行完备性及符合性审查。完备性及符合性审查有一项未通过评审标准，评标委员会将认定整个投标文件不响应招标文件而否决其投标，并且不允许投标人通过修改或撤销其不符合要求的差异或保留，使之成为具有响应性的投标。</w:t>
      </w:r>
    </w:p>
    <w:p w14:paraId="04B9EBE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 完备性及符合性审查条款是指对本招标项目产生了重大影响的重大偏差，而且纠正此类偏差将会对响应本次招标的其它投标人的竞争地位产生不公正的影响。</w:t>
      </w:r>
    </w:p>
    <w:p w14:paraId="6B9C960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细微偏差是指投标文件在实质上响应招标文件要求，但在个别地方存在疏漏或者提供了不完整的技术信息和数据等情况，并且补正这些遗漏和不完整不会对其它投标人造成不公平的结果。细微偏差不影响投标文件的有效性，评标委员会可要求存在细微偏差的投标人予以补正。</w:t>
      </w:r>
    </w:p>
    <w:p w14:paraId="713537F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3.4.4政府采购评审中出现下列情形之一的，评审委员会应当启动异常低价投标审查程序：</w:t>
      </w:r>
    </w:p>
    <w:p w14:paraId="21B1682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（1）投标报价低于全部通过符合性审查投标人投标报价平均值50%的，即投标报价&lt;全部通过符合性审查投标人投标报价平均值×50%；</w:t>
      </w:r>
    </w:p>
    <w:p w14:paraId="2DF4B30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（2）投标报价低于通过符合性审查的次低报价投标人投标报价50%的，即投标报价&lt;通过符合性审查的次低报价投标人投标报价×50%；</w:t>
      </w:r>
    </w:p>
    <w:p w14:paraId="1F83C7E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（3）投标报价低于采购项目最高限价45%的，即投标报价&lt;采购项目最高限价×45%；</w:t>
      </w:r>
    </w:p>
    <w:p w14:paraId="1D9834D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（4）评审委员会基于专业判断，认为投标人报价过低，有可能影响产品质量或者不能诚信履约的其他情形。</w:t>
      </w:r>
    </w:p>
    <w:p w14:paraId="7330131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评审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投标人已随投标文件一并提交相关书面说明及必要的证明材料的，在评审现场可不再重复提交。</w:t>
      </w:r>
    </w:p>
    <w:p w14:paraId="16594448">
      <w:pPr>
        <w:widowControl/>
        <w:shd w:val="clear" w:color="auto" w:fill="FFFFFF"/>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kern w:val="0"/>
          <w:sz w:val="24"/>
          <w:szCs w:val="24"/>
          <w:highlight w:val="none"/>
        </w:rPr>
        <w:t>3.4.6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799D396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投标品牌统计</w:t>
      </w:r>
    </w:p>
    <w:p w14:paraId="1FB0D81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3.5.1.由评标委员会根据投标人所报核心产品品牌统计计算投标人家数。</w:t>
      </w:r>
    </w:p>
    <w:p w14:paraId="5E5E23D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3.5.2如招标文件前附表中约定了单一产品或核心产品，则提供相同品牌产品且通过资格审查、完备性及符合性审查的不同投标人参加同一合同项下投标的，按一家投标人计算。</w:t>
      </w:r>
    </w:p>
    <w:p w14:paraId="5C92189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3.6详细评审</w:t>
      </w:r>
    </w:p>
    <w:p w14:paraId="6BC6541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3.6.1.只有通过了资格审查、完备性及符合性审查且投标品牌不少于3个方可进入详细评审。</w:t>
      </w:r>
    </w:p>
    <w:p w14:paraId="3295AEA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 澄清、说明和补正</w:t>
      </w:r>
    </w:p>
    <w:p w14:paraId="335A3FD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3.6.2.1在不改变投标人投标文件实质性内容的前提下，评标委员会应当对投标文件进行基础性数据分析和整理，从而发现并提取其中可能存在的对招标范围理解的偏差、技术响应偏离、投标价格的算术性错误、错漏项、投标价格构成不合理、不平衡报价等存在明显异常的问题。</w:t>
      </w:r>
    </w:p>
    <w:p w14:paraId="2851038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3.6.2.2澄清、说明和补正内容不得改变投标文件的实质性内容（算术性错误修正的除外）。投标人的书面澄清、说明和补正属于投标文件的组成部分。</w:t>
      </w:r>
    </w:p>
    <w:p w14:paraId="4700869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3.6.2.3评标委员会针对需要投标人对所提交投标文件中不明确的内容进行书面澄清、说明或补正。澄清通知不得向投标人提出带有暗示性或诱导性问题，或向其明确投标文件中的遗漏和错误。投标人接到评标委员会发出的书面澄清通知后，应按评标委员会的要求提供书面澄清资料，并在规定的时间递交到指定地点。评标委员会不接受投标人主动提出的澄清、说明或补正。</w:t>
      </w:r>
    </w:p>
    <w:p w14:paraId="7A382C1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3.6.2.4评标委员会对投标人提交的澄清、说明或补正有疑问的，可以要求投标人进一步澄清、说明或补正，直至满足评标委员会的要求。</w:t>
      </w:r>
    </w:p>
    <w:p w14:paraId="57FF608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3.6.3评委评分：评委按照《详细评审标准》评分，投标人详细评审得分等于全部评委评分的算术平均值。</w:t>
      </w:r>
    </w:p>
    <w:p w14:paraId="7B2687C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 算术错误修正：投标价格有算术错误或前后不一致的，评标委员会按以下原则对投标价格进行修正：</w:t>
      </w:r>
    </w:p>
    <w:p w14:paraId="1034101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3.6.4.1电子交易平台中报价与投标文件相应内容不一致的，以投标文件为准；</w:t>
      </w:r>
    </w:p>
    <w:p w14:paraId="38596BA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3.6.4.2开标一览表与投标文件中相应内容不一致的，以开标一览表为准；</w:t>
      </w:r>
    </w:p>
    <w:p w14:paraId="59842C8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3.6.4.3大写金额和小写金额不一致的，以大写金额为准；</w:t>
      </w:r>
    </w:p>
    <w:p w14:paraId="3EAD13B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3.6.4.4单价金额小数点或者百分比有明显错位的，以开标一览表的总价为准，并修改单价；</w:t>
      </w:r>
    </w:p>
    <w:p w14:paraId="10DABAD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3.6.4.5总价金额与按单价汇总金额不一致的，以单价金额计算结果为准。</w:t>
      </w:r>
    </w:p>
    <w:p w14:paraId="323F602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同时出现两种以上不一致的，按照3.6.4.1—3.6.4.5的顺序修正。修正后的报价经投标人确认后产生约束力，投标人不确认或不接受的，其投标无效。</w:t>
      </w:r>
    </w:p>
    <w:p w14:paraId="445907B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3.6.5投标报价评分：对投标报价进行投标报价得分计算，计算方法详见评标办法前附表。</w:t>
      </w:r>
    </w:p>
    <w:p w14:paraId="2689FD3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3.6.6汇总评分结果，评分分值计算保留小数点后两位，小数点后第三位“四舍五入”。</w:t>
      </w:r>
    </w:p>
    <w:p w14:paraId="16C47CA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3.6.7详细评审工作全部结束后，投标人总得分排序按照以下原则进行。</w:t>
      </w:r>
    </w:p>
    <w:p w14:paraId="0AEFD43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3.6.7.1按照总得分由高到低顺序对投标人进行排序；</w:t>
      </w:r>
    </w:p>
    <w:p w14:paraId="2DABF90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3.6.7.2总得分相同时报价低的投标人排序靠前；</w:t>
      </w:r>
    </w:p>
    <w:p w14:paraId="397D2EE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3.6.7.3总得分相同且报价相同的同品牌投标人，由采购人确定排序顺序；</w:t>
      </w:r>
    </w:p>
    <w:p w14:paraId="127C1D1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3.6.7.4总得分相同且报价相同的不同品牌投标人，采取随机抽取方式确定排序顺序。</w:t>
      </w:r>
    </w:p>
    <w:p w14:paraId="3E74F3C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3.7推荐中标候选人及提交评标报告</w:t>
      </w:r>
    </w:p>
    <w:p w14:paraId="27B87C1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3.7.1评标委员会推荐中标候选人，总得分排序第一的投标人将被确定为第一中标候选人（总得分排序最高的同品牌投标人获得中标候选人推荐资格，其它同品牌投标人不作为中标候选人），以此类推确定出规定数量的的中标候选人。</w:t>
      </w:r>
    </w:p>
    <w:p w14:paraId="6B7C9E8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3.7.2当通过了资格审查、完备性及符合性审查后，投标品牌少于3个时，采购人应当依法重新招标。</w:t>
      </w:r>
    </w:p>
    <w:p w14:paraId="26DA484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3.7.3 评标委员会完成评标后，应当向采购人提交书面评标报告。</w:t>
      </w:r>
    </w:p>
    <w:p w14:paraId="1F14B91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3.8特殊情况的处置程序</w:t>
      </w:r>
    </w:p>
    <w:p w14:paraId="790CAE1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3.8.1 关于评标活动暂停</w:t>
      </w:r>
    </w:p>
    <w:p w14:paraId="7680B92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应当执行连续评标的原则，按评标办法中规定的程序、内容、方法、标准完成全部评标工作。只有发生不可抗力导致评标工作无法继续时，评标活动方可暂停。发生评标暂停情况时，应当封存全部投标文件和评标记录，待不可抗力的影响结束且具备继续评标的条件时，由原评标委员会继续评标。</w:t>
      </w:r>
    </w:p>
    <w:p w14:paraId="434BB13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3.8.2关于评标中途更换评委</w:t>
      </w:r>
    </w:p>
    <w:p w14:paraId="49DA265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3.8.2.1 除非发生下列情况之一，评标委员会成员不得在评标中途更换：</w:t>
      </w:r>
    </w:p>
    <w:p w14:paraId="50FD49D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（1）因不可抗拒的客观原因，不能到场或需在评标中途退出评标活动。</w:t>
      </w:r>
    </w:p>
    <w:p w14:paraId="2005C6F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（2）根据法律法规规定，某个或某几个评标委员会成员需要回避。</w:t>
      </w:r>
    </w:p>
    <w:p w14:paraId="18ADFA9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3.8.2.2 退出评标的评标委员会成员，其已完成的评标行为无效，由更换的评委进行评标。</w:t>
      </w:r>
    </w:p>
    <w:p w14:paraId="65737A6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3.8.3 在评标环节中，需评标委员会就某项定性的评审结论做出表决的，由评标委员会全体成员按照少数服从多数的原则确定。</w:t>
      </w:r>
    </w:p>
    <w:bookmarkEnd w:id="59"/>
    <w:p w14:paraId="1A2B8B73">
      <w:pP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3917FF0">
      <w:pPr>
        <w:spacing w:line="440" w:lineRule="exact"/>
        <w:jc w:val="center"/>
        <w:outlineLvl w:val="0"/>
        <w:rPr>
          <w:rFonts w:ascii="仿宋" w:hAnsi="仿宋" w:eastAsia="仿宋" w:cs="仿宋"/>
          <w:b/>
          <w:color w:val="auto"/>
          <w:sz w:val="24"/>
          <w:szCs w:val="24"/>
          <w:highlight w:val="none"/>
        </w:rPr>
      </w:pPr>
      <w:bookmarkStart w:id="71" w:name="_Toc27176"/>
      <w:bookmarkStart w:id="72" w:name="_Toc24957"/>
      <w:r>
        <w:rPr>
          <w:rFonts w:hint="eastAsia" w:ascii="仿宋" w:hAnsi="仿宋" w:eastAsia="仿宋" w:cs="仿宋"/>
          <w:b/>
          <w:color w:val="auto"/>
          <w:sz w:val="24"/>
          <w:szCs w:val="24"/>
          <w:highlight w:val="none"/>
        </w:rPr>
        <w:t>第三章 合同文本</w:t>
      </w:r>
      <w:bookmarkEnd w:id="71"/>
      <w:bookmarkEnd w:id="72"/>
    </w:p>
    <w:p w14:paraId="4FE5E6C3">
      <w:pPr>
        <w:rPr>
          <w:rFonts w:ascii="仿宋" w:hAnsi="仿宋" w:eastAsia="仿宋" w:cs="仿宋"/>
          <w:color w:val="auto"/>
          <w:highlight w:val="none"/>
        </w:rPr>
      </w:pPr>
    </w:p>
    <w:p w14:paraId="41D2B91B">
      <w:pPr>
        <w:pStyle w:val="8"/>
        <w:spacing w:line="360" w:lineRule="auto"/>
        <w:ind w:firstLine="0" w:firstLineChars="0"/>
        <w:jc w:val="center"/>
        <w:rPr>
          <w:rFonts w:ascii="仿宋" w:hAnsi="仿宋" w:eastAsia="仿宋" w:cs="仿宋"/>
          <w:color w:val="auto"/>
          <w:highlight w:val="none"/>
        </w:rPr>
      </w:pPr>
      <w:r>
        <w:rPr>
          <w:rFonts w:hint="eastAsia" w:ascii="仿宋" w:hAnsi="仿宋" w:eastAsia="仿宋" w:cs="仿宋"/>
          <w:color w:val="auto"/>
          <w:highlight w:val="none"/>
        </w:rPr>
        <w:t>注：本合同供参考，具体内容以双方签订的为准。</w:t>
      </w:r>
    </w:p>
    <w:p w14:paraId="4C141AB9">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甲   方：新疆农业大学</w:t>
      </w:r>
    </w:p>
    <w:p w14:paraId="3A5203D9">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乙   方： </w:t>
      </w:r>
    </w:p>
    <w:p w14:paraId="776A7119">
      <w:pPr>
        <w:pStyle w:val="32"/>
        <w:spacing w:before="0" w:beforeAutospacing="0" w:after="0" w:afterAutospacing="0" w:line="360" w:lineRule="auto"/>
        <w:ind w:left="-197" w:leftChars="-94" w:right="-172" w:rightChars="-82" w:firstLine="419"/>
        <w:rPr>
          <w:rFonts w:ascii="仿宋" w:hAnsi="仿宋" w:eastAsia="仿宋" w:cs="仿宋"/>
          <w:color w:val="auto"/>
          <w:highlight w:val="none"/>
        </w:rPr>
      </w:pPr>
      <w:r>
        <w:rPr>
          <w:rFonts w:hint="eastAsia" w:ascii="仿宋" w:hAnsi="仿宋" w:eastAsia="仿宋" w:cs="仿宋"/>
          <w:color w:val="auto"/>
          <w:highlight w:val="none"/>
        </w:rPr>
        <w:t>新疆农业大学委托</w:t>
      </w:r>
      <w:r>
        <w:rPr>
          <w:rFonts w:hint="eastAsia" w:ascii="仿宋" w:hAnsi="仿宋" w:eastAsia="仿宋" w:cs="仿宋"/>
          <w:bCs/>
          <w:color w:val="auto"/>
          <w:highlight w:val="none"/>
          <w:u w:val="single"/>
        </w:rPr>
        <w:t xml:space="preserve">       </w:t>
      </w:r>
      <w:r>
        <w:rPr>
          <w:rFonts w:hint="eastAsia" w:ascii="仿宋" w:hAnsi="仿宋" w:eastAsia="仿宋" w:cs="仿宋"/>
          <w:color w:val="auto"/>
          <w:highlight w:val="none"/>
        </w:rPr>
        <w:t>于</w:t>
      </w:r>
      <w:r>
        <w:rPr>
          <w:rFonts w:hint="eastAsia" w:ascii="仿宋" w:hAnsi="仿宋" w:eastAsia="仿宋" w:cs="仿宋"/>
          <w:color w:val="auto"/>
          <w:highlight w:val="none"/>
          <w:u w:val="single"/>
        </w:rPr>
        <w:t xml:space="preserve">  年  月  日</w:t>
      </w:r>
      <w:r>
        <w:rPr>
          <w:rFonts w:hint="eastAsia" w:ascii="仿宋" w:hAnsi="仿宋" w:eastAsia="仿宋" w:cs="仿宋"/>
          <w:color w:val="auto"/>
          <w:highlight w:val="none"/>
        </w:rPr>
        <w:t>组织的</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u w:val="single"/>
        </w:rPr>
        <w:t>项目名称</w:t>
      </w:r>
      <w:r>
        <w:rPr>
          <w:rFonts w:hint="eastAsia" w:ascii="仿宋" w:hAnsi="仿宋" w:eastAsia="仿宋" w:cs="仿宋"/>
          <w:color w:val="auto"/>
          <w:highlight w:val="none"/>
        </w:rPr>
        <w:t>的公开采购中，经评定，乙方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为中标方，最终中标总金额为人民币</w:t>
      </w:r>
      <w:r>
        <w:rPr>
          <w:rFonts w:hint="eastAsia" w:ascii="仿宋" w:hAnsi="仿宋" w:eastAsia="仿宋" w:cs="仿宋"/>
          <w:color w:val="auto"/>
          <w:highlight w:val="none"/>
          <w:u w:val="single"/>
        </w:rPr>
        <w:t>￥xxx元。</w:t>
      </w:r>
      <w:r>
        <w:rPr>
          <w:rFonts w:hint="eastAsia" w:ascii="仿宋" w:hAnsi="仿宋" w:eastAsia="仿宋" w:cs="仿宋"/>
          <w:color w:val="auto"/>
          <w:highlight w:val="none"/>
        </w:rPr>
        <w:t>根据《中华人民共和国政府采购法》和《中华人民共和国民法典》的规定，按照公平、公正、平等自愿和诚实信用、协商一致的原则，甲、乙双方授权代表就所供设备的购销、安装、调试和售后服务等事宜达成如下条款。</w:t>
      </w:r>
    </w:p>
    <w:p w14:paraId="4981C10B">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一、货物名称、型号、数量及价格</w:t>
      </w:r>
    </w:p>
    <w:tbl>
      <w:tblPr>
        <w:tblStyle w:val="38"/>
        <w:tblW w:w="9075" w:type="dxa"/>
        <w:jc w:val="center"/>
        <w:tblLayout w:type="fixed"/>
        <w:tblCellMar>
          <w:top w:w="0" w:type="dxa"/>
          <w:left w:w="0" w:type="dxa"/>
          <w:bottom w:w="0" w:type="dxa"/>
          <w:right w:w="0" w:type="dxa"/>
        </w:tblCellMar>
      </w:tblPr>
      <w:tblGrid>
        <w:gridCol w:w="682"/>
        <w:gridCol w:w="2296"/>
        <w:gridCol w:w="1830"/>
        <w:gridCol w:w="686"/>
        <w:gridCol w:w="1454"/>
        <w:gridCol w:w="1173"/>
        <w:gridCol w:w="954"/>
      </w:tblGrid>
      <w:tr w14:paraId="1816F64A">
        <w:tblPrEx>
          <w:tblCellMar>
            <w:top w:w="0" w:type="dxa"/>
            <w:left w:w="0" w:type="dxa"/>
            <w:bottom w:w="0" w:type="dxa"/>
            <w:right w:w="0" w:type="dxa"/>
          </w:tblCellMar>
        </w:tblPrEx>
        <w:trPr>
          <w:trHeight w:val="28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D7B1AB">
            <w:pPr>
              <w:widowControl/>
              <w:snapToGrid w:val="0"/>
              <w:spacing w:line="360" w:lineRule="auto"/>
              <w:jc w:val="center"/>
              <w:textAlignment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C7AB77">
            <w:pPr>
              <w:widowControl/>
              <w:snapToGrid w:val="0"/>
              <w:spacing w:line="360" w:lineRule="auto"/>
              <w:jc w:val="center"/>
              <w:textAlignment w:val="center"/>
              <w:rPr>
                <w:rFonts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货物名称</w:t>
            </w: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09AC80">
            <w:pPr>
              <w:widowControl/>
              <w:snapToGrid w:val="0"/>
              <w:spacing w:line="360" w:lineRule="auto"/>
              <w:jc w:val="center"/>
              <w:textAlignment w:val="center"/>
              <w:rPr>
                <w:rFonts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规格型号</w:t>
            </w: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2B9427">
            <w:pPr>
              <w:widowControl/>
              <w:snapToGrid w:val="0"/>
              <w:spacing w:line="360" w:lineRule="auto"/>
              <w:jc w:val="center"/>
              <w:textAlignment w:val="center"/>
              <w:rPr>
                <w:rFonts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数量</w:t>
            </w: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DF5424">
            <w:pPr>
              <w:widowControl/>
              <w:snapToGrid w:val="0"/>
              <w:spacing w:line="360" w:lineRule="auto"/>
              <w:jc w:val="center"/>
              <w:textAlignment w:val="center"/>
              <w:rPr>
                <w:rFonts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制造商</w:t>
            </w: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ABB6DB">
            <w:pPr>
              <w:widowControl/>
              <w:snapToGrid w:val="0"/>
              <w:spacing w:line="360" w:lineRule="auto"/>
              <w:jc w:val="center"/>
              <w:textAlignment w:val="center"/>
              <w:rPr>
                <w:rFonts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单价</w:t>
            </w: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92CEDF">
            <w:pPr>
              <w:widowControl/>
              <w:snapToGrid w:val="0"/>
              <w:spacing w:line="360" w:lineRule="auto"/>
              <w:jc w:val="center"/>
              <w:textAlignment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合价</w:t>
            </w:r>
          </w:p>
        </w:tc>
      </w:tr>
      <w:tr w14:paraId="613ADA63">
        <w:tblPrEx>
          <w:tblCellMar>
            <w:top w:w="0" w:type="dxa"/>
            <w:left w:w="0" w:type="dxa"/>
            <w:bottom w:w="0" w:type="dxa"/>
            <w:right w:w="0" w:type="dxa"/>
          </w:tblCellMar>
        </w:tblPrEx>
        <w:trPr>
          <w:trHeight w:val="21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F32DFA">
            <w:pPr>
              <w:widowControl/>
              <w:spacing w:line="360" w:lineRule="auto"/>
              <w:jc w:val="center"/>
              <w:textAlignment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37B964">
            <w:pPr>
              <w:widowControl/>
              <w:spacing w:line="360" w:lineRule="auto"/>
              <w:textAlignment w:val="center"/>
              <w:rPr>
                <w:rFonts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D02EE8">
            <w:pPr>
              <w:widowControl/>
              <w:spacing w:line="360" w:lineRule="auto"/>
              <w:textAlignment w:val="center"/>
              <w:rPr>
                <w:rFonts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A4649B">
            <w:pPr>
              <w:widowControl/>
              <w:spacing w:line="360" w:lineRule="auto"/>
              <w:textAlignment w:val="center"/>
              <w:rPr>
                <w:rFonts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B45E8F">
            <w:pPr>
              <w:widowControl/>
              <w:spacing w:line="360" w:lineRule="auto"/>
              <w:textAlignment w:val="center"/>
              <w:rPr>
                <w:rFonts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9C5C07">
            <w:pPr>
              <w:widowControl/>
              <w:snapToGrid w:val="0"/>
              <w:spacing w:line="360" w:lineRule="auto"/>
              <w:textAlignment w:val="center"/>
              <w:rPr>
                <w:rFonts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836EB5">
            <w:pPr>
              <w:widowControl/>
              <w:snapToGrid w:val="0"/>
              <w:spacing w:line="360" w:lineRule="auto"/>
              <w:textAlignment w:val="center"/>
              <w:rPr>
                <w:rFonts w:ascii="仿宋" w:hAnsi="仿宋" w:eastAsia="仿宋" w:cs="仿宋"/>
                <w:color w:val="auto"/>
                <w:sz w:val="24"/>
                <w:szCs w:val="24"/>
                <w:highlight w:val="none"/>
              </w:rPr>
            </w:pPr>
          </w:p>
        </w:tc>
      </w:tr>
      <w:tr w14:paraId="07EDD87C">
        <w:tblPrEx>
          <w:tblCellMar>
            <w:top w:w="0" w:type="dxa"/>
            <w:left w:w="0" w:type="dxa"/>
            <w:bottom w:w="0" w:type="dxa"/>
            <w:right w:w="0" w:type="dxa"/>
          </w:tblCellMar>
        </w:tblPrEx>
        <w:trPr>
          <w:trHeight w:val="229"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D8F07E">
            <w:pPr>
              <w:widowControl/>
              <w:spacing w:line="360" w:lineRule="auto"/>
              <w:jc w:val="center"/>
              <w:textAlignment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8ED42A">
            <w:pPr>
              <w:widowControl/>
              <w:spacing w:line="360" w:lineRule="auto"/>
              <w:textAlignment w:val="center"/>
              <w:rPr>
                <w:rFonts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6E0030">
            <w:pPr>
              <w:widowControl/>
              <w:spacing w:line="360" w:lineRule="auto"/>
              <w:textAlignment w:val="center"/>
              <w:rPr>
                <w:rFonts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09FC5E">
            <w:pPr>
              <w:widowControl/>
              <w:spacing w:line="360" w:lineRule="auto"/>
              <w:textAlignment w:val="center"/>
              <w:rPr>
                <w:rFonts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238535">
            <w:pPr>
              <w:widowControl/>
              <w:spacing w:line="360" w:lineRule="auto"/>
              <w:textAlignment w:val="center"/>
              <w:rPr>
                <w:rFonts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B9FAAD">
            <w:pPr>
              <w:widowControl/>
              <w:snapToGrid w:val="0"/>
              <w:spacing w:line="360" w:lineRule="auto"/>
              <w:textAlignment w:val="center"/>
              <w:rPr>
                <w:rFonts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D29011">
            <w:pPr>
              <w:widowControl/>
              <w:snapToGrid w:val="0"/>
              <w:spacing w:line="360" w:lineRule="auto"/>
              <w:textAlignment w:val="center"/>
              <w:rPr>
                <w:rFonts w:ascii="仿宋" w:hAnsi="仿宋" w:eastAsia="仿宋" w:cs="仿宋"/>
                <w:color w:val="auto"/>
                <w:sz w:val="24"/>
                <w:szCs w:val="24"/>
                <w:highlight w:val="none"/>
              </w:rPr>
            </w:pPr>
          </w:p>
        </w:tc>
      </w:tr>
      <w:tr w14:paraId="517E34DD">
        <w:tblPrEx>
          <w:tblCellMar>
            <w:top w:w="0" w:type="dxa"/>
            <w:left w:w="0" w:type="dxa"/>
            <w:bottom w:w="0" w:type="dxa"/>
            <w:right w:w="0" w:type="dxa"/>
          </w:tblCellMar>
        </w:tblPrEx>
        <w:trPr>
          <w:trHeight w:val="232"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96CDB6">
            <w:pPr>
              <w:widowControl/>
              <w:spacing w:line="360" w:lineRule="auto"/>
              <w:jc w:val="center"/>
              <w:textAlignment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3</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5E8F98">
            <w:pPr>
              <w:widowControl/>
              <w:spacing w:line="360" w:lineRule="auto"/>
              <w:textAlignment w:val="center"/>
              <w:rPr>
                <w:rFonts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B770D7">
            <w:pPr>
              <w:widowControl/>
              <w:spacing w:line="360" w:lineRule="auto"/>
              <w:textAlignment w:val="center"/>
              <w:rPr>
                <w:rFonts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70D1E7">
            <w:pPr>
              <w:widowControl/>
              <w:spacing w:line="360" w:lineRule="auto"/>
              <w:textAlignment w:val="center"/>
              <w:rPr>
                <w:rFonts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31770B">
            <w:pPr>
              <w:widowControl/>
              <w:spacing w:line="360" w:lineRule="auto"/>
              <w:textAlignment w:val="center"/>
              <w:rPr>
                <w:rFonts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B09898">
            <w:pPr>
              <w:widowControl/>
              <w:snapToGrid w:val="0"/>
              <w:spacing w:line="360" w:lineRule="auto"/>
              <w:textAlignment w:val="center"/>
              <w:rPr>
                <w:rFonts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DAD084">
            <w:pPr>
              <w:widowControl/>
              <w:snapToGrid w:val="0"/>
              <w:spacing w:line="360" w:lineRule="auto"/>
              <w:textAlignment w:val="center"/>
              <w:rPr>
                <w:rFonts w:ascii="仿宋" w:hAnsi="仿宋" w:eastAsia="仿宋" w:cs="仿宋"/>
                <w:color w:val="auto"/>
                <w:sz w:val="24"/>
                <w:szCs w:val="24"/>
                <w:highlight w:val="none"/>
              </w:rPr>
            </w:pPr>
          </w:p>
        </w:tc>
      </w:tr>
      <w:tr w14:paraId="04ABB09F">
        <w:tblPrEx>
          <w:tblCellMar>
            <w:top w:w="0" w:type="dxa"/>
            <w:left w:w="0" w:type="dxa"/>
            <w:bottom w:w="0" w:type="dxa"/>
            <w:right w:w="0" w:type="dxa"/>
          </w:tblCellMar>
        </w:tblPrEx>
        <w:trPr>
          <w:trHeight w:val="22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BEE51D">
            <w:pPr>
              <w:widowControl/>
              <w:spacing w:line="360" w:lineRule="auto"/>
              <w:jc w:val="center"/>
              <w:textAlignment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4</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6879C7">
            <w:pPr>
              <w:widowControl/>
              <w:spacing w:line="360" w:lineRule="auto"/>
              <w:textAlignment w:val="center"/>
              <w:rPr>
                <w:rFonts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14A508">
            <w:pPr>
              <w:widowControl/>
              <w:spacing w:line="360" w:lineRule="auto"/>
              <w:textAlignment w:val="center"/>
              <w:rPr>
                <w:rFonts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0BE04D">
            <w:pPr>
              <w:widowControl/>
              <w:spacing w:line="360" w:lineRule="auto"/>
              <w:textAlignment w:val="center"/>
              <w:rPr>
                <w:rFonts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A8ACE2">
            <w:pPr>
              <w:widowControl/>
              <w:spacing w:line="360" w:lineRule="auto"/>
              <w:textAlignment w:val="center"/>
              <w:rPr>
                <w:rFonts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FD3BD0">
            <w:pPr>
              <w:widowControl/>
              <w:snapToGrid w:val="0"/>
              <w:spacing w:line="360" w:lineRule="auto"/>
              <w:textAlignment w:val="center"/>
              <w:rPr>
                <w:rFonts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EC48A4">
            <w:pPr>
              <w:widowControl/>
              <w:snapToGrid w:val="0"/>
              <w:spacing w:line="360" w:lineRule="auto"/>
              <w:textAlignment w:val="center"/>
              <w:rPr>
                <w:rFonts w:ascii="仿宋" w:hAnsi="仿宋" w:eastAsia="仿宋" w:cs="仿宋"/>
                <w:color w:val="auto"/>
                <w:sz w:val="24"/>
                <w:szCs w:val="24"/>
                <w:highlight w:val="none"/>
              </w:rPr>
            </w:pPr>
          </w:p>
        </w:tc>
      </w:tr>
      <w:tr w14:paraId="1D8FC2F1">
        <w:tblPrEx>
          <w:tblCellMar>
            <w:top w:w="0" w:type="dxa"/>
            <w:left w:w="0" w:type="dxa"/>
            <w:bottom w:w="0" w:type="dxa"/>
            <w:right w:w="0" w:type="dxa"/>
          </w:tblCellMar>
        </w:tblPrEx>
        <w:trPr>
          <w:trHeight w:val="367" w:hRule="atLeast"/>
          <w:jc w:val="center"/>
        </w:trPr>
        <w:tc>
          <w:tcPr>
            <w:tcW w:w="9075" w:type="dxa"/>
            <w:gridSpan w:val="7"/>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49A36CBF">
            <w:pPr>
              <w:widowControl/>
              <w:snapToGrid w:val="0"/>
              <w:spacing w:line="360" w:lineRule="auto"/>
              <w:jc w:val="left"/>
              <w:textAlignment w:val="center"/>
              <w:rPr>
                <w:rFonts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总计（大写）</w:t>
            </w:r>
            <w:bookmarkStart w:id="73" w:name="_Hlk147664522"/>
            <w:r>
              <w:rPr>
                <w:rFonts w:hint="eastAsia" w:ascii="仿宋" w:hAnsi="仿宋" w:eastAsia="仿宋" w:cs="仿宋"/>
                <w:b/>
                <w:color w:val="auto"/>
                <w:kern w:val="0"/>
                <w:sz w:val="24"/>
                <w:szCs w:val="24"/>
                <w:highlight w:val="none"/>
                <w:lang w:bidi="ar"/>
              </w:rPr>
              <w:t>人民币</w:t>
            </w:r>
            <w:bookmarkEnd w:id="73"/>
            <w:r>
              <w:rPr>
                <w:rFonts w:hint="eastAsia" w:ascii="仿宋" w:hAnsi="仿宋" w:eastAsia="仿宋" w:cs="仿宋"/>
                <w:b/>
                <w:color w:val="auto"/>
                <w:kern w:val="0"/>
                <w:sz w:val="24"/>
                <w:szCs w:val="24"/>
                <w:highlight w:val="none"/>
                <w:lang w:bidi="ar"/>
              </w:rPr>
              <w:t>xxxxx   ￥xxxxxx</w:t>
            </w:r>
          </w:p>
        </w:tc>
      </w:tr>
    </w:tbl>
    <w:p w14:paraId="2F364C14">
      <w:pPr>
        <w:tabs>
          <w:tab w:val="left" w:pos="775"/>
        </w:tabs>
        <w:spacing w:line="360" w:lineRule="auto"/>
        <w:rPr>
          <w:rFonts w:ascii="仿宋" w:hAnsi="仿宋" w:eastAsia="仿宋" w:cs="仿宋"/>
          <w:b/>
          <w:color w:val="auto"/>
          <w:sz w:val="24"/>
          <w:szCs w:val="24"/>
          <w:highlight w:val="none"/>
        </w:rPr>
      </w:pPr>
    </w:p>
    <w:p w14:paraId="51115B67">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二、报价币种、合同总价</w:t>
      </w:r>
    </w:p>
    <w:p w14:paraId="21EC6AD7">
      <w:pPr>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本合同总金额为</w:t>
      </w:r>
      <w:r>
        <w:rPr>
          <w:rFonts w:hint="eastAsia" w:ascii="仿宋" w:hAnsi="仿宋" w:eastAsia="仿宋" w:cs="仿宋"/>
          <w:color w:val="auto"/>
          <w:sz w:val="24"/>
          <w:szCs w:val="24"/>
          <w:highlight w:val="none"/>
          <w:u w:val="single"/>
        </w:rPr>
        <w:t>xxxxx元，（大写人民币：xxxxxx元整）</w:t>
      </w:r>
      <w:r>
        <w:rPr>
          <w:rFonts w:hint="eastAsia" w:ascii="仿宋" w:hAnsi="仿宋" w:eastAsia="仿宋" w:cs="仿宋"/>
          <w:color w:val="auto"/>
          <w:sz w:val="24"/>
          <w:szCs w:val="24"/>
          <w:highlight w:val="none"/>
        </w:rPr>
        <w:t>，该费用包括设备、材料、安装、调试、包装、培训、运费、税费等费用。</w:t>
      </w:r>
    </w:p>
    <w:p w14:paraId="05CB8D94">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三、付款方式</w:t>
      </w:r>
    </w:p>
    <w:p w14:paraId="6D03279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1、甲方在签订合同后15个工作日内支付乙方合同总额的30%预付款，即：￥XX元（大写:XX元整）。</w:t>
      </w:r>
    </w:p>
    <w:p w14:paraId="2D12372D">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2、设备全部运抵指定地点并安装调试完毕，经采购人验收合格正常运行半年后支付合同总额的70%，即：￥XX元（大写:XX元整）。</w:t>
      </w:r>
    </w:p>
    <w:p w14:paraId="2EDB8E1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3、甲方付款时，乙方应提供同等数额的甲方认可的合法收据或发票，否则甲方有权拒绝付款，并不因此承担任何逾期付款的违约责任。</w:t>
      </w:r>
    </w:p>
    <w:p w14:paraId="37E6F2E8">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四、交货地点、时间</w:t>
      </w:r>
    </w:p>
    <w:p w14:paraId="32016CF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u w:val="single"/>
        </w:rPr>
        <w:t xml:space="preserve"> 新疆农业大学  </w:t>
      </w:r>
      <w:r>
        <w:rPr>
          <w:rFonts w:hint="eastAsia" w:ascii="仿宋" w:hAnsi="仿宋" w:eastAsia="仿宋" w:cs="仿宋"/>
          <w:color w:val="auto"/>
          <w:sz w:val="24"/>
          <w:szCs w:val="24"/>
          <w:highlight w:val="none"/>
        </w:rPr>
        <w:t xml:space="preserve">；     </w:t>
      </w:r>
    </w:p>
    <w:p w14:paraId="7BBF4DBF">
      <w:pPr>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交货时间：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51693CA">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五、产品质量保证</w:t>
      </w:r>
    </w:p>
    <w:p w14:paraId="7E30B2E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为全新的产品。</w:t>
      </w:r>
    </w:p>
    <w:p w14:paraId="2D4B3D6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2、乙方所提供的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的型号、数量、规格及技术、质量标准、售后服务必须满足</w:t>
      </w:r>
      <w:r>
        <w:rPr>
          <w:rFonts w:hint="eastAsia" w:ascii="仿宋" w:hAnsi="仿宋" w:eastAsia="仿宋" w:cs="仿宋"/>
          <w:color w:val="auto"/>
          <w:sz w:val="24"/>
          <w:szCs w:val="24"/>
          <w:highlight w:val="none"/>
          <w:u w:val="single"/>
        </w:rPr>
        <w:t xml:space="preserve"> 招标编号</w:t>
      </w:r>
      <w:r>
        <w:rPr>
          <w:rFonts w:hint="eastAsia" w:ascii="仿宋" w:hAnsi="仿宋" w:eastAsia="仿宋" w:cs="仿宋"/>
          <w:color w:val="auto"/>
          <w:sz w:val="24"/>
          <w:szCs w:val="24"/>
          <w:highlight w:val="none"/>
        </w:rPr>
        <w:t>的</w:t>
      </w:r>
      <w:r>
        <w:rPr>
          <w:rFonts w:hint="eastAsia" w:ascii="仿宋" w:hAnsi="仿宋" w:eastAsia="仿宋" w:cs="仿宋"/>
          <w:bCs/>
          <w:color w:val="auto"/>
          <w:sz w:val="24"/>
          <w:szCs w:val="24"/>
          <w:highlight w:val="none"/>
          <w:u w:val="single"/>
        </w:rPr>
        <w:t>xxxxxxxxx项</w:t>
      </w:r>
      <w:r>
        <w:rPr>
          <w:rFonts w:hint="eastAsia" w:ascii="仿宋" w:hAnsi="仿宋" w:eastAsia="仿宋" w:cs="仿宋"/>
          <w:color w:val="auto"/>
          <w:sz w:val="24"/>
          <w:szCs w:val="24"/>
          <w:highlight w:val="none"/>
          <w:u w:val="single"/>
        </w:rPr>
        <w:t>目</w:t>
      </w:r>
      <w:r>
        <w:rPr>
          <w:rFonts w:hint="eastAsia" w:ascii="仿宋" w:hAnsi="仿宋" w:eastAsia="仿宋" w:cs="仿宋"/>
          <w:color w:val="auto"/>
          <w:sz w:val="24"/>
          <w:szCs w:val="24"/>
          <w:highlight w:val="none"/>
        </w:rPr>
        <w:t>招标文件规定的技术要求。</w:t>
      </w:r>
    </w:p>
    <w:p w14:paraId="3A7E6B6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3、乙方保证提供的合同内全部产品货物按国家标准要求制作，质量完全满足用户的要求。</w:t>
      </w:r>
    </w:p>
    <w:p w14:paraId="1EEB6553">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六、质量保证期</w:t>
      </w:r>
    </w:p>
    <w:p w14:paraId="479AF43F">
      <w:pPr>
        <w:spacing w:line="360" w:lineRule="auto"/>
        <w:ind w:left="-105" w:right="-105"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合同内货物质保期：验收合格后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p>
    <w:p w14:paraId="1E98FF96">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七、技术资料</w:t>
      </w:r>
    </w:p>
    <w:p w14:paraId="6E91EA2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乙方需向甲方提供下述资料：</w:t>
      </w:r>
    </w:p>
    <w:p w14:paraId="6ED0604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所供货物的型号、规格、数量及生产厂家的产品检验证书、出厂检验报告、使用说明书等。</w:t>
      </w:r>
    </w:p>
    <w:p w14:paraId="4B0BB301">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八、包装及验收</w:t>
      </w:r>
    </w:p>
    <w:p w14:paraId="1ADF146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1、所提供设备必须进行包装，免收包装费，包装物不回收。</w:t>
      </w:r>
    </w:p>
    <w:p w14:paraId="7B1E10C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2、因包装原因造成合同标的物在运输过程中丢失的、损坏的，乙方承担全部责任。</w:t>
      </w:r>
    </w:p>
    <w:p w14:paraId="4B77657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验收标准：按投标文件规定的型号、技术参数、数量、产地，并根据制造商的《产品合格证》、《出厂清单》、《技术文件》进行现场验收，并由甲、乙双方签署验收报告。如有异议，各方应当在验收后七天内以书面形式通知对方。合同标的物验收合格后由甲方提供货物的存放地点，并负责货物的保管和安全。</w:t>
      </w:r>
    </w:p>
    <w:p w14:paraId="3E7C2361">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九、甲、乙双方的权利及义务</w:t>
      </w:r>
    </w:p>
    <w:p w14:paraId="3B660CF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若甲方对订购的货物有任何更改，包括货物的型号、品种、规格、数量、颜色、交货期等事宜，必须在双方签订合同后七天内书面通知乙方，交货期从变更之日起顺延。若乙方接到通知后不予更改，由此造成的甲方损失，由乙方承担。</w:t>
      </w:r>
    </w:p>
    <w:p w14:paraId="550C399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2、若乙方在交货时，由于甲方的原因或要求，不能及时将货物送达指定地点和验收时，则双方再次协商送货及验收时间。</w:t>
      </w:r>
    </w:p>
    <w:p w14:paraId="510967B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3、若甲方在验收后的质量保证期内，发现货物内有部分出现质量问题，应及时通知乙方，若需要更换时，乙方应在接到通知后10天内给予更换。</w:t>
      </w:r>
    </w:p>
    <w:p w14:paraId="70DC8A8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4、乙方须按合同要求提供质量合格的货物，如期交付至甲方指定的交货地点。合同标的物需安装调试的，乙方提供免费的安装调试。</w:t>
      </w:r>
    </w:p>
    <w:p w14:paraId="57BA6B7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5、乙方对售予甲方的货物提供的质量保证期的质量保证范围，不包括意外事件、不可抗力原因及违规使用。</w:t>
      </w:r>
    </w:p>
    <w:p w14:paraId="25B90CE5">
      <w:pPr>
        <w:spacing w:line="360" w:lineRule="auto"/>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十、合同变更、违约及其它</w:t>
      </w:r>
    </w:p>
    <w:p w14:paraId="4730792B">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1、合同的变更需甲、乙双方协商一致签订补充协议，并由法定代表人或授权代理人签字（盖章）且加盖单位公章后立即生效。补充协议与本合同具有同等法律效力。</w:t>
      </w:r>
    </w:p>
    <w:p w14:paraId="29A5478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2、甲方按合同规定的付款要求履约，合同价格不变，甲方由于不可抗力不能在本合同规定的时间内支付合同款项时，应事先告知乙方。</w:t>
      </w:r>
    </w:p>
    <w:p w14:paraId="44B4F46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必须在本合同规定的时间内按时交货，否则由乙方负责承担全部责任。如果乙方在甲方同意延长的交货时间内仍不能交货时，甲方有权撤销合同，同时乙方还需要按照每延误一天，按合同总金额千分之五的标准向甲方支付违约金，延误超过15日，甲方有权解除合同，并要求乙方返还已收到款项，承担合同总额30%违约金。</w:t>
      </w:r>
    </w:p>
    <w:p w14:paraId="6D10293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严格按照投标、投标文件中规定的产品规格、型号名称、数量和质量提供相应的产品及服务。乙方提供的产品或服务不符合合同约定的，必须按照甲方的要求进行改正，若整改后导致延迟交货，按照上款执行。若交货后仍然不符合要求，甲方有权解除合同，并要求乙方返还已收到款项，承担合同总额30%违约金。</w:t>
      </w:r>
    </w:p>
    <w:p w14:paraId="200B20F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生效后，乙方中途废止合同（不可抗力原因除外），应按给甲方造成的损失向甲方支付赔偿金，并向甲方支付合同总金额20%的违约金；甲方中途废止合同（不可抗力原因除外），应按实际损失向乙方支付赔偿金。</w:t>
      </w:r>
    </w:p>
    <w:p w14:paraId="65FC7DD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违反本合同约定，应当承担的违约金及赔偿，甲方有权在未付款内扣除，若因此造成甲方损失，应当承担由此造成的甲方损失，该损失包括但不限于由此产生的诉讼费、律师费、公证费、鉴定费、评估费、差旅费等费用。</w:t>
      </w:r>
    </w:p>
    <w:p w14:paraId="22759B3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5、本合同根据</w:t>
      </w:r>
      <w:r>
        <w:rPr>
          <w:rFonts w:hint="eastAsia" w:ascii="仿宋" w:hAnsi="仿宋" w:eastAsia="仿宋" w:cs="仿宋"/>
          <w:color w:val="auto"/>
          <w:sz w:val="24"/>
          <w:szCs w:val="24"/>
          <w:highlight w:val="none"/>
          <w:u w:val="single"/>
        </w:rPr>
        <w:t>xx年x月xx日</w:t>
      </w:r>
      <w:r>
        <w:rPr>
          <w:rFonts w:hint="eastAsia" w:ascii="仿宋" w:hAnsi="仿宋" w:eastAsia="仿宋" w:cs="仿宋"/>
          <w:color w:val="auto"/>
          <w:sz w:val="24"/>
          <w:szCs w:val="24"/>
          <w:highlight w:val="none"/>
        </w:rPr>
        <w:t>由</w:t>
      </w:r>
      <w:r>
        <w:rPr>
          <w:rFonts w:hint="eastAsia" w:ascii="仿宋" w:hAnsi="仿宋" w:eastAsia="仿宋" w:cs="仿宋"/>
          <w:bCs/>
          <w:color w:val="auto"/>
          <w:sz w:val="24"/>
          <w:szCs w:val="24"/>
          <w:highlight w:val="none"/>
          <w:u w:val="single"/>
        </w:rPr>
        <w:t>xxx招标公司</w:t>
      </w:r>
      <w:r>
        <w:rPr>
          <w:rFonts w:hint="eastAsia" w:ascii="仿宋" w:hAnsi="仿宋" w:eastAsia="仿宋" w:cs="仿宋"/>
          <w:color w:val="auto"/>
          <w:sz w:val="24"/>
          <w:szCs w:val="24"/>
          <w:highlight w:val="none"/>
        </w:rPr>
        <w:t>组织的招标会的招投标结果签订。投标文件及开标会议上签名的答疑记录等均作为合同的附件，是合同文本不可分割的组成部分。合同文本未述及和不详之处，以附件为准。</w:t>
      </w:r>
    </w:p>
    <w:p w14:paraId="14CF961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6、合同文本不得涂改，如需修改应在合同附件中注明。经甲、乙双方协商达成一致修改意见，需经甲、乙双方代表共同签署此附件，方能生效。</w:t>
      </w:r>
    </w:p>
    <w:p w14:paraId="7ABD004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7、合同所有附件，均与合同具有同等法律效力。</w:t>
      </w:r>
    </w:p>
    <w:p w14:paraId="3FBFEE5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8、合同经甲、乙双方法定代表人或授权代理人签字（盖章）并加盖单位公章后立即生效。</w:t>
      </w:r>
    </w:p>
    <w:p w14:paraId="412878D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9、甲、乙双方发生争议时，应先协商解决，经协商不能达成协议时，任何一方均可向</w:t>
      </w:r>
      <w:r>
        <w:rPr>
          <w:rFonts w:hint="eastAsia" w:ascii="仿宋" w:hAnsi="仿宋" w:eastAsia="仿宋" w:cs="仿宋"/>
          <w:color w:val="auto"/>
          <w:sz w:val="24"/>
          <w:szCs w:val="24"/>
          <w:highlight w:val="none"/>
          <w:u w:val="single"/>
        </w:rPr>
        <w:t>甲方所在地</w:t>
      </w:r>
      <w:r>
        <w:rPr>
          <w:rFonts w:hint="eastAsia" w:ascii="仿宋" w:hAnsi="仿宋" w:eastAsia="仿宋" w:cs="仿宋"/>
          <w:color w:val="auto"/>
          <w:sz w:val="24"/>
          <w:szCs w:val="24"/>
          <w:highlight w:val="none"/>
        </w:rPr>
        <w:t>人民法院提起诉讼。</w:t>
      </w:r>
    </w:p>
    <w:p w14:paraId="48B1CBFE">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10、合同一式八份，甲方执五份，乙方执叁份。</w:t>
      </w:r>
    </w:p>
    <w:p w14:paraId="67EBA5F7">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11、本合同自签字盖章完毕之日起生效，质量保证期满后终止。</w:t>
      </w:r>
    </w:p>
    <w:p w14:paraId="564AD4A3">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12、本合同尾部载明的双方地址、电话等信息，系双方有效联系方式，如发生变更，应提前书面通知另一方，否则依该联系方式送达相关文书的，视为送达成功。</w:t>
      </w:r>
    </w:p>
    <w:p w14:paraId="0FCC5E3D">
      <w:pPr>
        <w:spacing w:line="360" w:lineRule="auto"/>
        <w:ind w:firstLine="480" w:firstLineChars="200"/>
        <w:rPr>
          <w:rFonts w:ascii="仿宋" w:hAnsi="仿宋" w:eastAsia="仿宋" w:cs="仿宋"/>
          <w:color w:val="auto"/>
          <w:sz w:val="24"/>
          <w:szCs w:val="24"/>
          <w:highlight w:val="none"/>
        </w:rPr>
      </w:pPr>
    </w:p>
    <w:p w14:paraId="2E4808A7">
      <w:pPr>
        <w:pStyle w:val="8"/>
        <w:spacing w:line="360" w:lineRule="auto"/>
        <w:ind w:firstLine="480"/>
        <w:rPr>
          <w:rFonts w:ascii="仿宋" w:hAnsi="仿宋" w:eastAsia="仿宋" w:cs="仿宋"/>
          <w:color w:val="auto"/>
          <w:szCs w:val="24"/>
          <w:highlight w:val="none"/>
        </w:rPr>
      </w:pPr>
    </w:p>
    <w:p w14:paraId="1C80B4E1">
      <w:pPr>
        <w:pStyle w:val="8"/>
        <w:spacing w:line="360" w:lineRule="auto"/>
        <w:ind w:firstLine="480"/>
        <w:rPr>
          <w:rFonts w:ascii="仿宋" w:hAnsi="仿宋" w:eastAsia="仿宋" w:cs="仿宋"/>
          <w:color w:val="auto"/>
          <w:szCs w:val="24"/>
          <w:highlight w:val="none"/>
        </w:rPr>
      </w:pPr>
    </w:p>
    <w:p w14:paraId="10A7D6C9">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    方：(盖章）              乙    方：(盖章） </w:t>
      </w:r>
    </w:p>
    <w:p w14:paraId="11E79598">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法定代表人：(签字或盖章）      法定代表人：(签字或盖章）</w:t>
      </w:r>
    </w:p>
    <w:p w14:paraId="7C62A103">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                     联 系 人：</w:t>
      </w:r>
    </w:p>
    <w:p w14:paraId="6EC7E427">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    话：                     电    话：</w:t>
      </w:r>
    </w:p>
    <w:p w14:paraId="058893F3">
      <w:pPr>
        <w:pStyle w:val="8"/>
        <w:spacing w:line="360" w:lineRule="auto"/>
        <w:ind w:firstLine="240" w:firstLineChars="100"/>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地    址：                     地    址： </w:t>
      </w:r>
    </w:p>
    <w:p w14:paraId="63A0746B">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p>
    <w:p w14:paraId="1D9F0DFB">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    号：                     帐    号： </w:t>
      </w:r>
    </w:p>
    <w:p w14:paraId="79E8193E">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行    号：                     行    号： </w:t>
      </w:r>
    </w:p>
    <w:p w14:paraId="581D4F2A">
      <w:pPr>
        <w:pStyle w:val="8"/>
        <w:ind w:firstLine="480"/>
        <w:rPr>
          <w:rFonts w:ascii="仿宋" w:hAnsi="仿宋" w:eastAsia="仿宋" w:cs="仿宋"/>
          <w:color w:val="auto"/>
          <w:highlight w:val="none"/>
        </w:rPr>
      </w:pPr>
    </w:p>
    <w:p w14:paraId="7772F0F8">
      <w:pPr>
        <w:pStyle w:val="8"/>
        <w:ind w:firstLine="480"/>
        <w:rPr>
          <w:rFonts w:ascii="仿宋" w:hAnsi="仿宋" w:eastAsia="仿宋" w:cs="仿宋"/>
          <w:color w:val="auto"/>
          <w:highlight w:val="none"/>
        </w:rPr>
      </w:pPr>
    </w:p>
    <w:p w14:paraId="0F935DD2">
      <w:pPr>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合同签订时间：xx年x 月xx日</w:t>
      </w:r>
    </w:p>
    <w:p w14:paraId="2383015B">
      <w:pPr>
        <w:pStyle w:val="12"/>
        <w:rPr>
          <w:rFonts w:ascii="仿宋" w:hAnsi="仿宋" w:eastAsia="仿宋" w:cs="仿宋"/>
          <w:color w:val="auto"/>
          <w:highlight w:val="none"/>
        </w:rPr>
      </w:pPr>
    </w:p>
    <w:p w14:paraId="73D7BF25">
      <w:pPr>
        <w:rPr>
          <w:rFonts w:ascii="仿宋" w:hAnsi="仿宋" w:eastAsia="仿宋" w:cs="仿宋"/>
          <w:b/>
          <w:color w:val="auto"/>
          <w:sz w:val="24"/>
          <w:szCs w:val="24"/>
          <w:highlight w:val="none"/>
        </w:rPr>
      </w:pPr>
      <w:bookmarkStart w:id="74" w:name="_Toc16100"/>
      <w:r>
        <w:rPr>
          <w:rFonts w:hint="eastAsia" w:ascii="仿宋" w:hAnsi="仿宋" w:eastAsia="仿宋" w:cs="仿宋"/>
          <w:b/>
          <w:color w:val="auto"/>
          <w:sz w:val="24"/>
          <w:szCs w:val="24"/>
          <w:highlight w:val="none"/>
        </w:rPr>
        <w:br w:type="page"/>
      </w:r>
    </w:p>
    <w:p w14:paraId="36CCEC66">
      <w:pPr>
        <w:spacing w:line="440" w:lineRule="exact"/>
        <w:jc w:val="center"/>
        <w:outlineLvl w:val="0"/>
        <w:rPr>
          <w:rFonts w:ascii="仿宋" w:hAnsi="仿宋" w:eastAsia="仿宋" w:cs="仿宋"/>
          <w:bCs/>
          <w:color w:val="auto"/>
          <w:sz w:val="24"/>
          <w:szCs w:val="24"/>
          <w:highlight w:val="none"/>
        </w:rPr>
      </w:pPr>
      <w:bookmarkStart w:id="75" w:name="_Toc9234"/>
      <w:bookmarkStart w:id="76" w:name="_Hlk227256335"/>
      <w:r>
        <w:rPr>
          <w:rFonts w:hint="eastAsia" w:ascii="仿宋" w:hAnsi="仿宋" w:eastAsia="仿宋" w:cs="仿宋"/>
          <w:b/>
          <w:color w:val="auto"/>
          <w:sz w:val="24"/>
          <w:szCs w:val="24"/>
          <w:highlight w:val="none"/>
        </w:rPr>
        <w:t>第四章 技术标准和要求</w:t>
      </w:r>
      <w:bookmarkEnd w:id="74"/>
      <w:bookmarkEnd w:id="75"/>
      <w:bookmarkStart w:id="77" w:name="_Toc138638718"/>
      <w:bookmarkEnd w:id="77"/>
      <w:bookmarkStart w:id="78" w:name="_Toc138638773"/>
      <w:bookmarkEnd w:id="78"/>
      <w:bookmarkStart w:id="79" w:name="_Toc138638534"/>
      <w:bookmarkEnd w:id="79"/>
      <w:bookmarkStart w:id="80" w:name="_Toc138638884"/>
      <w:bookmarkEnd w:id="80"/>
      <w:bookmarkStart w:id="81" w:name="_Toc138639091"/>
      <w:bookmarkEnd w:id="81"/>
      <w:bookmarkStart w:id="82" w:name="_合同文件的组成及解释顺序"/>
      <w:bookmarkEnd w:id="82"/>
      <w:bookmarkStart w:id="83" w:name="_Toc138638510"/>
      <w:bookmarkEnd w:id="83"/>
      <w:bookmarkStart w:id="84" w:name="_Toc138639074"/>
      <w:bookmarkEnd w:id="84"/>
      <w:bookmarkStart w:id="85" w:name="_Toc138638535"/>
      <w:bookmarkEnd w:id="85"/>
      <w:bookmarkStart w:id="86" w:name="_Toc138638883"/>
      <w:bookmarkEnd w:id="86"/>
      <w:bookmarkStart w:id="87" w:name="_Toc138638702"/>
      <w:bookmarkEnd w:id="87"/>
      <w:bookmarkStart w:id="88" w:name="_Toc138638719"/>
      <w:bookmarkEnd w:id="88"/>
      <w:bookmarkStart w:id="89" w:name="_Toc138638538"/>
      <w:bookmarkEnd w:id="89"/>
      <w:bookmarkStart w:id="90" w:name="_Toc138639090"/>
      <w:bookmarkEnd w:id="90"/>
      <w:bookmarkStart w:id="91" w:name="_Toc138638906"/>
      <w:bookmarkEnd w:id="91"/>
      <w:bookmarkStart w:id="92" w:name="_Toc138638907"/>
      <w:bookmarkEnd w:id="92"/>
      <w:bookmarkStart w:id="93" w:name="_Toc138639145"/>
      <w:bookmarkEnd w:id="93"/>
      <w:bookmarkStart w:id="94" w:name="_Toc138638910"/>
      <w:bookmarkEnd w:id="94"/>
      <w:bookmarkStart w:id="95" w:name="_Toc138638509"/>
      <w:bookmarkEnd w:id="95"/>
      <w:bookmarkStart w:id="96" w:name="_Toc531016893"/>
    </w:p>
    <w:p w14:paraId="6E95C591">
      <w:pPr>
        <w:spacing w:line="360" w:lineRule="auto"/>
        <w:ind w:firstLine="480" w:firstLineChars="200"/>
        <w:rPr>
          <w:rFonts w:ascii="仿宋" w:hAnsi="仿宋" w:eastAsia="仿宋" w:cs="仿宋"/>
          <w:bCs/>
          <w:color w:val="auto"/>
          <w:sz w:val="24"/>
          <w:szCs w:val="24"/>
          <w:highlight w:val="none"/>
        </w:rPr>
      </w:pPr>
    </w:p>
    <w:bookmarkEnd w:id="76"/>
    <w:p w14:paraId="5EE26633">
      <w:pPr>
        <w:spacing w:line="360" w:lineRule="auto"/>
        <w:ind w:firstLine="480" w:firstLineChars="200"/>
        <w:rPr>
          <w:rFonts w:ascii="仿宋" w:hAnsi="仿宋" w:eastAsia="仿宋" w:cs="仿宋"/>
          <w:bCs/>
          <w:color w:val="auto"/>
          <w:sz w:val="24"/>
          <w:szCs w:val="24"/>
          <w:highlight w:val="none"/>
        </w:rPr>
      </w:pPr>
      <w:bookmarkStart w:id="97" w:name="_Toc23505"/>
      <w:r>
        <w:rPr>
          <w:rFonts w:hint="eastAsia" w:ascii="仿宋" w:hAnsi="仿宋" w:eastAsia="仿宋" w:cs="仿宋"/>
          <w:bCs/>
          <w:color w:val="auto"/>
          <w:sz w:val="24"/>
          <w:szCs w:val="24"/>
          <w:highlight w:val="none"/>
        </w:rPr>
        <w:t>说明：投标人应注意采购人在技术要求中指出的参数、工艺、材料和设备等内容仅起说明作用，无任何倾向性或限制性；任何品牌的产品均可依法参加本项目的采购活动。所有产品在安装调试中所需辅材费用包含在投标人投标产品的报价中，不再单独计取。</w:t>
      </w:r>
    </w:p>
    <w:p w14:paraId="4E012F52">
      <w:pPr>
        <w:spacing w:line="360" w:lineRule="auto"/>
        <w:rPr>
          <w:rFonts w:ascii="仿宋" w:hAnsi="仿宋" w:eastAsia="仿宋" w:cs="仿宋"/>
          <w:bCs/>
          <w:color w:val="auto"/>
          <w:sz w:val="24"/>
          <w:szCs w:val="24"/>
          <w:highlight w:val="none"/>
        </w:rPr>
      </w:pPr>
      <w:bookmarkStart w:id="98" w:name="_Toc6210"/>
      <w:bookmarkStart w:id="99" w:name="_Toc27105"/>
    </w:p>
    <w:tbl>
      <w:tblPr>
        <w:tblStyle w:val="38"/>
        <w:tblW w:w="4998" w:type="pct"/>
        <w:tblInd w:w="0" w:type="dxa"/>
        <w:tblLayout w:type="autofit"/>
        <w:tblCellMar>
          <w:top w:w="0" w:type="dxa"/>
          <w:left w:w="108" w:type="dxa"/>
          <w:bottom w:w="0" w:type="dxa"/>
          <w:right w:w="108" w:type="dxa"/>
        </w:tblCellMar>
      </w:tblPr>
      <w:tblGrid>
        <w:gridCol w:w="624"/>
        <w:gridCol w:w="2300"/>
        <w:gridCol w:w="1306"/>
        <w:gridCol w:w="702"/>
        <w:gridCol w:w="819"/>
        <w:gridCol w:w="1177"/>
        <w:gridCol w:w="1177"/>
        <w:gridCol w:w="1177"/>
      </w:tblGrid>
      <w:tr w14:paraId="5F4739F5">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74D327EA">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序号</w:t>
            </w:r>
          </w:p>
        </w:tc>
        <w:tc>
          <w:tcPr>
            <w:tcW w:w="1238" w:type="pct"/>
            <w:tcBorders>
              <w:top w:val="single" w:color="000000" w:sz="4" w:space="0"/>
              <w:left w:val="single" w:color="000000" w:sz="4" w:space="0"/>
              <w:bottom w:val="single" w:color="000000" w:sz="4" w:space="0"/>
              <w:right w:val="single" w:color="000000" w:sz="4" w:space="0"/>
            </w:tcBorders>
            <w:vAlign w:val="center"/>
          </w:tcPr>
          <w:p w14:paraId="7F2952E8">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标的名称</w:t>
            </w:r>
          </w:p>
        </w:tc>
        <w:tc>
          <w:tcPr>
            <w:tcW w:w="703" w:type="pct"/>
            <w:tcBorders>
              <w:top w:val="single" w:color="000000" w:sz="4" w:space="0"/>
              <w:left w:val="single" w:color="000000" w:sz="4" w:space="0"/>
              <w:bottom w:val="single" w:color="000000" w:sz="4" w:space="0"/>
              <w:right w:val="single" w:color="000000" w:sz="4" w:space="0"/>
            </w:tcBorders>
            <w:vAlign w:val="center"/>
          </w:tcPr>
          <w:p w14:paraId="48F49BBD">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技术指标</w:t>
            </w:r>
          </w:p>
        </w:tc>
        <w:tc>
          <w:tcPr>
            <w:tcW w:w="378" w:type="pct"/>
            <w:tcBorders>
              <w:top w:val="single" w:color="000000" w:sz="4" w:space="0"/>
              <w:left w:val="single" w:color="000000" w:sz="4" w:space="0"/>
              <w:bottom w:val="single" w:color="000000" w:sz="4" w:space="0"/>
              <w:right w:val="single" w:color="000000" w:sz="4" w:space="0"/>
            </w:tcBorders>
            <w:vAlign w:val="center"/>
          </w:tcPr>
          <w:p w14:paraId="10FBE0AC">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单位</w:t>
            </w:r>
          </w:p>
        </w:tc>
        <w:tc>
          <w:tcPr>
            <w:tcW w:w="441" w:type="pct"/>
            <w:tcBorders>
              <w:top w:val="single" w:color="000000" w:sz="4" w:space="0"/>
              <w:left w:val="single" w:color="000000" w:sz="4" w:space="0"/>
              <w:bottom w:val="single" w:color="000000" w:sz="4" w:space="0"/>
              <w:right w:val="single" w:color="000000" w:sz="4" w:space="0"/>
            </w:tcBorders>
            <w:vAlign w:val="center"/>
          </w:tcPr>
          <w:p w14:paraId="39B7BDDE">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数量</w:t>
            </w:r>
          </w:p>
        </w:tc>
        <w:tc>
          <w:tcPr>
            <w:tcW w:w="633" w:type="pct"/>
            <w:tcBorders>
              <w:top w:val="single" w:color="000000" w:sz="4" w:space="0"/>
              <w:left w:val="single" w:color="000000" w:sz="4" w:space="0"/>
              <w:bottom w:val="single" w:color="000000" w:sz="4" w:space="0"/>
              <w:right w:val="single" w:color="000000" w:sz="4" w:space="0"/>
            </w:tcBorders>
            <w:vAlign w:val="center"/>
          </w:tcPr>
          <w:p w14:paraId="29BE22F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单价限价（万元）</w:t>
            </w:r>
          </w:p>
        </w:tc>
        <w:tc>
          <w:tcPr>
            <w:tcW w:w="633" w:type="pct"/>
            <w:tcBorders>
              <w:top w:val="single" w:color="000000" w:sz="4" w:space="0"/>
              <w:left w:val="single" w:color="000000" w:sz="4" w:space="0"/>
              <w:bottom w:val="single" w:color="000000" w:sz="4" w:space="0"/>
              <w:right w:val="single" w:color="000000" w:sz="4" w:space="0"/>
            </w:tcBorders>
            <w:vAlign w:val="center"/>
          </w:tcPr>
          <w:p w14:paraId="5377187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合同履约期限（天）</w:t>
            </w:r>
          </w:p>
        </w:tc>
        <w:tc>
          <w:tcPr>
            <w:tcW w:w="633" w:type="pct"/>
            <w:tcBorders>
              <w:top w:val="single" w:color="000000" w:sz="4" w:space="0"/>
              <w:left w:val="single" w:color="000000" w:sz="4" w:space="0"/>
              <w:bottom w:val="single" w:color="000000" w:sz="4" w:space="0"/>
              <w:right w:val="single" w:color="000000" w:sz="4" w:space="0"/>
            </w:tcBorders>
            <w:vAlign w:val="center"/>
          </w:tcPr>
          <w:p w14:paraId="0EA18F55">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备注</w:t>
            </w:r>
          </w:p>
        </w:tc>
      </w:tr>
      <w:tr w14:paraId="22C82560">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14018F17">
            <w:pPr>
              <w:widowControl/>
              <w:jc w:val="center"/>
              <w:textAlignment w:val="center"/>
              <w:rPr>
                <w:rFonts w:ascii="仿宋" w:hAnsi="仿宋" w:eastAsia="仿宋" w:cs="仿宋"/>
                <w:color w:val="auto"/>
                <w:kern w:val="0"/>
                <w:sz w:val="20"/>
                <w:szCs w:val="20"/>
                <w:highlight w:val="none"/>
                <w:lang w:bidi="ar"/>
              </w:rPr>
            </w:pPr>
            <w:bookmarkStart w:id="100" w:name="_Hlk229146621"/>
            <w:r>
              <w:rPr>
                <w:rFonts w:hint="eastAsia" w:ascii="仿宋" w:hAnsi="仿宋" w:eastAsia="仿宋" w:cs="仿宋"/>
                <w:color w:val="auto"/>
                <w:kern w:val="0"/>
                <w:sz w:val="20"/>
                <w:szCs w:val="20"/>
                <w:highlight w:val="none"/>
                <w:lang w:bidi="ar"/>
              </w:rPr>
              <w:t>1</w:t>
            </w:r>
          </w:p>
        </w:tc>
        <w:tc>
          <w:tcPr>
            <w:tcW w:w="1238" w:type="pct"/>
            <w:tcBorders>
              <w:top w:val="single" w:color="000000" w:sz="4" w:space="0"/>
              <w:left w:val="single" w:color="000000" w:sz="4" w:space="0"/>
              <w:bottom w:val="single" w:color="000000" w:sz="4" w:space="0"/>
              <w:right w:val="single" w:color="000000" w:sz="4" w:space="0"/>
            </w:tcBorders>
            <w:vAlign w:val="center"/>
          </w:tcPr>
          <w:p w14:paraId="6BFBA7E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高精度多轴力学性能测试分析仪</w:t>
            </w:r>
          </w:p>
        </w:tc>
        <w:tc>
          <w:tcPr>
            <w:tcW w:w="703" w:type="pct"/>
            <w:tcBorders>
              <w:top w:val="single" w:color="000000" w:sz="4" w:space="0"/>
              <w:left w:val="single" w:color="000000" w:sz="4" w:space="0"/>
              <w:bottom w:val="single" w:color="000000" w:sz="4" w:space="0"/>
              <w:right w:val="single" w:color="000000" w:sz="4" w:space="0"/>
            </w:tcBorders>
            <w:vAlign w:val="center"/>
          </w:tcPr>
          <w:p w14:paraId="5D46EE7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7C98D58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67D8736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10DA90B5">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151</w:t>
            </w:r>
          </w:p>
        </w:tc>
        <w:tc>
          <w:tcPr>
            <w:tcW w:w="633" w:type="pct"/>
            <w:tcBorders>
              <w:top w:val="single" w:color="000000" w:sz="4" w:space="0"/>
              <w:left w:val="single" w:color="000000" w:sz="4" w:space="0"/>
              <w:bottom w:val="single" w:color="000000" w:sz="4" w:space="0"/>
              <w:right w:val="single" w:color="000000" w:sz="4" w:space="0"/>
            </w:tcBorders>
            <w:vAlign w:val="center"/>
          </w:tcPr>
          <w:p w14:paraId="2228D7A1">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6</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610D811C">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226A4614">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075895D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2</w:t>
            </w:r>
          </w:p>
        </w:tc>
        <w:tc>
          <w:tcPr>
            <w:tcW w:w="1238" w:type="pct"/>
            <w:tcBorders>
              <w:top w:val="single" w:color="000000" w:sz="4" w:space="0"/>
              <w:left w:val="single" w:color="000000" w:sz="4" w:space="0"/>
              <w:bottom w:val="single" w:color="000000" w:sz="4" w:space="0"/>
              <w:right w:val="single" w:color="000000" w:sz="4" w:space="0"/>
            </w:tcBorders>
            <w:vAlign w:val="center"/>
          </w:tcPr>
          <w:p w14:paraId="64E73A50">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智能材料力学性能综合测试与创新实验台</w:t>
            </w:r>
          </w:p>
        </w:tc>
        <w:tc>
          <w:tcPr>
            <w:tcW w:w="703" w:type="pct"/>
            <w:tcBorders>
              <w:top w:val="single" w:color="000000" w:sz="4" w:space="0"/>
              <w:left w:val="single" w:color="000000" w:sz="4" w:space="0"/>
              <w:bottom w:val="single" w:color="000000" w:sz="4" w:space="0"/>
              <w:right w:val="single" w:color="000000" w:sz="4" w:space="0"/>
            </w:tcBorders>
            <w:vAlign w:val="center"/>
          </w:tcPr>
          <w:p w14:paraId="39420A4D">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6F0E593F">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3948DCA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509892BB">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132</w:t>
            </w:r>
          </w:p>
        </w:tc>
        <w:tc>
          <w:tcPr>
            <w:tcW w:w="633" w:type="pct"/>
            <w:tcBorders>
              <w:top w:val="single" w:color="000000" w:sz="4" w:space="0"/>
              <w:left w:val="single" w:color="000000" w:sz="4" w:space="0"/>
              <w:bottom w:val="single" w:color="000000" w:sz="4" w:space="0"/>
              <w:right w:val="single" w:color="000000" w:sz="4" w:space="0"/>
            </w:tcBorders>
            <w:vAlign w:val="center"/>
          </w:tcPr>
          <w:p w14:paraId="181EB849">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6</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773FE2A8">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472BAD0C">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39D873A1">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3</w:t>
            </w:r>
          </w:p>
        </w:tc>
        <w:tc>
          <w:tcPr>
            <w:tcW w:w="1238" w:type="pct"/>
            <w:tcBorders>
              <w:top w:val="single" w:color="000000" w:sz="4" w:space="0"/>
              <w:left w:val="single" w:color="000000" w:sz="4" w:space="0"/>
              <w:bottom w:val="single" w:color="000000" w:sz="4" w:space="0"/>
              <w:right w:val="single" w:color="000000" w:sz="4" w:space="0"/>
            </w:tcBorders>
            <w:vAlign w:val="center"/>
          </w:tcPr>
          <w:p w14:paraId="54F9C88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数控加工虚拟仿真教学平台</w:t>
            </w:r>
          </w:p>
        </w:tc>
        <w:tc>
          <w:tcPr>
            <w:tcW w:w="703" w:type="pct"/>
            <w:tcBorders>
              <w:top w:val="single" w:color="000000" w:sz="4" w:space="0"/>
              <w:left w:val="single" w:color="000000" w:sz="4" w:space="0"/>
              <w:bottom w:val="single" w:color="000000" w:sz="4" w:space="0"/>
              <w:right w:val="single" w:color="000000" w:sz="4" w:space="0"/>
            </w:tcBorders>
            <w:vAlign w:val="center"/>
          </w:tcPr>
          <w:p w14:paraId="0345375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7FC34C5A">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0F59A82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4509E607">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202</w:t>
            </w:r>
          </w:p>
        </w:tc>
        <w:tc>
          <w:tcPr>
            <w:tcW w:w="633" w:type="pct"/>
            <w:tcBorders>
              <w:top w:val="single" w:color="000000" w:sz="4" w:space="0"/>
              <w:left w:val="single" w:color="000000" w:sz="4" w:space="0"/>
              <w:bottom w:val="single" w:color="000000" w:sz="4" w:space="0"/>
              <w:right w:val="single" w:color="000000" w:sz="4" w:space="0"/>
            </w:tcBorders>
            <w:vAlign w:val="center"/>
          </w:tcPr>
          <w:p w14:paraId="5DA2CA34">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9</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2A8869B9">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6D1B63AC">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1356682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4</w:t>
            </w:r>
          </w:p>
        </w:tc>
        <w:tc>
          <w:tcPr>
            <w:tcW w:w="1238" w:type="pct"/>
            <w:tcBorders>
              <w:top w:val="single" w:color="000000" w:sz="4" w:space="0"/>
              <w:left w:val="single" w:color="000000" w:sz="4" w:space="0"/>
              <w:bottom w:val="single" w:color="000000" w:sz="4" w:space="0"/>
              <w:right w:val="single" w:color="000000" w:sz="4" w:space="0"/>
            </w:tcBorders>
            <w:vAlign w:val="center"/>
          </w:tcPr>
          <w:p w14:paraId="02F3B812">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机器人综合实训平台/机器人原理控制平台</w:t>
            </w:r>
          </w:p>
        </w:tc>
        <w:tc>
          <w:tcPr>
            <w:tcW w:w="703" w:type="pct"/>
            <w:tcBorders>
              <w:top w:val="single" w:color="000000" w:sz="4" w:space="0"/>
              <w:left w:val="single" w:color="000000" w:sz="4" w:space="0"/>
              <w:bottom w:val="single" w:color="000000" w:sz="4" w:space="0"/>
              <w:right w:val="single" w:color="000000" w:sz="4" w:space="0"/>
            </w:tcBorders>
            <w:vAlign w:val="center"/>
          </w:tcPr>
          <w:p w14:paraId="57F888B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36D140A7">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5E78B63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2</w:t>
            </w:r>
          </w:p>
        </w:tc>
        <w:tc>
          <w:tcPr>
            <w:tcW w:w="633" w:type="pct"/>
            <w:tcBorders>
              <w:top w:val="single" w:color="000000" w:sz="4" w:space="0"/>
              <w:left w:val="single" w:color="000000" w:sz="4" w:space="0"/>
              <w:bottom w:val="single" w:color="000000" w:sz="4" w:space="0"/>
              <w:right w:val="single" w:color="000000" w:sz="4" w:space="0"/>
            </w:tcBorders>
            <w:vAlign w:val="center"/>
          </w:tcPr>
          <w:p w14:paraId="5D2C3D61">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208.5</w:t>
            </w:r>
          </w:p>
        </w:tc>
        <w:tc>
          <w:tcPr>
            <w:tcW w:w="633" w:type="pct"/>
            <w:tcBorders>
              <w:top w:val="single" w:color="000000" w:sz="4" w:space="0"/>
              <w:left w:val="single" w:color="000000" w:sz="4" w:space="0"/>
              <w:bottom w:val="single" w:color="000000" w:sz="4" w:space="0"/>
              <w:right w:val="single" w:color="000000" w:sz="4" w:space="0"/>
            </w:tcBorders>
            <w:vAlign w:val="center"/>
          </w:tcPr>
          <w:p w14:paraId="197273E2">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9</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130F19A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数量2套表示：机器人综合实训平台1套+机器人原理控制平台1套</w:t>
            </w:r>
          </w:p>
          <w:p w14:paraId="5722FE8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合计2套。</w:t>
            </w:r>
          </w:p>
        </w:tc>
      </w:tr>
      <w:tr w14:paraId="756365FE">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0C793A40">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5</w:t>
            </w:r>
          </w:p>
        </w:tc>
        <w:tc>
          <w:tcPr>
            <w:tcW w:w="1238" w:type="pct"/>
            <w:tcBorders>
              <w:top w:val="single" w:color="000000" w:sz="4" w:space="0"/>
              <w:left w:val="single" w:color="000000" w:sz="4" w:space="0"/>
              <w:bottom w:val="single" w:color="000000" w:sz="4" w:space="0"/>
              <w:right w:val="single" w:color="000000" w:sz="4" w:space="0"/>
            </w:tcBorders>
            <w:vAlign w:val="center"/>
          </w:tcPr>
          <w:p w14:paraId="59FAC46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智能制造教学实训平台</w:t>
            </w:r>
          </w:p>
        </w:tc>
        <w:tc>
          <w:tcPr>
            <w:tcW w:w="703" w:type="pct"/>
            <w:tcBorders>
              <w:top w:val="single" w:color="000000" w:sz="4" w:space="0"/>
              <w:left w:val="single" w:color="000000" w:sz="4" w:space="0"/>
              <w:bottom w:val="single" w:color="000000" w:sz="4" w:space="0"/>
              <w:right w:val="single" w:color="000000" w:sz="4" w:space="0"/>
            </w:tcBorders>
            <w:vAlign w:val="center"/>
          </w:tcPr>
          <w:p w14:paraId="25063E5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7A3FDBE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6A78E67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3F2C3DC6">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429</w:t>
            </w:r>
          </w:p>
        </w:tc>
        <w:tc>
          <w:tcPr>
            <w:tcW w:w="633" w:type="pct"/>
            <w:tcBorders>
              <w:top w:val="single" w:color="000000" w:sz="4" w:space="0"/>
              <w:left w:val="single" w:color="000000" w:sz="4" w:space="0"/>
              <w:bottom w:val="single" w:color="000000" w:sz="4" w:space="0"/>
              <w:right w:val="single" w:color="000000" w:sz="4" w:space="0"/>
            </w:tcBorders>
            <w:vAlign w:val="center"/>
          </w:tcPr>
          <w:p w14:paraId="4318D87C">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9</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074483CB">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2FE6A685">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3A075D3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6</w:t>
            </w:r>
          </w:p>
        </w:tc>
        <w:tc>
          <w:tcPr>
            <w:tcW w:w="1238" w:type="pct"/>
            <w:tcBorders>
              <w:top w:val="single" w:color="000000" w:sz="4" w:space="0"/>
              <w:left w:val="single" w:color="000000" w:sz="4" w:space="0"/>
              <w:bottom w:val="single" w:color="000000" w:sz="4" w:space="0"/>
              <w:right w:val="single" w:color="000000" w:sz="4" w:space="0"/>
            </w:tcBorders>
            <w:vAlign w:val="center"/>
          </w:tcPr>
          <w:p w14:paraId="76183B1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机械创新（理实虚+数字孪生）实训平台</w:t>
            </w:r>
          </w:p>
        </w:tc>
        <w:tc>
          <w:tcPr>
            <w:tcW w:w="703" w:type="pct"/>
            <w:tcBorders>
              <w:top w:val="single" w:color="000000" w:sz="4" w:space="0"/>
              <w:left w:val="single" w:color="000000" w:sz="4" w:space="0"/>
              <w:bottom w:val="single" w:color="000000" w:sz="4" w:space="0"/>
              <w:right w:val="single" w:color="000000" w:sz="4" w:space="0"/>
            </w:tcBorders>
            <w:vAlign w:val="center"/>
          </w:tcPr>
          <w:p w14:paraId="688C391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78E70EFA">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28672F5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43BAFDE1">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352</w:t>
            </w:r>
          </w:p>
        </w:tc>
        <w:tc>
          <w:tcPr>
            <w:tcW w:w="633" w:type="pct"/>
            <w:tcBorders>
              <w:top w:val="single" w:color="000000" w:sz="4" w:space="0"/>
              <w:left w:val="single" w:color="000000" w:sz="4" w:space="0"/>
              <w:bottom w:val="single" w:color="000000" w:sz="4" w:space="0"/>
              <w:right w:val="single" w:color="000000" w:sz="4" w:space="0"/>
            </w:tcBorders>
            <w:vAlign w:val="center"/>
          </w:tcPr>
          <w:p w14:paraId="1AFDD4A8">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9</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618496EB">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47C4617C">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022B1FED">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7</w:t>
            </w:r>
          </w:p>
        </w:tc>
        <w:tc>
          <w:tcPr>
            <w:tcW w:w="1238" w:type="pct"/>
            <w:tcBorders>
              <w:top w:val="single" w:color="000000" w:sz="4" w:space="0"/>
              <w:left w:val="single" w:color="000000" w:sz="4" w:space="0"/>
              <w:bottom w:val="single" w:color="000000" w:sz="4" w:space="0"/>
              <w:right w:val="single" w:color="000000" w:sz="4" w:space="0"/>
            </w:tcBorders>
            <w:vAlign w:val="center"/>
          </w:tcPr>
          <w:p w14:paraId="5F790F1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机械制造加工工艺实验平台</w:t>
            </w:r>
          </w:p>
        </w:tc>
        <w:tc>
          <w:tcPr>
            <w:tcW w:w="703" w:type="pct"/>
            <w:tcBorders>
              <w:top w:val="single" w:color="000000" w:sz="4" w:space="0"/>
              <w:left w:val="single" w:color="000000" w:sz="4" w:space="0"/>
              <w:bottom w:val="single" w:color="000000" w:sz="4" w:space="0"/>
              <w:right w:val="single" w:color="000000" w:sz="4" w:space="0"/>
            </w:tcBorders>
            <w:vAlign w:val="center"/>
          </w:tcPr>
          <w:p w14:paraId="2721803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4AB873F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7725201C">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3735EEC1">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165</w:t>
            </w:r>
          </w:p>
        </w:tc>
        <w:tc>
          <w:tcPr>
            <w:tcW w:w="633" w:type="pct"/>
            <w:tcBorders>
              <w:top w:val="single" w:color="000000" w:sz="4" w:space="0"/>
              <w:left w:val="single" w:color="000000" w:sz="4" w:space="0"/>
              <w:bottom w:val="single" w:color="000000" w:sz="4" w:space="0"/>
              <w:right w:val="single" w:color="000000" w:sz="4" w:space="0"/>
            </w:tcBorders>
            <w:vAlign w:val="center"/>
          </w:tcPr>
          <w:p w14:paraId="3C26C0FD">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9</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00A04727">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3F4EE80D">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5B151D01">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8</w:t>
            </w:r>
          </w:p>
        </w:tc>
        <w:tc>
          <w:tcPr>
            <w:tcW w:w="1238" w:type="pct"/>
            <w:tcBorders>
              <w:top w:val="single" w:color="000000" w:sz="4" w:space="0"/>
              <w:left w:val="single" w:color="000000" w:sz="4" w:space="0"/>
              <w:bottom w:val="single" w:color="000000" w:sz="4" w:space="0"/>
              <w:right w:val="single" w:color="000000" w:sz="4" w:space="0"/>
            </w:tcBorders>
            <w:vAlign w:val="center"/>
          </w:tcPr>
          <w:p w14:paraId="31CC2423">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激光辅助多元成像仪</w:t>
            </w:r>
          </w:p>
        </w:tc>
        <w:tc>
          <w:tcPr>
            <w:tcW w:w="703" w:type="pct"/>
            <w:tcBorders>
              <w:top w:val="single" w:color="000000" w:sz="4" w:space="0"/>
              <w:left w:val="single" w:color="000000" w:sz="4" w:space="0"/>
              <w:bottom w:val="single" w:color="000000" w:sz="4" w:space="0"/>
              <w:right w:val="single" w:color="000000" w:sz="4" w:space="0"/>
            </w:tcBorders>
            <w:vAlign w:val="center"/>
          </w:tcPr>
          <w:p w14:paraId="5FA1CD5A">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0D4E84F0">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209E3E27">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2C08B2AE">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102</w:t>
            </w:r>
          </w:p>
        </w:tc>
        <w:tc>
          <w:tcPr>
            <w:tcW w:w="633" w:type="pct"/>
            <w:tcBorders>
              <w:top w:val="single" w:color="000000" w:sz="4" w:space="0"/>
              <w:left w:val="single" w:color="000000" w:sz="4" w:space="0"/>
              <w:bottom w:val="single" w:color="000000" w:sz="4" w:space="0"/>
              <w:right w:val="single" w:color="000000" w:sz="4" w:space="0"/>
            </w:tcBorders>
            <w:vAlign w:val="center"/>
          </w:tcPr>
          <w:p w14:paraId="46EBEF01">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9</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5464174E">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136A589B">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59D75593">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9</w:t>
            </w:r>
          </w:p>
        </w:tc>
        <w:tc>
          <w:tcPr>
            <w:tcW w:w="1238" w:type="pct"/>
            <w:tcBorders>
              <w:top w:val="single" w:color="000000" w:sz="4" w:space="0"/>
              <w:left w:val="single" w:color="000000" w:sz="4" w:space="0"/>
              <w:bottom w:val="single" w:color="000000" w:sz="4" w:space="0"/>
              <w:right w:val="single" w:color="000000" w:sz="4" w:space="0"/>
            </w:tcBorders>
            <w:vAlign w:val="center"/>
          </w:tcPr>
          <w:p w14:paraId="53C35936">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可编程控制器实训装置</w:t>
            </w:r>
          </w:p>
        </w:tc>
        <w:tc>
          <w:tcPr>
            <w:tcW w:w="703" w:type="pct"/>
            <w:tcBorders>
              <w:top w:val="single" w:color="000000" w:sz="4" w:space="0"/>
              <w:left w:val="single" w:color="000000" w:sz="4" w:space="0"/>
              <w:bottom w:val="single" w:color="000000" w:sz="4" w:space="0"/>
              <w:right w:val="single" w:color="000000" w:sz="4" w:space="0"/>
            </w:tcBorders>
            <w:vAlign w:val="center"/>
          </w:tcPr>
          <w:p w14:paraId="39FB9E3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12404D89">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39DD4B04">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2</w:t>
            </w:r>
          </w:p>
        </w:tc>
        <w:tc>
          <w:tcPr>
            <w:tcW w:w="633" w:type="pct"/>
            <w:tcBorders>
              <w:top w:val="single" w:color="000000" w:sz="4" w:space="0"/>
              <w:left w:val="single" w:color="000000" w:sz="4" w:space="0"/>
              <w:bottom w:val="single" w:color="000000" w:sz="4" w:space="0"/>
              <w:right w:val="single" w:color="000000" w:sz="4" w:space="0"/>
            </w:tcBorders>
            <w:vAlign w:val="center"/>
          </w:tcPr>
          <w:p w14:paraId="21E197EE">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56</w:t>
            </w:r>
          </w:p>
        </w:tc>
        <w:tc>
          <w:tcPr>
            <w:tcW w:w="633" w:type="pct"/>
            <w:tcBorders>
              <w:top w:val="single" w:color="000000" w:sz="4" w:space="0"/>
              <w:left w:val="single" w:color="000000" w:sz="4" w:space="0"/>
              <w:bottom w:val="single" w:color="000000" w:sz="4" w:space="0"/>
              <w:right w:val="single" w:color="000000" w:sz="4" w:space="0"/>
            </w:tcBorders>
            <w:vAlign w:val="center"/>
          </w:tcPr>
          <w:p w14:paraId="520EA501">
            <w:pPr>
              <w:widowControl/>
              <w:jc w:val="center"/>
              <w:textAlignment w:val="center"/>
              <w:rPr>
                <w:rFonts w:ascii="仿宋" w:hAnsi="仿宋" w:eastAsia="仿宋" w:cs="仿宋"/>
                <w:color w:val="auto"/>
                <w:sz w:val="20"/>
                <w:szCs w:val="20"/>
                <w:highlight w:val="none"/>
              </w:rPr>
            </w:pPr>
            <w:r>
              <w:rPr>
                <w:rFonts w:hint="eastAsia" w:ascii="仿宋" w:hAnsi="仿宋" w:eastAsia="仿宋" w:cs="仿宋"/>
                <w:color w:val="auto"/>
                <w:sz w:val="20"/>
                <w:szCs w:val="20"/>
                <w:highlight w:val="none"/>
              </w:rPr>
              <w:t>9</w:t>
            </w:r>
            <w:r>
              <w:rPr>
                <w:rFonts w:ascii="仿宋" w:hAnsi="仿宋" w:eastAsia="仿宋" w:cs="仿宋"/>
                <w:color w:val="auto"/>
                <w:sz w:val="20"/>
                <w:szCs w:val="20"/>
                <w:highlight w:val="none"/>
              </w:rPr>
              <w:t>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1B65A516">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1EEAB223">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75D0C1D9">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10</w:t>
            </w:r>
          </w:p>
        </w:tc>
        <w:tc>
          <w:tcPr>
            <w:tcW w:w="1238" w:type="pct"/>
            <w:tcBorders>
              <w:top w:val="single" w:color="000000" w:sz="4" w:space="0"/>
              <w:left w:val="single" w:color="000000" w:sz="4" w:space="0"/>
              <w:bottom w:val="single" w:color="000000" w:sz="4" w:space="0"/>
              <w:right w:val="single" w:color="000000" w:sz="4" w:space="0"/>
            </w:tcBorders>
            <w:vAlign w:val="center"/>
          </w:tcPr>
          <w:p w14:paraId="6D1127EA">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金属超高速激光加工平台</w:t>
            </w:r>
          </w:p>
        </w:tc>
        <w:tc>
          <w:tcPr>
            <w:tcW w:w="703" w:type="pct"/>
            <w:tcBorders>
              <w:top w:val="single" w:color="000000" w:sz="4" w:space="0"/>
              <w:left w:val="single" w:color="000000" w:sz="4" w:space="0"/>
              <w:bottom w:val="single" w:color="000000" w:sz="4" w:space="0"/>
              <w:right w:val="single" w:color="000000" w:sz="4" w:space="0"/>
            </w:tcBorders>
            <w:vAlign w:val="center"/>
          </w:tcPr>
          <w:p w14:paraId="62E259F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199C22DE">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台</w:t>
            </w:r>
          </w:p>
        </w:tc>
        <w:tc>
          <w:tcPr>
            <w:tcW w:w="441" w:type="pct"/>
            <w:tcBorders>
              <w:top w:val="single" w:color="000000" w:sz="4" w:space="0"/>
              <w:left w:val="single" w:color="000000" w:sz="4" w:space="0"/>
              <w:bottom w:val="single" w:color="000000" w:sz="4" w:space="0"/>
              <w:right w:val="single" w:color="000000" w:sz="4" w:space="0"/>
            </w:tcBorders>
            <w:vAlign w:val="center"/>
          </w:tcPr>
          <w:p w14:paraId="76DACAC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0127A4DE">
            <w:pPr>
              <w:widowControl/>
              <w:jc w:val="center"/>
              <w:textAlignment w:val="center"/>
              <w:rPr>
                <w:rFonts w:ascii="仿宋" w:hAnsi="仿宋" w:eastAsia="仿宋" w:cs="仿宋"/>
                <w:color w:val="auto"/>
                <w:highlight w:val="none"/>
                <w:lang w:bidi="ar"/>
              </w:rPr>
            </w:pPr>
            <w:r>
              <w:rPr>
                <w:rFonts w:hint="eastAsia" w:ascii="仿宋" w:hAnsi="仿宋" w:eastAsia="仿宋" w:cs="仿宋"/>
                <w:color w:val="auto"/>
                <w:sz w:val="20"/>
                <w:szCs w:val="20"/>
                <w:highlight w:val="none"/>
              </w:rPr>
              <w:t>96</w:t>
            </w:r>
          </w:p>
        </w:tc>
        <w:tc>
          <w:tcPr>
            <w:tcW w:w="633" w:type="pct"/>
            <w:tcBorders>
              <w:top w:val="single" w:color="000000" w:sz="4" w:space="0"/>
              <w:left w:val="single" w:color="000000" w:sz="4" w:space="0"/>
              <w:bottom w:val="single" w:color="000000" w:sz="4" w:space="0"/>
              <w:right w:val="single" w:color="000000" w:sz="4" w:space="0"/>
            </w:tcBorders>
            <w:vAlign w:val="center"/>
          </w:tcPr>
          <w:p w14:paraId="1574A0B8">
            <w:pPr>
              <w:widowControl/>
              <w:jc w:val="center"/>
              <w:textAlignment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t>30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265FD18B">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tr w14:paraId="6A61526B">
        <w:tblPrEx>
          <w:tblCellMar>
            <w:top w:w="0" w:type="dxa"/>
            <w:left w:w="108" w:type="dxa"/>
            <w:bottom w:w="0" w:type="dxa"/>
            <w:right w:w="108" w:type="dxa"/>
          </w:tblCellMar>
        </w:tblPrEx>
        <w:trPr>
          <w:trHeight w:val="540" w:hRule="atLeast"/>
        </w:trPr>
        <w:tc>
          <w:tcPr>
            <w:tcW w:w="336" w:type="pct"/>
            <w:tcBorders>
              <w:top w:val="single" w:color="000000" w:sz="4" w:space="0"/>
              <w:left w:val="single" w:color="000000" w:sz="4" w:space="0"/>
              <w:bottom w:val="single" w:color="000000" w:sz="4" w:space="0"/>
              <w:right w:val="single" w:color="000000" w:sz="4" w:space="0"/>
            </w:tcBorders>
            <w:vAlign w:val="center"/>
          </w:tcPr>
          <w:p w14:paraId="31E91C47">
            <w:pPr>
              <w:widowControl/>
              <w:jc w:val="center"/>
              <w:textAlignment w:val="center"/>
              <w:rPr>
                <w:rFonts w:ascii="仿宋" w:hAnsi="仿宋" w:eastAsia="仿宋" w:cs="仿宋"/>
                <w:color w:val="auto"/>
                <w:kern w:val="0"/>
                <w:sz w:val="20"/>
                <w:szCs w:val="20"/>
                <w:highlight w:val="none"/>
                <w:lang w:bidi="ar"/>
              </w:rPr>
            </w:pPr>
            <w:r>
              <w:rPr>
                <w:rFonts w:ascii="仿宋" w:hAnsi="仿宋" w:eastAsia="仿宋" w:cs="仿宋"/>
                <w:color w:val="auto"/>
                <w:kern w:val="0"/>
                <w:sz w:val="20"/>
                <w:szCs w:val="20"/>
                <w:highlight w:val="none"/>
                <w:lang w:bidi="ar"/>
              </w:rPr>
              <w:t>11</w:t>
            </w:r>
          </w:p>
        </w:tc>
        <w:tc>
          <w:tcPr>
            <w:tcW w:w="1238" w:type="pct"/>
            <w:tcBorders>
              <w:top w:val="single" w:color="000000" w:sz="4" w:space="0"/>
              <w:left w:val="single" w:color="000000" w:sz="4" w:space="0"/>
              <w:bottom w:val="single" w:color="000000" w:sz="4" w:space="0"/>
              <w:right w:val="single" w:color="000000" w:sz="4" w:space="0"/>
            </w:tcBorders>
            <w:vAlign w:val="center"/>
          </w:tcPr>
          <w:p w14:paraId="42052B6B">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3D线扫描激光成像仪</w:t>
            </w:r>
          </w:p>
        </w:tc>
        <w:tc>
          <w:tcPr>
            <w:tcW w:w="703" w:type="pct"/>
            <w:tcBorders>
              <w:top w:val="single" w:color="000000" w:sz="4" w:space="0"/>
              <w:left w:val="single" w:color="000000" w:sz="4" w:space="0"/>
              <w:bottom w:val="single" w:color="000000" w:sz="4" w:space="0"/>
              <w:right w:val="single" w:color="000000" w:sz="4" w:space="0"/>
            </w:tcBorders>
            <w:vAlign w:val="center"/>
          </w:tcPr>
          <w:p w14:paraId="6EB327B0">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378" w:type="pct"/>
            <w:tcBorders>
              <w:top w:val="single" w:color="000000" w:sz="4" w:space="0"/>
              <w:left w:val="single" w:color="000000" w:sz="4" w:space="0"/>
              <w:bottom w:val="single" w:color="000000" w:sz="4" w:space="0"/>
              <w:right w:val="single" w:color="000000" w:sz="4" w:space="0"/>
            </w:tcBorders>
            <w:vAlign w:val="center"/>
          </w:tcPr>
          <w:p w14:paraId="60174E57">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441" w:type="pct"/>
            <w:tcBorders>
              <w:top w:val="single" w:color="000000" w:sz="4" w:space="0"/>
              <w:left w:val="single" w:color="000000" w:sz="4" w:space="0"/>
              <w:bottom w:val="single" w:color="000000" w:sz="4" w:space="0"/>
              <w:right w:val="single" w:color="000000" w:sz="4" w:space="0"/>
            </w:tcBorders>
            <w:vAlign w:val="center"/>
          </w:tcPr>
          <w:p w14:paraId="7E875205">
            <w:pPr>
              <w:widowControl/>
              <w:jc w:val="center"/>
              <w:textAlignment w:val="center"/>
              <w:rPr>
                <w:rFonts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633" w:type="pct"/>
            <w:tcBorders>
              <w:top w:val="single" w:color="000000" w:sz="4" w:space="0"/>
              <w:left w:val="single" w:color="000000" w:sz="4" w:space="0"/>
              <w:bottom w:val="single" w:color="000000" w:sz="4" w:space="0"/>
              <w:right w:val="single" w:color="000000" w:sz="4" w:space="0"/>
            </w:tcBorders>
            <w:vAlign w:val="center"/>
          </w:tcPr>
          <w:p w14:paraId="19469EA4">
            <w:pPr>
              <w:widowControl/>
              <w:jc w:val="center"/>
              <w:textAlignment w:val="center"/>
              <w:rPr>
                <w:rFonts w:ascii="仿宋" w:hAnsi="仿宋" w:eastAsia="仿宋" w:cs="仿宋"/>
                <w:color w:val="auto"/>
                <w:highlight w:val="none"/>
                <w:lang w:bidi="ar"/>
              </w:rPr>
            </w:pPr>
            <w:r>
              <w:rPr>
                <w:rFonts w:ascii="仿宋" w:hAnsi="仿宋" w:eastAsia="仿宋" w:cs="仿宋"/>
                <w:color w:val="auto"/>
                <w:sz w:val="20"/>
                <w:szCs w:val="20"/>
                <w:highlight w:val="none"/>
              </w:rPr>
              <w:t>93</w:t>
            </w:r>
          </w:p>
        </w:tc>
        <w:tc>
          <w:tcPr>
            <w:tcW w:w="633" w:type="pct"/>
            <w:tcBorders>
              <w:top w:val="single" w:color="000000" w:sz="4" w:space="0"/>
              <w:left w:val="single" w:color="000000" w:sz="4" w:space="0"/>
              <w:bottom w:val="single" w:color="000000" w:sz="4" w:space="0"/>
              <w:right w:val="single" w:color="000000" w:sz="4" w:space="0"/>
            </w:tcBorders>
            <w:vAlign w:val="center"/>
          </w:tcPr>
          <w:p w14:paraId="36433D50">
            <w:pPr>
              <w:widowControl/>
              <w:jc w:val="center"/>
              <w:textAlignment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t>90</w:t>
            </w:r>
            <w:r>
              <w:rPr>
                <w:rFonts w:hint="eastAsia" w:ascii="仿宋" w:hAnsi="仿宋" w:eastAsia="仿宋" w:cs="仿宋"/>
                <w:color w:val="auto"/>
                <w:sz w:val="20"/>
                <w:szCs w:val="20"/>
                <w:highlight w:val="none"/>
              </w:rPr>
              <w:t>天</w:t>
            </w:r>
          </w:p>
        </w:tc>
        <w:tc>
          <w:tcPr>
            <w:tcW w:w="633" w:type="pct"/>
            <w:tcBorders>
              <w:top w:val="single" w:color="000000" w:sz="4" w:space="0"/>
              <w:left w:val="single" w:color="000000" w:sz="4" w:space="0"/>
              <w:bottom w:val="single" w:color="000000" w:sz="4" w:space="0"/>
              <w:right w:val="single" w:color="000000" w:sz="4" w:space="0"/>
            </w:tcBorders>
            <w:vAlign w:val="center"/>
          </w:tcPr>
          <w:p w14:paraId="5A2DA399">
            <w:pPr>
              <w:widowControl/>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w:t>
            </w:r>
          </w:p>
        </w:tc>
      </w:tr>
      <w:bookmarkEnd w:id="98"/>
      <w:bookmarkEnd w:id="99"/>
      <w:bookmarkEnd w:id="100"/>
    </w:tbl>
    <w:p w14:paraId="75C8530F">
      <w:pPr>
        <w:pStyle w:val="199"/>
        <w:adjustRightInd w:val="0"/>
        <w:snapToGrid w:val="0"/>
        <w:spacing w:line="360" w:lineRule="auto"/>
        <w:ind w:firstLine="480"/>
        <w:rPr>
          <w:rFonts w:ascii="仿宋" w:hAnsi="仿宋" w:eastAsia="仿宋" w:cs="仿宋"/>
          <w:bCs/>
          <w:color w:val="auto"/>
          <w:sz w:val="24"/>
          <w:szCs w:val="24"/>
          <w:highlight w:val="none"/>
        </w:rPr>
      </w:pPr>
    </w:p>
    <w:p w14:paraId="3509D8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注：标“★”为关键参数，须实质性响应，不允许负偏。</w:t>
      </w:r>
    </w:p>
    <w:p w14:paraId="45814ED1">
      <w:pP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0CEA71C2">
      <w:pPr>
        <w:tabs>
          <w:tab w:val="center" w:pos="4832"/>
          <w:tab w:val="left" w:pos="7140"/>
        </w:tabs>
        <w:spacing w:line="360" w:lineRule="auto"/>
        <w:jc w:val="center"/>
        <w:outlineLvl w:val="1"/>
        <w:rPr>
          <w:rFonts w:ascii="仿宋" w:hAnsi="仿宋" w:eastAsia="仿宋" w:cs="仿宋"/>
          <w:b/>
          <w:color w:val="auto"/>
          <w:sz w:val="24"/>
          <w:szCs w:val="24"/>
          <w:highlight w:val="none"/>
        </w:rPr>
      </w:pPr>
      <w:bookmarkStart w:id="101" w:name="OLE_LINK13"/>
      <w:r>
        <w:rPr>
          <w:rFonts w:hint="eastAsia" w:ascii="仿宋" w:hAnsi="仿宋" w:eastAsia="仿宋" w:cs="仿宋"/>
          <w:b/>
          <w:color w:val="auto"/>
          <w:sz w:val="24"/>
          <w:szCs w:val="24"/>
          <w:highlight w:val="none"/>
        </w:rPr>
        <w:t>标的一：</w:t>
      </w:r>
      <w:bookmarkStart w:id="102" w:name="OLE_LINK8"/>
      <w:r>
        <w:rPr>
          <w:rFonts w:hint="eastAsia" w:ascii="仿宋" w:hAnsi="仿宋" w:eastAsia="仿宋" w:cs="仿宋"/>
          <w:b/>
          <w:color w:val="auto"/>
          <w:sz w:val="24"/>
          <w:szCs w:val="24"/>
          <w:highlight w:val="none"/>
        </w:rPr>
        <w:t>高精度多轴力学性能测试分析仪</w:t>
      </w:r>
      <w:bookmarkEnd w:id="102"/>
    </w:p>
    <w:p w14:paraId="721BAC63">
      <w:pPr>
        <w:spacing w:line="360" w:lineRule="auto"/>
        <w:rPr>
          <w:rFonts w:ascii="仿宋" w:hAnsi="仿宋" w:eastAsia="仿宋" w:cs="仿宋"/>
          <w:b/>
          <w:bCs/>
          <w:color w:val="auto"/>
          <w:sz w:val="24"/>
          <w:szCs w:val="24"/>
          <w:highlight w:val="none"/>
        </w:rPr>
      </w:pPr>
      <w:bookmarkStart w:id="103" w:name="OLE_LINK5"/>
      <w:bookmarkStart w:id="104" w:name="OLE_LINK11"/>
      <w:r>
        <w:rPr>
          <w:rFonts w:hint="eastAsia" w:ascii="仿宋" w:hAnsi="仿宋" w:eastAsia="仿宋" w:cs="仿宋"/>
          <w:b/>
          <w:bCs/>
          <w:color w:val="auto"/>
          <w:sz w:val="24"/>
          <w:szCs w:val="24"/>
          <w:highlight w:val="none"/>
        </w:rPr>
        <w:t>二、主要技术参数</w:t>
      </w:r>
    </w:p>
    <w:p w14:paraId="15FB7A34">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（一）多功能材料力学测试分析系统</w:t>
      </w:r>
      <w:bookmarkEnd w:id="103"/>
      <w:r>
        <w:rPr>
          <w:rFonts w:hint="eastAsia" w:ascii="仿宋" w:hAnsi="仿宋" w:eastAsia="仿宋" w:cs="仿宋"/>
          <w:b/>
          <w:bCs/>
          <w:color w:val="auto"/>
          <w:sz w:val="24"/>
          <w:szCs w:val="24"/>
          <w:highlight w:val="none"/>
        </w:rPr>
        <w:t xml:space="preserve">   3套</w:t>
      </w:r>
    </w:p>
    <w:bookmarkEnd w:id="104"/>
    <w:p w14:paraId="0362B0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技术要求如下：</w:t>
      </w:r>
    </w:p>
    <w:p w14:paraId="0C43D6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主要用于金属、非金属材料的拉伸、压缩、弯曲等力学性能测试和分析研究。具有应力、应变、位移等多种闭环控制功能，可自动求取ReH、ReL、Rp0.2、Fm、Rt0.5 、Rt0.6、Rt0.65、Rt0.7、Rm、E等试验参数，并能满足GB、ASTM、DIN、ISO、JIS、EN等标准试验方法。</w:t>
      </w:r>
    </w:p>
    <w:p w14:paraId="23F332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明细如下：</w:t>
      </w:r>
    </w:p>
    <w:p w14:paraId="1F8365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1.主要参数指标</w:t>
      </w:r>
    </w:p>
    <w:p w14:paraId="049F35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1.1最大试验力：100kN ；（力值传感器满足：零点平衡：±1% of rated output；蠕变：±0.03% of rated output；非线性：±0.03% of rated output；重复性：±0.03% of rated output；灵敏度温漂：≤0.002% of applied output/ºC；零点温漂：≤0.002% of rated output/ºC；安全载荷：150%）。</w:t>
      </w:r>
    </w:p>
    <w:p w14:paraId="366E906F">
      <w:pPr>
        <w:spacing w:line="360" w:lineRule="auto"/>
        <w:rPr>
          <w:rFonts w:ascii="仿宋" w:hAnsi="仿宋" w:eastAsia="仿宋" w:cs="仿宋"/>
          <w:bCs/>
          <w:color w:val="auto"/>
          <w:sz w:val="24"/>
          <w:szCs w:val="24"/>
          <w:highlight w:val="none"/>
        </w:rPr>
      </w:pPr>
      <w:bookmarkStart w:id="105" w:name="OLE_LINK21"/>
      <w:r>
        <w:rPr>
          <w:rFonts w:hint="eastAsia" w:ascii="仿宋" w:hAnsi="仿宋" w:eastAsia="仿宋" w:cs="仿宋"/>
          <w:bCs/>
          <w:color w:val="auto"/>
          <w:sz w:val="24"/>
          <w:szCs w:val="24"/>
          <w:highlight w:val="none"/>
        </w:rPr>
        <w:t>★</w:t>
      </w:r>
      <w:bookmarkEnd w:id="105"/>
      <w:r>
        <w:rPr>
          <w:rFonts w:hint="eastAsia" w:ascii="仿宋" w:hAnsi="仿宋" w:eastAsia="仿宋" w:cs="仿宋"/>
          <w:bCs/>
          <w:color w:val="auto"/>
          <w:sz w:val="24"/>
          <w:szCs w:val="24"/>
          <w:highlight w:val="none"/>
        </w:rPr>
        <w:t>1.2准确度等级：在1kN~100kN范围内，精度为示值的±0.3%；在100N~1 kN范围内，精度为示值的±0.5%。</w:t>
      </w:r>
    </w:p>
    <w:p w14:paraId="0972663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1.3.试验力测量范围：0.1%～100%FS（满量程）。</w:t>
      </w:r>
    </w:p>
    <w:p w14:paraId="34D5EB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1.4.试验力分辨率：最大试验机的±1/1500000，全程不分档，且全程分辨率不变</w:t>
      </w:r>
      <w:r>
        <w:rPr>
          <w:rFonts w:hint="eastAsia" w:ascii="仿宋" w:hAnsi="仿宋" w:eastAsia="仿宋" w:cs="仿宋"/>
          <w:b/>
          <w:bCs/>
          <w:color w:val="auto"/>
          <w:sz w:val="24"/>
          <w:szCs w:val="24"/>
          <w:highlight w:val="none"/>
        </w:rPr>
        <w:t>（提供符合国家标准的鉴定机构出具的检测报告)。</w:t>
      </w:r>
    </w:p>
    <w:p w14:paraId="1D0F69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1.5.位移分辨力（率）：0.005μm</w:t>
      </w:r>
      <w:r>
        <w:rPr>
          <w:rFonts w:hint="eastAsia" w:ascii="仿宋" w:hAnsi="仿宋" w:eastAsia="仿宋" w:cs="仿宋"/>
          <w:b/>
          <w:bCs/>
          <w:color w:val="auto"/>
          <w:sz w:val="24"/>
          <w:szCs w:val="24"/>
          <w:highlight w:val="none"/>
        </w:rPr>
        <w:t>（提供符合国家标准的鉴定机构出具的测试报告)</w:t>
      </w:r>
    </w:p>
    <w:p w14:paraId="0599B83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★1.6.位移控制速率范围</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0.001～1200mm/min，试验过程中无需停机，仅通过软件就可改变速度；全部速度内均能达到最大载荷，全部载荷均能实现所有速度，即加载到100kN时速度能够达到1200mm/min，试验速度达到1500mm/min时，能够加载到100kN；最大返回速度：≥1200mm/min。</w:t>
      </w:r>
    </w:p>
    <w:p w14:paraId="7FEB83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★1.7智能横梁：可以自动识别并显示横梁高度，自动设置夹具间距，当夹具间距过小时，可以自动识别，避免碰撞。横梁分辨率：≤8.33nm。</w:t>
      </w:r>
    </w:p>
    <w:p w14:paraId="6E9514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1.8夹具间最大距离：≥1600mm</w:t>
      </w:r>
    </w:p>
    <w:p w14:paraId="480DF0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1.9有效试验宽度：≥850mm</w:t>
      </w:r>
    </w:p>
    <w:p w14:paraId="4DF79B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1.10电源：380V±10% 50Hz，功率：≥2kW</w:t>
      </w:r>
    </w:p>
    <w:p w14:paraId="2EA2DA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 重量：≥1200公斤</w:t>
      </w:r>
    </w:p>
    <w:p w14:paraId="2268450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2.控制系统功能：</w:t>
      </w:r>
    </w:p>
    <w:p w14:paraId="45698248">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2.1控制器：1500Hz 控制频率和采样频率；配多功能手持器</w:t>
      </w:r>
      <w:bookmarkStart w:id="106" w:name="OLE_LINK7"/>
      <w:r>
        <w:rPr>
          <w:rFonts w:hint="eastAsia" w:ascii="仿宋" w:hAnsi="仿宋" w:eastAsia="仿宋" w:cs="仿宋"/>
          <w:b/>
          <w:bCs/>
          <w:color w:val="auto"/>
          <w:sz w:val="24"/>
          <w:szCs w:val="24"/>
          <w:highlight w:val="none"/>
        </w:rPr>
        <w:t>（提供符合参数的技术白皮书、或产品说明书、</w:t>
      </w:r>
      <w:bookmarkEnd w:id="106"/>
      <w:r>
        <w:rPr>
          <w:rFonts w:hint="eastAsia" w:ascii="仿宋" w:hAnsi="仿宋" w:eastAsia="仿宋" w:cs="仿宋"/>
          <w:b/>
          <w:bCs/>
          <w:color w:val="auto"/>
          <w:sz w:val="24"/>
          <w:szCs w:val="24"/>
          <w:highlight w:val="none"/>
        </w:rPr>
        <w:t>或其他证明文件）。</w:t>
      </w:r>
    </w:p>
    <w:p w14:paraId="4FF066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全数字三闭环测控系统，具有力控制、位移控制、时间控制、程序控制，实现力值、位移、变形（包括引伸计、大变形、千分表）全闭环控制，在试验过程中三种控制方式可以按照设定程序平滑切换。也可做恒负荷、恒位移、恒变形控制方式，或多种控制模式组合，也可根据客户需求自定义控制模式。</w:t>
      </w:r>
    </w:p>
    <w:p w14:paraId="1E3C2BDD">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2.3控制器预留电学测试模块，高精度数字测量仪，电学模块采用LAN接口与电脑主机通讯、通过软件把电学参数整合到数据库里，然后通过软件做成曲线（包括但不限于电容-时间、电阻-时间，电阻-载荷、电容-载荷、位移-电容、位移-电阻等）控制硬件可兼容电学模块采用LAN接口与电脑主机通讯</w:t>
      </w:r>
      <w:bookmarkStart w:id="107" w:name="OLE_LINK9"/>
      <w:r>
        <w:rPr>
          <w:rFonts w:hint="eastAsia" w:ascii="仿宋" w:hAnsi="仿宋" w:eastAsia="仿宋" w:cs="仿宋"/>
          <w:b/>
          <w:bCs/>
          <w:color w:val="auto"/>
          <w:sz w:val="24"/>
          <w:szCs w:val="24"/>
          <w:highlight w:val="none"/>
        </w:rPr>
        <w:t>（提供符合参数的技术白皮书、或产品说明书、</w:t>
      </w:r>
      <w:bookmarkEnd w:id="107"/>
      <w:r>
        <w:rPr>
          <w:rFonts w:hint="eastAsia" w:ascii="仿宋" w:hAnsi="仿宋" w:eastAsia="仿宋" w:cs="仿宋"/>
          <w:b/>
          <w:bCs/>
          <w:color w:val="auto"/>
          <w:sz w:val="24"/>
          <w:szCs w:val="24"/>
          <w:highlight w:val="none"/>
        </w:rPr>
        <w:t>或其他证明文件）。</w:t>
      </w:r>
    </w:p>
    <w:p w14:paraId="58EE34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自动识别、自动标定传感器和引伸计；主机通过网口与电脑通信，支持热插拔。高精度传感器：在1/1000~1/100的量程范围内，满足0.5级要求，即误差小于示值的±0.5%，在1/100~1/1的量程范围内，满足0.3级要求，即误差小于示值的±0.3%。</w:t>
      </w:r>
    </w:p>
    <w:p w14:paraId="4271C4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开放通讯协议：具有RJ45以太网、RS232串口等数据通讯接口，开放设备上采集数据的权限并协助实现。如实施MES、MOM透明化管理等项目需采集设备数据信息，要求投标方技术人员按照甲方的需求免费提供技术支持。软件可通过ACCESS数据库和MES</w:t>
      </w:r>
      <w:r>
        <w:rPr>
          <w:rFonts w:hint="eastAsia"/>
          <w:color w:val="auto"/>
          <w:highlight w:val="none"/>
        </w:rPr>
        <w:t>等</w:t>
      </w:r>
      <w:r>
        <w:rPr>
          <w:rFonts w:hint="eastAsia" w:ascii="仿宋" w:hAnsi="仿宋" w:eastAsia="仿宋" w:cs="仿宋"/>
          <w:bCs/>
          <w:color w:val="auto"/>
          <w:sz w:val="24"/>
          <w:szCs w:val="24"/>
          <w:highlight w:val="none"/>
        </w:rPr>
        <w:t>系统数据库对接，原始数据可以汇出（txt、Excel、PDF等），并且汇出原始数据的取值间隔可以人为设定，便于科研分析。</w:t>
      </w:r>
    </w:p>
    <w:p w14:paraId="17B6C9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3控制软件功能：</w:t>
      </w:r>
    </w:p>
    <w:p w14:paraId="356538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★3.1软件带有云服务平台，采用物联网技术，可以一键上传故障问题，平台服务人员可远程及时帮助操作人员分析设备及应用出现的问题。通过物联网，还有定期的 标定提醒，自动下载最新版本的软件，使设备保持最新的功能特点，Bug修复实现最佳系统性能。</w:t>
      </w:r>
    </w:p>
    <w:p w14:paraId="722027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波形控制功能：控制器支持如正弦波，三角波等替代部分疲劳试验测试，不小于30000次。三角波低周控制频率：最高50Hz；梯形波低周控制参数：加载、卸载时间最短0.01秒，保载时间可任意设定，循环次数可任意设定；</w:t>
      </w:r>
    </w:p>
    <w:p w14:paraId="0744B5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3.3设备功能：具备载荷与应力显示功能、载荷自动调零与校准功能，破断检测功能，传感器过载检出功能，提供力超载保护、电流过载保护、电压过载保护、超速保护和位移超量程保护。</w:t>
      </w:r>
    </w:p>
    <w:p w14:paraId="6ECDDB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★3.5测量的力值结果，要求可以自动判断是否合格，不合格显示红色。</w:t>
      </w:r>
      <w:r>
        <w:rPr>
          <w:rFonts w:hint="eastAsia" w:ascii="仿宋" w:hAnsi="仿宋" w:eastAsia="仿宋" w:cs="仿宋"/>
          <w:b/>
          <w:bCs/>
          <w:color w:val="auto"/>
          <w:sz w:val="24"/>
          <w:szCs w:val="24"/>
          <w:highlight w:val="none"/>
        </w:rPr>
        <w:t>（提供符合参数的技术白皮书、或产品说明书、或其他软件证明文件）</w:t>
      </w:r>
    </w:p>
    <w:p w14:paraId="1EC735B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★3.6数据采集、显示功能：采用图形拖拉来设计试验流程;可以设定定时，峰值/谷值，水平交叉，循环/对数形）;正弦波，方波，三角波，锯齿波，保持和自定义波形动作; </w:t>
      </w:r>
      <w:r>
        <w:rPr>
          <w:rFonts w:hint="eastAsia" w:ascii="仿宋" w:hAnsi="仿宋" w:eastAsia="仿宋" w:cs="仿宋"/>
          <w:b/>
          <w:bCs/>
          <w:color w:val="auto"/>
          <w:sz w:val="24"/>
          <w:szCs w:val="24"/>
          <w:highlight w:val="none"/>
        </w:rPr>
        <w:t>（提供符合参数的技术白皮书、或产品说明书、或其他软件证明文件）</w:t>
      </w:r>
    </w:p>
    <w:p w14:paraId="166665C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3.7实时、动态显示试验过程及试验曲线，可对曲线放大进行数据再分析和编辑，试验原始数据提取等，输出不同格式的试验报告和曲线图样，并支持联网进行数据传输，可远程监控。可按要求的格式对试验报告进行编辑和打印，并可导出WORD、EXCEL文件或者PDF、 HTML格式文件。在屏幕上试验结果的数据和图形可直接粘贴到 word 和 Excel文档上，原始试验数据可直接存入 Excel，原始试验数据可直接导出为CSV格式或任意设定导出格式。</w:t>
      </w:r>
    </w:p>
    <w:p w14:paraId="00C27D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3.8软件可实现依据测试时间、试样名称、生产批次、文件名称、自定义按条件组合查询等多条件进行查询及排序。</w:t>
      </w:r>
    </w:p>
    <w:p w14:paraId="659461C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3.9 试验条件和实验数据的自动存盘，防止数据丢失。</w:t>
      </w:r>
    </w:p>
    <w:p w14:paraId="76FBB6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3.10计算机基于正版WINDOWS 10操作系统，采用中文环境，提供多种语言供用户选择“中文简体”、“中文繁体”、“英文”、“日文”、“德语”、“法语”、“西班牙语”、“俄语”等界面语言版本，终身免费升至最新版本。</w:t>
      </w:r>
    </w:p>
    <w:p w14:paraId="7C939C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3.11预留能与电子探针联用接口，试验机操作软件可同步控制电子探针，在测试时实时表征材料的形貌变化及元素的分布</w:t>
      </w:r>
      <w:r>
        <w:rPr>
          <w:rFonts w:hint="eastAsia" w:ascii="仿宋" w:hAnsi="仿宋" w:eastAsia="仿宋" w:cs="仿宋"/>
          <w:b/>
          <w:bCs/>
          <w:color w:val="auto"/>
          <w:sz w:val="24"/>
          <w:szCs w:val="24"/>
          <w:highlight w:val="none"/>
        </w:rPr>
        <w:t>（提供符合参数的技术白皮书、或产品说明书、或其他证明文件）。</w:t>
      </w:r>
    </w:p>
    <w:p w14:paraId="7DC55AA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4配置要求</w:t>
      </w:r>
    </w:p>
    <w:p w14:paraId="4903C4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 100KN主机机架，刚度不低于200kN/mm；采用高强度光杠固定上横梁及工作台面，构成高刚度的框架结构；采用无间隙高精密滚珠丝杠，提高传动效率和位移精度；上中下梁采用QT600-3型球墨铸铁，抗拉强度达到是60k(600MPa)。</w:t>
      </w:r>
    </w:p>
    <w:p w14:paraId="329E24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4.2 100KN、10KN、1KN负荷测量传感器各一套；</w:t>
      </w:r>
    </w:p>
    <w:p w14:paraId="091D2FA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4.3交流伺服电机及伺服器一套；</w:t>
      </w:r>
    </w:p>
    <w:p w14:paraId="7AB3977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4.4手动控制器：包括开始键、 停止键、 返车键、上行下行键、暂停键、使能/非使能键、 两个可编程的功能按键；</w:t>
      </w:r>
    </w:p>
    <w:p w14:paraId="7070F3B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4.5仪器操作终端（CPU I5</w:t>
      </w:r>
      <w:r>
        <w:rPr>
          <w:rFonts w:ascii="仿宋" w:hAnsi="仿宋" w:eastAsia="仿宋" w:cs="仿宋"/>
          <w:bCs/>
          <w:color w:val="auto"/>
          <w:sz w:val="24"/>
          <w:szCs w:val="24"/>
          <w:highlight w:val="none"/>
        </w:rPr>
        <w:t>12</w:t>
      </w:r>
      <w:r>
        <w:rPr>
          <w:rFonts w:hint="eastAsia" w:ascii="仿宋" w:hAnsi="仿宋" w:eastAsia="仿宋" w:cs="仿宋"/>
          <w:bCs/>
          <w:color w:val="auto"/>
          <w:sz w:val="24"/>
          <w:szCs w:val="24"/>
          <w:highlight w:val="none"/>
        </w:rPr>
        <w:t>代及以上酷睿架构，物理核心数≥1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核，16G及以上内存，500G以上硬盘，仪器显示终端22英寸及以上）；</w:t>
      </w:r>
    </w:p>
    <w:p w14:paraId="58DDDB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4.6随机资料：产品使用说明书、装箱清单（含出厂检定合格证书、保修证书）计算机随机资料1套；</w:t>
      </w:r>
    </w:p>
    <w:p w14:paraId="1524CA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4.7夹具及附件配置</w:t>
      </w:r>
    </w:p>
    <w:p w14:paraId="657265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4.7.1楔形拉伸夹具1套，采用调制不锈钢高硬度材质（平口0—21mm、V口Ф9—19mm）；</w:t>
      </w:r>
    </w:p>
    <w:p w14:paraId="21098B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4.7.2压缩夹具1套， 抗压强度≥2000兆帕；</w:t>
      </w:r>
    </w:p>
    <w:p w14:paraId="20B20E3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4.7.3三点弯曲夹具1套：采用调制不锈钢、高硬度材质；</w:t>
      </w:r>
    </w:p>
    <w:p w14:paraId="155AF7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4.7.4 引伸计1支</w:t>
      </w:r>
    </w:p>
    <w:p w14:paraId="2F772DD9">
      <w:pPr>
        <w:spacing w:line="360" w:lineRule="auto"/>
        <w:rPr>
          <w:rFonts w:ascii="仿宋" w:hAnsi="仿宋" w:eastAsia="仿宋" w:cs="仿宋"/>
          <w:bCs/>
          <w:color w:val="auto"/>
          <w:sz w:val="24"/>
          <w:szCs w:val="24"/>
          <w:highlight w:val="none"/>
        </w:rPr>
      </w:pPr>
    </w:p>
    <w:p w14:paraId="7CC6D5B9">
      <w:pPr>
        <w:spacing w:line="360" w:lineRule="auto"/>
        <w:rPr>
          <w:rFonts w:ascii="仿宋" w:hAnsi="仿宋" w:eastAsia="仿宋" w:cs="仿宋"/>
          <w:b/>
          <w:bCs/>
          <w:color w:val="auto"/>
          <w:sz w:val="24"/>
          <w:szCs w:val="24"/>
          <w:highlight w:val="none"/>
        </w:rPr>
      </w:pPr>
      <w:bookmarkStart w:id="108" w:name="OLE_LINK12"/>
      <w:r>
        <w:rPr>
          <w:rFonts w:hint="eastAsia" w:ascii="仿宋" w:hAnsi="仿宋" w:eastAsia="仿宋" w:cs="仿宋"/>
          <w:b/>
          <w:bCs/>
          <w:color w:val="auto"/>
          <w:sz w:val="24"/>
          <w:szCs w:val="24"/>
          <w:highlight w:val="none"/>
        </w:rPr>
        <w:t>（二）多功能材料力学测试分析系统 1套</w:t>
      </w:r>
    </w:p>
    <w:bookmarkEnd w:id="108"/>
    <w:p w14:paraId="66A5B5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技术要求如下：</w:t>
      </w:r>
    </w:p>
    <w:p w14:paraId="355F92B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主要用于金属、非金属材料的拉伸、压缩、弯曲等力学性能测试和分析研究。具有应力、应变、位移等多种闭环控制功能，可自动求取ReH、ReL、Rp0.2、Fm、Rt0.5 、Rt0.6、Rt0.65、Rt0.7、Rm、E等试验参数，并能满足GB、ASTM、DIN、ISO、JIS、EN等标准试验方法。</w:t>
      </w:r>
    </w:p>
    <w:p w14:paraId="7E7137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明细如下：</w:t>
      </w:r>
    </w:p>
    <w:p w14:paraId="7791291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主要参数指标</w:t>
      </w:r>
    </w:p>
    <w:p w14:paraId="7FAE108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11.1最大试验力：100kN ；（传感器满足：零点平衡：±1% of rated output；蠕变：±0.03% of rated output；非线性：±0.03% of rated output；重复性：±0.03% of rated output；灵敏度温漂：≤0.002% of applied output/ºC；零点温漂：≤0.002% of rated output/ºC；安全载荷：150%；）</w:t>
      </w:r>
    </w:p>
    <w:p w14:paraId="17173C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★1.2准确度等级：在1kN~100kN范围内，精度为示值的±0.3%；在100N~1 kN范围内，精度为示值的±0.5%。</w:t>
      </w:r>
    </w:p>
    <w:p w14:paraId="3FDC8E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1.3.试验力测量范围：0.1%～100%FS（满量程）</w:t>
      </w:r>
    </w:p>
    <w:p w14:paraId="0F12109C">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1.4.试验力分辨率：最大试验机的±1/1500000，全程不分档，且全程分辨率不变</w:t>
      </w:r>
      <w:bookmarkStart w:id="109" w:name="OLE_LINK10"/>
      <w:r>
        <w:rPr>
          <w:rFonts w:hint="eastAsia" w:ascii="仿宋" w:hAnsi="仿宋" w:eastAsia="仿宋" w:cs="仿宋"/>
          <w:b/>
          <w:bCs/>
          <w:color w:val="auto"/>
          <w:sz w:val="24"/>
          <w:szCs w:val="24"/>
          <w:highlight w:val="none"/>
        </w:rPr>
        <w:t>（提供符合国家标准的鉴定机构出具检测报告)。</w:t>
      </w:r>
    </w:p>
    <w:bookmarkEnd w:id="109"/>
    <w:p w14:paraId="69B56561">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1.5.位移分辨力（率）：0.005μm</w:t>
      </w:r>
      <w:r>
        <w:rPr>
          <w:rFonts w:hint="eastAsia" w:ascii="仿宋" w:hAnsi="仿宋" w:eastAsia="仿宋" w:cs="仿宋"/>
          <w:b/>
          <w:bCs/>
          <w:color w:val="auto"/>
          <w:sz w:val="24"/>
          <w:szCs w:val="24"/>
          <w:highlight w:val="none"/>
        </w:rPr>
        <w:t>（提供符合国家标准的鉴定机构出具的测试报告)。</w:t>
      </w:r>
    </w:p>
    <w:p w14:paraId="39E30B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位移控制速率范围：0.001～1200mm/min，试验过程中无需停机，仅通过软件就可改变速度；全部速度内均能达到最大载荷，全部载荷均能实现所有速度，即加载到100kN时速度能够达到1200mm/min，试验速度达到1500mm/min时，能够加载到100kN。；最大返回速度：≥1200mm/min。</w:t>
      </w:r>
    </w:p>
    <w:p w14:paraId="1AC3A0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 智能横梁：可以自动识别并显示横梁高度，自动设置夹具间距，当夹具间距过小时，可以自动识别，避免碰撞。横梁分辨率：≤8.33nm</w:t>
      </w:r>
    </w:p>
    <w:p w14:paraId="5319D18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★1.8夹具间最大距离：≥1600mm</w:t>
      </w:r>
    </w:p>
    <w:p w14:paraId="627F95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 有效试验宽度：≥850mm</w:t>
      </w:r>
    </w:p>
    <w:p w14:paraId="182327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1.10电源：380V±10% 50Hz，功率：≥2kW</w:t>
      </w:r>
    </w:p>
    <w:p w14:paraId="457C07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1.11重量：≥1200公斤 </w:t>
      </w:r>
    </w:p>
    <w:p w14:paraId="46056E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2.控制系统功能：</w:t>
      </w:r>
    </w:p>
    <w:p w14:paraId="18E1602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2.1控制器：（2500Hz 控制频率和采样频率，采样频率以100µs(0.1毫秒)为基本单位可调；配多功能手持器。</w:t>
      </w:r>
      <w:r>
        <w:rPr>
          <w:rFonts w:hint="eastAsia" w:ascii="仿宋" w:hAnsi="仿宋" w:eastAsia="仿宋" w:cs="仿宋"/>
          <w:b/>
          <w:bCs/>
          <w:color w:val="auto"/>
          <w:sz w:val="24"/>
          <w:szCs w:val="24"/>
          <w:highlight w:val="none"/>
        </w:rPr>
        <w:t>（提供符合参数的技术白皮书、或产品说明书、或其他证明文件）</w:t>
      </w:r>
    </w:p>
    <w:p w14:paraId="2DCBB5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全数字三闭环测控系统，具有力控制、位移控制、时间控制、程序控制，实现力值、位移、变形（包括引伸计、大变形、千分表）全闭环控制，在试验过程中三种控制方式可以按照设定程序平滑切换。也可做恒负荷、恒位移、恒变形控制方式，或多种控制模式组合，客户可自行设置控制模式。</w:t>
      </w:r>
    </w:p>
    <w:p w14:paraId="6D0C31CE">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2.3控制器预留电学测试模块，高精度数字测量仪，电学模块采用LAN接口与电脑主机通讯、通过软件把电学参数整合到数据库里，然后通过软件做成曲线（包括但不限于电容-时间、电阻-时间，电阻-载荷、电容-载荷、位移-电容、位移-电阻等）控制硬件可兼容电学模块采用LAN接口与电脑主机通讯</w:t>
      </w:r>
      <w:r>
        <w:rPr>
          <w:rFonts w:hint="eastAsia" w:ascii="仿宋" w:hAnsi="仿宋" w:eastAsia="仿宋" w:cs="仿宋"/>
          <w:b/>
          <w:bCs/>
          <w:color w:val="auto"/>
          <w:sz w:val="24"/>
          <w:szCs w:val="24"/>
          <w:highlight w:val="none"/>
        </w:rPr>
        <w:t>（提供符合参数的技术白皮书、或产品说明书、或其他证明文件）。</w:t>
      </w:r>
    </w:p>
    <w:p w14:paraId="42E4A7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自动识别、自动标定传感器和引伸计；主机通过网口与电脑通信，支持热插拔。高精度传感器：在1/1000~1/100的量程范围内，满足0.5级要求，即误差小于示值的±0.5%，在1/100~1/1的量程范围内，满足0.3级要求，即误差小于示值的±0.3%。</w:t>
      </w:r>
    </w:p>
    <w:p w14:paraId="66A273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开放通讯协议：具有RJ45以太网、RS232串口等数据通讯接口，开放设备上采集数据的权限并协助实现。如实施MES、MOM透明化管理等项目需采集设备数据信息，要求投标方技术人员按照甲方的需求免费提供技术支持。软件可通过ACCESS数据库和MES系统数据库对接，原始数据可以汇出（txt、Excel、PDF等），并且汇出原始数据的取值间隔可以人为设定，便于科研分析。</w:t>
      </w:r>
    </w:p>
    <w:p w14:paraId="7B0B64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★2.6急停开关升级安全层级，带安全监控</w:t>
      </w:r>
      <w:r>
        <w:rPr>
          <w:rFonts w:hint="eastAsia" w:ascii="仿宋" w:hAnsi="仿宋" w:eastAsia="仿宋" w:cs="仿宋"/>
          <w:b/>
          <w:bCs/>
          <w:color w:val="auto"/>
          <w:sz w:val="24"/>
          <w:szCs w:val="24"/>
          <w:highlight w:val="none"/>
        </w:rPr>
        <w:t>（提供符合参数的技术白皮书、或产品说明书、或其他证明文件）。</w:t>
      </w:r>
    </w:p>
    <w:p w14:paraId="33B092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3控制软件功能：</w:t>
      </w:r>
    </w:p>
    <w:p w14:paraId="2A3D07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★3.1软件带有云服务平台，采用物联网技术，可以一键上传故障问题，平台服务人员可远程及时帮助操作人员分析设备及应用出现的问题。通过物联网，还有定期的 标定提醒，自动下载最新版本的软件，使设备保持最新的功能特点，Bug修复实现最佳系统性能。</w:t>
      </w:r>
    </w:p>
    <w:p w14:paraId="4F6CAD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波形控制功能：控制器支持如正弦波，三角波等替代部分疲劳试验测试，不小于30000次。三角波低周控制频率：最高50Hz；梯形波低周控制参数：加载、卸载时间最短0.01秒，保载时间可任意设定，循环次数可任意设定；</w:t>
      </w:r>
    </w:p>
    <w:p w14:paraId="4EF569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3.3设备功能：具备载荷与应力显示功能、载荷自动调零与校准功能，破断检测功能，传感器过载检出功能，提供力超载保护、电流过载保护、电压过载保护、超速保护和位移超量程保护。</w:t>
      </w:r>
    </w:p>
    <w:p w14:paraId="0F526B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★3.5测量的力值结果，要求可以自动判断是否合格，不合格显示红色。</w:t>
      </w:r>
      <w:r>
        <w:rPr>
          <w:rFonts w:hint="eastAsia" w:ascii="仿宋" w:hAnsi="仿宋" w:eastAsia="仿宋" w:cs="仿宋"/>
          <w:b/>
          <w:bCs/>
          <w:color w:val="auto"/>
          <w:sz w:val="24"/>
          <w:szCs w:val="24"/>
          <w:highlight w:val="none"/>
        </w:rPr>
        <w:t>（提供符合参数的技术白皮书、或产品说明书、或其他软件证明文件）</w:t>
      </w:r>
    </w:p>
    <w:p w14:paraId="7902F6EB">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★3.6数据采集、显示功能：采用图形拖拉来设计试验流程;可以设定定时，峰值/谷值，水平交叉，循环/对数形）;正弦波，方波，三角波，锯齿波，保持和自定义波形动作; </w:t>
      </w:r>
      <w:r>
        <w:rPr>
          <w:rFonts w:hint="eastAsia" w:ascii="仿宋" w:hAnsi="仿宋" w:eastAsia="仿宋" w:cs="仿宋"/>
          <w:b/>
          <w:bCs/>
          <w:color w:val="auto"/>
          <w:sz w:val="24"/>
          <w:szCs w:val="24"/>
          <w:highlight w:val="none"/>
        </w:rPr>
        <w:t>（提供符合参数的技术白皮书、或产品说明书、或其他软件证明文件）</w:t>
      </w:r>
    </w:p>
    <w:p w14:paraId="04D6E42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3.7实时、动态显示试验过程及试验曲线，可对曲线放大进行数据再分析和编辑，试验原始数据提取等，输出不同格式的试验报告和曲线图样，并支持联网进行数据传输，可远程监控。可按要求的格式对试验报告进行编辑和打印，并可导出WORD、EXCEL文件或者PDF、 HTML格式文件。在屏幕上试验结果的数据和图形可直接粘贴到 word 和 Excel文档上，原始试验数据可直接存入 Excel，原始试验数据可直接导出为CSV格式或任意设定导出格式。</w:t>
      </w:r>
    </w:p>
    <w:p w14:paraId="4B6462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3.8软件可实现依据测试时间、试样名称、生产批次、文件名称、自定义按条件组合查询等多条件进行查询及排序</w:t>
      </w:r>
    </w:p>
    <w:p w14:paraId="6C80EC2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3.9 试验条件和实验数据的自动存盘，防止数据丢失</w:t>
      </w:r>
    </w:p>
    <w:p w14:paraId="1366282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3.10计算机基于正版WINDOWS 10操作系统，采用中文环境，提供多种语言供用户选择“中文简体”、“中文繁体”、“英文”、“日文”、“德语”、“法语”、“西班牙语”、“俄语”等界面语言版本，终身免费升至最新版本</w:t>
      </w:r>
    </w:p>
    <w:p w14:paraId="63B233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3.11预留能与电子探针联用接口，试验机操作软件可同步控制电子探针，在测试时实时表征材料的形貌变化及元素的分布</w:t>
      </w:r>
      <w:r>
        <w:rPr>
          <w:rFonts w:hint="eastAsia" w:ascii="仿宋" w:hAnsi="仿宋" w:eastAsia="仿宋" w:cs="仿宋"/>
          <w:b/>
          <w:bCs/>
          <w:color w:val="auto"/>
          <w:sz w:val="24"/>
          <w:szCs w:val="24"/>
          <w:highlight w:val="none"/>
        </w:rPr>
        <w:t>（提供符合参数的技术白皮书、或产品说明书、或其他证明文件）。</w:t>
      </w:r>
    </w:p>
    <w:p w14:paraId="6F8CBB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4配置要求</w:t>
      </w:r>
    </w:p>
    <w:p w14:paraId="6C7B0F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4.1 100KN主机机架，刚度不低于200kN/mm；采用高强度光杠固定上横梁及工作台面，构成高刚度的框架结构；采用无间隙高精密滚珠丝杠，提高传动效率和位移精度；上中下梁抗拉强度达到是600MPa。</w:t>
      </w:r>
    </w:p>
    <w:p w14:paraId="07ADC08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4.2 100KN负荷测量传感器一套</w:t>
      </w:r>
    </w:p>
    <w:p w14:paraId="5DF8B4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4.3交流伺服电机及伺服器一套</w:t>
      </w:r>
    </w:p>
    <w:p w14:paraId="269E20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4.4手动控制器：多功能手持器：采用线控遥控手柄调速，在荷重范围内，可快速操控，实现多种夹具位移定速，从0.001~1000mm/min；</w:t>
      </w:r>
    </w:p>
    <w:p w14:paraId="27699B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包括开始键、 停止键、 返车键、上行下行键、暂停键、使能/非使能键、 两个可编程的功能按键</w:t>
      </w:r>
    </w:p>
    <w:p w14:paraId="1EDB200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4.5仪器操作终端一台（CPU≥I5，内存≥16G，硬盘≥500G，≥22英寸仪器显示终端）</w:t>
      </w:r>
    </w:p>
    <w:p w14:paraId="793FFD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4.6随机资料：产品使用说明书、装箱清单（含出厂检定合格证书、保修证书）计算机随机资料1套</w:t>
      </w:r>
    </w:p>
    <w:p w14:paraId="4621AD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4.7夹具及附件配置</w:t>
      </w:r>
    </w:p>
    <w:p w14:paraId="3BEA78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4.7.1楔形拉伸夹具1套，采用调制不锈钢高硬度材质（平口0—21mm、V口Ф9—19mm）</w:t>
      </w:r>
    </w:p>
    <w:p w14:paraId="7D7C7E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4.7.2压缩夹具1套， 抗压强度≥2000兆帕</w:t>
      </w:r>
    </w:p>
    <w:p w14:paraId="597A214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4.7.3三点弯曲夹具1套：采用调制不锈钢、高硬度材质</w:t>
      </w:r>
    </w:p>
    <w:p w14:paraId="7E2E2F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4.7.4引伸计1支</w:t>
      </w:r>
    </w:p>
    <w:p w14:paraId="5B3A37E8">
      <w:pPr>
        <w:spacing w:line="360" w:lineRule="auto"/>
        <w:rPr>
          <w:rFonts w:ascii="仿宋" w:hAnsi="仿宋" w:eastAsia="仿宋" w:cs="仿宋"/>
          <w:bCs/>
          <w:color w:val="auto"/>
          <w:sz w:val="24"/>
          <w:szCs w:val="24"/>
          <w:highlight w:val="none"/>
        </w:rPr>
      </w:pPr>
    </w:p>
    <w:p w14:paraId="42BED144">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（三）材料力学扭转测试分析系统  8套</w:t>
      </w:r>
    </w:p>
    <w:p w14:paraId="60F445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技术要求如下：</w:t>
      </w:r>
    </w:p>
    <w:p w14:paraId="4DF4706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1设备主要用途：</w:t>
      </w:r>
    </w:p>
    <w:p w14:paraId="0EF8E7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适用于金属材料、非金属材料、复合材料以及构件的扭转力学性能测试和分析研究。可自动求取TeH、TeL、Tm、τeH、τeL、τm、τp0.2、G等试验参数。</w:t>
      </w:r>
    </w:p>
    <w:p w14:paraId="2C41A20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可满足用户特殊试验要求。可实现等速率加荷、等速率扭角、等速率角度等闭环控制，可以进行材料或产品的工艺合格性能验证试验。配置扭角引伸计，可自动求取剪切模量G，试验结果可保存、查询和打印。</w:t>
      </w:r>
    </w:p>
    <w:p w14:paraId="79E40C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2适用标准:根据GB、ISO、DIN、ASTM、JIS、BS等国际标准进行试验和提供数据。</w:t>
      </w:r>
    </w:p>
    <w:p w14:paraId="5D2D78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3主要技术参数：</w:t>
      </w:r>
    </w:p>
    <w:p w14:paraId="461FFE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3.1最大扭矩： 2000Nm； </w:t>
      </w:r>
    </w:p>
    <w:p w14:paraId="6893B31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3.2准确度等级：0.5级</w:t>
      </w:r>
    </w:p>
    <w:p w14:paraId="080235F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3.3扭矩测量范围：0.4%～100%FS</w:t>
      </w:r>
    </w:p>
    <w:p w14:paraId="7063B5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3.4扭矩示值相对误差：≤±0.5%</w:t>
      </w:r>
    </w:p>
    <w:p w14:paraId="4575C0B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3.5扭矩重复性相对误差：≤0.5%</w:t>
      </w:r>
    </w:p>
    <w:p w14:paraId="48B27D8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3.6扭矩分辨率：1/500000FS（全程等分辨率）</w:t>
      </w:r>
    </w:p>
    <w:p w14:paraId="54BBB8D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★3.7扭矩传感器：高精度双向电阻应变式，抗偏心、抗侧向力。</w:t>
      </w:r>
    </w:p>
    <w:p w14:paraId="2B234C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3.8扭转角测量范围：0～99999.9°（无限圈数）</w:t>
      </w:r>
    </w:p>
    <w:p w14:paraId="39EE09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★3.9扭转角示值相对误差：≤±0.5%</w:t>
      </w:r>
    </w:p>
    <w:p w14:paraId="5D0CCB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3.10扭转角分辨率：0.001°</w:t>
      </w:r>
    </w:p>
    <w:p w14:paraId="1B70211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3.11扭转速度范围：0.01°/min～1000°/min 无级调速</w:t>
      </w:r>
    </w:p>
    <w:p w14:paraId="31A573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3.12速度控制误差：≤±0.2%</w:t>
      </w:r>
    </w:p>
    <w:p w14:paraId="0C972A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3.13两夹头同轴度：≤0.05mm/m</w:t>
      </w:r>
    </w:p>
    <w:p w14:paraId="192DA5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3.14.转向：正反转双向，可设定单向/往复扭转。</w:t>
      </w:r>
    </w:p>
    <w:p w14:paraId="14BE21B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3.15夹头间最大距离: 0-700mm；</w:t>
      </w:r>
    </w:p>
    <w:p w14:paraId="19EE8C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3.16夹持试样尺寸：φ8-φ32（金属扁口钳口）</w:t>
      </w:r>
    </w:p>
    <w:p w14:paraId="3DA1D91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3.17.夹头硬度：HRC55～62，耐磨、夹持无打滑</w:t>
      </w:r>
    </w:p>
    <w:p w14:paraId="6AE964D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4性能要求：</w:t>
      </w:r>
    </w:p>
    <w:p w14:paraId="5F3F0E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★4.1结构形式：卧式整体铸造机架，高刚性、低变形，保证长期稳定性。</w:t>
      </w:r>
    </w:p>
    <w:p w14:paraId="4EF353E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★4.2控制方式：全数字交流伺服闭环控制，扭矩/转角/转速三闭环，模式平滑无扰切换。</w:t>
      </w:r>
    </w:p>
    <w:p w14:paraId="48695D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4.3测控系统：专用工控机+液晶仪器显示终端+高性能测控软件，实时显示曲线、数据、报表。</w:t>
      </w:r>
    </w:p>
    <w:p w14:paraId="64B0DD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4.4安全保护：过载、过流、过压、超速、限位、试样断裂自动停机+电气互锁。</w:t>
      </w:r>
    </w:p>
    <w:p w14:paraId="27B7179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4.5整机噪音≤60dB，连续工作≥8h无异常温升与故障。</w:t>
      </w:r>
    </w:p>
    <w:p w14:paraId="3BC164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5软件与测控功能</w:t>
      </w:r>
    </w:p>
    <w:p w14:paraId="36740B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5.1操作系统：Windows平台，中文界面，用户分级权限管理。</w:t>
      </w:r>
    </w:p>
    <w:p w14:paraId="199897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★5.2试验方法：支持扭矩控制、转角控制、转速控制，可自定义程序。</w:t>
      </w:r>
    </w:p>
    <w:p w14:paraId="28A175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★5.3数据处理：自动计算扭矩、转角、抗扭强度、剪切模量等参数。</w:t>
      </w:r>
    </w:p>
    <w:p w14:paraId="5FB342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5.4曲线显示：扭矩-转角、扭矩-时间、转角-时间实时曲线，可缩放/打印。实时、动态显示试验过程及试验曲线，通过模块化软件进行数据处理，对曲线放大缩小进行数据再分析和编辑，输出不同格式的试验报告和曲线图样，并支持联网进行数据传输。</w:t>
      </w:r>
    </w:p>
    <w:p w14:paraId="6743540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5.5报表输出：自定义报表，支持Word/Excel/PDF导出。</w:t>
      </w:r>
    </w:p>
    <w:p w14:paraId="43D9650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5.6批量试验：参数一次设定，连续多试样测试，数据自动存储。</w:t>
      </w:r>
    </w:p>
    <w:p w14:paraId="192E0B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5.7溯源管理：支持试验日志、操作员记录、校准信息存档。</w:t>
      </w:r>
    </w:p>
    <w:p w14:paraId="669CD1E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6配置清单</w:t>
      </w:r>
    </w:p>
    <w:p w14:paraId="4D73F7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  2000N·m扭转主机 1台</w:t>
      </w:r>
    </w:p>
    <w:p w14:paraId="7B6490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 2000N·m高精度扭矩传感器 1套</w:t>
      </w:r>
    </w:p>
    <w:p w14:paraId="387DC84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6.3直线滑动式双导轨；</w:t>
      </w:r>
    </w:p>
    <w:p w14:paraId="4D89CB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6.4交流伺服系统、减速系统各一套</w:t>
      </w:r>
    </w:p>
    <w:p w14:paraId="6A8843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6.5标准圆试样夹具（φ8～φ32mm） 1套</w:t>
      </w:r>
    </w:p>
    <w:p w14:paraId="33CFD1B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6.6计算机（i5及以上/8G/512G/22液晶） 1套</w:t>
      </w:r>
    </w:p>
    <w:p w14:paraId="6BB22F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6.7测控软件1套</w:t>
      </w:r>
    </w:p>
    <w:p w14:paraId="2614DC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6.8产品合格证、说明书、装箱单、校准证书 1套</w:t>
      </w:r>
    </w:p>
    <w:p w14:paraId="0A31A0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6.9专用工具、易损件 1套</w:t>
      </w:r>
    </w:p>
    <w:p w14:paraId="25DFFB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（四）产品资质要求</w:t>
      </w:r>
    </w:p>
    <w:p w14:paraId="7154B84A">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rPr>
        <w:t>计量器具出具符合国家标准的计量检定/校准证书。</w:t>
      </w:r>
    </w:p>
    <w:p w14:paraId="4DE94EDB">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软件需提供知识产权</w:t>
      </w:r>
      <w:bookmarkStart w:id="110" w:name="OLE_LINK16"/>
      <w:r>
        <w:rPr>
          <w:rFonts w:hint="eastAsia" w:ascii="仿宋" w:hAnsi="仿宋" w:eastAsia="仿宋" w:cs="仿宋"/>
          <w:bCs/>
          <w:color w:val="auto"/>
          <w:sz w:val="24"/>
          <w:szCs w:val="24"/>
          <w:highlight w:val="none"/>
        </w:rPr>
        <w:t>证明材料</w:t>
      </w:r>
      <w:bookmarkEnd w:id="110"/>
      <w:r>
        <w:rPr>
          <w:rFonts w:hint="eastAsia" w:ascii="仿宋" w:hAnsi="仿宋" w:eastAsia="仿宋" w:cs="仿宋"/>
          <w:b/>
          <w:bCs/>
          <w:color w:val="auto"/>
          <w:sz w:val="24"/>
          <w:szCs w:val="24"/>
          <w:highlight w:val="none"/>
        </w:rPr>
        <w:t>。</w:t>
      </w:r>
    </w:p>
    <w:p w14:paraId="736686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（五）技术服务要求</w:t>
      </w:r>
    </w:p>
    <w:p w14:paraId="1885C7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
        </w:rPr>
        <w:t>1</w:t>
      </w:r>
      <w:r>
        <w:rPr>
          <w:rFonts w:hint="eastAsia" w:ascii="仿宋" w:hAnsi="仿宋" w:eastAsia="仿宋" w:cs="仿宋"/>
          <w:bCs/>
          <w:color w:val="auto"/>
          <w:sz w:val="24"/>
          <w:szCs w:val="24"/>
          <w:highlight w:val="none"/>
        </w:rPr>
        <w:t>产品质量保证期不低于1年，终身服务。</w:t>
      </w:r>
    </w:p>
    <w:p w14:paraId="705A429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
        </w:rPr>
        <w:t>2</w:t>
      </w:r>
      <w:r>
        <w:rPr>
          <w:rFonts w:hint="eastAsia" w:ascii="仿宋" w:hAnsi="仿宋" w:eastAsia="仿宋" w:cs="仿宋"/>
          <w:bCs/>
          <w:color w:val="auto"/>
          <w:sz w:val="24"/>
          <w:szCs w:val="24"/>
          <w:highlight w:val="none"/>
        </w:rPr>
        <w:t>设备装调完成后，用户的指定操作人员（不限人次）进行为期3~5天的首次免费培训。培训内容应包括设备的基本原理、操作使用和保养、设备简易故障的判别及排除（维修）方法。</w:t>
      </w:r>
    </w:p>
    <w:p w14:paraId="13D602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
        </w:rPr>
        <w:t>3</w:t>
      </w:r>
      <w:r>
        <w:rPr>
          <w:rFonts w:hint="eastAsia" w:ascii="仿宋" w:hAnsi="仿宋" w:eastAsia="仿宋" w:cs="仿宋"/>
          <w:bCs/>
          <w:color w:val="auto"/>
          <w:sz w:val="24"/>
          <w:szCs w:val="24"/>
          <w:highlight w:val="none"/>
        </w:rPr>
        <w:t>故障保修期内，供方2小时内为用户做出故障排除方案并通知用户，如解决不了，48小时内供方派人上门服务。</w:t>
      </w:r>
    </w:p>
    <w:p w14:paraId="320546E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
        </w:rPr>
        <w:t>4</w:t>
      </w:r>
      <w:r>
        <w:rPr>
          <w:rFonts w:hint="eastAsia" w:ascii="仿宋" w:hAnsi="仿宋" w:eastAsia="仿宋" w:cs="仿宋"/>
          <w:bCs/>
          <w:color w:val="auto"/>
          <w:sz w:val="24"/>
          <w:szCs w:val="24"/>
          <w:highlight w:val="none"/>
        </w:rPr>
        <w:t>质保期后用户向厂家购买的其他附件只收取材料费和加工费，不收取管理费。</w:t>
      </w:r>
    </w:p>
    <w:bookmarkEnd w:id="101"/>
    <w:p w14:paraId="2CC7CB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0355F468">
      <w:pPr>
        <w:tabs>
          <w:tab w:val="center" w:pos="4832"/>
          <w:tab w:val="left" w:pos="7140"/>
        </w:tabs>
        <w:spacing w:line="360" w:lineRule="auto"/>
        <w:jc w:val="center"/>
        <w:outlineLvl w:val="1"/>
        <w:rPr>
          <w:rFonts w:ascii="仿宋" w:hAnsi="仿宋" w:eastAsia="仿宋" w:cs="仿宋"/>
          <w:b/>
          <w:color w:val="auto"/>
          <w:sz w:val="24"/>
          <w:szCs w:val="24"/>
          <w:highlight w:val="none"/>
        </w:rPr>
      </w:pPr>
      <w:bookmarkStart w:id="111" w:name="OLE_LINK15"/>
      <w:r>
        <w:rPr>
          <w:rFonts w:hint="eastAsia" w:ascii="仿宋" w:hAnsi="仿宋" w:eastAsia="仿宋" w:cs="仿宋"/>
          <w:b/>
          <w:color w:val="auto"/>
          <w:sz w:val="24"/>
          <w:szCs w:val="24"/>
          <w:highlight w:val="none"/>
        </w:rPr>
        <w:t>标的二：智能材料力学性能综合测试与创新实验台</w:t>
      </w:r>
    </w:p>
    <w:p w14:paraId="04F26D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一、功能要求</w:t>
      </w:r>
    </w:p>
    <w:p w14:paraId="74FF74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智能材料力学性能综合测试与创新实验台，主要应用于各类力学创新及开发实验，实验平台可进行与集中载荷有关的拉伸、弯曲、扭转、压缩、弯扭组合、振动、冲击加载，同时可进行与分布载荷作用、与力偶作用有关的创新实验，采用接触测量与非接触式光学测量方式。</w:t>
      </w:r>
    </w:p>
    <w:p w14:paraId="616F017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二、技术参数要求</w:t>
      </w:r>
    </w:p>
    <w:p w14:paraId="5E7C88D0">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智能材料力学性能综合测试与创新实验台（10台）</w:t>
      </w:r>
    </w:p>
    <w:p w14:paraId="42B814FD">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框架结构：四柱式铝合金框架，多功能平台，双移动加载机构可沿X-Y轴移动，实现360°二维空间任意位置单载荷、双载荷拉力与压力加载；X轴移动范围≮500mm，Y轴移动范围≮550mm；X轴Y轴移动采用高精度直线导轨，运行平稳定位精度≤0.02mm，移动稳定可靠。</w:t>
      </w:r>
      <w:r>
        <w:rPr>
          <w:rFonts w:hint="eastAsia" w:ascii="仿宋" w:hAnsi="仿宋" w:eastAsia="仿宋" w:cs="仿宋"/>
          <w:b/>
          <w:bCs/>
          <w:color w:val="auto"/>
          <w:sz w:val="24"/>
          <w:szCs w:val="24"/>
          <w:highlight w:val="none"/>
        </w:rPr>
        <w:t>（投标时提供符合参数的技术白皮书、或产品说明书、或设备实物图片、或其他证明文件）</w:t>
      </w:r>
    </w:p>
    <w:p w14:paraId="5097F76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2.加载机构：≥5套独立涡轮蜗杆加载系统，可以同时作用集中载荷，分布载荷、力偶、弯曲、扭转加载。</w:t>
      </w:r>
      <w:r>
        <w:rPr>
          <w:rFonts w:hint="eastAsia" w:ascii="仿宋" w:hAnsi="仿宋" w:eastAsia="仿宋" w:cs="仿宋"/>
          <w:b/>
          <w:bCs/>
          <w:color w:val="auto"/>
          <w:sz w:val="24"/>
          <w:szCs w:val="24"/>
          <w:highlight w:val="none"/>
        </w:rPr>
        <w:t>（投标时提供符合参数的技术白皮书、或产品说明书、或加载机构实物图片、或其他证明文件）</w:t>
      </w:r>
    </w:p>
    <w:p w14:paraId="31ACA5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3.实验试件最大加载载荷：≥5000N；</w:t>
      </w:r>
    </w:p>
    <w:p w14:paraId="32EE87D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4.加载机构作用行程：≥60mm；</w:t>
      </w:r>
    </w:p>
    <w:p w14:paraId="141D9C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5.手轮加载转矩范围：≥2.5N·m；</w:t>
      </w:r>
    </w:p>
    <w:p w14:paraId="758EF4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6.加载速度：≤0.15mm/转（手轮）；</w:t>
      </w:r>
    </w:p>
    <w:p w14:paraId="07052A1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7.载荷传感器：≥5000N；（≥5只）</w:t>
      </w:r>
    </w:p>
    <w:p w14:paraId="46434A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8.光学非接触数据采集</w:t>
      </w:r>
    </w:p>
    <w:p w14:paraId="3707D9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8.1分辨率：不小于2600万像素，像素尺寸不小于3.45μm×3.45μm。帧率，全分辨率下实时采集帧率≥100fps；降分辨率模式（2048×2048）下帧率≥500fps。快门，电子快门速度范围 1μs-1s，支持自动曝光与手动调节，曝光时间调节步长≤1μs。测试视野与标定标准视野，支持 100mm×75mm矩形视野测量，该视野下无需重新标定，即插即用。无标定状态下测量误差≤0.5% FS，标定功能，支持自动识别标定板，编码点 / 非编码点识别准确率≥99.5%； 兼容黑底白点、白底黑点两种标尺，标尺最小分辨尺寸≤0.01mm；自动标定时间≤1 秒，标定后像素匹配误差≤0.01 像素。</w:t>
      </w:r>
    </w:p>
    <w:p w14:paraId="440E1F3B">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8.2对焦辅助：具备实时对焦标定板，实时、快速清晰度指示，通过颜色条快速判定对焦状态，辅助相机对焦，可以百分比量化评估对焦程度。</w:t>
      </w:r>
      <w:r>
        <w:rPr>
          <w:rFonts w:hint="eastAsia" w:ascii="仿宋" w:hAnsi="仿宋" w:eastAsia="仿宋" w:cs="仿宋"/>
          <w:b/>
          <w:bCs/>
          <w:color w:val="auto"/>
          <w:sz w:val="24"/>
          <w:szCs w:val="24"/>
          <w:highlight w:val="none"/>
        </w:rPr>
        <w:t>（投标时需提供符合参数要求的功能截图和功能实现说明文件）。</w:t>
      </w:r>
    </w:p>
    <w:p w14:paraId="7877F623">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8.3.引伸计功能：支持自由标距、行业标距、细丝标距、极值探测模式、重合模式五种种标距设定模式；支持设定横向标距、纵向标距、二维标距三种标距类型；支持自由偏转角的标距设定；支持常规算法，实现常规测试下的高精度测量；支持两类大变形算法，可用于超大变形测试时使用;</w:t>
      </w:r>
      <w:r>
        <w:rPr>
          <w:rFonts w:hint="eastAsia" w:ascii="仿宋" w:hAnsi="仿宋" w:eastAsia="仿宋" w:cs="仿宋"/>
          <w:b/>
          <w:bCs/>
          <w:color w:val="auto"/>
          <w:sz w:val="24"/>
          <w:szCs w:val="24"/>
          <w:highlight w:val="none"/>
        </w:rPr>
        <w:t>（投标时需提供符合参数要求的功能截图和功能实现说明文件）</w:t>
      </w:r>
    </w:p>
    <w:p w14:paraId="542D5B40">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8.4.数据处理：降噪有低、中、高三种强度设置，也支持用户自定义；具备不低于四种降噪算法，可分别选择并设置不同的降噪参数；</w:t>
      </w:r>
      <w:r>
        <w:rPr>
          <w:rFonts w:hint="eastAsia" w:ascii="仿宋" w:hAnsi="仿宋" w:eastAsia="仿宋" w:cs="仿宋"/>
          <w:b/>
          <w:bCs/>
          <w:color w:val="auto"/>
          <w:sz w:val="24"/>
          <w:szCs w:val="24"/>
          <w:highlight w:val="none"/>
        </w:rPr>
        <w:t>（投标时需提供符合参数要求的功能截图和功能实现说明文件）</w:t>
      </w:r>
    </w:p>
    <w:p w14:paraId="7F622F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9.接触式数据采集：</w:t>
      </w:r>
    </w:p>
    <w:p w14:paraId="3BE1FA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9.1.主机测点（通道）：≥18 点，具有不少于两个传感器航空插头输入端，支持多通道界面切换显示。</w:t>
      </w:r>
      <w:r>
        <w:rPr>
          <w:rFonts w:hint="eastAsia" w:ascii="仿宋" w:hAnsi="仿宋" w:eastAsia="仿宋" w:cs="仿宋"/>
          <w:b/>
          <w:bCs/>
          <w:color w:val="auto"/>
          <w:sz w:val="24"/>
          <w:szCs w:val="24"/>
          <w:highlight w:val="none"/>
        </w:rPr>
        <w:t>（投标时需提供符合参数要求的实物图片佐证材料）</w:t>
      </w:r>
    </w:p>
    <w:p w14:paraId="0DDDDC01">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9.2.测量范围：应变 0~±100000με；</w:t>
      </w:r>
      <w:r>
        <w:rPr>
          <w:rFonts w:hint="eastAsia" w:ascii="仿宋" w:hAnsi="仿宋" w:eastAsia="仿宋" w:cs="仿宋"/>
          <w:b/>
          <w:bCs/>
          <w:color w:val="auto"/>
          <w:sz w:val="24"/>
          <w:szCs w:val="24"/>
          <w:highlight w:val="none"/>
        </w:rPr>
        <w:t>（投标时需提供符合参数要求的实物图片佐证材料）</w:t>
      </w:r>
    </w:p>
    <w:p w14:paraId="2CA4DF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9.3.人机交互显示屏尺寸：≥10英寸，可集成在机械加载实验平台之中；16通道全屏实时显示，功能按键触摸操作，显示屏自带操作系统，可以将测试软件和力学试验仿真软件同机运行。</w:t>
      </w:r>
      <w:r>
        <w:rPr>
          <w:rFonts w:hint="eastAsia" w:ascii="仿宋" w:hAnsi="仿宋" w:eastAsia="仿宋" w:cs="仿宋"/>
          <w:b/>
          <w:bCs/>
          <w:color w:val="auto"/>
          <w:sz w:val="24"/>
          <w:szCs w:val="24"/>
          <w:highlight w:val="none"/>
        </w:rPr>
        <w:t>（投标时需提供符合参数要求的实物图片佐证材料）</w:t>
      </w:r>
    </w:p>
    <w:p w14:paraId="2ED273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9.4.人机交互软件功能：本机可任意设置应变、位移、载荷等多种物理量，可实时监控读取测试数据，具有数据海量存储、数据回放、图形显示等功能。具有数据表格、T-Y图、X-Y图、棒图显示等回放功能，针对应力折算，应变花计算等强大软件分析功能。</w:t>
      </w:r>
    </w:p>
    <w:p w14:paraId="3C7781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9.5.通过wifi或蓝牙可传输至手机等智能设备上进行数据同步实时显示、采集与基本分析。</w:t>
      </w:r>
    </w:p>
    <w:p w14:paraId="6E2BB231">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9.6.独立式应变测试电桥接线桥盒，可集成在机械加载实验平台之中。交流电压供桥，能消除热电势对应变测试影响及系统漂移的影响；可以有效消除电磁感应干扰；组桥方式：1/4桥（公共补偿）；半桥；全桥；桥路混合组桥方式选择。</w:t>
      </w:r>
      <w:r>
        <w:rPr>
          <w:rFonts w:hint="eastAsia" w:ascii="仿宋" w:hAnsi="仿宋" w:eastAsia="仿宋" w:cs="仿宋"/>
          <w:b/>
          <w:bCs/>
          <w:color w:val="auto"/>
          <w:sz w:val="24"/>
          <w:szCs w:val="24"/>
          <w:highlight w:val="none"/>
        </w:rPr>
        <w:t>（投标时需提供符合参数要求的实物图片佐证材料）</w:t>
      </w:r>
    </w:p>
    <w:p w14:paraId="6DAE9B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9.7.</w:t>
      </w:r>
      <w:r>
        <w:rPr>
          <w:rFonts w:hint="eastAsia" w:ascii="仿宋" w:hAnsi="仿宋" w:eastAsia="仿宋" w:cs="仿宋"/>
          <w:bCs/>
          <w:color w:val="auto"/>
          <w:sz w:val="24"/>
          <w:szCs w:val="24"/>
          <w:highlight w:val="none"/>
          <w:lang w:eastAsia="zh"/>
        </w:rPr>
        <w:t>分辨率：不低于1，</w:t>
      </w:r>
      <w:r>
        <w:rPr>
          <w:rFonts w:hint="eastAsia" w:ascii="仿宋" w:hAnsi="仿宋" w:eastAsia="仿宋" w:cs="仿宋"/>
          <w:bCs/>
          <w:color w:val="auto"/>
          <w:sz w:val="24"/>
          <w:szCs w:val="24"/>
          <w:highlight w:val="none"/>
        </w:rPr>
        <w:t>应变不低于0.1με；</w:t>
      </w:r>
    </w:p>
    <w:p w14:paraId="364A87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9.8.采样频率：≥5kHz；</w:t>
      </w:r>
    </w:p>
    <w:p w14:paraId="7AD04DE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9.9.过载报警功能：过载蜂鸣器报警，报警开关设置，报警值随意设置；</w:t>
      </w:r>
    </w:p>
    <w:p w14:paraId="0F21F46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9.10.测试软件可将文件数据转换为Txt或Excel文档进行保存，方便用户进行编辑，具有应力折算，应变花计算等强大的软件分析功能，压杆稳定实验模块及动态实验分析软件。</w:t>
      </w:r>
    </w:p>
    <w:p w14:paraId="5F3FC38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10.实验台主要功能：</w:t>
      </w:r>
    </w:p>
    <w:p w14:paraId="59367D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10.1.纯弯曲梁横截面上正应力的分布规律实验（验证性）</w:t>
      </w:r>
    </w:p>
    <w:p w14:paraId="137444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10.2.空心薄壁管弯扭组合受力变形主应力测定实验（设计性）</w:t>
      </w:r>
    </w:p>
    <w:p w14:paraId="2B83413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10.3.空心薄壁圆管受弯扭组合载荷内力素测定实验（设计性）</w:t>
      </w:r>
    </w:p>
    <w:p w14:paraId="048572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10.4.材料弹性模量E，泊松比µ的测定实验（设计性）</w:t>
      </w:r>
    </w:p>
    <w:p w14:paraId="0D82C52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10.5.偏心拉伸内力素测定实验（拉弯组合变形实验）（设计性）</w:t>
      </w:r>
    </w:p>
    <w:p w14:paraId="25D601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10.6.不同支撑方式压杆稳定实验（验证性）</w:t>
      </w:r>
    </w:p>
    <w:p w14:paraId="5DEE2B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10.7.等强度梁悬臂梁弯曲正应力实验）</w:t>
      </w:r>
    </w:p>
    <w:p w14:paraId="23C526B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10.8.测量电桥应用实验(电桥加减特性）</w:t>
      </w:r>
    </w:p>
    <w:p w14:paraId="43ACE5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10.9.电阻应变片横向效应系数测定实验（综合性）</w:t>
      </w:r>
    </w:p>
    <w:p w14:paraId="1D5D6C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10.10.切变模量G测定实验（验证性）</w:t>
      </w:r>
    </w:p>
    <w:p w14:paraId="7B145D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10.11.薄壁圆管纯扭转实验（综合性）</w:t>
      </w:r>
    </w:p>
    <w:p w14:paraId="059529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10.12.未知质量测定实验</w:t>
      </w:r>
    </w:p>
    <w:p w14:paraId="30D27B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10.13.悬臂梁位移互等定理验证实验</w:t>
      </w:r>
    </w:p>
    <w:p w14:paraId="3BC0C9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10.14.悬臂梁动态大应变测试(含高功率振动源，波形≥5KHZ频率范围仪器，≥七寸液晶显示屏动态演示 )</w:t>
      </w:r>
    </w:p>
    <w:p w14:paraId="648171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10.15.动荷系数测定实验(非接触位移冲击测量，含测试分析软件，提供分析图片)</w:t>
      </w:r>
    </w:p>
    <w:p w14:paraId="46CE13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10.16.瞬态应变测试实验(波形≥5KHZ频率范围仪器，≥七寸液晶显示屏动态演示）</w:t>
      </w:r>
    </w:p>
    <w:p w14:paraId="751540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10.17.非接触视觉全场应变测量</w:t>
      </w:r>
    </w:p>
    <w:p w14:paraId="43D95A7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11.实验项目：</w:t>
      </w:r>
    </w:p>
    <w:p w14:paraId="71B0F7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11.1.矩形截面悬臂梁受集中载荷作用应力测定实验</w:t>
      </w:r>
    </w:p>
    <w:p w14:paraId="1D0DC4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11.2.工字型截面悬臂梁受集中载荷作用应力测定实验</w:t>
      </w:r>
    </w:p>
    <w:p w14:paraId="11FB5AA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11.3.T型截面悬臂梁受集中载荷作用应力测定实验</w:t>
      </w:r>
    </w:p>
    <w:p w14:paraId="7FE67E6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11.4.矩形截面悬臂梁受力偶作用应力测定实验</w:t>
      </w:r>
    </w:p>
    <w:p w14:paraId="13EF76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11.5.工字型截面悬臂梁受力偶作用应力测定实验</w:t>
      </w:r>
    </w:p>
    <w:p w14:paraId="1A688E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11.6. T型截面悬臂梁受力偶作用应力测定实验</w:t>
      </w:r>
    </w:p>
    <w:p w14:paraId="2FCE86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11.7. 矩形截面梁三点弯曲实验</w:t>
      </w:r>
    </w:p>
    <w:p w14:paraId="0EFA19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.虚拟仿真软件模块及内容</w:t>
      </w:r>
    </w:p>
    <w:p w14:paraId="1350B1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.1.金属梁弯曲虚拟实验，可进行实验梁弯曲变形实验演示。</w:t>
      </w:r>
    </w:p>
    <w:p w14:paraId="400E2A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.2.弯扭组合梁变形虚拟实验，可进行弯扭组合变形主应力及主应力方向测试实验演示</w:t>
      </w:r>
    </w:p>
    <w:p w14:paraId="7387A7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.3.弹性模量泊松比测定（拉伸实验）虚拟实验，可进行弹性模量泊松比测定实验演示</w:t>
      </w:r>
    </w:p>
    <w:p w14:paraId="0B7D784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.4.偏心拉伸虚拟实验，可进行偏心拉伸应力叠加测定实验演示。</w:t>
      </w:r>
    </w:p>
    <w:p w14:paraId="47C997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.5.等强度梁弯曲应力测试虚拟实验，可进行等强度实验梁弯曲正应力测定实验演示。</w:t>
      </w:r>
    </w:p>
    <w:p w14:paraId="22AEFC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.6.电桥测试原理虚拟实验，可进行惠斯通电桥测试原理实验演示。</w:t>
      </w:r>
    </w:p>
    <w:p w14:paraId="0E9F1B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.7.压杆稳定失稳虚拟实验，可进行压杆稳定实验演示</w:t>
      </w:r>
    </w:p>
    <w:p w14:paraId="7EB88D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8界面包含：实验功能按键区（实验目的、实验原理、试样截面形状、实验材料性质、加载载荷类型、加载单级载荷、开始实验、实验分析、实验报告（模版调用）等）、功能按键内容显示区、实验设置参数显示区、实验实时数据显示区、实验记录数据显示表格、实验加载过程操作功能按键区；软件功能包含：实验目的查看；实验原理查看；试样截面选择（截面形状不少于四种）、材料性质设置（典型材料选择及弹性模量、泊松比、屈服强度参数设置）；载荷类型选择（可进行梁的三点弯曲、四点弯曲、均布荷载等加载类型选择）、加载点的位置任意设置；加载载荷任意设置；开始实验（实验过程演示），实验加载载荷与试样变形数据实时显示，试件变形可放大化显示，可直观展示微小变形、挠曲线方程等，方便学生理解各种荷载和试件变形的对应关系。软件界面需包含实验操作功能及步骤，演示梁弯曲变形虚拟实验项目，需体现各参量改变时对实验结果的影响，并显示实验记录表、实验过程实时数据、实验记录数据导出Excel，实验分析功能（内容包含实验相关参数、实验数据、理论与实验值计算、误差分析及应力曲线），实验报告模版调用。</w:t>
      </w:r>
      <w:bookmarkEnd w:id="111"/>
      <w:r>
        <w:rPr>
          <w:rFonts w:hint="eastAsia" w:ascii="仿宋" w:hAnsi="仿宋" w:eastAsia="仿宋" w:cs="仿宋"/>
          <w:bCs/>
          <w:color w:val="auto"/>
          <w:sz w:val="24"/>
          <w:szCs w:val="24"/>
          <w:highlight w:val="none"/>
        </w:rPr>
        <w:br w:type="page"/>
      </w:r>
    </w:p>
    <w:p w14:paraId="02A86E0C">
      <w:pPr>
        <w:tabs>
          <w:tab w:val="center" w:pos="4832"/>
          <w:tab w:val="left" w:pos="7140"/>
        </w:tabs>
        <w:spacing w:line="360" w:lineRule="auto"/>
        <w:jc w:val="center"/>
        <w:outlineLvl w:val="1"/>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标的三：数控加工虚拟仿真教学平台</w:t>
      </w:r>
    </w:p>
    <w:p w14:paraId="2A06BE85">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一、视频/动画  1套</w:t>
      </w:r>
    </w:p>
    <w:p w14:paraId="532262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技术要求如下：</w:t>
      </w:r>
    </w:p>
    <w:p w14:paraId="786F48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教学资源由现场实拍及三维动画组成。其中现场实拍要求必须在加工厂中真实工艺流程的拍摄。当现场拍摄的知识点不能满足教学要求时，应用三维动画的方式进行表述。</w:t>
      </w:r>
    </w:p>
    <w:p w14:paraId="1D5C9E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明细如下：</w:t>
      </w:r>
    </w:p>
    <w:p w14:paraId="73F326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1.典型加工零件种类及加工方式资源，不少于1</w:t>
      </w:r>
      <w:r>
        <w:rPr>
          <w:rFonts w:ascii="仿宋" w:hAnsi="仿宋" w:eastAsia="仿宋" w:cs="仿宋"/>
          <w:bCs/>
          <w:color w:val="auto"/>
          <w:sz w:val="24"/>
          <w:szCs w:val="24"/>
          <w:highlight w:val="none"/>
        </w:rPr>
        <w:t>7</w:t>
      </w:r>
      <w:r>
        <w:rPr>
          <w:rFonts w:hint="eastAsia" w:ascii="仿宋" w:hAnsi="仿宋" w:eastAsia="仿宋" w:cs="仿宋"/>
          <w:bCs/>
          <w:color w:val="auto"/>
          <w:sz w:val="24"/>
          <w:szCs w:val="24"/>
          <w:highlight w:val="none"/>
        </w:rPr>
        <w:t>项资源(视频/动画），总时长不少于60分钟。</w:t>
      </w:r>
    </w:p>
    <w:p w14:paraId="441A101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1.1典型零件加工总序</w:t>
      </w:r>
    </w:p>
    <w:p w14:paraId="2E6109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1.1.1车端面</w:t>
      </w:r>
    </w:p>
    <w:p w14:paraId="5CD0849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1.1.2车外圆</w:t>
      </w:r>
    </w:p>
    <w:p w14:paraId="70F718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1.1.3车外锥面</w:t>
      </w:r>
    </w:p>
    <w:p w14:paraId="0BBDB7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1.1.4车曲面</w:t>
      </w:r>
    </w:p>
    <w:p w14:paraId="140568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1.1.5车槽</w:t>
      </w:r>
    </w:p>
    <w:p w14:paraId="711C9F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1.1.6外螺纹</w:t>
      </w:r>
    </w:p>
    <w:p w14:paraId="34E999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1.1.7滚花</w:t>
      </w:r>
    </w:p>
    <w:p w14:paraId="180EB5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1.2典型零件内孔表面的加工</w:t>
      </w:r>
    </w:p>
    <w:p w14:paraId="3F2C08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1.2.1车内孔</w:t>
      </w:r>
    </w:p>
    <w:p w14:paraId="75876B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1.2.2车内锥面</w:t>
      </w:r>
    </w:p>
    <w:p w14:paraId="56EB9B2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1.2.3车内槽</w:t>
      </w:r>
    </w:p>
    <w:p w14:paraId="0916EA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1.2.4车内螺纹</w:t>
      </w:r>
    </w:p>
    <w:p w14:paraId="6839BC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1.2.5钻中心孔</w:t>
      </w:r>
    </w:p>
    <w:p w14:paraId="60A422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1.2.6锪孔</w:t>
      </w:r>
    </w:p>
    <w:p w14:paraId="034D06D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1.2.7钻孔</w:t>
      </w:r>
    </w:p>
    <w:p w14:paraId="1EEA6E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1.2.8铰孔</w:t>
      </w:r>
    </w:p>
    <w:p w14:paraId="2150BA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1.2.9攻螺纹</w:t>
      </w:r>
    </w:p>
    <w:p w14:paraId="255F2D6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1.2.10结束语</w:t>
      </w:r>
    </w:p>
    <w:p w14:paraId="32A801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2.典型箱体零件设计加工资源，不少于18项资源(视频/动画），总时长不少于100分钟。</w:t>
      </w:r>
    </w:p>
    <w:p w14:paraId="4AA858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2.1主轴箱体在机械结构中起到的作用</w:t>
      </w:r>
    </w:p>
    <w:p w14:paraId="50292C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2.2主轴箱体设计</w:t>
      </w:r>
    </w:p>
    <w:p w14:paraId="34B1FC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2.3主轴箱体加工工艺过程及夹具设计</w:t>
      </w:r>
    </w:p>
    <w:p w14:paraId="54043DE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2.4主轴箱铸造工艺过程</w:t>
      </w:r>
    </w:p>
    <w:p w14:paraId="1E7BE2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2.5主轴箱体机械加工工序</w:t>
      </w:r>
    </w:p>
    <w:p w14:paraId="291B5F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2.5.1粗加工顶面</w:t>
      </w:r>
    </w:p>
    <w:p w14:paraId="40C60D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2.5.2加工顶面各孔</w:t>
      </w:r>
    </w:p>
    <w:p w14:paraId="54DC8A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2.5.3粗加工侧面及底面</w:t>
      </w:r>
    </w:p>
    <w:p w14:paraId="2F955C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2.5.4精加工顶面</w:t>
      </w:r>
    </w:p>
    <w:p w14:paraId="7707BE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2.5.5粗加工纵向孔系</w:t>
      </w:r>
    </w:p>
    <w:p w14:paraId="0E2B7E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2.5.6时效处理</w:t>
      </w:r>
    </w:p>
    <w:p w14:paraId="1D3C59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2.5.7精加工纵向孔系</w:t>
      </w:r>
    </w:p>
    <w:p w14:paraId="126003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2.5.8精加工主轴孔</w:t>
      </w:r>
    </w:p>
    <w:p w14:paraId="0C12C7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2.5.9加工正反面各孔</w:t>
      </w:r>
    </w:p>
    <w:p w14:paraId="6AD94D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2.5.10加工左端面各孔</w:t>
      </w:r>
    </w:p>
    <w:p w14:paraId="30969B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2.5.11加工地面及右端面各孔</w:t>
      </w:r>
    </w:p>
    <w:p w14:paraId="27EF62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2.5.12精加工侧面</w:t>
      </w:r>
    </w:p>
    <w:p w14:paraId="79A12E2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2.5.13精磨底面</w:t>
      </w:r>
    </w:p>
    <w:p w14:paraId="6F006F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2.5.14去毛刺</w:t>
      </w:r>
    </w:p>
    <w:p w14:paraId="7BB9D1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2.5.15检验制造</w:t>
      </w:r>
    </w:p>
    <w:p w14:paraId="1A48DD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2.6主轴箱结尾</w:t>
      </w:r>
    </w:p>
    <w:p w14:paraId="0F4858C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3.回转体加工资源，不少于25项资源(视频/动画），总时长不少于150分钟。</w:t>
      </w:r>
    </w:p>
    <w:p w14:paraId="5B2C8F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3.1主轴在车床中所起的作用</w:t>
      </w:r>
    </w:p>
    <w:p w14:paraId="01898A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3.2机床主轴设计</w:t>
      </w:r>
    </w:p>
    <w:p w14:paraId="4E416E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3.3主轴加工工艺分析</w:t>
      </w:r>
    </w:p>
    <w:p w14:paraId="31E058A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3.4主轴毛坯锻造</w:t>
      </w:r>
    </w:p>
    <w:p w14:paraId="1EBD15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3.5主轴机械加工艺</w:t>
      </w:r>
    </w:p>
    <w:p w14:paraId="40A567B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3.5.1加工两端顶尖孔</w:t>
      </w:r>
    </w:p>
    <w:p w14:paraId="041E3B1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3.5.2粗车前端各部分</w:t>
      </w:r>
    </w:p>
    <w:p w14:paraId="044EF8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3.5.3粗车后端各部分</w:t>
      </w:r>
    </w:p>
    <w:p w14:paraId="122954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3.5.4加工通孔</w:t>
      </w:r>
    </w:p>
    <w:p w14:paraId="7F67EF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3.5.5粗车后端并倒角</w:t>
      </w:r>
    </w:p>
    <w:p w14:paraId="2E4556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3.5.6精车前端各部</w:t>
      </w:r>
    </w:p>
    <w:p w14:paraId="344693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3.5.7半精车后端各部</w:t>
      </w:r>
    </w:p>
    <w:p w14:paraId="2D2084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3.5.8精车后端各部</w:t>
      </w:r>
    </w:p>
    <w:p w14:paraId="452B8E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3.5.9加工销孔</w:t>
      </w:r>
    </w:p>
    <w:p w14:paraId="4414F32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3.5.10精车前端部分及内锥孔</w:t>
      </w:r>
    </w:p>
    <w:p w14:paraId="7E8F97C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3.5.11加工前端面各孔</w:t>
      </w:r>
    </w:p>
    <w:p w14:paraId="5693FE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3.5.12高频淬火</w:t>
      </w:r>
    </w:p>
    <w:p w14:paraId="1D578C0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3.5.13精加工后端锥孔</w:t>
      </w:r>
    </w:p>
    <w:p w14:paraId="2134BD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3.5.14粗磨前端锥孔</w:t>
      </w:r>
    </w:p>
    <w:p w14:paraId="404678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3.5.15加工花键</w:t>
      </w:r>
    </w:p>
    <w:p w14:paraId="1E9A64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3.5.16加工键槽</w:t>
      </w:r>
    </w:p>
    <w:p w14:paraId="06C22D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3.5.17加工外螺纹</w:t>
      </w:r>
    </w:p>
    <w:p w14:paraId="0626C0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3.5.18粗磨主轴各外圆</w:t>
      </w:r>
    </w:p>
    <w:p w14:paraId="7F8E5A3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3.5.19精磨后端各外圆</w:t>
      </w:r>
    </w:p>
    <w:p w14:paraId="20C078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3.5.20精磨前端各外圆</w:t>
      </w:r>
    </w:p>
    <w:p w14:paraId="2A884C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3.5.21半精磨前端锥孔</w:t>
      </w:r>
    </w:p>
    <w:p w14:paraId="065BE8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3.5.22主轴第二十二工序</w:t>
      </w:r>
    </w:p>
    <w:p w14:paraId="7BCA12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3.6主轴结束语</w:t>
      </w:r>
    </w:p>
    <w:p w14:paraId="3AE2D5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4.齿轮设计加工资源，不少于18项资源(视频/动画），总时长不少于80分钟。</w:t>
      </w:r>
    </w:p>
    <w:p w14:paraId="1EB214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4.1齿轮在机械结构中起到的作用</w:t>
      </w:r>
    </w:p>
    <w:p w14:paraId="5B3A01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4.2齿轮的设计</w:t>
      </w:r>
    </w:p>
    <w:p w14:paraId="02174F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4.3联齿轮加工工艺过程、定位基准及夹具设计</w:t>
      </w:r>
    </w:p>
    <w:p w14:paraId="7ECA1B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4.4齿轮锻造</w:t>
      </w:r>
    </w:p>
    <w:p w14:paraId="5D5D063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4.5制齿-斜齿双联齿轮加工工序</w:t>
      </w:r>
    </w:p>
    <w:p w14:paraId="236706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4.5.1粗车各外圆</w:t>
      </w:r>
    </w:p>
    <w:p w14:paraId="3038F0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4.5.2半精车各端面及外圆</w:t>
      </w:r>
    </w:p>
    <w:p w14:paraId="4D9AC8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4.5.3精车内孔</w:t>
      </w:r>
    </w:p>
    <w:p w14:paraId="2E53A2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4.5.4直齿端插齿加工</w:t>
      </w:r>
    </w:p>
    <w:p w14:paraId="4E149BD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4.5.5齿端倒圆</w:t>
      </w:r>
    </w:p>
    <w:p w14:paraId="6E486E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4.5.6去毛刺</w:t>
      </w:r>
    </w:p>
    <w:p w14:paraId="170948C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4.5.7直齿端高频淬火及回火处理</w:t>
      </w:r>
    </w:p>
    <w:p w14:paraId="711AB6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4.5.8压装铜套</w:t>
      </w:r>
    </w:p>
    <w:p w14:paraId="293E7B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4.5.9钻润滑油孔</w:t>
      </w:r>
    </w:p>
    <w:p w14:paraId="2BB3006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4.5.10精车内控、外圆及两端</w:t>
      </w:r>
    </w:p>
    <w:p w14:paraId="27F2D8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4.5.11斜齿端滚齿加工</w:t>
      </w:r>
    </w:p>
    <w:p w14:paraId="2C35FF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4.5.12斜齿端剃齿加工</w:t>
      </w:r>
    </w:p>
    <w:p w14:paraId="0EE1D4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4.5.13检验</w:t>
      </w:r>
    </w:p>
    <w:p w14:paraId="326CD5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4.6齿轮结尾</w:t>
      </w:r>
    </w:p>
    <w:p w14:paraId="7A4A14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5.异形件加工资源，不少于10项资源(视频/动画），总时长不少于50分钟。</w:t>
      </w:r>
    </w:p>
    <w:p w14:paraId="103396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5.1拨叉在CA6140车床结构中起到的作用</w:t>
      </w:r>
    </w:p>
    <w:p w14:paraId="014F489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5.2拨叉的设计</w:t>
      </w:r>
    </w:p>
    <w:p w14:paraId="5E908C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5.3拨叉的加工工艺过程、定位基准及夹具设计</w:t>
      </w:r>
    </w:p>
    <w:p w14:paraId="1D45410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5.4拨叉铸造</w:t>
      </w:r>
    </w:p>
    <w:p w14:paraId="15543A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5.5拨叉的机械加工工序</w:t>
      </w:r>
    </w:p>
    <w:p w14:paraId="614F43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5.5.1铣圆柱端面和叉口侧面</w:t>
      </w:r>
    </w:p>
    <w:p w14:paraId="2460B8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5.5.2加工Φ25H7定位孔及叉口Φ60H12圆弧面</w:t>
      </w:r>
    </w:p>
    <w:p w14:paraId="5A158B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5.5.3铣后端面</w:t>
      </w:r>
    </w:p>
    <w:p w14:paraId="2A68800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5.5.4铣上端面</w:t>
      </w:r>
    </w:p>
    <w:p w14:paraId="19F703B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5.5.5铣换位槽</w:t>
      </w:r>
    </w:p>
    <w:p w14:paraId="1E6A3B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5.5.6镗螺纹底孔</w:t>
      </w:r>
    </w:p>
    <w:p w14:paraId="65369F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5.5.7攻螺纹孔</w:t>
      </w:r>
    </w:p>
    <w:p w14:paraId="3ECCE2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5.5.8去毛刺</w:t>
      </w:r>
    </w:p>
    <w:p w14:paraId="71B82D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5.6拨叉结束语</w:t>
      </w:r>
    </w:p>
    <w:p w14:paraId="0D0C85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6.主轴箱装配资源，不少于35项资源(视频/动画），总时长不少于130分钟。</w:t>
      </w:r>
    </w:p>
    <w:p w14:paraId="4E493F3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7.整机装配资源，不少于25项资源(视频/动画），总时长不少于150分钟。</w:t>
      </w:r>
    </w:p>
    <w:p w14:paraId="06B09B6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7.1装配床身与床腿</w:t>
      </w:r>
    </w:p>
    <w:p w14:paraId="4206F8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7.1.1装配前床腿部件</w:t>
      </w:r>
    </w:p>
    <w:p w14:paraId="200B96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7.1.2安装床身和床腿</w:t>
      </w:r>
    </w:p>
    <w:p w14:paraId="68536B3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7.1.3调整检验床身安装水平和水平精度</w:t>
      </w:r>
    </w:p>
    <w:p w14:paraId="7238B7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7.2安装和刮研床鞍与中拖板</w:t>
      </w:r>
    </w:p>
    <w:p w14:paraId="51AD37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7.2.1安装和刮研床鞍</w:t>
      </w:r>
    </w:p>
    <w:p w14:paraId="755E1B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7.2.2安装和刮研中拖板导轨面</w:t>
      </w:r>
    </w:p>
    <w:p w14:paraId="13BAD6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7.2.3安装、配磨和配刮镶条</w:t>
      </w:r>
    </w:p>
    <w:p w14:paraId="55269D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7.2.4安装油盒</w:t>
      </w:r>
    </w:p>
    <w:p w14:paraId="2A5A05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7.2.5安装横向丝杠组件</w:t>
      </w:r>
    </w:p>
    <w:p w14:paraId="73D0EA7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7.3装配齿条、刮屑板、压板、轴套、立杆</w:t>
      </w:r>
    </w:p>
    <w:p w14:paraId="3E36CD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7.3.1安装齿条</w:t>
      </w:r>
    </w:p>
    <w:p w14:paraId="77804B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7.3.2装配床鞍刮屑板</w:t>
      </w:r>
    </w:p>
    <w:p w14:paraId="2E04B4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7.3.3安装床鞍后压板</w:t>
      </w:r>
    </w:p>
    <w:p w14:paraId="7BD5FE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7.3.4修配、安装和紧固前压板</w:t>
      </w:r>
    </w:p>
    <w:p w14:paraId="6BC800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7.3.5安装轴套、立杆</w:t>
      </w:r>
    </w:p>
    <w:p w14:paraId="219B0C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7.4修刮主轴箱结合面，安装主轴箱部件</w:t>
      </w:r>
    </w:p>
    <w:p w14:paraId="3D566E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7.4.1刮研主轴箱结合面</w:t>
      </w:r>
    </w:p>
    <w:p w14:paraId="3810D6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7.4.2安装主轴箱部件</w:t>
      </w:r>
    </w:p>
    <w:p w14:paraId="0B96FE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7.5安装调整进给箱、溜板箱、丝杠、光杠和三杠托架、</w:t>
      </w:r>
    </w:p>
    <w:p w14:paraId="5DAE105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7.5.1安装进给箱、溜板箱、丝杠、光杠和三杠托架</w:t>
      </w:r>
    </w:p>
    <w:p w14:paraId="551FC0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7.5.2调整丝杠精度，固定溜板箱、丝杠、光杠和三杠托架</w:t>
      </w:r>
    </w:p>
    <w:p w14:paraId="648D55E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7.6安装操纵手柄组件</w:t>
      </w:r>
    </w:p>
    <w:p w14:paraId="2C0104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7.7安装润滑系统和挂轮系统</w:t>
      </w:r>
    </w:p>
    <w:p w14:paraId="001AD1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7.7.1安装润滑系统组件</w:t>
      </w:r>
    </w:p>
    <w:p w14:paraId="2013408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7.7.2安装挂轮架组件</w:t>
      </w:r>
    </w:p>
    <w:p w14:paraId="43CF3D2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7.7.3安装V带</w:t>
      </w:r>
    </w:p>
    <w:p w14:paraId="40676A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7.8安装电气系统</w:t>
      </w:r>
    </w:p>
    <w:p w14:paraId="4DF1FF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7.8.1配电盘、电线管、工作灯、主电机、冷却电机等安装及接线</w:t>
      </w:r>
    </w:p>
    <w:p w14:paraId="0A32376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7.8.2安装刻度环指示灯、床鞍接线盒、按钮板和快速电机按钮线</w:t>
      </w:r>
    </w:p>
    <w:p w14:paraId="3CF4EC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7.9安装刀架和尾座部件</w:t>
      </w:r>
    </w:p>
    <w:p w14:paraId="3D9BC9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7.9.1安装刀架部件</w:t>
      </w:r>
    </w:p>
    <w:p w14:paraId="438E6C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7.9.2安装尾座部件</w:t>
      </w:r>
    </w:p>
    <w:p w14:paraId="6B6D4F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7.10安装开关板、皮带罩、卡盘、支架盒、接头防护罩组件</w:t>
      </w:r>
    </w:p>
    <w:p w14:paraId="441877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7.10.1装配开关板和皮带罩组件</w:t>
      </w:r>
    </w:p>
    <w:p w14:paraId="254A761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7.10.2安装卡盘组件</w:t>
      </w:r>
    </w:p>
    <w:p w14:paraId="57671B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7.10.3安装电线管支架盒、三杠接头防护罩</w:t>
      </w:r>
    </w:p>
    <w:p w14:paraId="39C26F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7.11结束语</w:t>
      </w:r>
    </w:p>
    <w:p w14:paraId="449087B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8.精度检测资源，不少于25项资源(视频/动画），总时长不少于60分钟。</w:t>
      </w:r>
    </w:p>
    <w:p w14:paraId="6FE8FD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8.1冷检机床几何精度</w:t>
      </w:r>
    </w:p>
    <w:p w14:paraId="4103518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8.1.1检验床身导轨安装水平</w:t>
      </w:r>
    </w:p>
    <w:p w14:paraId="28A4D3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8.1.2 检验G1项精度：床身导轨的水平精度</w:t>
      </w:r>
    </w:p>
    <w:p w14:paraId="591C9F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8.1.3 检验G6项精度：主轴轴线的径向跳动</w:t>
      </w:r>
    </w:p>
    <w:p w14:paraId="1B3793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8.1.4 检验G7项精度：主轴轴线对溜板纵向移动的平行度</w:t>
      </w:r>
    </w:p>
    <w:p w14:paraId="5E48F2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8.1.5 检验G12项精度：小刀架纵向移动对主轴轴线的平行度 </w:t>
      </w:r>
    </w:p>
    <w:p w14:paraId="30C355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8.1.6 检验G4a项精度：主轴的轴向窜动</w:t>
      </w:r>
    </w:p>
    <w:p w14:paraId="1D8359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8.1.7 检验G4b项精度：主轴轴肩支承面的跳动</w:t>
      </w:r>
    </w:p>
    <w:p w14:paraId="31A2FF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8.1.8 检验G5项精度：主轴定心轴颈的径向跳动</w:t>
      </w:r>
    </w:p>
    <w:p w14:paraId="5EB799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8.1.9 检验G8项精度：主轴顶尖的径向跳动</w:t>
      </w:r>
    </w:p>
    <w:p w14:paraId="2CAB8B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8.1.10 检验G11项精度：主轴和尾座两顶尖的等高度</w:t>
      </w:r>
    </w:p>
    <w:p w14:paraId="3DC456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8.2 18项精度总体介绍</w:t>
      </w:r>
    </w:p>
    <w:p w14:paraId="2C169407">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二、数控加工虚拟仿真  1套</w:t>
      </w:r>
    </w:p>
    <w:p w14:paraId="454871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技术要求如下：</w:t>
      </w:r>
    </w:p>
    <w:p w14:paraId="32B5B59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1.数控机床操作虚拟仿真实训模块</w:t>
      </w:r>
    </w:p>
    <w:p w14:paraId="7D7C33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（1）操作模式采用鼠标键盘进行交互操作，资源可与管理平台对接，可满足不低于70个点位同时访问使用。支持虚拟仿真实训使用时长不低于1.5个小时；</w:t>
      </w:r>
    </w:p>
    <w:p w14:paraId="584F08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▲（2）设备对象设计轴类、槽类、叶片类共三个典型件，其中每款机床分别对应其中1个典型件设计加工任务；</w:t>
      </w:r>
    </w:p>
    <w:p w14:paraId="4DC1FF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（3）教学模块功能：针对典型件的加工过程步骤的教学演示，根据学生自身学习需要可顺序也可随机查看任意步骤操作。支持整体流程观看演示和跳转步骤观看演示。</w:t>
      </w:r>
    </w:p>
    <w:p w14:paraId="1A1996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实训模块功能：学生自己学习掌握情况，亲自动手操作机床完成加工。操作过程中，系统会根据工艺步骤和课程教学节点进行划分，每个操作步骤系统会自动给出文字提醒，学生根据提醒自行完成机床操作步骤。</w:t>
      </w:r>
    </w:p>
    <w:p w14:paraId="2492152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a)三维交互功能：实现在三维空间对虚拟机床的操作功能，可以实现操作键盘WSAD围绕机床行走，可以启动电源开关，打开防护门，可以鼠标右键旋转相机视角，左键触发事件。</w:t>
      </w:r>
    </w:p>
    <w:p w14:paraId="0309FA7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b)任务列表操作功能：包括开机、上电、安装刀具、安装工件、导入加工程序、开始加工、加工完毕。</w:t>
      </w:r>
    </w:p>
    <w:p w14:paraId="7F5217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c)工艺图纸查看功能：操作过程中，系统提供设计查看功能，学生可以随时打开工艺和图纸进行查看，了解过程步骤和零件图纸尺寸。</w:t>
      </w:r>
    </w:p>
    <w:p w14:paraId="216413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d)工具量具使用功能：实训操作过程中，学生可以通过鼠标操作工件、工具、量具等，抓取和拖拽的方式完成实训操作。</w:t>
      </w:r>
    </w:p>
    <w:p w14:paraId="3E3312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e)数控面板使用功能：实训操作过程中可以随时通过快捷按钮打开数控面板（二维）进行操作，面板可以放大和缩小，具备拖拽功能。</w:t>
      </w:r>
    </w:p>
    <w:p w14:paraId="5F7C3AA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f)系统提示功能：实训操作过程中，系统根据工艺步骤要求，自动弹出下一步正确操作的提示信息，便于学生顺利实训。</w:t>
      </w:r>
    </w:p>
    <w:p w14:paraId="37CBA9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（5）考核模块功能：学生完全掌握零件加工过程实训之后，用来检验自己的学习情况。</w:t>
      </w:r>
    </w:p>
    <w:p w14:paraId="565E5B2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a)独立操作功能：每个操作步骤完全独立完成，系统不会自动出现步骤提醒。</w:t>
      </w:r>
    </w:p>
    <w:p w14:paraId="65AE18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b)错误提醒功能：出于教学考虑，当学生在执行当前步骤过程中，错误次数达到6次，系统会给出一次提醒，提醒学生当前的正确操作步骤。</w:t>
      </w:r>
    </w:p>
    <w:p w14:paraId="74A645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c)提醒扣分功能：当学生错误操作次数达到6次时，系统会自动扣分，系统设计平均每个步骤5分，扣掉当前步骤分。</w:t>
      </w:r>
    </w:p>
    <w:p w14:paraId="234BF9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d)总分统计提升功能：学生考核完成所有步骤操作后，系统自动累计分数，给出完成当前考核的用时和总分数。</w:t>
      </w:r>
    </w:p>
    <w:p w14:paraId="680A71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e)考核记录功能：学生在考核过程中，可以随时查看考核记录，系统会自动记录每次的错误操作，提醒次数，扣分情况。</w:t>
      </w:r>
    </w:p>
    <w:p w14:paraId="1E896504">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三、主轴箱虚拟装配系统  1套</w:t>
      </w:r>
    </w:p>
    <w:p w14:paraId="3F56DD0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在交互式虚拟装配环境中，通过VR虚拟交互设备像在真实环境中一样对箱体类零部件进行各类装配操作，在操作过程中系统提供实时的装配路径与序列处理等功能，从而使得用户能够对箱体类零部件装配序列进行验证和规划、对装配操作人员进行培训等。在装配结束以后，系统能够记录装配过程的信息供随后的教学分析使用。</w:t>
      </w:r>
    </w:p>
    <w:p w14:paraId="545D19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（1）通过控制工件、组件动作，进行虚拟装配工艺的执行；</w:t>
      </w:r>
    </w:p>
    <w:p w14:paraId="7227FE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（2）实训模式功能：按照主轴箱装配的真实特定步骤进行虚拟装配，每一步工件装配顺序和位置高亮提示，抓起工件按照提示进行装配训练；</w:t>
      </w:r>
    </w:p>
    <w:p w14:paraId="08B7A1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考试模式功能：按照主轴箱装配的真实特定步骤进行虚拟装配，工件的装配位置无提示，由操作人员根据装配工艺进行装配考核，装配完成后通过提交按键进行完成提交，系统自动记录完成的时长和考核时间；</w:t>
      </w:r>
    </w:p>
    <w:p w14:paraId="18A386A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（4）主轴箱装配模型具备半透显示和实际材质显示的切换功能，在虚拟装配时根据使用者自身需求选择是否使用半透明显示主轴箱体模型状态。</w:t>
      </w:r>
    </w:p>
    <w:p w14:paraId="0EF7C7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（5）为保证系统运行速度，渲染采用遮挡剔除和视锥剔除原则，模型采用精简单面建模技术，单个设备模型面数≤1万面，引擎场景模型多边形面数≤100万面。</w:t>
      </w:r>
    </w:p>
    <w:p w14:paraId="4F28850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（6）主轴箱虚拟装配系统两套，</w:t>
      </w:r>
    </w:p>
    <w:p w14:paraId="280F06F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（7）安装内容包括：</w:t>
      </w:r>
    </w:p>
    <w:p w14:paraId="353FB4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a.安装螺距变换手柄组件和杠杆组件；</w:t>
      </w:r>
    </w:p>
    <w:p w14:paraId="281EB7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b.安装高低速变换操纵机构杠杆组件；</w:t>
      </w:r>
    </w:p>
    <w:p w14:paraId="00FBCB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c.安装XV轴（操纵轴）组件；</w:t>
      </w:r>
    </w:p>
    <w:p w14:paraId="0E4831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d.安装变速手柄组件；</w:t>
      </w:r>
    </w:p>
    <w:p w14:paraId="3060D0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e.安装链轮和链条；</w:t>
      </w:r>
    </w:p>
    <w:p w14:paraId="7FE776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f.安装ⅩⅢ轴（齿条轴）组件；</w:t>
      </w:r>
    </w:p>
    <w:p w14:paraId="29DCD6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g.安装ⅩⅣ轴（立轴）组件；</w:t>
      </w:r>
    </w:p>
    <w:p w14:paraId="12198C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h.安装Ⅶ轴组件；</w:t>
      </w:r>
    </w:p>
    <w:p w14:paraId="108705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i.安装II轴组件；</w:t>
      </w:r>
    </w:p>
    <w:p w14:paraId="603577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j.安装Ⅷ轴组件；</w:t>
      </w:r>
    </w:p>
    <w:p w14:paraId="36F721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k.安装Ⅲ轴组件；</w:t>
      </w:r>
    </w:p>
    <w:p w14:paraId="0B03B9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l.安装IX轴组件；</w:t>
      </w:r>
    </w:p>
    <w:p w14:paraId="09BA48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m.安装X轴组件；</w:t>
      </w:r>
    </w:p>
    <w:p w14:paraId="64A82CB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n.安装XI轴组件；</w:t>
      </w:r>
    </w:p>
    <w:p w14:paraId="1C2F9B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o.安装V轴组件；</w:t>
      </w:r>
    </w:p>
    <w:p w14:paraId="6A1AFE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p.安装IV轴组件；</w:t>
      </w:r>
    </w:p>
    <w:p w14:paraId="35BB9E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q.安装小IV轴组件；</w:t>
      </w:r>
    </w:p>
    <w:p w14:paraId="0F21B68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r.安装小IV轴法兰盘组；</w:t>
      </w:r>
    </w:p>
    <w:p w14:paraId="4772CF8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s.安装制动杠杆组件；</w:t>
      </w:r>
    </w:p>
    <w:p w14:paraId="7BE4CD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t.安装Ⅻ轴组件；</w:t>
      </w:r>
    </w:p>
    <w:p w14:paraId="3F08BE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u.安装I轴组件；</w:t>
      </w:r>
    </w:p>
    <w:p w14:paraId="710E85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v.安装I轴法兰盘组件；</w:t>
      </w:r>
    </w:p>
    <w:p w14:paraId="0327AA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w.安装滤油器等零件；</w:t>
      </w:r>
    </w:p>
    <w:p w14:paraId="3E8CB7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x.安装支架组件；</w:t>
      </w:r>
    </w:p>
    <w:p w14:paraId="7C50539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y.安装皮带轮组件；</w:t>
      </w:r>
    </w:p>
    <w:p w14:paraId="58D3C92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z.安装主轴组件；</w:t>
      </w:r>
    </w:p>
    <w:p w14:paraId="250283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aa.安装分油器组件和油标；</w:t>
      </w:r>
    </w:p>
    <w:p w14:paraId="7151B12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bb.安装油槽。</w:t>
      </w:r>
    </w:p>
    <w:p w14:paraId="2E5AC718">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四、虚拟教学管理平台  1套</w:t>
      </w:r>
    </w:p>
    <w:p w14:paraId="65860A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1.管理平台系统：</w:t>
      </w:r>
    </w:p>
    <w:p w14:paraId="0944CEC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▲（1）系统通过符合国家标准的认证机构提供的认证测试，投标时提供相关的证明材料；</w:t>
      </w:r>
    </w:p>
    <w:p w14:paraId="2FAC57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教学资源管理功能：支持资源管理，包括docx、PPT、PDF、MP4、webgl、Glb等资源的管理。支持添加功能，包括定义资源的名称、章节，可配置资源时长。支持资源文件上传，包括定义资源列表及层级目录，上传实习资源，学习记录的修改。支持课件添加，包括录入课程名、时长、学院、专业等信息。支持教案流程设定，包括增加章节名称、绑定资源、资源新增、下发课程；</w:t>
      </w:r>
    </w:p>
    <w:p w14:paraId="6A6B6B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（3）视频课程管理：支持课程发布，包括发布课程、管理视频课程、查看学生的学习进度，积分情况；</w:t>
      </w:r>
    </w:p>
    <w:p w14:paraId="6464B6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（4）现场实习管理：支持配置实习课程列表，包括试卷编辑、考核编辑，形成实习大纲，平台自动分发学生；</w:t>
      </w:r>
    </w:p>
    <w:p w14:paraId="0C4640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（5）学习进程管理：支持展示学生信息，包括学生的基本信息、学习过程信息。支持通过进程库实时收集实习数据；</w:t>
      </w:r>
    </w:p>
    <w:p w14:paraId="5E4DE7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考试管理：支持构建题库数据库，包括题库、考试试卷、考试题目和考试成绩增加、删除、修改和查询。支持成绩列表，包括对学生考试成绩的列表检索、查看与管理。支持建立个人信息档案，包括存储学生相关信息、查看考试信息和考试成绩；</w:t>
      </w:r>
    </w:p>
    <w:p w14:paraId="5886B1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（7）学生端首页：支持绘制各学科学习时长，包括学科学习时长-饼图、周学习时长-曲线、课程学习进度概述-柱状图、积分数据-折线图、成绩数据-折线图； </w:t>
      </w:r>
    </w:p>
    <w:p w14:paraId="0BA8AC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个人中心：支持个人信息页面，包括个人资料。支持个人资料设置，包括个人资料设置。支持个人的学习记录，包括学习记录管理、积分管理、作业管理、成绩管理。支持消息通知，包括实习安排、实习记录、个人课表； </w:t>
      </w:r>
    </w:p>
    <w:p w14:paraId="7F710E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学习进程管理功能：支持技能树查看，包括实习课程章节以技能树形态展示。支持实时同步平台学习进程，包括以高亮形态和不同颜色进行标记，方便查看。支持班级排名，包括查看自己的学习阶段和时长，学习成绩及排行； </w:t>
      </w:r>
    </w:p>
    <w:p w14:paraId="2824D6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学习管理功能：支持学生平台通知信息，包括留言交流区进行战地信查看，可以与老师私聊信息。实习报告模板，包括提供实习报告模板，报告题目、学院、实习时间、实习目的、实习内容和心得感悟。支持实习报告流程，包括实习课程题目、学院、章节列表，实习报告总结和报告提交； </w:t>
      </w:r>
    </w:p>
    <w:p w14:paraId="0ED91A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系统管理功能：支持用户管理，包括每种角色分别登录不同的首页系统。支持系统管理，包括用户管理、角色管理、权限控制。支持系统用户管理，包括系统各用户的账户密码信息、修改密码、角色配置。支持系统管理员，包括首页涵盖的模块包括个人信息部分。支持教学资源库，包括教学资源库管理、题库资源管理、课程模板资源库管理、统计分析； </w:t>
      </w:r>
    </w:p>
    <w:p w14:paraId="600ACD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（12）通知公告板块：支持通知公告，包括公告列表和公告详情；</w:t>
      </w:r>
    </w:p>
    <w:p w14:paraId="27336C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基础功能：支持教学资源展示，无需安装第三方支撑软件或插件，具备教学资源展示。支持角色，包括教师、学生、管理员三个角色，并对应各自功能。过程管理，包括为每个学生进行学习进程的画像建模。支持引导式学习模式，包括引入虚拟数字人，提供智能引导服务。支持学生注册登录，包括激活后端学生数据库，匹配性验证，完成注册功能，自定义个人信息；</w:t>
      </w:r>
    </w:p>
    <w:p w14:paraId="742B23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（14）教学管理功能：支持教学管理，包括学生信息管理、学生信息编辑、公告管理、公告添加、通知管理、通知编辑；</w:t>
      </w:r>
    </w:p>
    <w:p w14:paraId="6A7CB77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（15）虚拟仿真实训项目资源下载或实训操作请求的数量不低于200个用户并发登，平均响应时间小于50毫秒；</w:t>
      </w:r>
    </w:p>
    <w:p w14:paraId="4D12724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（16）虚拟仿真资源首次加载完成并进入可实习实训状态，所需的平均等待时长最低不超过30秒；</w:t>
      </w:r>
    </w:p>
    <w:p w14:paraId="14569A2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（17）虚拟仿真实训资源二次加载完成并进入可实训状态，最低不超过20秒；</w:t>
      </w:r>
    </w:p>
    <w:p w14:paraId="455458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（18）具有仿真计算的实训：通过仿真计算，获取计算结果所等待的时长最低不超过1秒；</w:t>
      </w:r>
    </w:p>
    <w:p w14:paraId="439DB7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（19）虚拟仿真实训操作响应时长最低不超过0.5秒。</w:t>
      </w:r>
    </w:p>
    <w:p w14:paraId="06EEB90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2.配套硬件</w:t>
      </w:r>
    </w:p>
    <w:p w14:paraId="7DBE9A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（1）CPU：2个，主频不低于2.0GHz； </w:t>
      </w:r>
    </w:p>
    <w:p w14:paraId="5D8BF5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（2）内存：不低于64G；</w:t>
      </w:r>
    </w:p>
    <w:p w14:paraId="5DED23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（3）网口：2*千兆电口；</w:t>
      </w:r>
    </w:p>
    <w:p w14:paraId="4218E1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（4）端口：不低于4*USB接口，1*VGA接口，1*RS232串口；</w:t>
      </w:r>
    </w:p>
    <w:p w14:paraId="20C380E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（5）电源：100～240V AC；</w:t>
      </w:r>
    </w:p>
    <w:p w14:paraId="642BD5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（6）硬盘：不低于4T*3,RAID5,SAS； </w:t>
      </w:r>
    </w:p>
    <w:p w14:paraId="68CA91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（7）配备二层上千兆接口可管理交换机，支持hybird，支持web\ssh\telnet 管理模式；</w:t>
      </w:r>
    </w:p>
    <w:p w14:paraId="6E5F7C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（8）配备定制化一体式机柜，具备输出显示模块不低于10寸LCD屏幕，具备触摸板输入模块，机柜高不大于850mm，宽不大于850mm，深不大于400mm。</w:t>
      </w:r>
    </w:p>
    <w:p w14:paraId="3F8E8F19">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五、VR虚拟一体机  1套</w:t>
      </w:r>
    </w:p>
    <w:p w14:paraId="58DF6061">
      <w:pPr>
        <w:spacing w:line="360" w:lineRule="auto"/>
        <w:rPr>
          <w:rFonts w:ascii="仿宋" w:hAnsi="仿宋" w:eastAsia="仿宋" w:cs="仿宋"/>
          <w:bCs/>
          <w:color w:val="auto"/>
          <w:sz w:val="24"/>
          <w:szCs w:val="24"/>
          <w:highlight w:val="none"/>
        </w:rPr>
      </w:pPr>
      <w:bookmarkStart w:id="112" w:name="OLE_LINK22"/>
      <w:r>
        <w:rPr>
          <w:rFonts w:hint="eastAsia" w:ascii="仿宋" w:hAnsi="仿宋" w:eastAsia="仿宋" w:cs="仿宋"/>
          <w:bCs/>
          <w:color w:val="auto"/>
          <w:sz w:val="24"/>
          <w:szCs w:val="24"/>
          <w:highlight w:val="none"/>
        </w:rPr>
        <w:t>（1）CPU型号：</w:t>
      </w:r>
      <w:bookmarkStart w:id="113" w:name="OLE_LINK35"/>
      <w:bookmarkStart w:id="114" w:name="OLE_LINK33"/>
      <w:r>
        <w:rPr>
          <w:rFonts w:hint="eastAsia" w:ascii="仿宋" w:hAnsi="仿宋" w:eastAsia="仿宋" w:cs="仿宋"/>
          <w:bCs/>
          <w:color w:val="auto"/>
          <w:sz w:val="24"/>
          <w:szCs w:val="24"/>
          <w:highlight w:val="none"/>
        </w:rPr>
        <w:t>I7</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12代及以上规格处理器，具备多线程处理能力</w:t>
      </w:r>
      <w:bookmarkEnd w:id="113"/>
      <w:r>
        <w:rPr>
          <w:rFonts w:hint="eastAsia" w:ascii="仿宋" w:hAnsi="仿宋" w:eastAsia="仿宋" w:cs="仿宋"/>
          <w:bCs/>
          <w:color w:val="auto"/>
          <w:sz w:val="24"/>
          <w:szCs w:val="24"/>
          <w:highlight w:val="none"/>
        </w:rPr>
        <w:t>。</w:t>
      </w:r>
      <w:bookmarkEnd w:id="114"/>
    </w:p>
    <w:bookmarkEnd w:id="112"/>
    <w:p w14:paraId="261504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（2）内存：不低于32GB；</w:t>
      </w:r>
    </w:p>
    <w:p w14:paraId="3D9A10F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（3）独立显卡，显存容量不低于6G；</w:t>
      </w:r>
    </w:p>
    <w:p w14:paraId="2F4249E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（5）硬盘：不低于1TB；</w:t>
      </w:r>
    </w:p>
    <w:p w14:paraId="3756C8E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（6）显示模块：屏幕分辨率：不低于4K；屏幕比例：16:9；屏幕尺寸不低于55英寸。</w:t>
      </w:r>
    </w:p>
    <w:p w14:paraId="53FD20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头戴显示端：2个3.4寸屏幕，单眼分辨率1440*1700（双眼分辨率2880*1700），光学定位，刷新率不低于90Hz，视场角最大不低于110度，采用G-SENSOR校正，陀螺仪，双眼舒适度设置（IPD），具备翻盖式面罩，可调整瞳距，可调试头带，立体声耳机，集成麦克风；</w:t>
      </w:r>
    </w:p>
    <w:p w14:paraId="24EED7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控制手柄：内置传感器，陀螺仪和G-SENSOR校正、霍尔传感器、触摸传感器。输入具备系统按钮、2个应用程序按钮、扳机、缓冲按钮、遥杆、抓握按钮。2节AA碱性电池。</w:t>
      </w:r>
    </w:p>
    <w:p w14:paraId="233A26B4">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六、产教研农机特色实践教学系统  1套</w:t>
      </w:r>
    </w:p>
    <w:p w14:paraId="49E058A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1.设备组成：产教研农机特色实践教学系统由3台农业收割实验机、3台物联网测控系统和1套产教研农机实践教学平台组成。</w:t>
      </w:r>
    </w:p>
    <w:p w14:paraId="360790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功能说明：农业收割实验机主要由割台装置、输送传动装置、脱粒装置、清选装置、车架装置、扭矩传动工装、带传动单元七部分组成。本机采用卧式割台完成农作物的切割与输送，割台收获物料经中间输送过桥平稳过渡并向后输送，进入纵向轴流布置的脱粒滚筒进行脱粒作业，脱粒后的混合物再输送至清选振动筛完成清选分离，实现籽粒与杂余的有效分选，整体结构布局流畅、作业衔接紧凑，可高效完成农作物联合收割作业。实验机配备透明防护板保护措施。</w:t>
      </w:r>
    </w:p>
    <w:p w14:paraId="55216C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3.设备组成：每台设备配置电机及减速器≥3套、电推杆≥3套、磁粉制动器≥1套、编码器（含工装）≥10套、动态扭矩传感器（含工装）≥2套。</w:t>
      </w:r>
    </w:p>
    <w:p w14:paraId="571DCB9E">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.机身重量：120kg—150kg。</w:t>
      </w:r>
    </w:p>
    <w:p w14:paraId="3EB1BE82">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.电推杆顶升机构：通过一对同步的电推杆推动割台，电推杆行程S≥50mm；</w:t>
      </w:r>
    </w:p>
    <w:p w14:paraId="08C11C86">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rPr>
        <w:t>.V带传送单元：电机驱动速度≥300rpm，可调；链传送单元：通过网链传动，电机驱动速度≥300rpm，可调；蜗轮蜗杆传动：通过带传动组件传递动力输入；涡轮蜗杆传动≥20:1；带传动组件：标准带传动模块，传动比≥3:5。</w:t>
      </w:r>
    </w:p>
    <w:p w14:paraId="24DF86B0">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7</w:t>
      </w:r>
      <w:r>
        <w:rPr>
          <w:rFonts w:hint="eastAsia" w:ascii="仿宋" w:hAnsi="仿宋" w:eastAsia="仿宋" w:cs="仿宋"/>
          <w:bCs/>
          <w:color w:val="auto"/>
          <w:sz w:val="24"/>
          <w:szCs w:val="24"/>
          <w:highlight w:val="none"/>
        </w:rPr>
        <w:t>.电机供电电压220v，输出功率≥400W，额定转速≥3000r/min，扭矩≥1.27N·m，防护等级IP66；减速器减速比≥1:10。</w:t>
      </w:r>
    </w:p>
    <w:p w14:paraId="70D180A8">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8</w:t>
      </w:r>
      <w:r>
        <w:rPr>
          <w:rFonts w:hint="eastAsia" w:ascii="仿宋" w:hAnsi="仿宋" w:eastAsia="仿宋" w:cs="仿宋"/>
          <w:bCs/>
          <w:color w:val="auto"/>
          <w:sz w:val="24"/>
          <w:szCs w:val="24"/>
          <w:highlight w:val="none"/>
        </w:rPr>
        <w:t>.编码器输入电压为5VDC，输出为ABZ式输出，脉冲≥1024bit；响应频率≥100kHz，最大转速≥3000rpm。</w:t>
      </w:r>
    </w:p>
    <w:p w14:paraId="7087E412">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9</w:t>
      </w:r>
      <w:r>
        <w:rPr>
          <w:rFonts w:hint="eastAsia" w:ascii="仿宋" w:hAnsi="仿宋" w:eastAsia="仿宋" w:cs="仿宋"/>
          <w:bCs/>
          <w:color w:val="auto"/>
          <w:sz w:val="24"/>
          <w:szCs w:val="24"/>
          <w:highlight w:val="none"/>
        </w:rPr>
        <w:t>.扭矩传感器输入电压为24VDC，输出为模拟量，量程：0～30N·m；输出电压：0-5VDC，零点输出：±0.5%FS；非线性：0.3%F·S；滞后性：≤±0.05%F·S。</w:t>
      </w:r>
    </w:p>
    <w:p w14:paraId="4477AE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0</w:t>
      </w:r>
      <w:r>
        <w:rPr>
          <w:rFonts w:hint="eastAsia" w:ascii="仿宋" w:hAnsi="仿宋" w:eastAsia="仿宋" w:cs="仿宋"/>
          <w:bCs/>
          <w:color w:val="auto"/>
          <w:sz w:val="24"/>
          <w:szCs w:val="24"/>
          <w:highlight w:val="none"/>
        </w:rPr>
        <w:t>.配备资料：电子版/纸质版设备使用说明书；软件平台提供设备三维模型及实验介绍视频等资料。</w:t>
      </w:r>
    </w:p>
    <w:p w14:paraId="4FB86F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rPr>
        <w:t>.物联网测控箱是集伺服电机控制，电动推杆控制，传感器数据采集，编码器及光栅尺数据采集于一体的多功能物联网测控系统；通过MQTT协议与实验教学平台进行交互，教学平台传输运动控制指令与采集开始指令给物联网测控系统，由测控系统进行运动控制与数据采集，并将采集数据上传回平台。</w:t>
      </w:r>
    </w:p>
    <w:p w14:paraId="5151FA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.外形尺寸：长≥18</w:t>
      </w:r>
      <w:r>
        <w:rPr>
          <w:rFonts w:ascii="仿宋" w:hAnsi="仿宋" w:eastAsia="仿宋" w:cs="仿宋"/>
          <w:bCs/>
          <w:color w:val="auto"/>
          <w:sz w:val="24"/>
          <w:szCs w:val="24"/>
          <w:highlight w:val="none"/>
        </w:rPr>
        <w:t>0</w:t>
      </w:r>
      <w:r>
        <w:rPr>
          <w:rFonts w:hint="eastAsia" w:ascii="仿宋" w:hAnsi="仿宋" w:eastAsia="仿宋" w:cs="仿宋"/>
          <w:bCs/>
          <w:color w:val="auto"/>
          <w:sz w:val="24"/>
          <w:szCs w:val="24"/>
          <w:highlight w:val="none"/>
        </w:rPr>
        <w:t>mm，宽≥42</w:t>
      </w:r>
      <w:r>
        <w:rPr>
          <w:rFonts w:ascii="仿宋" w:hAnsi="仿宋" w:eastAsia="仿宋" w:cs="仿宋"/>
          <w:bCs/>
          <w:color w:val="auto"/>
          <w:sz w:val="24"/>
          <w:szCs w:val="24"/>
          <w:highlight w:val="none"/>
        </w:rPr>
        <w:t>0</w:t>
      </w:r>
      <w:r>
        <w:rPr>
          <w:rFonts w:hint="eastAsia" w:ascii="仿宋" w:hAnsi="仿宋" w:eastAsia="仿宋" w:cs="仿宋"/>
          <w:bCs/>
          <w:color w:val="auto"/>
          <w:sz w:val="24"/>
          <w:szCs w:val="24"/>
          <w:highlight w:val="none"/>
        </w:rPr>
        <w:t>mm，高≥380mm；整机重量≥1</w:t>
      </w:r>
      <w:r>
        <w:rPr>
          <w:rFonts w:ascii="仿宋" w:hAnsi="仿宋" w:eastAsia="仿宋" w:cs="仿宋"/>
          <w:bCs/>
          <w:color w:val="auto"/>
          <w:sz w:val="24"/>
          <w:szCs w:val="24"/>
          <w:highlight w:val="none"/>
        </w:rPr>
        <w:t>0</w:t>
      </w:r>
      <w:r>
        <w:rPr>
          <w:rFonts w:hint="eastAsia" w:ascii="仿宋" w:hAnsi="仿宋" w:eastAsia="仿宋" w:cs="仿宋"/>
          <w:bCs/>
          <w:color w:val="auto"/>
          <w:sz w:val="24"/>
          <w:szCs w:val="24"/>
          <w:highlight w:val="none"/>
        </w:rPr>
        <w:t>kg。</w:t>
      </w:r>
    </w:p>
    <w:p w14:paraId="656C47FC">
      <w:pPr>
        <w:spacing w:line="360" w:lineRule="auto"/>
        <w:rPr>
          <w:color w:val="auto"/>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rPr>
        <w:t>.采集接口：5V传感器接口≥6个，至少支持电阻位移传感器、电感式位移传感器等；24V传感器接口≥9个，至少支持冲压力传感器、拉压力传感器、预紧力传感器、拉线式位移传感器、电涡流传感器，扭矩传感器等；计数器通道≥2个，至少支持编码器、光栅尺等。（投标时需提供符合本条参数要求的物联网测控箱实物图片；提供的彩页或设备说明书需呈现各类型采集接口所支持的传感器种类及名称）</w:t>
      </w:r>
    </w:p>
    <w:p w14:paraId="4E7BE6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w:t>
      </w:r>
      <w:bookmarkStart w:id="115" w:name="OLE_LINK17"/>
      <w:r>
        <w:rPr>
          <w:rFonts w:hint="eastAsia" w:ascii="仿宋" w:hAnsi="仿宋" w:eastAsia="仿宋" w:cs="仿宋"/>
          <w:bCs/>
          <w:color w:val="auto"/>
          <w:sz w:val="24"/>
          <w:szCs w:val="24"/>
          <w:highlight w:val="none"/>
        </w:rPr>
        <w:t>控制硬件：通用 PLC</w:t>
      </w:r>
      <w:bookmarkEnd w:id="115"/>
      <w:r>
        <w:rPr>
          <w:rFonts w:hint="eastAsia" w:ascii="仿宋" w:hAnsi="仿宋" w:eastAsia="仿宋" w:cs="仿宋"/>
          <w:bCs/>
          <w:color w:val="auto"/>
          <w:sz w:val="24"/>
          <w:szCs w:val="24"/>
          <w:highlight w:val="none"/>
        </w:rPr>
        <w:t>。</w:t>
      </w:r>
    </w:p>
    <w:p w14:paraId="6B197A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.采集硬件：bell采集卡16通道模拟量输入，2通道高速计数器 4通道数字量输入，最高采集频率≥250K。</w:t>
      </w:r>
    </w:p>
    <w:p w14:paraId="123BD8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rPr>
        <w:t>.数据传输：通信协议 MQTT协议，Wi-Fi，网络</w:t>
      </w:r>
    </w:p>
    <w:p w14:paraId="33804EB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ascii="仿宋" w:hAnsi="仿宋" w:eastAsia="仿宋" w:cs="仿宋"/>
          <w:bCs/>
          <w:color w:val="auto"/>
          <w:sz w:val="24"/>
          <w:szCs w:val="24"/>
          <w:highlight w:val="none"/>
        </w:rPr>
        <w:t>7</w:t>
      </w:r>
      <w:r>
        <w:rPr>
          <w:rFonts w:hint="eastAsia" w:ascii="仿宋" w:hAnsi="仿宋" w:eastAsia="仿宋" w:cs="仿宋"/>
          <w:bCs/>
          <w:color w:val="auto"/>
          <w:sz w:val="24"/>
          <w:szCs w:val="24"/>
          <w:highlight w:val="none"/>
        </w:rPr>
        <w:t>.电源要求：220V</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AC</w:t>
      </w:r>
    </w:p>
    <w:p w14:paraId="2D87AC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19.控制系统：配备web软件物联网测控系统；同时兼有手动控制系统；伺服电机控制数量≥3个，直流推杆控制数量≥2个，闭环步进电机控制数量≥1个。</w:t>
      </w:r>
    </w:p>
    <w:p w14:paraId="37E1ACC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20.控制方式：支持云端控制、远程控制、现场控制、离线控制</w:t>
      </w:r>
    </w:p>
    <w:p w14:paraId="6DBE8D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21.监控系统：可配备摄像头进行远程监控。（选配）</w:t>
      </w:r>
    </w:p>
    <w:p w14:paraId="792ABA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22.配套移动测试台外形尺寸：长≥530mm，宽≥430mm，高≥850mm。</w:t>
      </w:r>
    </w:p>
    <w:p w14:paraId="7A5D49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产教研农机实践教学平台支持在一个操作界面内，可以显示整机模型并且可以基于参考模型进行线上绘制，线上绘制时可以测量整机模型的关键尺寸。也可以提供离线上传功能、隐藏整机模型功能，绘制完毕可以保存提交。</w:t>
      </w:r>
    </w:p>
    <w:p w14:paraId="187EE6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24.可以补充采购项目制教学模块及课程设计模块，可以将多个课程的多个实践环节数据合并统计，用于分析评价教学。</w:t>
      </w:r>
    </w:p>
    <w:p w14:paraId="77666B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25.教师端核心模块功能：数据概览、实验列表、成绩管理、班级管理、实验权重管理、实验大纲管理、设备管理。</w:t>
      </w:r>
    </w:p>
    <w:p w14:paraId="52464C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26.学生端核心模块功能：平台包括实验介绍、原理分析、物料选择、工况选择、虚拟装配、测控方案设计、测控物料选择、控制/数据采集、数据分析、实验报告等功能，可以根据实验需求配置所需模块。</w:t>
      </w:r>
    </w:p>
    <w:p w14:paraId="15C554E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27.数字化分析功能：提供原理分析模块，该模块可以显示实验机名称、机构类型、算法介绍、机构简图和分析结果。学生可以输入参数后显示结果，显示的分析结果可以下载。（投标时需提供该功能截图证明材料）</w:t>
      </w:r>
    </w:p>
    <w:p w14:paraId="49CDBB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28.实验介绍功能：学生可以通过实验资料预习实验，通过观看视频可直观了解实验目的，至少可以在线预览实验指导书、下载实验指导书，在线查看实验内容以及整机的2D、3D图。</w:t>
      </w:r>
    </w:p>
    <w:p w14:paraId="01CCA1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29.物料选择功能：学生需要在本步骤内选择实验所需物料。可查看每个零部件三维模型、名称。可以对组件进行搜索和增减组件数量，需提供物料种类数≥5类，提供总零件数≥7。</w:t>
      </w:r>
    </w:p>
    <w:p w14:paraId="3148166F">
      <w:pPr>
        <w:spacing w:line="360" w:lineRule="auto"/>
        <w:rPr>
          <w:color w:val="auto"/>
          <w:highlight w:val="none"/>
        </w:rPr>
      </w:pPr>
      <w:r>
        <w:rPr>
          <w:rFonts w:hint="eastAsia" w:ascii="仿宋" w:hAnsi="仿宋" w:eastAsia="仿宋" w:cs="仿宋"/>
          <w:bCs/>
          <w:color w:val="auto"/>
          <w:sz w:val="24"/>
          <w:szCs w:val="24"/>
          <w:highlight w:val="none"/>
        </w:rPr>
        <w:t>▲30.虚拟装配功能：装配方式≥2种，装配方式至少包含在线装配和离线上传，提供的云CAD三维装配模块可以将零件和组件装配成完整的实验机器，该装配过程老师可以在教师端查阅。（投标时需提供对相应功能截图或图片，能够证明在线装配功能、离线上传装配功能，具备云CAD三维装配模块，可实现将零散零件与组件装配为完整的农业收割实验机；同时提供与三维模型参数一致的农业收割实验机实物图）</w:t>
      </w:r>
    </w:p>
    <w:p w14:paraId="44BB35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控制/数据采集功能：支持通过平台远程控制连接的实验设备进行数据采集，并将数据实时回传至平台。支持学生查看已采集的实验数据结果，并支持数据的在线预览与下载，可采集的传感器类型≥5种，传感器通道数≥14。</w:t>
      </w:r>
    </w:p>
    <w:p w14:paraId="4679EF9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33.实验报告功能：学生在本步骤内需要在线填写实验报告，最终生成电子版，过程包括填写实验目的，上传实验过程与步骤、工况原始数据、数据分析结果，填写实验结论、回答思考题。</w:t>
      </w:r>
      <w:r>
        <w:rPr>
          <w:rFonts w:hint="eastAsia" w:ascii="仿宋" w:hAnsi="仿宋" w:eastAsia="仿宋" w:cs="仿宋"/>
          <w:bCs/>
          <w:color w:val="auto"/>
          <w:sz w:val="24"/>
          <w:szCs w:val="24"/>
          <w:highlight w:val="none"/>
        </w:rPr>
        <w:br w:type="page"/>
      </w:r>
    </w:p>
    <w:p w14:paraId="45EEA844">
      <w:pPr>
        <w:tabs>
          <w:tab w:val="center" w:pos="4832"/>
          <w:tab w:val="left" w:pos="7140"/>
        </w:tabs>
        <w:spacing w:line="360" w:lineRule="auto"/>
        <w:jc w:val="center"/>
        <w:outlineLvl w:val="1"/>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标的四：机器人综合实训平台/机器人原理控制平台</w:t>
      </w:r>
    </w:p>
    <w:p w14:paraId="7E6340B7">
      <w:pPr>
        <w:spacing w:line="360" w:lineRule="auto"/>
        <w:ind w:firstLine="482" w:firstLineChars="200"/>
        <w:rPr>
          <w:rFonts w:hint="eastAsia"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本标的总套数为：机器人综合实训平台1套+机器人原理控制平台1套，共计2套，包含以下产品参数：</w:t>
      </w:r>
    </w:p>
    <w:p w14:paraId="05040716">
      <w:pPr>
        <w:spacing w:line="360" w:lineRule="auto"/>
        <w:ind w:firstLine="482" w:firstLineChars="200"/>
        <w:rPr>
          <w:rFonts w:hint="eastAsia" w:ascii="仿宋" w:hAnsi="仿宋" w:eastAsia="仿宋" w:cs="仿宋"/>
          <w:b/>
          <w:bCs/>
          <w:color w:val="auto"/>
          <w:sz w:val="24"/>
          <w:szCs w:val="24"/>
          <w:highlight w:val="none"/>
          <w:lang w:eastAsia="zh-CN" w:bidi="en-US"/>
        </w:rPr>
      </w:pPr>
      <w:r>
        <w:rPr>
          <w:rFonts w:hint="eastAsia" w:ascii="仿宋" w:hAnsi="仿宋" w:eastAsia="仿宋" w:cs="仿宋"/>
          <w:b/>
          <w:bCs/>
          <w:color w:val="auto"/>
          <w:sz w:val="24"/>
          <w:szCs w:val="24"/>
          <w:highlight w:val="none"/>
          <w:lang w:val="en-US" w:eastAsia="zh-CN" w:bidi="en-US"/>
        </w:rPr>
        <w:t>1、</w:t>
      </w:r>
      <w:r>
        <w:rPr>
          <w:rFonts w:hint="eastAsia" w:ascii="仿宋" w:hAnsi="仿宋" w:eastAsia="仿宋" w:cs="仿宋"/>
          <w:b/>
          <w:bCs/>
          <w:color w:val="auto"/>
          <w:sz w:val="24"/>
          <w:szCs w:val="24"/>
          <w:highlight w:val="none"/>
          <w:lang w:bidi="en-US"/>
        </w:rPr>
        <w:t>机器人原理控制平台</w:t>
      </w:r>
      <w:r>
        <w:rPr>
          <w:rFonts w:hint="eastAsia" w:ascii="仿宋" w:hAnsi="仿宋" w:eastAsia="仿宋" w:cs="仿宋"/>
          <w:b/>
          <w:bCs/>
          <w:color w:val="auto"/>
          <w:sz w:val="24"/>
          <w:szCs w:val="24"/>
          <w:highlight w:val="none"/>
          <w:lang w:val="en-US" w:eastAsia="zh-CN" w:bidi="en-US"/>
        </w:rPr>
        <w:t>1套含：</w:t>
      </w:r>
      <w:r>
        <w:rPr>
          <w:rFonts w:hint="eastAsia" w:ascii="仿宋" w:hAnsi="仿宋" w:eastAsia="仿宋" w:cs="仿宋"/>
          <w:b/>
          <w:bCs/>
          <w:color w:val="auto"/>
          <w:sz w:val="24"/>
          <w:szCs w:val="24"/>
          <w:highlight w:val="none"/>
          <w:lang w:bidi="en-US"/>
        </w:rPr>
        <w:t>开放式伺服电机控制实验平台10套</w:t>
      </w:r>
      <w:r>
        <w:rPr>
          <w:rFonts w:hint="eastAsia" w:ascii="仿宋" w:hAnsi="仿宋" w:eastAsia="仿宋" w:cs="仿宋"/>
          <w:b/>
          <w:bCs/>
          <w:color w:val="auto"/>
          <w:sz w:val="24"/>
          <w:szCs w:val="24"/>
          <w:highlight w:val="none"/>
          <w:lang w:eastAsia="zh-CN" w:bidi="en-US"/>
        </w:rPr>
        <w:t>，</w:t>
      </w:r>
      <w:r>
        <w:rPr>
          <w:rFonts w:hint="eastAsia" w:ascii="仿宋" w:hAnsi="仿宋" w:eastAsia="仿宋" w:cs="仿宋"/>
          <w:b/>
          <w:bCs/>
          <w:color w:val="auto"/>
          <w:sz w:val="24"/>
          <w:szCs w:val="24"/>
          <w:highlight w:val="none"/>
          <w:lang w:bidi="en-US"/>
        </w:rPr>
        <w:t>开放式机器人原理实验平台1台</w:t>
      </w:r>
      <w:r>
        <w:rPr>
          <w:rFonts w:hint="eastAsia" w:ascii="仿宋" w:hAnsi="仿宋" w:eastAsia="仿宋" w:cs="仿宋"/>
          <w:b/>
          <w:bCs/>
          <w:color w:val="auto"/>
          <w:sz w:val="24"/>
          <w:szCs w:val="24"/>
          <w:highlight w:val="none"/>
          <w:lang w:eastAsia="zh-CN" w:bidi="en-US"/>
        </w:rPr>
        <w:t>。</w:t>
      </w:r>
    </w:p>
    <w:p w14:paraId="5D9C4348">
      <w:pPr>
        <w:spacing w:line="360" w:lineRule="auto"/>
        <w:ind w:firstLine="482" w:firstLineChars="200"/>
        <w:rPr>
          <w:rFonts w:hint="eastAsia" w:ascii="仿宋" w:hAnsi="仿宋" w:eastAsia="仿宋" w:cs="仿宋"/>
          <w:b/>
          <w:bCs/>
          <w:color w:val="auto"/>
          <w:sz w:val="24"/>
          <w:szCs w:val="24"/>
          <w:highlight w:val="none"/>
          <w:lang w:eastAsia="zh-CN" w:bidi="en-US"/>
        </w:rPr>
      </w:pPr>
      <w:r>
        <w:rPr>
          <w:rFonts w:hint="eastAsia" w:ascii="仿宋" w:hAnsi="仿宋" w:eastAsia="仿宋" w:cs="仿宋"/>
          <w:b/>
          <w:bCs/>
          <w:color w:val="auto"/>
          <w:sz w:val="24"/>
          <w:szCs w:val="24"/>
          <w:highlight w:val="none"/>
          <w:lang w:val="en-US" w:eastAsia="zh-CN" w:bidi="en-US"/>
        </w:rPr>
        <w:t>2、</w:t>
      </w:r>
      <w:r>
        <w:rPr>
          <w:rFonts w:hint="eastAsia" w:ascii="仿宋" w:hAnsi="仿宋" w:eastAsia="仿宋" w:cs="仿宋"/>
          <w:b/>
          <w:bCs/>
          <w:color w:val="auto"/>
          <w:sz w:val="24"/>
          <w:szCs w:val="24"/>
          <w:highlight w:val="none"/>
          <w:lang w:bidi="en-US"/>
        </w:rPr>
        <w:t>机器人综合实训平台</w:t>
      </w:r>
      <w:r>
        <w:rPr>
          <w:rFonts w:hint="eastAsia" w:ascii="仿宋" w:hAnsi="仿宋" w:eastAsia="仿宋" w:cs="仿宋"/>
          <w:b/>
          <w:bCs/>
          <w:color w:val="auto"/>
          <w:sz w:val="24"/>
          <w:szCs w:val="24"/>
          <w:highlight w:val="none"/>
          <w:lang w:val="en-US" w:eastAsia="zh-CN" w:bidi="en-US"/>
        </w:rPr>
        <w:t>1套含</w:t>
      </w:r>
      <w:r>
        <w:rPr>
          <w:rFonts w:hint="eastAsia" w:ascii="仿宋" w:hAnsi="仿宋" w:eastAsia="仿宋" w:cs="仿宋"/>
          <w:b/>
          <w:bCs/>
          <w:color w:val="auto"/>
          <w:sz w:val="24"/>
          <w:szCs w:val="24"/>
          <w:highlight w:val="none"/>
          <w:lang w:eastAsia="zh-CN" w:bidi="en-US"/>
        </w:rPr>
        <w:t>：</w:t>
      </w:r>
      <w:r>
        <w:rPr>
          <w:rFonts w:hint="eastAsia" w:ascii="仿宋" w:hAnsi="仿宋" w:eastAsia="仿宋" w:cs="仿宋"/>
          <w:b/>
          <w:bCs/>
          <w:color w:val="auto"/>
          <w:sz w:val="24"/>
          <w:szCs w:val="24"/>
          <w:highlight w:val="none"/>
          <w:lang w:bidi="en-US"/>
        </w:rPr>
        <w:t>Delta并联机器人实验平台1套</w:t>
      </w:r>
      <w:r>
        <w:rPr>
          <w:rFonts w:hint="eastAsia" w:ascii="仿宋" w:hAnsi="仿宋" w:eastAsia="仿宋" w:cs="仿宋"/>
          <w:b/>
          <w:bCs/>
          <w:color w:val="auto"/>
          <w:sz w:val="24"/>
          <w:szCs w:val="24"/>
          <w:highlight w:val="none"/>
          <w:lang w:eastAsia="zh-CN" w:bidi="en-US"/>
        </w:rPr>
        <w:t>，</w:t>
      </w:r>
      <w:r>
        <w:rPr>
          <w:rFonts w:hint="eastAsia" w:ascii="仿宋" w:hAnsi="仿宋" w:eastAsia="仿宋" w:cs="仿宋"/>
          <w:b/>
          <w:bCs/>
          <w:color w:val="auto"/>
          <w:sz w:val="24"/>
          <w:szCs w:val="24"/>
          <w:highlight w:val="none"/>
          <w:lang w:bidi="en-US"/>
        </w:rPr>
        <w:t>Scara四轴工业机器人平台实验平台1套</w:t>
      </w:r>
      <w:r>
        <w:rPr>
          <w:rFonts w:hint="eastAsia" w:ascii="仿宋" w:hAnsi="仿宋" w:eastAsia="仿宋" w:cs="仿宋"/>
          <w:b/>
          <w:bCs/>
          <w:color w:val="auto"/>
          <w:sz w:val="24"/>
          <w:szCs w:val="24"/>
          <w:highlight w:val="none"/>
          <w:lang w:eastAsia="zh-CN" w:bidi="en-US"/>
        </w:rPr>
        <w:t>，</w:t>
      </w:r>
      <w:r>
        <w:rPr>
          <w:rFonts w:hint="eastAsia" w:ascii="仿宋" w:hAnsi="仿宋" w:eastAsia="仿宋" w:cs="仿宋"/>
          <w:b/>
          <w:bCs/>
          <w:color w:val="auto"/>
          <w:sz w:val="24"/>
          <w:szCs w:val="24"/>
          <w:highlight w:val="none"/>
          <w:lang w:bidi="en-US"/>
        </w:rPr>
        <w:t>工业机器人高阶实验平台1套</w:t>
      </w:r>
      <w:r>
        <w:rPr>
          <w:rFonts w:hint="eastAsia" w:ascii="仿宋" w:hAnsi="仿宋" w:eastAsia="仿宋" w:cs="仿宋"/>
          <w:b/>
          <w:bCs/>
          <w:color w:val="auto"/>
          <w:sz w:val="24"/>
          <w:szCs w:val="24"/>
          <w:highlight w:val="none"/>
          <w:lang w:eastAsia="zh-CN" w:bidi="en-US"/>
        </w:rPr>
        <w:t>，</w:t>
      </w:r>
      <w:r>
        <w:rPr>
          <w:rFonts w:hint="eastAsia" w:ascii="仿宋" w:hAnsi="仿宋" w:eastAsia="仿宋" w:cs="仿宋"/>
          <w:b/>
          <w:bCs/>
          <w:color w:val="auto"/>
          <w:sz w:val="24"/>
          <w:szCs w:val="24"/>
          <w:highlight w:val="none"/>
          <w:lang w:bidi="en-US"/>
        </w:rPr>
        <w:t>协作机器人高阶实验平台1套</w:t>
      </w:r>
      <w:r>
        <w:rPr>
          <w:rFonts w:hint="eastAsia" w:ascii="仿宋" w:hAnsi="仿宋" w:eastAsia="仿宋" w:cs="仿宋"/>
          <w:b/>
          <w:bCs/>
          <w:color w:val="auto"/>
          <w:sz w:val="24"/>
          <w:szCs w:val="24"/>
          <w:highlight w:val="none"/>
          <w:lang w:eastAsia="zh-CN" w:bidi="en-US"/>
        </w:rPr>
        <w:t>，</w:t>
      </w:r>
      <w:r>
        <w:rPr>
          <w:rFonts w:hint="eastAsia" w:ascii="仿宋" w:hAnsi="仿宋" w:eastAsia="仿宋" w:cs="仿宋"/>
          <w:b/>
          <w:bCs/>
          <w:color w:val="auto"/>
          <w:sz w:val="24"/>
          <w:szCs w:val="24"/>
          <w:highlight w:val="none"/>
          <w:lang w:bidi="en-US"/>
        </w:rPr>
        <w:t>多机协同机器人实验平台1套</w:t>
      </w:r>
      <w:r>
        <w:rPr>
          <w:rFonts w:hint="eastAsia" w:ascii="仿宋" w:hAnsi="仿宋" w:eastAsia="仿宋" w:cs="仿宋"/>
          <w:b/>
          <w:bCs/>
          <w:color w:val="auto"/>
          <w:sz w:val="24"/>
          <w:szCs w:val="24"/>
          <w:highlight w:val="none"/>
          <w:lang w:eastAsia="zh-CN" w:bidi="en-US"/>
        </w:rPr>
        <w:t>，</w:t>
      </w:r>
      <w:r>
        <w:rPr>
          <w:rFonts w:hint="eastAsia" w:ascii="仿宋" w:hAnsi="仿宋" w:eastAsia="仿宋" w:cs="仿宋"/>
          <w:b/>
          <w:bCs/>
          <w:color w:val="auto"/>
          <w:sz w:val="24"/>
          <w:szCs w:val="24"/>
          <w:highlight w:val="none"/>
          <w:lang w:bidi="en-US"/>
        </w:rPr>
        <w:t>双臂协作机器人实验平台1套</w:t>
      </w:r>
      <w:r>
        <w:rPr>
          <w:rFonts w:hint="eastAsia" w:ascii="仿宋" w:hAnsi="仿宋" w:eastAsia="仿宋" w:cs="仿宋"/>
          <w:b/>
          <w:bCs/>
          <w:color w:val="auto"/>
          <w:sz w:val="24"/>
          <w:szCs w:val="24"/>
          <w:highlight w:val="none"/>
          <w:lang w:eastAsia="zh-CN" w:bidi="en-US"/>
        </w:rPr>
        <w:t>，</w:t>
      </w:r>
      <w:r>
        <w:rPr>
          <w:rFonts w:hint="eastAsia" w:ascii="仿宋" w:hAnsi="仿宋" w:eastAsia="仿宋" w:cs="仿宋"/>
          <w:b/>
          <w:bCs/>
          <w:color w:val="auto"/>
          <w:sz w:val="24"/>
          <w:szCs w:val="24"/>
          <w:highlight w:val="none"/>
          <w:lang w:bidi="en-US"/>
        </w:rPr>
        <w:t>移动复合机器人实验平台1套</w:t>
      </w:r>
      <w:r>
        <w:rPr>
          <w:rFonts w:hint="eastAsia" w:ascii="仿宋" w:hAnsi="仿宋" w:eastAsia="仿宋" w:cs="仿宋"/>
          <w:b/>
          <w:bCs/>
          <w:color w:val="auto"/>
          <w:sz w:val="24"/>
          <w:szCs w:val="24"/>
          <w:highlight w:val="none"/>
          <w:lang w:eastAsia="zh-CN" w:bidi="en-US"/>
        </w:rPr>
        <w:t>。</w:t>
      </w:r>
    </w:p>
    <w:p w14:paraId="68E3274E">
      <w:pPr>
        <w:spacing w:line="360" w:lineRule="auto"/>
        <w:rPr>
          <w:rFonts w:hint="eastAsia" w:ascii="仿宋" w:hAnsi="仿宋" w:eastAsia="仿宋" w:cs="仿宋"/>
          <w:b/>
          <w:bCs/>
          <w:color w:val="auto"/>
          <w:sz w:val="24"/>
          <w:szCs w:val="24"/>
          <w:highlight w:val="none"/>
          <w:lang w:bidi="en-US"/>
        </w:rPr>
      </w:pPr>
    </w:p>
    <w:p w14:paraId="418672BF">
      <w:pPr>
        <w:spacing w:line="360" w:lineRule="auto"/>
        <w:rPr>
          <w:rFonts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开放式伺服电机控制实验平台10套</w:t>
      </w:r>
    </w:p>
    <w:p w14:paraId="435A4D47">
      <w:pPr>
        <w:spacing w:line="360" w:lineRule="auto"/>
        <w:rPr>
          <w:rFonts w:ascii="仿宋" w:hAnsi="仿宋" w:eastAsia="仿宋" w:cs="仿宋"/>
          <w:bCs/>
          <w:color w:val="auto"/>
          <w:sz w:val="24"/>
          <w:szCs w:val="24"/>
          <w:highlight w:val="none"/>
          <w:lang w:bidi="en-US"/>
        </w:rPr>
      </w:pPr>
      <w:bookmarkStart w:id="116" w:name="OLE_LINK29"/>
      <w:r>
        <w:rPr>
          <w:rFonts w:hint="eastAsia" w:ascii="仿宋" w:hAnsi="仿宋" w:eastAsia="仿宋" w:cs="仿宋"/>
          <w:bCs/>
          <w:color w:val="auto"/>
          <w:sz w:val="24"/>
          <w:szCs w:val="24"/>
          <w:highlight w:val="none"/>
          <w:lang w:bidi="en-US"/>
        </w:rPr>
        <w:t>一、系统指标：</w:t>
      </w:r>
    </w:p>
    <w:p w14:paraId="77823B7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★1、实验系统利用基于模型设计（MBD）方法来完成的试验验证，实验系统包括上位机、控制箱及开发套件、电机、磁粉制动器以及直流稳压电源。</w:t>
      </w:r>
    </w:p>
    <w:p w14:paraId="5A0FFD9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2、实验系统对象电机包括永磁同步电机、直流无刷电机和有刷电机。</w:t>
      </w:r>
    </w:p>
    <w:p w14:paraId="48A7263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3、实验系统硬件原理图全部开源；软件包提供开源的电机驱动控制程序。</w:t>
      </w:r>
    </w:p>
    <w:p w14:paraId="7F1219D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通过高速串口和RTDX，实时的在PC端的上位机与DSP芯片中交换控制过程数据，形成了一个实时且直观的调试工具；电路具有各种信号接口，便用万用表和示波器观测；支持PWM和SVPWM、恒压频比调速等电机驱动控制算法；支持PID传统算法和其他先进控制算法对电机的电流或速度控制。</w:t>
      </w:r>
    </w:p>
    <w:p w14:paraId="050B7A3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5、可通过上位机在线观测、记录、修改参数；可以施加可变负载，针对算法对电机负载控制效果来研究。</w:t>
      </w:r>
    </w:p>
    <w:p w14:paraId="548C585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6、自动代码生成模型包*1套：支持将可视化建模环境下搭建的电机控制模型直接生成代码，并进行电机控制，可进行参数修改、数据监视、参数记录等。支持动态加载、支持扭矩采集；</w:t>
      </w:r>
    </w:p>
    <w:p w14:paraId="2F9682B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7、电机控制-DSP代码控制电机软件包*1套：支持FOC、V/F、SPWM等控制算法；支持同步电机、异步电机、直流无刷电机、直流有刷电机的控制。支持动态加载、支持扭矩采集；支持</w:t>
      </w:r>
      <w:bookmarkStart w:id="117" w:name="OLE_LINK28"/>
      <w:r>
        <w:rPr>
          <w:rFonts w:hint="eastAsia" w:ascii="仿宋" w:hAnsi="仿宋" w:eastAsia="仿宋" w:cs="仿宋"/>
          <w:bCs/>
          <w:color w:val="auto"/>
          <w:sz w:val="24"/>
          <w:szCs w:val="24"/>
          <w:highlight w:val="none"/>
          <w:lang w:bidi="en-US"/>
        </w:rPr>
        <w:t>EtherCAT总线</w:t>
      </w:r>
      <w:bookmarkEnd w:id="117"/>
      <w:r>
        <w:rPr>
          <w:rFonts w:hint="eastAsia" w:ascii="仿宋" w:hAnsi="仿宋" w:eastAsia="仿宋" w:cs="仿宋"/>
          <w:bCs/>
          <w:color w:val="auto"/>
          <w:sz w:val="24"/>
          <w:szCs w:val="24"/>
          <w:highlight w:val="none"/>
          <w:lang w:bidi="en-US"/>
        </w:rPr>
        <w:t>实验；</w:t>
      </w:r>
    </w:p>
    <w:bookmarkEnd w:id="116"/>
    <w:p w14:paraId="788440E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二、硬件指标：</w:t>
      </w:r>
    </w:p>
    <w:p w14:paraId="57C7628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1、电机驱动控制综合实验平台由实验控制箱和电机加载平台分体式组成。编码器线数大于2500PPR；测量单元测量电机正反转扭矩信号。</w:t>
      </w:r>
    </w:p>
    <w:p w14:paraId="3A2033A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控制器包含24V转5V电源电路、5V转3.3V和1.9V电源电路；设有一片24C16存储芯片，一路JTAG调试接口；不小于2路增量式编码器接口电路、不小于2路霍尔接口电路；不小于2路RS485编码器接口电路，2路SSI编码器接口，1路继电器输出电路，2路模拟输入电路。</w:t>
      </w:r>
    </w:p>
    <w:p w14:paraId="4C6BB77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w:t>
      </w:r>
      <w:bookmarkStart w:id="118" w:name="OLE_LINK31"/>
      <w:r>
        <w:rPr>
          <w:rFonts w:hint="eastAsia" w:ascii="仿宋" w:hAnsi="仿宋" w:eastAsia="仿宋" w:cs="仿宋"/>
          <w:bCs/>
          <w:color w:val="auto"/>
          <w:sz w:val="24"/>
          <w:szCs w:val="24"/>
          <w:highlight w:val="none"/>
          <w:lang w:bidi="en-US"/>
        </w:rPr>
        <w:t>、DSP控制板1块，双核处理器，主频≥200MHz；</w:t>
      </w:r>
      <w:bookmarkStart w:id="119" w:name="OLE_LINK30"/>
      <w:r>
        <w:rPr>
          <w:rFonts w:hint="eastAsia" w:ascii="仿宋" w:hAnsi="仿宋" w:eastAsia="仿宋" w:cs="仿宋"/>
          <w:bCs/>
          <w:color w:val="auto"/>
          <w:sz w:val="24"/>
          <w:szCs w:val="24"/>
          <w:highlight w:val="none"/>
          <w:lang w:bidi="en-US"/>
        </w:rPr>
        <w:t>2*CLAS</w:t>
      </w:r>
      <w:bookmarkEnd w:id="119"/>
      <w:r>
        <w:rPr>
          <w:rFonts w:hint="eastAsia" w:ascii="仿宋" w:hAnsi="仿宋" w:eastAsia="仿宋" w:cs="仿宋"/>
          <w:bCs/>
          <w:color w:val="auto"/>
          <w:sz w:val="24"/>
          <w:szCs w:val="24"/>
          <w:highlight w:val="none"/>
          <w:lang w:bidi="en-US"/>
        </w:rPr>
        <w:t>：主频不低于200M；支持24路PWM输出，工作频率不低于100MHz；</w:t>
      </w:r>
      <w:bookmarkEnd w:id="118"/>
      <w:r>
        <w:rPr>
          <w:rFonts w:hint="eastAsia" w:ascii="仿宋" w:hAnsi="仿宋" w:eastAsia="仿宋" w:cs="仿宋"/>
          <w:bCs/>
          <w:color w:val="auto"/>
          <w:sz w:val="24"/>
          <w:szCs w:val="24"/>
          <w:highlight w:val="none"/>
          <w:lang w:bidi="en-US"/>
        </w:rPr>
        <w:t>自带3通道DAC输出，+/-10V;2路：正交信号编码器采集；外扩ADC:8路 16bit，+/-10V；外扩DAC：4路，12bit，DAC; RS485:1路；</w:t>
      </w:r>
    </w:p>
    <w:p w14:paraId="4FE6C17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4、DSP仿真器*1个：</w:t>
      </w:r>
      <w:r>
        <w:rPr>
          <w:rFonts w:hint="eastAsia" w:ascii="仿宋" w:hAnsi="仿宋" w:eastAsia="仿宋" w:cs="仿宋"/>
          <w:color w:val="auto"/>
          <w:sz w:val="24"/>
          <w:szCs w:val="24"/>
          <w:highlight w:val="none"/>
          <w:shd w:val="clear" w:color="auto" w:fill="FFFFFF"/>
        </w:rPr>
        <w:t>与所选DSP/MCU配套的官方或第三方仿真器，DSP仿真编程器 ESD静电保护，闪速稳定，原厂方案;</w:t>
      </w:r>
    </w:p>
    <w:p w14:paraId="2E95152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5、一拖二功率放大模块1个，电压输入范围5V-48V；15A板载三相外部电流放大器；板载三相反电动势采样电路与电源采样电路； </w:t>
      </w:r>
    </w:p>
    <w:p w14:paraId="691E333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6、simulink数字仿真模型包1套：支持交流伺服电机、直流无刷电机、直流有刷电机、异步电机的数字仿真模式，电机参数与真实电机类似。支持FOC、V/F、SPWM控制模型；</w:t>
      </w:r>
    </w:p>
    <w:p w14:paraId="05E2A8E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7、不小于2路EtherCAT接口，具备过流报警关断电路。</w:t>
      </w:r>
    </w:p>
    <w:p w14:paraId="0FBD532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8、支持控制两路电机。由12个MOS管以及6个MOS驱动芯片（支持母线48V）组成的两路三相桥电路、4个霍尔电流采样芯片，母线电压检测电路，制动电阻接口。</w:t>
      </w:r>
    </w:p>
    <w:p w14:paraId="037D692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9、交流伺服电机，额定电压48V额定功率不小于750W额定转速2500RPM增量式编码器2500PPR；直流有刷电机，额定电压48V额定功率不小于700W额定转速2500RPM；直流无刷电机，额定电压48V额定功率不小于750W额定转速3000RPM。</w:t>
      </w:r>
    </w:p>
    <w:p w14:paraId="5BDE95D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10、扭矩传感器，量程0-5Nm灵敏度不小于1-2.0 mV/V零点输出±1% F.S.安全过载120% F.S。</w:t>
      </w:r>
    </w:p>
    <w:p w14:paraId="42DC87D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三、实验环境要求：</w:t>
      </w:r>
    </w:p>
    <w:p w14:paraId="684C380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1、DSP基础实验包括：LED实验，蜂鸣器实验按键输入实验，SCI串口通信实验，ePWM输出实验，码器数据采集实验，扭矩传感器数据采集实验。</w:t>
      </w:r>
    </w:p>
    <w:p w14:paraId="535DD61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2、电机学基础实验包括：他励（并励）直流电动机工作特性实验,他励直流发电机的工作特性实验.并励直流发电机的自励过程实验。</w:t>
      </w:r>
    </w:p>
    <w:p w14:paraId="1192DAF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3、PID控制实验内容包括：速度环的PID控制实验,位置环的PID控制实验</w:t>
      </w:r>
    </w:p>
    <w:p w14:paraId="0890D0B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4、电机学高级实验包括：BLDC电机的HALL换相实验,BLDC电机的编码器换相实验PMSM基于矢量控制的位置伺服控制实验,PMSM直接转矩控制实验,</w:t>
      </w:r>
    </w:p>
    <w:p w14:paraId="7B27466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5、电力拖动实验包括：转矩特性模拟实验，恒转矩负载拖动实验，</w:t>
      </w:r>
    </w:p>
    <w:p w14:paraId="0B1CC8C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6、双电机对拖实验包括：恒功率负载拖动实验,水泵、风机类负载拖动实验,势能负载拖动实验,电机的四象限运行实验。</w:t>
      </w:r>
    </w:p>
    <w:p w14:paraId="1D73981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7、支持迭代学习、输入整形、模型预测等先进控制算法</w:t>
      </w:r>
    </w:p>
    <w:p w14:paraId="7EB0616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四、技术培训</w:t>
      </w:r>
    </w:p>
    <w:p w14:paraId="29EEB82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对用户的相关技术人员进行现场培训，培训时间不少于2天。培训内容包括设备的参数的设置、操作、维护保养、应急处理、简单故障排除、终端技术等，以确保用户能够对货物有足够的了解和熟悉，能够独立进行日常的维护、保养和管理。</w:t>
      </w:r>
    </w:p>
    <w:p w14:paraId="6AB96DA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五、其它要求：</w:t>
      </w:r>
    </w:p>
    <w:p w14:paraId="4692B94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1、提供设备配套实验资源材料</w:t>
      </w:r>
    </w:p>
    <w:p w14:paraId="1BC22D80">
      <w:pPr>
        <w:spacing w:line="360" w:lineRule="auto"/>
        <w:rPr>
          <w:rFonts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开放式机器人原理实验平台1台</w:t>
      </w:r>
    </w:p>
    <w:p w14:paraId="215C949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一、总体功能：</w:t>
      </w:r>
    </w:p>
    <w:p w14:paraId="505953A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1、平台能够向学生提供完整的机器人实验环境，包括机器人系统认识、DH建模、正逆运动学、关节空间规划、笛卡尔空间规划、雅克比矩阵、动力学辨识等实验课程。</w:t>
      </w:r>
    </w:p>
    <w:p w14:paraId="5D9F013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★2、平台所用机械臂可以开放底层控制，支持机械臂底层力矩、速度、位置控制，支持用户基于Simulink软件进行控制算法真机部署验证；</w:t>
      </w:r>
    </w:p>
    <w:p w14:paraId="44CA01C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3、需提供完善的二次开发环境，配置完整的机器人运动学、动力学、运动规划和力控制计算库，易于二次开发；</w:t>
      </w:r>
    </w:p>
    <w:p w14:paraId="2341C30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4、具有丰富的教学及科研资源。</w:t>
      </w:r>
    </w:p>
    <w:p w14:paraId="3240438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二、硬件性能参数：</w:t>
      </w:r>
    </w:p>
    <w:p w14:paraId="55B97FE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1、六轴工业机器人本体：</w:t>
      </w:r>
    </w:p>
    <w:p w14:paraId="7B4A3CE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1）自由度：6</w:t>
      </w:r>
    </w:p>
    <w:p w14:paraId="44828D5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2）负载：≥4kg</w:t>
      </w:r>
    </w:p>
    <w:p w14:paraId="66DBADE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3）工作环境温度：0/+40°C</w:t>
      </w:r>
    </w:p>
    <w:p w14:paraId="0544E71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4）驱动方式：交流伺服驱动</w:t>
      </w:r>
    </w:p>
    <w:p w14:paraId="78CF775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5）防护等级：IP67</w:t>
      </w:r>
    </w:p>
    <w:p w14:paraId="1804AC9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6）噪声水平：&lt;70dB(A)</w:t>
      </w:r>
    </w:p>
    <w:p w14:paraId="43A277E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2、开放式机器人控制系统：</w:t>
      </w:r>
    </w:p>
    <w:p w14:paraId="2E344F1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1）整体要求：包括通信模块、运动控制模块和安全模块，实现多种构型机器人控制。可以快速搭建机器人研究或应用平台，支持机器人控制算法验证及机器人应用的快速开发。支持无线化的开发部署。</w:t>
      </w:r>
    </w:p>
    <w:p w14:paraId="6CA365E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2）功能特点：</w:t>
      </w:r>
    </w:p>
    <w:p w14:paraId="7177194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支持Matlab/Simulink下建立的动态系统数学模型应用于实时仿真、算法测试，便于全流程控制和局部算法验证。</w:t>
      </w:r>
    </w:p>
    <w:p w14:paraId="1414D85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支持控制算法的纯数字仿真和硬件在环仿真与机器人真机实时控制。支持simulink环境下的自动代码生成与部署、动态调参、参数回显等调试功能。</w:t>
      </w:r>
    </w:p>
    <w:p w14:paraId="00A0187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具有机器人基础运动库和高级动力学库、视觉库、人工智能算法库，集成多种总线通讯模块，支持快速搭建机器人教学和科研的算法开发环境。</w:t>
      </w:r>
    </w:p>
    <w:p w14:paraId="5A93722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3、技术参数：</w:t>
      </w:r>
    </w:p>
    <w:p w14:paraId="21138DA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机器人运动控制器与伺服驱动器通信方式：EtherCAT</w:t>
      </w:r>
    </w:p>
    <w:p w14:paraId="4F73EB1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机器人IO端口数：数字量16-in, 16-out</w:t>
      </w:r>
    </w:p>
    <w:p w14:paraId="62B08E9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与伺服间通信频率：1KHz</w:t>
      </w:r>
    </w:p>
    <w:p w14:paraId="2BE2644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通信接口类型：位置接口，速度接口，力接口</w:t>
      </w:r>
    </w:p>
    <w:p w14:paraId="65C7697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控制模式：位置，速度，力</w:t>
      </w:r>
    </w:p>
    <w:p w14:paraId="4EB04DD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开发方式：MATLAB, C/C++</w:t>
      </w:r>
    </w:p>
    <w:p w14:paraId="21CD8FE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实验工程及demo：提供完整实验工程及demo</w:t>
      </w:r>
    </w:p>
    <w:p w14:paraId="5011787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支持通信方式：EtherCAT，tcp/ip, udp</w:t>
      </w:r>
    </w:p>
    <w:p w14:paraId="6AC4D36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多机器人控制：支持两台及两台以上机器人同时协同控制；</w:t>
      </w:r>
    </w:p>
    <w:p w14:paraId="22291DA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三、软件部分核心参数： </w:t>
      </w:r>
    </w:p>
    <w:p w14:paraId="5FA5F64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1、机器人教学科研开发环境：</w:t>
      </w:r>
    </w:p>
    <w:p w14:paraId="6474579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支持Simlink环境下的虚拟机器人仿真与真机实时控制；</w:t>
      </w:r>
    </w:p>
    <w:p w14:paraId="295932B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2、机器人软件开发工具：</w:t>
      </w:r>
    </w:p>
    <w:p w14:paraId="4E8DBB1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在Simulink环境下，提供运动学、动力学；提供程序下载部署工具软件；</w:t>
      </w:r>
    </w:p>
    <w:p w14:paraId="5558469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3、机器人控制器运行时工具：</w:t>
      </w:r>
    </w:p>
    <w:p w14:paraId="3ED03C5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基于实时linux环境，支持各类机器人研发相关软件包的便利集成，如ROS相关软件包、OpenCV/Halcon等视觉软件包的移植；</w:t>
      </w:r>
    </w:p>
    <w:p w14:paraId="29CA3C9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四、平台开源性要求：</w:t>
      </w:r>
    </w:p>
    <w:p w14:paraId="55AF9F5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1、需提供机器人运动学、动力学、轨迹规划等开源代码；</w:t>
      </w:r>
    </w:p>
    <w:p w14:paraId="25893DE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需提供各层次c/c++二次开发接口，用户可以利用这些功能接口编写应用程序，也可以利用SDK进行二次开发使用，功能接口需包含数据类、驱动类、运动类、通信类、力控类、安全类、模型类、工艺类、示教类、传感类、工具类、外部类等；</w:t>
      </w:r>
    </w:p>
    <w:p w14:paraId="101E2CB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3、需提供基</w:t>
      </w:r>
      <w:r>
        <w:rPr>
          <w:rFonts w:hint="eastAsia" w:ascii="仿宋" w:hAnsi="仿宋" w:eastAsia="仿宋" w:cs="仿宋"/>
          <w:bCs/>
          <w:color w:val="auto"/>
          <w:sz w:val="24"/>
          <w:szCs w:val="24"/>
          <w:highlight w:val="none"/>
          <w:lang w:eastAsia="zh" w:bidi="en-US"/>
        </w:rPr>
        <w:t>于专业</w:t>
      </w:r>
      <w:r>
        <w:rPr>
          <w:rFonts w:hint="eastAsia" w:ascii="仿宋" w:hAnsi="仿宋" w:eastAsia="仿宋" w:cs="仿宋"/>
          <w:bCs/>
          <w:color w:val="auto"/>
          <w:sz w:val="24"/>
          <w:szCs w:val="24"/>
          <w:highlight w:val="none"/>
          <w:lang w:bidi="en-US"/>
        </w:rPr>
        <w:t>的功能库，包含机器人系统工具库、机器人接口库、机器人基础控制库、机器人VR显示库、传感器模块接口库、视觉功能库、人工智能功能库；</w:t>
      </w:r>
    </w:p>
    <w:p w14:paraId="3287362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五、配套资源：</w:t>
      </w:r>
    </w:p>
    <w:p w14:paraId="6C04A10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机器人教学课程实验指导书：课程内容需涵盖机器人系统认识、DH建模、正逆运动学、关节空间规划、笛卡尔空间规划、雅克比矩阵、动力学辨识、倒立摆实验指导书包括实验目的、实验设备、实验原理、实验步骤等内容。（投标时提供正规出版教材证明）</w:t>
      </w:r>
    </w:p>
    <w:p w14:paraId="363547B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实验程序：提供与机器人教学课程实验指导书相对应的实验程序。实验程序采用Matlab/Simulink，实验包括虚拟仿真和机器人在线控制。前者提供机器人仿真模型，进行算法开发与验证。后者支持代码快速生成与一键部署，可以在线控制工业机械臂进行课程实验。</w:t>
      </w:r>
    </w:p>
    <w:p w14:paraId="338BA684">
      <w:pPr>
        <w:spacing w:line="360" w:lineRule="auto"/>
        <w:rPr>
          <w:rFonts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Delta并联机器人实验平台1套</w:t>
      </w:r>
    </w:p>
    <w:p w14:paraId="6155767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一、总体要求：</w:t>
      </w:r>
    </w:p>
    <w:p w14:paraId="05CAD4E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由Delta机器人、机器人控制器、循环传送线、视觉跟踪模块、安装框架等组成。</w:t>
      </w:r>
    </w:p>
    <w:p w14:paraId="3776A60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二、硬件性能要求：</w:t>
      </w:r>
    </w:p>
    <w:p w14:paraId="79D8077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1、Delta机器人：高速并联机构，完全密封结构，适合高速搬运、装配的机器人，工作范围直径不小于260mm，高度差不小于100mm，最大负载不小于1Kg。</w:t>
      </w:r>
    </w:p>
    <w:p w14:paraId="7BB32D0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2、机器人控制器：紧通用型小型机器人多轴控制器， 至少支持至少两种以上主流工业现场总线或工业以太网协议，如EtherCAT、PROFINET、Modbus TCP/IP、DeviceNet等，支持传送带跟踪等高级功能；</w:t>
      </w:r>
    </w:p>
    <w:p w14:paraId="406405B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3、循环传送线：双皮带传送线，皮带最大线速度300mm/s，抓取端皮带宽度不小于150mm，安装编码器。</w:t>
      </w:r>
    </w:p>
    <w:p w14:paraId="6221315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4、2D工业相机有效像素≥130万，芯片尺寸1/1.8英寸，千兆网接口，配套镜头：C-Mount，焦距16mm，F1.4；</w:t>
      </w:r>
    </w:p>
    <w:p w14:paraId="30BB945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5、边缘计算器：</w:t>
      </w:r>
    </w:p>
    <w:p w14:paraId="67BA020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1）采用高性能</w:t>
      </w:r>
      <w:bookmarkStart w:id="120" w:name="OLE_LINK34"/>
      <w:r>
        <w:rPr>
          <w:rFonts w:hint="eastAsia" w:ascii="仿宋" w:hAnsi="仿宋" w:eastAsia="仿宋" w:cs="仿宋"/>
          <w:bCs/>
          <w:color w:val="auto"/>
          <w:sz w:val="24"/>
          <w:szCs w:val="24"/>
          <w:highlight w:val="none"/>
        </w:rPr>
        <w:t>I7</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12代及以上规格处理器，具备多线程处理能力，缓存容量不低于2</w:t>
      </w:r>
      <w:r>
        <w:rPr>
          <w:rFonts w:ascii="仿宋" w:hAnsi="仿宋" w:eastAsia="仿宋" w:cs="仿宋"/>
          <w:bCs/>
          <w:color w:val="auto"/>
          <w:sz w:val="24"/>
          <w:szCs w:val="24"/>
          <w:highlight w:val="none"/>
        </w:rPr>
        <w:t>0MB</w:t>
      </w:r>
      <w:r>
        <w:rPr>
          <w:rFonts w:hint="eastAsia" w:ascii="仿宋" w:hAnsi="仿宋" w:eastAsia="仿宋" w:cs="仿宋"/>
          <w:bCs/>
          <w:color w:val="auto"/>
          <w:sz w:val="24"/>
          <w:szCs w:val="24"/>
          <w:highlight w:val="none"/>
        </w:rPr>
        <w:t>，基准主频不低于2</w:t>
      </w:r>
      <w:r>
        <w:rPr>
          <w:rFonts w:ascii="仿宋" w:hAnsi="仿宋" w:eastAsia="仿宋" w:cs="仿宋"/>
          <w:bCs/>
          <w:color w:val="auto"/>
          <w:sz w:val="24"/>
          <w:szCs w:val="24"/>
          <w:highlight w:val="none"/>
        </w:rPr>
        <w:t>.5GHz</w:t>
      </w:r>
      <w:bookmarkEnd w:id="120"/>
      <w:r>
        <w:rPr>
          <w:rFonts w:hint="eastAsia" w:ascii="仿宋" w:hAnsi="仿宋" w:eastAsia="仿宋" w:cs="仿宋"/>
          <w:bCs/>
          <w:color w:val="auto"/>
          <w:sz w:val="24"/>
          <w:szCs w:val="24"/>
          <w:highlight w:val="none"/>
          <w:lang w:bidi="en-US"/>
        </w:rPr>
        <w:t>，内存不低于16G，硬盘不低于128G SSD硬盘，可同时支持两路USB3.0相机和四路PoE GigE相机同时采集。</w:t>
      </w:r>
    </w:p>
    <w:p w14:paraId="6B444EC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2）自带光耦隔离GPIO（8-IN、8-OUT）、两路RS232/485接口。</w:t>
      </w:r>
    </w:p>
    <w:p w14:paraId="12012E1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3）至少支持TCP/IP、EtherCAT网络协议，支持运动控制及分布式IO扩展。</w:t>
      </w:r>
    </w:p>
    <w:p w14:paraId="6BE31B8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4）支持四路光源控制，支持软件亮度调节和外触发。</w:t>
      </w:r>
    </w:p>
    <w:p w14:paraId="1E7DBB9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5）支持HDMI和DVI仪器显示终端，配套工业小尺寸键鼠。</w:t>
      </w:r>
    </w:p>
    <w:p w14:paraId="7946B2F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6）兼容多种协议，包括S7、Modbus、Profinet、HTTP、HTTPS、SFTP、SNTP、SNMP、IPSec、OPCUA、MQTT、 gRPC。</w:t>
      </w:r>
    </w:p>
    <w:p w14:paraId="7140A93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7）输入电源DC 24V，最大功率240W。</w:t>
      </w:r>
    </w:p>
    <w:p w14:paraId="5399B4F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8）支持HDMI仪器显示终端，配套仪器显示终端≥19寸，配套工业小尺寸键鼠。</w:t>
      </w:r>
    </w:p>
    <w:p w14:paraId="083CA4B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三、软件平台：</w:t>
      </w:r>
    </w:p>
    <w:p w14:paraId="0971257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软硬件控制处理一体化集成设计。在一个软件平台中实现统一标准化的设备控制、图像处理和数据统计应用方式。设备控制包括相机应用控制、PLC应用控制、运动控制卡应用控制、光源应用控制、机器人应用控制等。</w:t>
      </w:r>
    </w:p>
    <w:p w14:paraId="7D47543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2）提供图形化编程和代码编程两种编程模式：</w:t>
      </w:r>
    </w:p>
    <w:p w14:paraId="1DD6F33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a、图形化编程要求通俗易懂简单易用，采用拖拽式操作配置的方式实现参数的设置、数据的编辑、变最的引用和赋值、显示窗口布局显示、图像和ROI任意绑定显示、流程图定义任务流程。</w:t>
      </w:r>
    </w:p>
    <w:p w14:paraId="57F8970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b、流程图模块包括顺序执行模块、判断模块、分支模块、循环模块、并行模块、工具组模块、流程块模块和定时器模块。</w:t>
      </w:r>
    </w:p>
    <w:p w14:paraId="48B7A40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c、代码编程支持基于VB.net、C#多种语言的编程和开发。包括提供SDK底层算法开发包、算法工具开发模块、功能插件开发模块、硬件资源开发模块、用户界面开发模块等。</w:t>
      </w:r>
    </w:p>
    <w:p w14:paraId="443F92B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3）包含常用图像处理、运动控制和外部通讯工具，包括2D/3D标定、2D/3D定位、2D/3D测量、AOI检测、深度学习、传送带跟踪计数等多种高级算子，提供API，支持二次开发。</w:t>
      </w:r>
    </w:p>
    <w:p w14:paraId="7AB5C9F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4）支持多用户管理，并可为每个用户分配权限。同时支持权限精细化管理，可支持权限可单独分配置到每个配置、算法工具、工具变量，同个算法工具的不同输入输出变量可分配不同的使用权限。</w:t>
      </w:r>
    </w:p>
    <w:p w14:paraId="0CFFDC2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5）支持硬件狗授权，也支持网络远程实时在线授权，并进行使用权限分配。</w:t>
      </w:r>
    </w:p>
    <w:p w14:paraId="204EA15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6）提供专为制造业应用场景所设计的深度学习模块，该模块包含图像分割、目标识别、图像分类和字符识别等深度学习工具，适用于各种视觉应用场景。</w:t>
      </w:r>
    </w:p>
    <w:p w14:paraId="7016377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7）具有引导应用模块，支持以流程化的配置方式，软件支持单相机及多相机对位，支持XY、XYQ、XQ、YQ、UVW等多种平台类型。</w:t>
      </w:r>
    </w:p>
    <w:p w14:paraId="5FA4808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8）软件平台3D相机的处理软件工具支持多种不同类型3D相机（包含TOF、线激光、双目结构光、扫描振镜等），软件工具包含3D标定、3D定位、3D测量等，可实现三维测量和三维点云计算并配套相应的教学程序。</w:t>
      </w:r>
    </w:p>
    <w:p w14:paraId="5072613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四、其它要求</w:t>
      </w:r>
    </w:p>
    <w:p w14:paraId="326E28D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1、安装框架：方通焊接稳定吊装框架。</w:t>
      </w:r>
    </w:p>
    <w:p w14:paraId="63A49E8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2、提供吸盘或手爪、演示工件等。</w:t>
      </w:r>
    </w:p>
    <w:p w14:paraId="22E60D89">
      <w:pPr>
        <w:spacing w:line="360" w:lineRule="auto"/>
        <w:rPr>
          <w:rFonts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Scara四轴工业机器人平台实验平台1套</w:t>
      </w:r>
    </w:p>
    <w:p w14:paraId="4A8348A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一、硬件技术要求：</w:t>
      </w:r>
    </w:p>
    <w:p w14:paraId="1A77364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1、工业机器人本体：（1套）</w:t>
      </w:r>
    </w:p>
    <w:p w14:paraId="632E769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1）四自由度工业机器人，有效负载≥1公斤，运动半径≥0.4米，自重 ≤15kg，运动循环时间≤0.4s。集成信号源手腕设D-sub 15 pin x1。集成气源手腕设φ6 mm x 2，φ4 mm x 1。第1-3关节重复精度达到±0.01mm，第4关节重复定位精度±0.01°；</w:t>
      </w:r>
    </w:p>
    <w:p w14:paraId="6B566EE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2）控制器：需集成多种工业网络通信接口，支持与PLC、视觉系统等进行数据交互；</w:t>
      </w:r>
    </w:p>
    <w:p w14:paraId="001A4C5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3）示教器具有图形化彩色触摸屏，三维或六维操纵摇杆，紧急停机，热插拔，USB存储器支持；</w:t>
      </w:r>
    </w:p>
    <w:p w14:paraId="69A29A8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4）安全功能：紧急停止开关/低功耗模式/编码器数据端线检测/扭矩异常检测/位置偏差溢出监测/速度偏差溢出监测/内存异样检测/继电器熔接检测/AC 低电压检测/安全门紧急停止/动态制动/过载检测/电机速度异常检测/CPU异常检测/过热检测/风扇异常检测/过电压检测/温度异常检测；</w:t>
      </w:r>
    </w:p>
    <w:p w14:paraId="025CE88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2、视觉系统：（1套）</w:t>
      </w:r>
    </w:p>
    <w:p w14:paraId="60A7E83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1）2D视觉系统彩色工业相机有效像素≥500万，全帧帧率：≥14fps，数据接口：GigE，配套镜头：C-Mount，焦距12或16mm，500万像素；</w:t>
      </w:r>
    </w:p>
    <w:p w14:paraId="22FA437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2）视觉控制器模块，采用立式安装，方便接线，直接安装在型材台面之上。采用高性能i5多核处理器，不低于8G内存，不低于120G SSD硬盘，可同时支持两路USB3.0相机和四路PoE GigE相机同时采集。自带光耦隔离GPIO（8IN、8OUT）、两路RS232/485接口。支持TCP/IP、EtherCAT等网络协议，支持运动控制及分布式IO扩展。支持四路光源控制，可以外触发。全铝合金外壳设计，强度高，散热性能好，尺寸不大于210x90x195mm。支持HDMI和DVI仪器显示终端，配套仪器显示终端不小于21寸，配套工业小尺寸键鼠。输入电源DC 24V，最大功率不小于240W；</w:t>
      </w:r>
    </w:p>
    <w:p w14:paraId="4F772DB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3、边缘计算器：</w:t>
      </w:r>
    </w:p>
    <w:p w14:paraId="315002E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1）采用高性能</w:t>
      </w:r>
      <w:r>
        <w:rPr>
          <w:rFonts w:hint="eastAsia" w:ascii="仿宋" w:hAnsi="仿宋" w:eastAsia="仿宋" w:cs="仿宋"/>
          <w:bCs/>
          <w:color w:val="auto"/>
          <w:sz w:val="24"/>
          <w:szCs w:val="24"/>
          <w:highlight w:val="none"/>
        </w:rPr>
        <w:t>I7</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12代及以上规格处理器，具备多线程处理能力，缓存容量不低于2</w:t>
      </w:r>
      <w:r>
        <w:rPr>
          <w:rFonts w:ascii="仿宋" w:hAnsi="仿宋" w:eastAsia="仿宋" w:cs="仿宋"/>
          <w:bCs/>
          <w:color w:val="auto"/>
          <w:sz w:val="24"/>
          <w:szCs w:val="24"/>
          <w:highlight w:val="none"/>
        </w:rPr>
        <w:t>0MB</w:t>
      </w:r>
      <w:r>
        <w:rPr>
          <w:rFonts w:hint="eastAsia" w:ascii="仿宋" w:hAnsi="仿宋" w:eastAsia="仿宋" w:cs="仿宋"/>
          <w:bCs/>
          <w:color w:val="auto"/>
          <w:sz w:val="24"/>
          <w:szCs w:val="24"/>
          <w:highlight w:val="none"/>
        </w:rPr>
        <w:t>，基准主频不低于2</w:t>
      </w:r>
      <w:r>
        <w:rPr>
          <w:rFonts w:ascii="仿宋" w:hAnsi="仿宋" w:eastAsia="仿宋" w:cs="仿宋"/>
          <w:bCs/>
          <w:color w:val="auto"/>
          <w:sz w:val="24"/>
          <w:szCs w:val="24"/>
          <w:highlight w:val="none"/>
        </w:rPr>
        <w:t>.5GHz</w:t>
      </w:r>
      <w:r>
        <w:rPr>
          <w:rFonts w:hint="eastAsia" w:ascii="仿宋" w:hAnsi="仿宋" w:eastAsia="仿宋" w:cs="仿宋"/>
          <w:bCs/>
          <w:color w:val="auto"/>
          <w:sz w:val="24"/>
          <w:szCs w:val="24"/>
          <w:highlight w:val="none"/>
          <w:lang w:bidi="en-US"/>
        </w:rPr>
        <w:t>，内存不低于16G，硬盘不低于128G SSD硬盘，可同时支持两路USB3.0相机和四路PoE GigE相机同时采集。</w:t>
      </w:r>
    </w:p>
    <w:p w14:paraId="3480FF4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2）自带光耦隔离GPIO（8-IN、8-OUT）、两路RS232/485接口。</w:t>
      </w:r>
    </w:p>
    <w:p w14:paraId="63F7D09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3）至少支持TCP/IP、EtherCAT网络协议，支持运动控制及分布式IO扩展。</w:t>
      </w:r>
    </w:p>
    <w:p w14:paraId="16B4545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4）支持四路光源控制，支持软件亮度调节和外触发。</w:t>
      </w:r>
    </w:p>
    <w:p w14:paraId="0E02E10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5）支持HDMI和DVI仪器显示终端，配套工业小尺寸键鼠。</w:t>
      </w:r>
    </w:p>
    <w:p w14:paraId="57F5E91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6）兼容多种协议，包括S7、Modbus、Profinet、HTTP、HTTPS、SFTP、SNTP、SNMP、IPSec、OPCUA、MQTT、 gRPC。</w:t>
      </w:r>
    </w:p>
    <w:p w14:paraId="4AC9429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7）输入电源DC 24V，最大功率240W。</w:t>
      </w:r>
    </w:p>
    <w:p w14:paraId="221E05F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8）支持HDMI仪器显示终端，配套仪器显示终端≥19寸，配套工业小尺寸键鼠。</w:t>
      </w:r>
    </w:p>
    <w:p w14:paraId="13F3826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二、软件平台：</w:t>
      </w:r>
    </w:p>
    <w:p w14:paraId="1F5B186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软硬件控制处理一体化集成设计。在一个软件平台中实现统一标准化的设备控制、图像处理和数据统计应用方式。设备控制包括相机应用控制、PLC应用控制、运动控制卡应用控制、光源应用控制、机器人应用控制等。</w:t>
      </w:r>
    </w:p>
    <w:p w14:paraId="7C16AE7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2）提供图形化编程和代码编程两种编程模式：</w:t>
      </w:r>
    </w:p>
    <w:p w14:paraId="1D03DC8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a、图形化编程要求通俗易懂简单易用，采用拖拽式操作配置的方式实现参数的设置、数据的编辑、变最的引用和赋值、显示窗口布局显示、图像和ROI任意绑定显示、流程图定义任务流程。</w:t>
      </w:r>
    </w:p>
    <w:p w14:paraId="072B687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b、流程图模块包括顺序执行模块、判断模块、分支模块、循环模块、并行模块、工具组模块、流程块模块和定时器模块。</w:t>
      </w:r>
    </w:p>
    <w:p w14:paraId="3012925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c、代码编程支持基于VB.net、C#多种语言的编程和开发。包括提供SDK底层算法开发包、算法工具开发模块、功能插件开发模块、硬件资源开发模块、用户界面开发模块等。</w:t>
      </w:r>
    </w:p>
    <w:p w14:paraId="6B76872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3）包含常用图像处理、运动控制和外部通讯工具，包括2D/3D标定、2D/3D定位、2D/3D测量、AOI检测、深度学习、传送带跟踪计数等多种高级算子，提供API，支持二次开发。</w:t>
      </w:r>
    </w:p>
    <w:p w14:paraId="2F50A18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4）支持多用户管理，并可为每个用户分配权限。同时支持权限精细化管理，可支持权限可单独分配置到每个配置、算法工具、工具变量，同个算法工具的不同输入输出变量可分配不同的使用权限。</w:t>
      </w:r>
    </w:p>
    <w:p w14:paraId="4AF7FEB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5）支持硬件狗授权，也支持网络远程实时在线授权，并进行使用权限分配。</w:t>
      </w:r>
    </w:p>
    <w:p w14:paraId="7D0F425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6）提供专为制造业应用场景所设计的深度学习模块，该模块包含图像分割、目标识别、图像分类和字符识别等深度学习工具，适用于各种视觉应用场景。</w:t>
      </w:r>
    </w:p>
    <w:p w14:paraId="36A590D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7）具有引导应用模块，支持以流程化的配置方式，软件支持单相机及多相机对位，支持XY、XYQ、XQ、YQ、UVW等多种平台类型。</w:t>
      </w:r>
    </w:p>
    <w:p w14:paraId="07AFCA5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8）软件平台3D相机的处理软件工具支持多种不同类型3D相机（包含TOF、线激光、双目结构光、扫描振镜等），软件工具包含3D标定、3D定位、3D测量等，可实现三维测量和三维点云计算并配套相应的教学程序。</w:t>
      </w:r>
    </w:p>
    <w:p w14:paraId="34F43D1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三、其它要求</w:t>
      </w:r>
    </w:p>
    <w:p w14:paraId="755F894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1、采用铝合金框架结构，铝型材桌面，内部安装电气控制系统，上部分安装工作执行模块；提供平面布局、三维效果图，其中平面布局图要应明确设备尺寸、间距及设备名称；</w:t>
      </w:r>
    </w:p>
    <w:p w14:paraId="24CCB1C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2、提供实训平台全功能模块模拟设计三维仿真系统；</w:t>
      </w:r>
    </w:p>
    <w:p w14:paraId="788DF4F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3、工作台尺寸：不小于1000×800×800； </w:t>
      </w:r>
    </w:p>
    <w:p w14:paraId="5B7AC35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4、附件：静音气泵 1台；PLC通信电缆、气管等1套；设备使用说明书及实训指导书1套；</w:t>
      </w:r>
    </w:p>
    <w:p w14:paraId="573541F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5、“交钥匙工程”，所有的配件、工具、样品、耗材等必须提供足量，并包含运输、上楼、现场走线和安装调试在内，工作站须满足工业环境要求。</w:t>
      </w:r>
    </w:p>
    <w:p w14:paraId="70E2179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6、机器人工作站的控制系统具有多种通讯接口，能够与计算机通过以太网进行网络连接。</w:t>
      </w:r>
    </w:p>
    <w:p w14:paraId="21F21E10">
      <w:pPr>
        <w:spacing w:line="360" w:lineRule="auto"/>
        <w:rPr>
          <w:rFonts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工业机器人高阶实验平台1套</w:t>
      </w:r>
    </w:p>
    <w:p w14:paraId="7B537A3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一、总体要求</w:t>
      </w:r>
    </w:p>
    <w:p w14:paraId="10FC409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该平台一机多能，涵盖工业机器人、机电一体化技术、PLC编程、机器视觉等智能制造设备技术核心课程实训；机台设计以结构紧凑、功能模块化。方通焊接底座，提供牢固稳定地盘；铝型材桌面，提供多元且便捷的安装台面；型材外罩，提供全方位的操作空间，配置安全光栅提供安全保障，配置人机触摸屏、仪器显示终端、键鼠外设，布局合理操作便捷，配置监控摄像头实时监控记录实训环境；</w:t>
      </w:r>
    </w:p>
    <w:p w14:paraId="412D91E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实训平台平台上部为铝合金框架，用于支撑仪器显示终端、触摸屏和视觉硬件；下方采用方通焊接，表面喷塑，其中控制面板按钮包含启动、停止、复位、急停等。设备中间位置配有两个抽屉，分别用于放置键鼠和物料储物，下方机柜采用钣金复合亚克力结构。</w:t>
      </w:r>
    </w:p>
    <w:p w14:paraId="1A5736E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二、硬件要求:</w:t>
      </w:r>
    </w:p>
    <w:p w14:paraId="402E4D3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1、工业机器人单元</w:t>
      </w:r>
    </w:p>
    <w:p w14:paraId="5508C3D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(1)采用六轴工业机器人，工作空间不小于700mm，负载不小于7kg，重复定位精度不大于±0.02mm；</w:t>
      </w:r>
    </w:p>
    <w:p w14:paraId="4BB26ED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(2)IP67防护等级</w:t>
      </w:r>
    </w:p>
    <w:p w14:paraId="77FD8A8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(3)机械手末端配置六自由度力学传感器，提供力学感知；</w:t>
      </w:r>
    </w:p>
    <w:p w14:paraId="3400E7F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(4)机械手配置气动自动快换夹具，实现多工具自由切换；</w:t>
      </w:r>
    </w:p>
    <w:p w14:paraId="1F39689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(5)配套工具快换系统，可实现机器手自动切换不同类型工具， 包含胶枪、夹爪、多类型吸盘、锁螺丝等快换工具；</w:t>
      </w:r>
    </w:p>
    <w:p w14:paraId="78F4FC3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(6)配套机器手标定工具等，可进行机器手维护与测量；</w:t>
      </w:r>
    </w:p>
    <w:p w14:paraId="7475F3F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2、检测单元</w:t>
      </w:r>
    </w:p>
    <w:p w14:paraId="137B3EC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(1)检测单元内含4个功能相同的检测工位，可与工业机器人配合完成PCB异形芯片的检测功能，4个工位的安装由铝合金结构件搭建</w:t>
      </w:r>
    </w:p>
    <w:p w14:paraId="6608AA5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(2)装配检测工位整体尺寸为不小于40mm×240mm×200mm，结构为铝合金材质，分为底板、安装平台和检测支架</w:t>
      </w:r>
    </w:p>
    <w:p w14:paraId="64B44DE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样品载板安装与顶升气缸上，顶升气缸安装与水平伸缩气缸，顶升气缸采用导杆薄型气缸，缸径行程不小于32mm，行程不小于20mm，水平伸缩气缸采用导杆无杆气缸，缸径不小于15mm，行程不小于100mm，配置排气节流阀可调节气缸运行速度，配置位置感应开关，可监测样品位置状态；</w:t>
      </w:r>
    </w:p>
    <w:p w14:paraId="63476EB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(4)安装有红、绿两色指示灯，用于显示检测结果。</w:t>
      </w:r>
    </w:p>
    <w:p w14:paraId="373AF15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3、涂胶单元</w:t>
      </w:r>
    </w:p>
    <w:p w14:paraId="7D26238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(1)由涂胶轨迹图、实验载板、透明防护板、单元安装底板、暂存载板、拉手、定位导套组成；</w:t>
      </w:r>
    </w:p>
    <w:p w14:paraId="76E45A5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(2)涂胶轨迹图包含平面内的直线、圆形、复杂曲线等轨迹，也可以方便更换3D曲面板；</w:t>
      </w:r>
    </w:p>
    <w:p w14:paraId="7FE83F5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(3)实验载板上的涂胶轨迹由A4纸打印，可方便更换，并覆盖透明防护板，轨迹直接绘在透明防护板上，可方便擦除。</w:t>
      </w:r>
    </w:p>
    <w:p w14:paraId="132864B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(4)暂存单元至于涂胶单元上，由锥形导套定位，无需组装可自由取放并能保证较高的重复定位精度</w:t>
      </w:r>
    </w:p>
    <w:p w14:paraId="29C8D8D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4、回收单元</w:t>
      </w:r>
    </w:p>
    <w:p w14:paraId="772DBE7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(1)整体有铝合金结构件组装而成；</w:t>
      </w:r>
    </w:p>
    <w:p w14:paraId="046BB05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(2)整体尺寸不小于100*80*90mm；</w:t>
      </w:r>
    </w:p>
    <w:p w14:paraId="1A36AFA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(3)样品容量不小于8pcs</w:t>
      </w:r>
    </w:p>
    <w:p w14:paraId="236928C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5、仓储单元</w:t>
      </w:r>
    </w:p>
    <w:p w14:paraId="1B1CA04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(1)仓储单元由铝合金材料料库和光电传感器组成，不少于4个料位，并方便机器人搬运出入库；</w:t>
      </w:r>
    </w:p>
    <w:p w14:paraId="672584C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(2)每个库位具有光电传感器，可进行工件有无检测</w:t>
      </w:r>
    </w:p>
    <w:p w14:paraId="4D9167D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6、加工单元</w:t>
      </w:r>
    </w:p>
    <w:p w14:paraId="09A5E92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(1)配置低压直流减速电机，安全无噪音；</w:t>
      </w:r>
    </w:p>
    <w:p w14:paraId="00A60BE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(2)加工单元由直流减速电机配套更换打磨头组成，可以对零件表面进行打磨或去毛刺，打磨头转速200-300r/min；</w:t>
      </w:r>
    </w:p>
    <w:p w14:paraId="3DE433A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(3)打磨头高度可调节。</w:t>
      </w:r>
    </w:p>
    <w:p w14:paraId="1702AF2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7、分料单元</w:t>
      </w:r>
    </w:p>
    <w:p w14:paraId="19E0F95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(1)导杆气缸往复运动实现样品自动分料；</w:t>
      </w:r>
    </w:p>
    <w:p w14:paraId="7788556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(2)样品容量不小于8件</w:t>
      </w:r>
    </w:p>
    <w:p w14:paraId="549C880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8、传送带单元</w:t>
      </w:r>
    </w:p>
    <w:p w14:paraId="6A59497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(1)送带模块采用模块化设计，方便固定于实训台面上，长度不小于500mm，宽度不小于100mm，步进电机驱动，并安装每转不小于2000分辨率的编码器； </w:t>
      </w:r>
    </w:p>
    <w:p w14:paraId="2F7730E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(2)皮带采用白色PVC材料，皮带上安对射传感器用于触发视觉检测；</w:t>
      </w:r>
    </w:p>
    <w:p w14:paraId="69DFE24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(3)模块的所有电气走线美观，采用快接连接器，能够快速安装。</w:t>
      </w:r>
    </w:p>
    <w:p w14:paraId="20D505C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9、装配单元</w:t>
      </w:r>
    </w:p>
    <w:p w14:paraId="5D9F63E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(1)含定位气缸、定位夹具自由端、定位夹具固定端以及单元安装底板；</w:t>
      </w:r>
    </w:p>
    <w:p w14:paraId="266E05D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(2)可实现零件位置、角度矫正功能以及零件固定；</w:t>
      </w:r>
    </w:p>
    <w:p w14:paraId="451686A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(3)定位气缸行程不小于20mm，执行速度可调节。</w:t>
      </w:r>
    </w:p>
    <w:p w14:paraId="1D31DC6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10、供料单元</w:t>
      </w:r>
    </w:p>
    <w:p w14:paraId="39BEE59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(1)供料单元由多类型供料板和支撑件组成；</w:t>
      </w:r>
    </w:p>
    <w:p w14:paraId="7D377AB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(2)供料种类不小于8类，每类的数量不少于2个。</w:t>
      </w:r>
    </w:p>
    <w:p w14:paraId="65ED952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11、码垛单元</w:t>
      </w:r>
    </w:p>
    <w:p w14:paraId="2EBD82F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(1)含码垛样品料栈、样品分料气缸、码垛台、码垛物料等组成，可实现多种形式码垛功能，可调节气缸速度。</w:t>
      </w:r>
    </w:p>
    <w:p w14:paraId="30A374F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(2)码垛台由台面和支撑构成，台面为POM，尺寸不小于300mm×240mm×190mm，采用铝合金型材支撑，高度不小于160mm，可满足多种形式的码垛</w:t>
      </w:r>
    </w:p>
    <w:p w14:paraId="5D0D930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(3)包含模拟物料，材质POM，尺寸不小于60mm×30mm×15mm，数量6个，采用工形设计方便夹爪夹持，可实现在两个码垛台间的搬运、码垛实训。</w:t>
      </w:r>
    </w:p>
    <w:p w14:paraId="612DE52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(4)行星齿轮包括三个行星轮，一个太阳轮；</w:t>
      </w:r>
    </w:p>
    <w:p w14:paraId="531A92F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(5)每个齿轮具有单独的定位位置；</w:t>
      </w:r>
    </w:p>
    <w:p w14:paraId="67FC333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(6)齿轮材质为不锈钢材质；</w:t>
      </w:r>
    </w:p>
    <w:p w14:paraId="4D8AAFD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(7)所有齿轮齿形为渐开线齿形，便于生产制造。</w:t>
      </w:r>
    </w:p>
    <w:p w14:paraId="272A377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12、柔性振动盘单元</w:t>
      </w:r>
    </w:p>
    <w:p w14:paraId="0356BDF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(1)柔性振动盘单元含抖动盘料斗、背光源、单元安装底板，可实现零件分散、集中和翻转等功能。</w:t>
      </w:r>
    </w:p>
    <w:p w14:paraId="5FEC197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(2)外形尺寸不大于250mm(长)×160mm(宽)×108mm(高)，料斗区域不小于150mm(长)×120mm(宽)×25mm（深）；</w:t>
      </w:r>
    </w:p>
    <w:p w14:paraId="7EE95F1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(3)最大载重：≥800g；</w:t>
      </w:r>
    </w:p>
    <w:p w14:paraId="22A307C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(4)最大功率：≤240W； </w:t>
      </w:r>
    </w:p>
    <w:p w14:paraId="574F230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(5)LED光源颜色：白色；</w:t>
      </w:r>
    </w:p>
    <w:p w14:paraId="3AB98E3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(6)通讯模式：ModbusRTU、ModbusTCP或IO；</w:t>
      </w:r>
    </w:p>
    <w:p w14:paraId="1F9BBF7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(7)IO数量：3路 光源，动作，送料。</w:t>
      </w:r>
    </w:p>
    <w:p w14:paraId="61A9258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(8)螺丝供料机</w:t>
      </w:r>
    </w:p>
    <w:p w14:paraId="0C3D0A9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(9)螺钉规格：M3-8圆柱头内六角螺钉；</w:t>
      </w:r>
    </w:p>
    <w:p w14:paraId="4B87040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(10)供料速度每分钟不少于20颗</w:t>
      </w:r>
    </w:p>
    <w:p w14:paraId="792F7E4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(11)末端工具快换单元（工具端快换不少于6个）</w:t>
      </w:r>
    </w:p>
    <w:p w14:paraId="38D522A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(12)结合方式：气动式（自锁）；</w:t>
      </w:r>
    </w:p>
    <w:p w14:paraId="23749D6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(13)配套快换电接点：≥9路；</w:t>
      </w:r>
    </w:p>
    <w:p w14:paraId="3379594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(14)配套快换气路接点：≥2路；</w:t>
      </w:r>
    </w:p>
    <w:p w14:paraId="402A826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(15)可搬运重量：≥5kg；</w:t>
      </w:r>
    </w:p>
    <w:p w14:paraId="4B58B71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13、提供以上每个夹具配套夹具详细设计图。</w:t>
      </w:r>
    </w:p>
    <w:p w14:paraId="2EAD5CC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二、控制系统组成及技术参数</w:t>
      </w:r>
    </w:p>
    <w:p w14:paraId="7021DB8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1、电控单元</w:t>
      </w:r>
    </w:p>
    <w:p w14:paraId="47E4753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电控模块包含所有实训所需的空开、电源、PLC、触摸屏、驱动器、电磁阀等，所有的电气组件放置在下方的电控柜，同时需要接线的输入输出和气阀控制点均布置在桌面上，并带接错保护。</w:t>
      </w:r>
    </w:p>
    <w:p w14:paraId="54D315D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PLC工作存储器100KB，装载存储器4MB，保持性存储器10KB；本体集成I/O：数字量14点输入/10点输出，模拟量2路输入；位存储器：8192个字节，信号模块扩展：8个；最大本地I/O-数字量：284；最大本地I/O模拟量67；高速计数器：6个高速计数器（3 个高达 100 kHz；3 个高达 30 kHz）；高速脉冲输出点数/最高频率：2点/100KHz（DC/DC/DC型）；PIC支持PROFINET通信，自带1个以太网通信端口；实数数学运算执行速度：2.3us/指令；布尔运算执行速度：0.08us/指令；</w:t>
      </w:r>
    </w:p>
    <w:p w14:paraId="0228425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触摸屏不小于7英寸。TFT液晶显示LED背光，分辨率不低于1024*768像素，独立通讯，支持RS232、RS485、以太网等通讯方式，可实现多屏一机，支持U盘下载程序。</w:t>
      </w:r>
    </w:p>
    <w:p w14:paraId="0CF10C0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2、力控传感器</w:t>
      </w:r>
    </w:p>
    <w:p w14:paraId="22E7B0A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2测量范围：Fx、Fy、Fz：≥200N，Mx、My、Mz：≥8Nm；</w:t>
      </w:r>
    </w:p>
    <w:p w14:paraId="2FFAE1B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（2）重复精度误差：小于0.1%FS； </w:t>
      </w:r>
    </w:p>
    <w:p w14:paraId="56B53DF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（3）外圈直径：≤80mm；</w:t>
      </w:r>
    </w:p>
    <w:p w14:paraId="75E2074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（4）厚度：≤40mm；</w:t>
      </w:r>
    </w:p>
    <w:p w14:paraId="19467E5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（5）重量：≤300g；</w:t>
      </w:r>
    </w:p>
    <w:p w14:paraId="4480A40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（6）过载容量：≥300%</w:t>
      </w:r>
    </w:p>
    <w:p w14:paraId="0C220A6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（7）供电电压：9~24V；</w:t>
      </w:r>
    </w:p>
    <w:p w14:paraId="3A0EC07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（8）通讯接口：RS422、RS485、MODBUS、工业以太网、USB等。</w:t>
      </w:r>
    </w:p>
    <w:p w14:paraId="61D6865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（9）能够通过力控传感器完成每个功能模块或单元的位置精确补偿。</w:t>
      </w:r>
    </w:p>
    <w:p w14:paraId="3A5E9B7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3、RFID模块：</w:t>
      </w:r>
    </w:p>
    <w:p w14:paraId="6D549C9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(1)最大感应距离：≥8cm；</w:t>
      </w:r>
    </w:p>
    <w:p w14:paraId="7F8A8C4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(2)读卡频率：高频13.56M ；</w:t>
      </w:r>
    </w:p>
    <w:p w14:paraId="3A4C771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(3)供电方式：宽幅电压9-36V；</w:t>
      </w:r>
    </w:p>
    <w:p w14:paraId="4EE1CB7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(4)协议模式：MODBUS RTU；</w:t>
      </w:r>
    </w:p>
    <w:p w14:paraId="5AEAACF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(5)功耗：&lt;2W，电流&lt;0.08A；</w:t>
      </w:r>
    </w:p>
    <w:p w14:paraId="00A0908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(6)读卡速度：卡在感应区0.08S。</w:t>
      </w:r>
    </w:p>
    <w:p w14:paraId="1ECE893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4、边缘计算器：</w:t>
      </w:r>
    </w:p>
    <w:p w14:paraId="47EEEF7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1）采用高性能</w:t>
      </w:r>
      <w:r>
        <w:rPr>
          <w:rFonts w:hint="eastAsia" w:ascii="仿宋" w:hAnsi="仿宋" w:eastAsia="仿宋" w:cs="仿宋"/>
          <w:bCs/>
          <w:color w:val="auto"/>
          <w:sz w:val="24"/>
          <w:szCs w:val="24"/>
          <w:highlight w:val="none"/>
        </w:rPr>
        <w:t>I7</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12代及以上规格处理器，具备多线程处理能力，缓存容量不低于2</w:t>
      </w:r>
      <w:r>
        <w:rPr>
          <w:rFonts w:ascii="仿宋" w:hAnsi="仿宋" w:eastAsia="仿宋" w:cs="仿宋"/>
          <w:bCs/>
          <w:color w:val="auto"/>
          <w:sz w:val="24"/>
          <w:szCs w:val="24"/>
          <w:highlight w:val="none"/>
        </w:rPr>
        <w:t>0MB</w:t>
      </w:r>
      <w:r>
        <w:rPr>
          <w:rFonts w:hint="eastAsia" w:ascii="仿宋" w:hAnsi="仿宋" w:eastAsia="仿宋" w:cs="仿宋"/>
          <w:bCs/>
          <w:color w:val="auto"/>
          <w:sz w:val="24"/>
          <w:szCs w:val="24"/>
          <w:highlight w:val="none"/>
        </w:rPr>
        <w:t>，基准主频不低于2</w:t>
      </w:r>
      <w:r>
        <w:rPr>
          <w:rFonts w:ascii="仿宋" w:hAnsi="仿宋" w:eastAsia="仿宋" w:cs="仿宋"/>
          <w:bCs/>
          <w:color w:val="auto"/>
          <w:sz w:val="24"/>
          <w:szCs w:val="24"/>
          <w:highlight w:val="none"/>
        </w:rPr>
        <w:t>.5GHz</w:t>
      </w:r>
      <w:r>
        <w:rPr>
          <w:rFonts w:hint="eastAsia" w:ascii="仿宋" w:hAnsi="仿宋" w:eastAsia="仿宋" w:cs="仿宋"/>
          <w:bCs/>
          <w:color w:val="auto"/>
          <w:sz w:val="24"/>
          <w:szCs w:val="24"/>
          <w:highlight w:val="none"/>
          <w:lang w:bidi="en-US"/>
        </w:rPr>
        <w:t>，内存不低于16G，硬盘不低于128G SSD硬盘，可同时支持两路USB3.0相机和四路PoE GigE相机同时采集。</w:t>
      </w:r>
    </w:p>
    <w:p w14:paraId="57016DB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2）自带光耦隔离GPIO（8-IN、8-OUT）、两路RS232/485接口。</w:t>
      </w:r>
    </w:p>
    <w:p w14:paraId="2910D92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3）至少支持TCP/IP、EtherCAT网络协议，支持运动控制及分布式IO扩展。</w:t>
      </w:r>
    </w:p>
    <w:p w14:paraId="67AA6B0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4）支持四路光源控制，支持软件亮度调节和外触发。</w:t>
      </w:r>
    </w:p>
    <w:p w14:paraId="2FC5907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5）支持HDMI和DVI仪器显示终端，配套工业小尺寸键鼠。</w:t>
      </w:r>
    </w:p>
    <w:p w14:paraId="3DF6509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6）兼容多种协议，包括S7、Modbus、Profinet、HTTP、HTTPS、SFTP、SNTP、SNMP、IPSec、OPCUA、MQTT、 gRPC。</w:t>
      </w:r>
    </w:p>
    <w:p w14:paraId="380DF9B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7）输入电源DC 24V，最大功率240W。</w:t>
      </w:r>
    </w:p>
    <w:p w14:paraId="5BD3EA8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8）支持HDMI仪器显示终端，配套仪器显示终端≥19寸，配套工业小尺寸键鼠。</w:t>
      </w:r>
    </w:p>
    <w:p w14:paraId="7A6A56E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5、软件平台：</w:t>
      </w:r>
    </w:p>
    <w:p w14:paraId="32396BD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软硬件控制处理一体化集成设计。在一个软件平台中实现统一标准化的设备控制、图像处理和数据统计应用方式。设备控制包括相机应用控制、PLC应用控制、运动控制卡应用控制、光源应用控制、机器人应用控制等。</w:t>
      </w:r>
    </w:p>
    <w:p w14:paraId="5F29FFF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2）提供图形化编程和代码编程两种编程模式：</w:t>
      </w:r>
    </w:p>
    <w:p w14:paraId="58218E1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a、图形化编程要求通俗易懂简单易用，采用拖拽式操作配置的方式实现参数的设置、数据的编辑、变最的引用和赋值、显示窗口布局显示、图像和ROI任意绑定显示、流程图定义任务流程。</w:t>
      </w:r>
    </w:p>
    <w:p w14:paraId="2651484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b、流程图模块包括顺序执行模块、判断模块、分支模块、循环模块、并行模块、工具组模块、流程块模块和定时器模块。</w:t>
      </w:r>
    </w:p>
    <w:p w14:paraId="405FB34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c、代码编程支持基于VB.net、C#多种语言的编程和开发。包括提供SDK底层算法开发包、算法工具开发模块、功能插件开发模块、硬件资源开发模块、用户界面开发模块等。</w:t>
      </w:r>
    </w:p>
    <w:p w14:paraId="6748600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3）包含常用图像处理、运动控制和外部通讯工具，包括2D/3D标定、2D/3D定位、2D/3D测量、AOI检测、深度学习、传送带跟踪计数等多种高级算子，提供API，支持二次开发。</w:t>
      </w:r>
    </w:p>
    <w:p w14:paraId="458C55C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4）支持多用户管理，并可为每个用户分配权限。同时支持权限精细化管理，可支持权限可单独分配置到每个配置、算法工具、工具变量，同个算法工具的不同输入输出变量可分配不同的使用权限。</w:t>
      </w:r>
    </w:p>
    <w:p w14:paraId="637787A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5）支持硬件狗授权，也支持网络远程实时在线授权，并进行使用权限分配。</w:t>
      </w:r>
    </w:p>
    <w:p w14:paraId="2C0F757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6）提供专为制造业应用场景所设计的深度学习模块，该模块包含图像分割、目标识别、图像分类和字符识别等深度学习工具，适用于各种视觉应用场景。</w:t>
      </w:r>
    </w:p>
    <w:p w14:paraId="1AB1762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7）具有引导应用模块，支持以流程化的配置方式，软件支持单相机及多相机对位，支持XY、XYQ、XQ、YQ、UVW等多种平台类型。</w:t>
      </w:r>
    </w:p>
    <w:p w14:paraId="340FB81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8）软件平台3D相机的处理软件工具支持多种不同类型3D相机（包含TOF、线激光、双目结构光、扫描振镜等），软件工具包含3D标定、3D定位、3D测量等，可实现三维测量和三维点云计算并配套相应的教学程序。</w:t>
      </w:r>
    </w:p>
    <w:p w14:paraId="250032D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7、智能视觉模块-视觉器件</w:t>
      </w:r>
    </w:p>
    <w:p w14:paraId="0D6BC34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(1)配套160万像素彩色2D相机一台，分辨率不低于1440× 1080像素，采用全局快门CMOS芯片，芯片尺寸不小于1/3”,帧率不低于60fps，自带GPIO，支持GigE VISION协议和GenlCam标准，支持POE供电；</w:t>
      </w:r>
    </w:p>
    <w:p w14:paraId="296E3E5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(2)配套600万像素彩色2D相机一台，分辨率不低于3000×2000像素，采用滚动快门CMOS芯片，芯片尺寸不小于1/1.8”,帧率不低于15fps，自带GPIO，支持GigE VISION协议和GenlCam标准，支持POE供电；</w:t>
      </w:r>
    </w:p>
    <w:p w14:paraId="3D3AAC6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(3)提供600万像素定焦镜头2个，焦距8和25mm，光圈不小于F2.8，支持2/3英寸及以上相机成像芯片；</w:t>
      </w:r>
    </w:p>
    <w:p w14:paraId="40299BF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(4)配套环形漫射光源一个，外径不小于100mm，内径不小于70mm；</w:t>
      </w:r>
    </w:p>
    <w:p w14:paraId="13EBD2F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(5)配套多通道光源控制器一个。</w:t>
      </w:r>
    </w:p>
    <w:p w14:paraId="7586AD3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8、开放式机器人控制系统：</w:t>
      </w:r>
    </w:p>
    <w:p w14:paraId="354962E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(1)整体要求：包括通信模块、运动控制模块和安全模块，实现多种构型机器人控制。可以快速搭建机器人研究或应用平台，支持机器人控制算法验证及机器人应用的快速开发。支持无线化的开发部署。</w:t>
      </w:r>
    </w:p>
    <w:p w14:paraId="059C91A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(2)功能特点：</w:t>
      </w:r>
    </w:p>
    <w:p w14:paraId="7ABE263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支持Matlab/Simulink下建立的动态系统数学模型应用于实时仿真、算法测试，便于全流程控制和局部算法验证。</w:t>
      </w:r>
    </w:p>
    <w:p w14:paraId="435F104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支持控制算法的纯数字仿真和硬件在环仿真与机器人真机实时控制。支持simulink环境下的自动代码生成与部署、动态调参、参数回显等调试功能。</w:t>
      </w:r>
    </w:p>
    <w:p w14:paraId="213B7BE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具有机器人基础运动库和高级动力学库、视觉库，集成多种总线通讯模块，支持快速搭建机器人教学和科研的算法开发环境。</w:t>
      </w:r>
    </w:p>
    <w:p w14:paraId="50BFB47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（3）技术参数：</w:t>
      </w:r>
    </w:p>
    <w:p w14:paraId="3F1F193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机器人运动控制器与伺服驱动器通信方式：EtherCAT</w:t>
      </w:r>
    </w:p>
    <w:p w14:paraId="4286485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机器人IO端口数：数字量16-in, 16-out</w:t>
      </w:r>
    </w:p>
    <w:p w14:paraId="2EA0174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与伺服间通信频率：1KHz</w:t>
      </w:r>
    </w:p>
    <w:p w14:paraId="6930B17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通信接口类型：位置接口，速度接口，力接口</w:t>
      </w:r>
    </w:p>
    <w:p w14:paraId="2E3F9A1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控制模式：位置，速度，力</w:t>
      </w:r>
    </w:p>
    <w:p w14:paraId="1790323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开发方式：MATLAB, C/C++</w:t>
      </w:r>
    </w:p>
    <w:p w14:paraId="490DFA2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实验工程及demo：提供完整实验工程及demo</w:t>
      </w:r>
    </w:p>
    <w:p w14:paraId="6B8D15E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支持通信方式：EtherCAT，tcp/ip, udp</w:t>
      </w:r>
    </w:p>
    <w:p w14:paraId="54EA593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机器人控制支持：同时支持多种串联及并联机器人控制；</w:t>
      </w:r>
    </w:p>
    <w:p w14:paraId="1AFF2DB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多机器人控制：支持两台及两台以上机器人同时协同控制；</w:t>
      </w:r>
    </w:p>
    <w:p w14:paraId="7D7CF5B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（4）软件部分核心参数： </w:t>
      </w:r>
    </w:p>
    <w:p w14:paraId="0223FA2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▲1、机器人教学科研开发环境：（投标时提供功能截屏证明文件）</w:t>
      </w:r>
    </w:p>
    <w:p w14:paraId="174D0AA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支持Simlink环境下的虚拟机器人仿真与真机实时控制；</w:t>
      </w:r>
    </w:p>
    <w:p w14:paraId="18B8986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2、机器人软件开发工具：</w:t>
      </w:r>
    </w:p>
    <w:p w14:paraId="5B18381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在Simulink环境下，提供运动学、动力学；提供程序下载部署工具软件；</w:t>
      </w:r>
    </w:p>
    <w:p w14:paraId="2AA8FAF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3、机器人控制器运行时工具：</w:t>
      </w:r>
    </w:p>
    <w:p w14:paraId="295C811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基于实时linux环境，支持各类机器人研发相关软件包的便利集成，如ROS相关软件包、OpenCV/Halcon等视觉软件包移植；</w:t>
      </w:r>
    </w:p>
    <w:p w14:paraId="5CEF6DB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▲（5）开源性要求：（投标时提供功能截屏证明文件）</w:t>
      </w:r>
    </w:p>
    <w:p w14:paraId="7CD4280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1、需提供机器人运动学、动力学、轨迹规划等开源代码；</w:t>
      </w:r>
    </w:p>
    <w:p w14:paraId="4FD4667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需提供各层次c/c++二次开发接口，用户可以利用这些功能接口编写应用程序，也可以利用SDK进行二次开发使用，功能接口需包含数据类、驱动类、运动类、通信类、力控类、安全类、模型类、工艺类、示教类、传感类、工具类、外部类等；</w:t>
      </w:r>
    </w:p>
    <w:p w14:paraId="6702D46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3、需提供基于MATLAB/Simulink的功能库，包含机器人系统工具库、机器人接口库、机器人基础控制库、机器人VR显示库、传感器模块接口库、视觉功能库、人工智能功能库；</w:t>
      </w:r>
    </w:p>
    <w:p w14:paraId="53F9E3F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三、其它要求</w:t>
      </w:r>
    </w:p>
    <w:p w14:paraId="01B761A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1、外形尺寸:不大于1.5m*1.2m*1.8m；电压AC 220V；峰值功率≤1.6KW。平台底部安装有承重福马轮，带刹车制动，便于移动调整平台位置。</w:t>
      </w:r>
    </w:p>
    <w:p w14:paraId="4B45E17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2、配套样品</w:t>
      </w:r>
    </w:p>
    <w:p w14:paraId="22D5B2E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(1)电子产品PCB电路板由异形芯片零件、PCB电路板和盖板组成，PCB电路板和盖板由螺丝紧固；</w:t>
      </w:r>
    </w:p>
    <w:p w14:paraId="6BC4353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(2)异形芯片零件，包括不同形状和不同颜色的正方形、长方形，用以代表不同类型的芯片；</w:t>
      </w:r>
    </w:p>
    <w:p w14:paraId="4B5813F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(3)四种不同颜色的PCB板（含RFID芯片）共8套；</w:t>
      </w:r>
    </w:p>
    <w:p w14:paraId="23CAD22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(4)与PCB匹配的盖板，尺寸不小于80mm×100mm，厚10mm，四角提供沉头螺丝固定孔，数量8套；</w:t>
      </w:r>
    </w:p>
    <w:p w14:paraId="1D64267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3、工具配件</w:t>
      </w:r>
    </w:p>
    <w:p w14:paraId="2C7D791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提供实训平台安装调试所需工具一套和视觉标定板1套。</w:t>
      </w:r>
    </w:p>
    <w:p w14:paraId="6788146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4、课程资源</w:t>
      </w:r>
    </w:p>
    <w:p w14:paraId="748E277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（1）提供培训设备操作说明书，实训指导书和二次开发文档。</w:t>
      </w:r>
    </w:p>
    <w:p w14:paraId="0823123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（2）提供设备操作培训视频（不少于15个）。</w:t>
      </w:r>
    </w:p>
    <w:p w14:paraId="7695FED5">
      <w:pPr>
        <w:spacing w:line="360" w:lineRule="auto"/>
        <w:rPr>
          <w:rFonts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协作机器人高阶实验平台1套</w:t>
      </w:r>
    </w:p>
    <w:p w14:paraId="422A323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一、主要硬件技术参数</w:t>
      </w:r>
    </w:p>
    <w:p w14:paraId="3B0E257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1、协作机器人模块</w:t>
      </w:r>
    </w:p>
    <w:p w14:paraId="314A749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（1）轴数：6轴；</w:t>
      </w:r>
    </w:p>
    <w:p w14:paraId="0AE1CB8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（2）工作半径：≥980mm，负载：≥7kg，重复定位精度：优于±0.02mm；</w:t>
      </w:r>
    </w:p>
    <w:p w14:paraId="4FBD1A2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（3）重量（含电缆）：≤25KG；</w:t>
      </w:r>
    </w:p>
    <w:p w14:paraId="47E7017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（4）编程方式：示教器图形化编程；</w:t>
      </w:r>
    </w:p>
    <w:p w14:paraId="5ADE3A7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（5）工具速度：≥3.3m/s；</w:t>
      </w:r>
    </w:p>
    <w:p w14:paraId="35E8E77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（6）IP等级：IP54；</w:t>
      </w:r>
    </w:p>
    <w:p w14:paraId="3FE94E6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（7）工具IO端口：数字输入2 /数字输出2 /模拟输入1；</w:t>
      </w:r>
    </w:p>
    <w:p w14:paraId="20E6B6C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（8）材质：不锈钢；</w:t>
      </w:r>
    </w:p>
    <w:p w14:paraId="1E827F6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配备控制柜，使用多任务处理系统，支持EtherNet、Modbus等常用通讯协议；自带彩色大尺寸触摸屏，支持视觉系统，传送带跟踪等高级功能，提供C\C++\Python等语言的二次开发SDK，支持ROS，自带16路数字量输入和16路数字量输出，4路模拟量输入和4路模拟量输出。机器人具备碰撞检测功能，如发生非预期碰撞，会自动停止运行，保护操作人员及周围设备不受伤害。同时，可设置不同的碰撞检测等级，满足不同工况下的柔性化生产需求。具备拖动示教及轨迹学习功能，可通过拖动机械臂，记录轨迹来进行任务编程。机器人具备关节限制功能，可对每个关节空间的运动进行限制。具备缩减模式功能，在缩减模式下，机器人运行时的参数（TCP速度、关节速度等）限制在用户的设置值内。</w:t>
      </w:r>
    </w:p>
    <w:p w14:paraId="23FB685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2、视觉检测模块</w:t>
      </w:r>
    </w:p>
    <w:p w14:paraId="424EA36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模块设计，安装板采用蜂窝板结构，可方便安装各种2D和3D工业相机，也可安装同轴光、环形光、碗状无影光等多种常见光源。蜂窝板上下滑动采用按压弹簧和手拧螺丝固定，无需要工具可以方便调节高度，可微调范围不小于100mm。立柱上可以安装仪器显示终端支架，并方便锁定位置；</w:t>
      </w:r>
    </w:p>
    <w:p w14:paraId="2246160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（2）2D工业相机有效像素≥500万，芯片尺寸2/3英寸，千兆网接口，配套镜头：C-Mount，焦距16mm，F1.4，500万像素，配套背光源，发光面积不小于250x250mm，亮度可调；</w:t>
      </w:r>
    </w:p>
    <w:p w14:paraId="024380F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3D工业相机支持手臂安装，主要原理是基于编程结构光的双目视觉系统，能够进行物体双目3D重构、立体匹配、体积测量、缺陷比对等用途。采用两台高分辨率工业相机和结构光投射，从单一角度拍摄物体，通过摄像机标定及相同点的双目快速匹配，可快速获得物体单投影的3D数据。在辅助机器人对3D视觉系统进行多角度的3D数据获取，可以更加完善点云的数据，从而达到更佳的应用效果。推荐工作距离300 ~600m，最大视场≥420 × 320mm，分辨率：≥1280 × 1024，标定精度不低于0.1 mm @ 0.5 m，3D 采集时间≤1.1s，外形尺寸≤145×90×55mm，</w:t>
      </w:r>
    </w:p>
    <w:p w14:paraId="07C53A8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以太网通讯接口，完全图形化的界面，无需编写代码即可完成拆垛、无序工件上料、免注册货品抓取、涂胶/喷胶、精确定位、缺陷检测、尺寸测量等先进机器视觉应用。内置3D视觉、深度学习等前沿算法模块，可满足复杂、多样的实际需求。</w:t>
      </w:r>
    </w:p>
    <w:p w14:paraId="006211D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3、边缘计算器：</w:t>
      </w:r>
    </w:p>
    <w:p w14:paraId="503F411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1）采用高性能</w:t>
      </w:r>
      <w:bookmarkStart w:id="121" w:name="OLE_LINK36"/>
      <w:r>
        <w:rPr>
          <w:rFonts w:hint="eastAsia" w:ascii="仿宋" w:hAnsi="仿宋" w:eastAsia="仿宋" w:cs="仿宋"/>
          <w:bCs/>
          <w:color w:val="auto"/>
          <w:sz w:val="24"/>
          <w:szCs w:val="24"/>
          <w:highlight w:val="none"/>
        </w:rPr>
        <w:t>I7</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12代及以上规格处理器，具备多线程处理能力，缓存容量不低于2</w:t>
      </w:r>
      <w:r>
        <w:rPr>
          <w:rFonts w:ascii="仿宋" w:hAnsi="仿宋" w:eastAsia="仿宋" w:cs="仿宋"/>
          <w:bCs/>
          <w:color w:val="auto"/>
          <w:sz w:val="24"/>
          <w:szCs w:val="24"/>
          <w:highlight w:val="none"/>
        </w:rPr>
        <w:t>0MB</w:t>
      </w:r>
      <w:r>
        <w:rPr>
          <w:rFonts w:hint="eastAsia" w:ascii="仿宋" w:hAnsi="仿宋" w:eastAsia="仿宋" w:cs="仿宋"/>
          <w:bCs/>
          <w:color w:val="auto"/>
          <w:sz w:val="24"/>
          <w:szCs w:val="24"/>
          <w:highlight w:val="none"/>
        </w:rPr>
        <w:t>，基准主频不低于2</w:t>
      </w:r>
      <w:r>
        <w:rPr>
          <w:rFonts w:ascii="仿宋" w:hAnsi="仿宋" w:eastAsia="仿宋" w:cs="仿宋"/>
          <w:bCs/>
          <w:color w:val="auto"/>
          <w:sz w:val="24"/>
          <w:szCs w:val="24"/>
          <w:highlight w:val="none"/>
        </w:rPr>
        <w:t>.5GHz</w:t>
      </w:r>
      <w:bookmarkEnd w:id="121"/>
      <w:r>
        <w:rPr>
          <w:rFonts w:hint="eastAsia" w:ascii="仿宋" w:hAnsi="仿宋" w:eastAsia="仿宋" w:cs="仿宋"/>
          <w:bCs/>
          <w:color w:val="auto"/>
          <w:sz w:val="24"/>
          <w:szCs w:val="24"/>
          <w:highlight w:val="none"/>
          <w:lang w:bidi="en-US"/>
        </w:rPr>
        <w:t>，内存不低于16G，硬盘不低于128G SSD硬盘，可同时支持两路USB3.0相机和四路PoE GigE相机同时采集。</w:t>
      </w:r>
    </w:p>
    <w:p w14:paraId="13FEEB9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2）自带光耦隔离GPIO（8-IN、8-OUT）、两路RS232/485接口。</w:t>
      </w:r>
    </w:p>
    <w:p w14:paraId="71F209A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3）至少支持TCP/IP、EtherCAT网络协议，支持运动控制及分布式IO扩展。</w:t>
      </w:r>
    </w:p>
    <w:p w14:paraId="66C405F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4）支持四路光源控制，支持软件亮度调节和外触发。</w:t>
      </w:r>
    </w:p>
    <w:p w14:paraId="45BC218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5）支持HDMI和DVI仪器显示终端，配套工业小尺寸键鼠。</w:t>
      </w:r>
    </w:p>
    <w:p w14:paraId="5AA95A5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6）兼容多种协议，包括S7、Modbus、Profinet、HTTP、HTTPS、SFTP、SNTP、SNMP、IPSec、OPCUA、MQTT、 gRPC。</w:t>
      </w:r>
    </w:p>
    <w:p w14:paraId="6C539F7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7）输入电源DC 24V，最大功率240W。</w:t>
      </w:r>
    </w:p>
    <w:p w14:paraId="14AF729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8）支持HDMI仪器显示终端，配套仪器显示终端≥19寸，配套工业小尺寸键鼠。</w:t>
      </w:r>
    </w:p>
    <w:p w14:paraId="33C7D15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▲二、软件平台：</w:t>
      </w:r>
      <w:bookmarkStart w:id="122" w:name="OLE_LINK26"/>
      <w:r>
        <w:rPr>
          <w:rFonts w:hint="eastAsia" w:ascii="仿宋" w:hAnsi="仿宋" w:eastAsia="仿宋" w:cs="仿宋"/>
          <w:bCs/>
          <w:color w:val="auto"/>
          <w:sz w:val="24"/>
          <w:szCs w:val="24"/>
          <w:highlight w:val="none"/>
          <w:lang w:bidi="en-US"/>
        </w:rPr>
        <w:t>（投标时提供功能截屏证明文件）</w:t>
      </w:r>
      <w:bookmarkEnd w:id="122"/>
    </w:p>
    <w:p w14:paraId="590E9BD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软硬件控制处理一体化集成设计。在一个软件平台中实现统一标准化的设备控制、图像处理和数据统计应用方式。设备控制包括相机应用控制、PLC应用控制、运动控制卡应用控制、光源应用控制、机器人应用控制等。</w:t>
      </w:r>
    </w:p>
    <w:p w14:paraId="0BC63AF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2）提供图形化编程和代码编程两种编程模式：</w:t>
      </w:r>
    </w:p>
    <w:p w14:paraId="6BE7E69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a、图形化编程要求通俗易懂简单易用，采用拖拽式操作配置的方式实现参数的设置、数据的编辑、变最的引用和赋值、显示窗口布局显示、图像和ROI任意绑定显示、流程图定义任务流程。</w:t>
      </w:r>
    </w:p>
    <w:p w14:paraId="55FB476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b、流程图模块包括顺序执行模块、判断模块、分支模块、循环模块、并行模块、工具组模块、流程块模块和定时器模块。</w:t>
      </w:r>
    </w:p>
    <w:p w14:paraId="185802F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c、代码编程支持基于VB.net、C#多种语言的编程和开发。包括提供SDK底层算法开发包、算法工具开发模块、功能插件开发模块、硬件资源开发模块、用户界面开发模块等。</w:t>
      </w:r>
    </w:p>
    <w:p w14:paraId="701F366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3）包含常用图像处理、运动控制和外部通讯工具，包括2D/3D标定、2D/3D定位、2D/3D测量、AOI检测、深度学习、传送带跟踪计数等多种高级算子，提供API，支持二次开发。</w:t>
      </w:r>
    </w:p>
    <w:p w14:paraId="5A30DEC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4）支持多用户管理，并可为每个用户分配权限。同时支持权限精细化管理，可支持权限可单独分配置到每个配置、算法工具、工具变量，同个算法工具的不同输入输出变量可分配不同的使用权限。</w:t>
      </w:r>
    </w:p>
    <w:p w14:paraId="24F4D5F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5）支持硬件狗授权，也支持网络远程实时在线授权，并进行使用权限分配。</w:t>
      </w:r>
    </w:p>
    <w:p w14:paraId="66716C7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6）提供专为制造业应用场景所设计的深度学习模块，该模块包含图像分割、目标识别、图像分类和字符识别等深度学习工具，适用于各种视觉应用场景。</w:t>
      </w:r>
    </w:p>
    <w:p w14:paraId="29259F9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7）具有引导应用模块，支持以流程化的配置方式，软件支持单相机及多相机对位，支持XY、XYQ、XQ、YQ、UVW等多种平台类型。</w:t>
      </w:r>
    </w:p>
    <w:p w14:paraId="4F2C96D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8）软件平台3D相机的处理软件工具支持多种不同类型3D相机（包含TOF、线激光、双目结构光、扫描振镜等），软件工具包含3D标定、3D定位、3D测量等，可实现三维测量和三维点云计算并配套相应的教学程序。</w:t>
      </w:r>
    </w:p>
    <w:p w14:paraId="1DB88BB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三、电气实训模块技术参数</w:t>
      </w:r>
    </w:p>
    <w:p w14:paraId="6AE7392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1、PLC电气控制系统</w:t>
      </w:r>
    </w:p>
    <w:p w14:paraId="720A683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（1）用户存储器容量：100K/4MB；</w:t>
      </w:r>
    </w:p>
    <w:p w14:paraId="0211061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（2）数字量通道：14DI/10DO；</w:t>
      </w:r>
    </w:p>
    <w:p w14:paraId="1193FAC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（3）模拟量通道：2AI；</w:t>
      </w:r>
    </w:p>
    <w:p w14:paraId="2925E38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（4）AI(0-10v)  AO(0-20mA)；</w:t>
      </w:r>
    </w:p>
    <w:p w14:paraId="05DBA1E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（5）位存储器容量 ：8192byte；</w:t>
      </w:r>
    </w:p>
    <w:p w14:paraId="7FB9FEC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（6）布尔运算执行速度：0.08μs/指令；</w:t>
      </w:r>
    </w:p>
    <w:p w14:paraId="05F483C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（7）移动字执行速度 ：1.7μs/指令；</w:t>
      </w:r>
    </w:p>
    <w:p w14:paraId="0F077E6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（8）实数数学运算执行速度：2.3μs/指令 ；</w:t>
      </w:r>
    </w:p>
    <w:p w14:paraId="0630FB1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（9）以太网端口数：≥1；</w:t>
      </w:r>
    </w:p>
    <w:p w14:paraId="00DDCBE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（10）数据传输率 ：10/100Mb/s。</w:t>
      </w:r>
    </w:p>
    <w:p w14:paraId="099A5EC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2、数字量接口</w:t>
      </w:r>
    </w:p>
    <w:p w14:paraId="74F79AE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（1）电源电压：DC24V；</w:t>
      </w:r>
    </w:p>
    <w:p w14:paraId="5858AD3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（2）数字量通道：14DI/10DO。</w:t>
      </w:r>
    </w:p>
    <w:p w14:paraId="131F8EB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3、HMI人机界面</w:t>
      </w:r>
    </w:p>
    <w:p w14:paraId="73F842F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（1）功能：通过组IO和以太网与机器人进行数据交互，辅助机器人对特殊功能模块进行控制；</w:t>
      </w:r>
    </w:p>
    <w:p w14:paraId="7C0B503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（2）屏幕尺寸：≥7英寸；</w:t>
      </w:r>
    </w:p>
    <w:p w14:paraId="6FAA366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（3）分辨率 ≥800×480 像素；</w:t>
      </w:r>
    </w:p>
    <w:p w14:paraId="67C3287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（4）色彩：65535；</w:t>
      </w:r>
    </w:p>
    <w:p w14:paraId="64AC91D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（5）电压范围：≥19.2—28.8V DC；</w:t>
      </w:r>
    </w:p>
    <w:p w14:paraId="1910764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（6）以太网端口数：≥1。</w:t>
      </w:r>
    </w:p>
    <w:p w14:paraId="77BA8E6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4、开放式机器人控制系统：</w:t>
      </w:r>
    </w:p>
    <w:p w14:paraId="4E916F8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整体要求：包括通信模块、运动控制模块和安全模块，实现多种构型机器人控制。可以快速搭建机器人研究或应用平台，支持机器人控制算法验证及机器人应用的快速开发。支持无线化的开发部署。</w:t>
      </w:r>
    </w:p>
    <w:p w14:paraId="580FBE5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功能特点：</w:t>
      </w:r>
    </w:p>
    <w:p w14:paraId="1787E1E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(1)支持Matlab/Simulink下建立的动态系统数学模型应用于实时仿真、算法测试，便于全流程控制和局部算法验证。</w:t>
      </w:r>
    </w:p>
    <w:p w14:paraId="49C976B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(2)支持控制算法的纯数字仿真和硬件在环仿真与机器人真机实时控制。支持simulink环境下的自动代码生成与部署、动态调参、参数回显等调试功能。</w:t>
      </w:r>
    </w:p>
    <w:p w14:paraId="104AADA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(3)具有机器人基础运动库和高级动力学库、视觉库，集成多种总线通讯模块，支持快速搭建机器人教学和科研的算法开发环境。</w:t>
      </w:r>
    </w:p>
    <w:p w14:paraId="139191A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技术参数：</w:t>
      </w:r>
    </w:p>
    <w:p w14:paraId="11C0140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(1)机器人运动控制器与伺服驱动器通信方式：EtherCAT</w:t>
      </w:r>
    </w:p>
    <w:p w14:paraId="1B9E0FD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(2)机器人IO端口数：数字量16-in, 16-out</w:t>
      </w:r>
    </w:p>
    <w:p w14:paraId="7E614B6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(3)与伺服间通信频率：1KHz</w:t>
      </w:r>
    </w:p>
    <w:p w14:paraId="5419E68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(4)通信接口类型：位置接口，速度接口，力接口</w:t>
      </w:r>
    </w:p>
    <w:p w14:paraId="155720A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(5)控制模式：位置，速度，力</w:t>
      </w:r>
    </w:p>
    <w:p w14:paraId="1226EDA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(6)开发方式：MATLAB, C/C++</w:t>
      </w:r>
    </w:p>
    <w:p w14:paraId="561AB23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(7)实验工程及demo：提供完整实验工程及demo</w:t>
      </w:r>
    </w:p>
    <w:p w14:paraId="71FB961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(8)支持通信方式：EtherCAT，tcp/ip, udp</w:t>
      </w:r>
    </w:p>
    <w:p w14:paraId="1143186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(9)机器人控制支持：同时支持多种串联及并联机器人控制；</w:t>
      </w:r>
    </w:p>
    <w:p w14:paraId="070041C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(10)多机器人控制：支持两台及两台以上机器人同时协同控制；</w:t>
      </w:r>
    </w:p>
    <w:p w14:paraId="51F8C13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四、机器人软件部分核心参数： </w:t>
      </w:r>
    </w:p>
    <w:p w14:paraId="3F08BBD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（1）机器人教学科研开发环境：</w:t>
      </w:r>
    </w:p>
    <w:p w14:paraId="4064BE9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支持Simlink环境下的虚拟机器人仿真与真机实时控制；</w:t>
      </w:r>
    </w:p>
    <w:p w14:paraId="46A06BE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（2）机器人软件开发工具：</w:t>
      </w:r>
    </w:p>
    <w:p w14:paraId="56705B9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在Simulink环境下，提供运动学、动力学；提供程序下载部署工具软件；</w:t>
      </w:r>
    </w:p>
    <w:p w14:paraId="15FE41B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（3）机器人控制器运行时工具：</w:t>
      </w:r>
    </w:p>
    <w:p w14:paraId="19B3E60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基于实时linux环境，支持各类机器人研发相关软件包的便利集成，如ROS相关软件包、OpenCV/Halcon等视觉软件包及TensorFlow人工智能应用框架软件包的移植；</w:t>
      </w:r>
    </w:p>
    <w:p w14:paraId="27084C4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五、平台开源性要求：</w:t>
      </w:r>
    </w:p>
    <w:p w14:paraId="24D9345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1、需提供机器人运动学、动力学、轨迹规划等开源代码；</w:t>
      </w:r>
    </w:p>
    <w:p w14:paraId="6A497F8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需提供各层次c/c++二次开发接口，用户可以利用这些功能接口编写应用程序，也可以利用SDK进行二次开发使用，功能接口需包含数据类、驱动类、运动类、通信类、力控类、安全类、模型类、工艺类、示教类、传感类、工具类、外部类等；</w:t>
      </w:r>
    </w:p>
    <w:p w14:paraId="42769B6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3、需提供基于MATLAB/Simulink的功能库，包含机器人系统工具库、机器人接口库、机器人基础控制库、机器人VR显示库、传感器模块接口库、视觉功能库、人工智能功能库；</w:t>
      </w:r>
    </w:p>
    <w:p w14:paraId="2E6B651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六、实训模块技术参数</w:t>
      </w:r>
    </w:p>
    <w:p w14:paraId="740A99A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1、上料单元</w:t>
      </w:r>
    </w:p>
    <w:p w14:paraId="7FB309A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（1）主要采用铝材加工组装而成,表面经喷砂阳极氧化,配双轴推料气缸；光电传感器可检测有无物料,可储存物料数量不低于10个。</w:t>
      </w:r>
    </w:p>
    <w:p w14:paraId="1E8D860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（2）功能：可用于同时储存多种零件，根据实训要求，由PLC或机器人IO控制供料时机。</w:t>
      </w:r>
    </w:p>
    <w:p w14:paraId="1A309F7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2、传输带搬运单元</w:t>
      </w:r>
    </w:p>
    <w:p w14:paraId="733CECF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（1）输送带搬运模块由控制电机驱动输送带，可学习 PLC 的逻辑控制编程技术，掌握电气接线方法，学习机电传动原理。通过机器人与 PLC 之间进行信号交互，掌握控制信号逻辑、机器人IO应用、电气接线方面的知识。</w:t>
      </w:r>
    </w:p>
    <w:p w14:paraId="0492DE9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（2）功能：步进电机驱动皮带，运输多种不同的零件，使用机器人对传送带进行启停控制。</w:t>
      </w:r>
    </w:p>
    <w:p w14:paraId="2395F54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3、装配及立体料仓单元</w:t>
      </w:r>
    </w:p>
    <w:p w14:paraId="06E8EE8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（1）为3层2列立体仓库,层板为工业铝板加工制作而成,表面经喷砂阳极氧化处理,每个库位装有检测传感器,可以正确的检测库位有无物料。</w:t>
      </w:r>
    </w:p>
    <w:p w14:paraId="374B9A7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（2）层板作为装配件的载体，每个层板上可以通过视觉引导装配两个不同轮廓的零件零件，同时要读取零件上的二维码，确保装配在一起的两个零件是配对的。</w:t>
      </w:r>
    </w:p>
    <w:p w14:paraId="53966A4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（3）功能：训练学员对视觉识别、视觉引导、装配、仓储技术的应用与实践。</w:t>
      </w:r>
    </w:p>
    <w:p w14:paraId="7F4B7ED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4、轨迹单元</w:t>
      </w:r>
    </w:p>
    <w:p w14:paraId="7DA3FB8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（1）组成：雕刻板、定位板、支撑板、铝型材立柱、快换座。</w:t>
      </w:r>
    </w:p>
    <w:p w14:paraId="46DB8CB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（2）功能：机器人以笔形工具，训练对机器人基本的点示教，直线、曲线运动轨迹以及拖动示教的掌握；学习轨迹、避开点及机器人运动路线选择优化。</w:t>
      </w:r>
    </w:p>
    <w:p w14:paraId="0AC7B1E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5、打磨单元</w:t>
      </w:r>
    </w:p>
    <w:p w14:paraId="2528368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（1）组成：打磨机、打磨工件摆放治具和被打磨的工件等。</w:t>
      </w:r>
    </w:p>
    <w:p w14:paraId="334E7CA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（2）功能：练习打磨姿态示教和在协作机器人对力控打磨的操作。</w:t>
      </w:r>
    </w:p>
    <w:p w14:paraId="2D019B5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6、码垛单元</w:t>
      </w:r>
    </w:p>
    <w:p w14:paraId="7992B42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（1）功能：练习对机器人码垛、阵列的理解并快速编程示教的强化训练，工业机器人关节运动指令、线性运动指令、圆弧运动指令等。</w:t>
      </w:r>
    </w:p>
    <w:p w14:paraId="4B90C64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（2）根据要求物料块被摆放到摆放底板上，机器人通过吸盘夹具按要求拾取物料块进行码垛任务； </w:t>
      </w:r>
    </w:p>
    <w:p w14:paraId="1738AEB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（3）物料块有长方形和正方形两种，操作者可根据需要选择摆放；可根据需要自由组合码垛出多种形状； </w:t>
      </w:r>
    </w:p>
    <w:p w14:paraId="236DA3A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（4）练习对机器人码垛、阵列的理解并快速编程示教的强化训练。</w:t>
      </w:r>
    </w:p>
    <w:p w14:paraId="4B86B44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7、七巧板视觉引导排列单元</w:t>
      </w:r>
    </w:p>
    <w:p w14:paraId="3E663B5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（1）模块通过视觉系统对随机排列的七巧板进行识别，机器人对按照视觉系统设置的逻辑对物料进行排列搬运工作。</w:t>
      </w:r>
    </w:p>
    <w:p w14:paraId="7B9DD67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（2）七巧板采用亚克力材料，有颜色区分；</w:t>
      </w:r>
    </w:p>
    <w:p w14:paraId="0EF4FF8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（3）摆放区域安装有背光源，上层采用高透钢化白玻璃覆盖，摆放区域在玻璃之上；</w:t>
      </w:r>
    </w:p>
    <w:p w14:paraId="48A9A6A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（4）下层的支撑材料采用铝合金材料制作。</w:t>
      </w:r>
    </w:p>
    <w:p w14:paraId="2EF416D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（5）“视觉引导七巧板拼图”指通过视觉软件对七巧板进行识别和引导，然后通过直角或关节机器人进行抓取。</w:t>
      </w:r>
    </w:p>
    <w:p w14:paraId="12AFB25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七、其它要求</w:t>
      </w:r>
    </w:p>
    <w:p w14:paraId="4B62659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1、快换工具</w:t>
      </w:r>
    </w:p>
    <w:p w14:paraId="1E8C29A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（1）装置配套4种不同类型快换装置（吸盘工具、笔形工具、两爪工具、三爪工具）；</w:t>
      </w:r>
    </w:p>
    <w:p w14:paraId="6C5C509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（2）采用气动自动吸合式，具有2路以上气源接口，9路电源接口；</w:t>
      </w:r>
    </w:p>
    <w:p w14:paraId="0D13C62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（3）采用铝合金材料硬质氧化加工，可实现工业机器人工具的高精度快速切换；</w:t>
      </w:r>
    </w:p>
    <w:p w14:paraId="1B6447C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（4）该工具配套专门的工具放置架，放置架具有放入识别功能，防错定位功能，可以防止人为的误放或错位放置。</w:t>
      </w:r>
    </w:p>
    <w:p w14:paraId="5646F76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2、实训台体</w:t>
      </w:r>
    </w:p>
    <w:p w14:paraId="05ABC4B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（1）采用方通焊接框架，铝型材桌面，型材端面安装挡条，内部安装电气控制系统，上部分安装工作执行模块；</w:t>
      </w:r>
    </w:p>
    <w:p w14:paraId="6A2BAF9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（2）工作台尺寸：约1500×1100×800，触摸屏和按钮成45度安装，方便操作；采用重型福马脚轮，方便移动和固定。</w:t>
      </w:r>
    </w:p>
    <w:p w14:paraId="55E5FFE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（3）提供设备3D效果图和整体布局尺寸图。</w:t>
      </w:r>
    </w:p>
    <w:p w14:paraId="649DB4DE">
      <w:pPr>
        <w:spacing w:line="360" w:lineRule="auto"/>
        <w:rPr>
          <w:rFonts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多机协同机器人实验平台1套</w:t>
      </w:r>
    </w:p>
    <w:p w14:paraId="7F9E5CD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该平台是以六自由度机械臂为被控对象的教学实验系统，主要包括六轴机械臂、开放式控制系统、末端操作工具、开发pc机，能够向学生提供完整的机器人教学实验环境，包括机器人系统认识、DH建模、正逆运动学、关节空间规划、笛卡尔空间规划、雅克比矩阵、动力学等实验课程。另外该平台还包含PLC总控单元、机器视觉系统、供料输送单元、辅助电器元件及用于检测、搬运、码垛、装配使用的功能模块。</w:t>
      </w:r>
    </w:p>
    <w:p w14:paraId="4A5723A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一、六轴机械臂（8套）</w:t>
      </w:r>
    </w:p>
    <w:p w14:paraId="326B31B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 本体重量≤</w:t>
      </w:r>
      <w:r>
        <w:rPr>
          <w:rFonts w:ascii="仿宋" w:hAnsi="仿宋" w:eastAsia="仿宋" w:cs="仿宋"/>
          <w:bCs/>
          <w:color w:val="auto"/>
          <w:sz w:val="24"/>
          <w:szCs w:val="24"/>
          <w:highlight w:val="none"/>
          <w:lang w:bidi="en-US"/>
        </w:rPr>
        <w:t>6.8</w:t>
      </w:r>
      <w:r>
        <w:rPr>
          <w:rFonts w:hint="eastAsia" w:ascii="仿宋" w:hAnsi="仿宋" w:eastAsia="仿宋" w:cs="仿宋"/>
          <w:bCs/>
          <w:color w:val="auto"/>
          <w:sz w:val="24"/>
          <w:szCs w:val="24"/>
          <w:highlight w:val="none"/>
          <w:lang w:bidi="en-US"/>
        </w:rPr>
        <w:t>Kg</w:t>
      </w:r>
    </w:p>
    <w:p w14:paraId="7044C91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 自由度：6</w:t>
      </w:r>
    </w:p>
    <w:p w14:paraId="4EB0F1E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 最大负载≥7</w:t>
      </w:r>
      <w:r>
        <w:rPr>
          <w:rFonts w:hint="eastAsia" w:ascii="仿宋" w:hAnsi="仿宋" w:eastAsia="仿宋" w:cs="仿宋"/>
          <w:bCs/>
          <w:color w:val="auto"/>
          <w:sz w:val="24"/>
          <w:szCs w:val="24"/>
          <w:highlight w:val="none"/>
          <w:lang w:eastAsia="zh" w:bidi="en-US"/>
        </w:rPr>
        <w:t>0</w:t>
      </w:r>
      <w:r>
        <w:rPr>
          <w:rFonts w:hint="eastAsia" w:ascii="仿宋" w:hAnsi="仿宋" w:eastAsia="仿宋" w:cs="仿宋"/>
          <w:bCs/>
          <w:color w:val="auto"/>
          <w:sz w:val="24"/>
          <w:szCs w:val="24"/>
          <w:highlight w:val="none"/>
          <w:lang w:bidi="en-US"/>
        </w:rPr>
        <w:t>0g</w:t>
      </w:r>
    </w:p>
    <w:p w14:paraId="352A24D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 最大工作半径≥4</w:t>
      </w:r>
      <w:r>
        <w:rPr>
          <w:rFonts w:ascii="仿宋" w:hAnsi="仿宋" w:eastAsia="仿宋" w:cs="仿宋"/>
          <w:bCs/>
          <w:color w:val="auto"/>
          <w:sz w:val="24"/>
          <w:szCs w:val="24"/>
          <w:highlight w:val="none"/>
          <w:lang w:bidi="en-US"/>
        </w:rPr>
        <w:t>4</w:t>
      </w:r>
      <w:r>
        <w:rPr>
          <w:rFonts w:hint="eastAsia" w:ascii="仿宋" w:hAnsi="仿宋" w:eastAsia="仿宋" w:cs="仿宋"/>
          <w:bCs/>
          <w:color w:val="auto"/>
          <w:sz w:val="24"/>
          <w:szCs w:val="24"/>
          <w:highlight w:val="none"/>
          <w:lang w:bidi="en-US"/>
        </w:rPr>
        <w:t>0mm</w:t>
      </w:r>
    </w:p>
    <w:p w14:paraId="454AA06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 重复定位精度: ±0.1mm</w:t>
      </w:r>
    </w:p>
    <w:p w14:paraId="6830CF8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 末端最大工作速度: 0.5m/s</w:t>
      </w:r>
    </w:p>
    <w:p w14:paraId="61B8DDA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 关节运动范围</w:t>
      </w:r>
    </w:p>
    <w:p w14:paraId="4EFEB73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1）J1：±360°</w:t>
      </w:r>
    </w:p>
    <w:p w14:paraId="573818B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2）J2：±135°</w:t>
      </w:r>
    </w:p>
    <w:p w14:paraId="0973737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3）J3：±154°</w:t>
      </w:r>
    </w:p>
    <w:p w14:paraId="3FC9CB2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4）J4：±160°</w:t>
      </w:r>
    </w:p>
    <w:p w14:paraId="3530F47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5）J5：±173°</w:t>
      </w:r>
    </w:p>
    <w:p w14:paraId="3F04C95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6）J6：±360°</w:t>
      </w:r>
    </w:p>
    <w:p w14:paraId="233BD6A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8. 单轴最大运动速度J1-J6：120°/s</w:t>
      </w:r>
    </w:p>
    <w:p w14:paraId="64BC9A9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9. 电源输入：100V~240V AC，50/60 Hz</w:t>
      </w:r>
    </w:p>
    <w:p w14:paraId="3DEE1D1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10. 额定电压：48V⎓ 5A DC</w:t>
      </w:r>
    </w:p>
    <w:p w14:paraId="5FB97D3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11. 额定功率：130W</w:t>
      </w:r>
    </w:p>
    <w:p w14:paraId="07D1B78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12. 通信接口：</w:t>
      </w:r>
    </w:p>
    <w:p w14:paraId="0AD25AC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1）Ethernet，2个，用于TCP/IP和Modbus TCP通信；</w:t>
      </w:r>
    </w:p>
    <w:p w14:paraId="5E14978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2）USB，1个，无线通信。</w:t>
      </w:r>
    </w:p>
    <w:p w14:paraId="39A626D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13. IO接口</w:t>
      </w:r>
    </w:p>
    <w:p w14:paraId="5F0EE5C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1）末端：DI*2，DO*2，24V*1，GND*1</w:t>
      </w:r>
    </w:p>
    <w:p w14:paraId="6429192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2）底座：DI*16，DO*16，24V*4，GND*4</w:t>
      </w:r>
    </w:p>
    <w:p w14:paraId="7522CCD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14. IO输出：24V，总输出2A，单路最大0.5A</w:t>
      </w:r>
    </w:p>
    <w:p w14:paraId="2831F44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15. 外部接口：急停开关*1，ABZ编码器接口*1，电源接口*1</w:t>
      </w:r>
    </w:p>
    <w:p w14:paraId="4F650C49">
      <w:pPr>
        <w:spacing w:line="360" w:lineRule="auto"/>
        <w:rPr>
          <w:rFonts w:ascii="仿宋" w:hAnsi="仿宋" w:eastAsia="仿宋" w:cs="仿宋"/>
          <w:bCs/>
          <w:color w:val="auto"/>
          <w:sz w:val="24"/>
          <w:szCs w:val="24"/>
          <w:highlight w:val="none"/>
          <w:lang w:bidi="en-US"/>
        </w:rPr>
      </w:pPr>
      <w:r>
        <w:rPr>
          <w:rFonts w:ascii="仿宋" w:hAnsi="仿宋" w:eastAsia="仿宋" w:cs="仿宋"/>
          <w:bCs/>
          <w:color w:val="auto"/>
          <w:sz w:val="24"/>
          <w:szCs w:val="24"/>
          <w:highlight w:val="none"/>
          <w:lang w:bidi="en-US"/>
        </w:rPr>
        <w:t xml:space="preserve"> </w:t>
      </w:r>
      <w:r>
        <w:rPr>
          <w:rFonts w:hint="eastAsia" w:ascii="仿宋" w:hAnsi="仿宋" w:eastAsia="仿宋" w:cs="仿宋"/>
          <w:bCs/>
          <w:color w:val="auto"/>
          <w:sz w:val="24"/>
          <w:szCs w:val="24"/>
          <w:highlight w:val="none"/>
          <w:lang w:bidi="en-US"/>
        </w:rPr>
        <w:t>1</w:t>
      </w:r>
      <w:r>
        <w:rPr>
          <w:rFonts w:ascii="仿宋" w:hAnsi="仿宋" w:eastAsia="仿宋" w:cs="仿宋"/>
          <w:bCs/>
          <w:color w:val="auto"/>
          <w:sz w:val="24"/>
          <w:szCs w:val="24"/>
          <w:highlight w:val="none"/>
          <w:lang w:bidi="en-US"/>
        </w:rPr>
        <w:t>6</w:t>
      </w:r>
      <w:r>
        <w:rPr>
          <w:rFonts w:hint="eastAsia" w:ascii="仿宋" w:hAnsi="仿宋" w:eastAsia="仿宋" w:cs="仿宋"/>
          <w:bCs/>
          <w:color w:val="auto"/>
          <w:sz w:val="24"/>
          <w:szCs w:val="24"/>
          <w:highlight w:val="none"/>
          <w:lang w:bidi="en-US"/>
        </w:rPr>
        <w:t>. IP等级：IP20</w:t>
      </w:r>
    </w:p>
    <w:p w14:paraId="1A61289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w:t>
      </w:r>
      <w:r>
        <w:rPr>
          <w:rFonts w:ascii="仿宋" w:hAnsi="仿宋" w:eastAsia="仿宋" w:cs="仿宋"/>
          <w:bCs/>
          <w:color w:val="auto"/>
          <w:sz w:val="24"/>
          <w:szCs w:val="24"/>
          <w:highlight w:val="none"/>
          <w:lang w:bidi="en-US"/>
        </w:rPr>
        <w:t>7</w:t>
      </w:r>
      <w:r>
        <w:rPr>
          <w:rFonts w:hint="eastAsia" w:ascii="仿宋" w:hAnsi="仿宋" w:eastAsia="仿宋" w:cs="仿宋"/>
          <w:bCs/>
          <w:color w:val="auto"/>
          <w:sz w:val="24"/>
          <w:szCs w:val="24"/>
          <w:highlight w:val="none"/>
          <w:lang w:bidi="en-US"/>
        </w:rPr>
        <w:t>. 底座尺寸：162*120*103mm</w:t>
      </w:r>
    </w:p>
    <w:p w14:paraId="413B0B4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1</w:t>
      </w:r>
      <w:r>
        <w:rPr>
          <w:rFonts w:ascii="仿宋" w:hAnsi="仿宋" w:eastAsia="仿宋" w:cs="仿宋"/>
          <w:bCs/>
          <w:color w:val="auto"/>
          <w:sz w:val="24"/>
          <w:szCs w:val="24"/>
          <w:highlight w:val="none"/>
          <w:lang w:bidi="en-US"/>
        </w:rPr>
        <w:t>8</w:t>
      </w:r>
      <w:r>
        <w:rPr>
          <w:rFonts w:hint="eastAsia" w:ascii="仿宋" w:hAnsi="仿宋" w:eastAsia="仿宋" w:cs="仿宋"/>
          <w:bCs/>
          <w:color w:val="auto"/>
          <w:sz w:val="24"/>
          <w:szCs w:val="24"/>
          <w:highlight w:val="none"/>
          <w:lang w:bidi="en-US"/>
        </w:rPr>
        <w:t>. 工作环境：温度：0°C - 50°C，湿度：25%-85%，非冷凝</w:t>
      </w:r>
    </w:p>
    <w:p w14:paraId="558D787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w:t>
      </w:r>
      <w:r>
        <w:rPr>
          <w:rFonts w:ascii="仿宋" w:hAnsi="仿宋" w:eastAsia="仿宋" w:cs="仿宋"/>
          <w:bCs/>
          <w:color w:val="auto"/>
          <w:sz w:val="24"/>
          <w:szCs w:val="24"/>
          <w:highlight w:val="none"/>
          <w:lang w:bidi="en-US"/>
        </w:rPr>
        <w:t>19</w:t>
      </w:r>
      <w:r>
        <w:rPr>
          <w:rFonts w:hint="eastAsia" w:ascii="仿宋" w:hAnsi="仿宋" w:eastAsia="仿宋" w:cs="仿宋"/>
          <w:bCs/>
          <w:color w:val="auto"/>
          <w:sz w:val="24"/>
          <w:szCs w:val="24"/>
          <w:highlight w:val="none"/>
          <w:lang w:bidi="en-US"/>
        </w:rPr>
        <w:t>. 噪音：50dB(A)</w:t>
      </w:r>
    </w:p>
    <w:p w14:paraId="6CEC8A1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2</w:t>
      </w:r>
      <w:r>
        <w:rPr>
          <w:rFonts w:ascii="仿宋" w:hAnsi="仿宋" w:eastAsia="仿宋" w:cs="仿宋"/>
          <w:bCs/>
          <w:color w:val="auto"/>
          <w:sz w:val="24"/>
          <w:szCs w:val="24"/>
          <w:highlight w:val="none"/>
          <w:lang w:bidi="en-US"/>
        </w:rPr>
        <w:t>0</w:t>
      </w:r>
      <w:r>
        <w:rPr>
          <w:rFonts w:hint="eastAsia" w:ascii="仿宋" w:hAnsi="仿宋" w:eastAsia="仿宋" w:cs="仿宋"/>
          <w:bCs/>
          <w:color w:val="auto"/>
          <w:sz w:val="24"/>
          <w:szCs w:val="24"/>
          <w:highlight w:val="none"/>
          <w:lang w:bidi="en-US"/>
        </w:rPr>
        <w:t>. 安装：桌面安装</w:t>
      </w:r>
    </w:p>
    <w:p w14:paraId="3C47F14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 2</w:t>
      </w:r>
      <w:r>
        <w:rPr>
          <w:rFonts w:ascii="仿宋" w:hAnsi="仿宋" w:eastAsia="仿宋" w:cs="仿宋"/>
          <w:bCs/>
          <w:color w:val="auto"/>
          <w:sz w:val="24"/>
          <w:szCs w:val="24"/>
          <w:highlight w:val="none"/>
          <w:lang w:bidi="en-US"/>
        </w:rPr>
        <w:t>1</w:t>
      </w:r>
      <w:r>
        <w:rPr>
          <w:rFonts w:hint="eastAsia" w:ascii="仿宋" w:hAnsi="仿宋" w:eastAsia="仿宋" w:cs="仿宋"/>
          <w:bCs/>
          <w:color w:val="auto"/>
          <w:sz w:val="24"/>
          <w:szCs w:val="24"/>
          <w:highlight w:val="none"/>
          <w:lang w:bidi="en-US"/>
        </w:rPr>
        <w:t>. 材料：铝合金、ABS塑料</w:t>
      </w:r>
    </w:p>
    <w:p w14:paraId="779E683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二、开放式控制系统（8套）</w:t>
      </w:r>
    </w:p>
    <w:p w14:paraId="6A8B52A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1.整体要求：包括通信模块、运动控制模块和安全模块，实现多种构型机器人控制。可以快速搭建机器人研究或应用平台，支持机器人控制算法验证及机器人应用的快速开发。支持无线化的开发部署。</w:t>
      </w:r>
    </w:p>
    <w:p w14:paraId="72B61EA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2.功能特点：</w:t>
      </w:r>
    </w:p>
    <w:p w14:paraId="6D3E26C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支持Matlab/Simulink下建立的动态系统数学模型应用于实时仿真、算法测试，便于全流程控制和局部算法验证。</w:t>
      </w:r>
    </w:p>
    <w:p w14:paraId="3B9E49E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支持控制算法的纯数字仿真和硬件在环仿真与机器人真机实时控制。支持simulink环境下的自动代码生成与部署、动态调参、参数回显等调试功能。</w:t>
      </w:r>
    </w:p>
    <w:p w14:paraId="75DA891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具有机器人基础运动库和高级动力学库、视觉库，集成多种总线通讯模块，支持快速搭建机器人教学和科研的算法开发环境。</w:t>
      </w:r>
    </w:p>
    <w:p w14:paraId="41B4342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3.技术参数：</w:t>
      </w:r>
    </w:p>
    <w:p w14:paraId="71A0EDC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机器人运动控制器与伺服驱动器通信方式：EtherCAT</w:t>
      </w:r>
    </w:p>
    <w:p w14:paraId="67197D6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机器人IO端口数：数字量16-in, 16-out</w:t>
      </w:r>
    </w:p>
    <w:p w14:paraId="554D188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与伺服间通信频率：1KHz</w:t>
      </w:r>
    </w:p>
    <w:p w14:paraId="7020563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通信接口类型：位置接口，速度接口，力接口</w:t>
      </w:r>
    </w:p>
    <w:p w14:paraId="093410E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控制模式：位置，速度，力</w:t>
      </w:r>
    </w:p>
    <w:p w14:paraId="6A57276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开发方式：MATLAB, C/C++</w:t>
      </w:r>
    </w:p>
    <w:p w14:paraId="6653186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实验工程及demo：提供完整实验工程及demo</w:t>
      </w:r>
    </w:p>
    <w:p w14:paraId="3B19192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支持通信方式：EtherCAT，tcp/ip, udp</w:t>
      </w:r>
    </w:p>
    <w:p w14:paraId="51A793D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4.软件部分核心参数：</w:t>
      </w:r>
      <w:r>
        <w:rPr>
          <w:rFonts w:hint="eastAsia" w:ascii="仿宋" w:hAnsi="仿宋" w:eastAsia="仿宋" w:cs="仿宋"/>
          <w:b/>
          <w:bCs/>
          <w:color w:val="auto"/>
          <w:sz w:val="24"/>
          <w:szCs w:val="24"/>
          <w:highlight w:val="none"/>
        </w:rPr>
        <w:t>（投标时需提供符合参数要求的功能截屏材料）</w:t>
      </w:r>
    </w:p>
    <w:p w14:paraId="3061AFB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1）机器人教学科研开发环境：</w:t>
      </w:r>
    </w:p>
    <w:p w14:paraId="752FE21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支持Simlink环境下的虚拟机器人仿真与真机实时控制；</w:t>
      </w:r>
    </w:p>
    <w:p w14:paraId="4740314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2）机器人软件开发工具：</w:t>
      </w:r>
    </w:p>
    <w:p w14:paraId="752635B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在Simulink环境下，提供运动学、动力学、视觉功能库；提供程序下载部署工具软件；</w:t>
      </w:r>
    </w:p>
    <w:p w14:paraId="1EB69C5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3）机器人控制器运行时工具：</w:t>
      </w:r>
    </w:p>
    <w:p w14:paraId="0583025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基于实时linux环境，支持各类机器人研发相关软件包的便利集成，如ROS相关软件包、OpenCV/Halcon等视觉软件包的移植；</w:t>
      </w:r>
    </w:p>
    <w:p w14:paraId="1DB0D3B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三、平台开源性要求：</w:t>
      </w:r>
    </w:p>
    <w:p w14:paraId="0EBB511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1、需提供机器人运动学、动力学、轨迹规划等开源代码；</w:t>
      </w:r>
    </w:p>
    <w:p w14:paraId="654BBA2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需提供各层次c/c++二次开发接口，用户可以利用这些功能接口编写应用程序，也可以利用SDK进行二次开发使用，功能接口需包含数据类、驱动类、运动类、通信类、力控类、安全类、模型类、工艺类、示教类、传感类、工具类、外部类等；</w:t>
      </w:r>
    </w:p>
    <w:p w14:paraId="2E756A8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3、需提供基于MATLAB/Simulink的功能库，包含机器人系统工具库、机器人接口库、机器人基础控制库、机器人VR显示库、传感器模块接口库、视觉功能库、人工智能功能库；</w:t>
      </w:r>
    </w:p>
    <w:p w14:paraId="1609289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四、其它配置：传送带套件、视觉套件（相机：有效像素：不小于500万；视觉系统软件：提供定位功能：不小于13个，包括快速特征匹配、高精度特征匹配、圆查找、Blob分析、卡尺工具、边缘查找、边缘交点、平行线查找等；</w:t>
      </w:r>
    </w:p>
    <w:p w14:paraId="6D67CD2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光源：发光颜色：白色、LED数量：48颗发光二极管</w:t>
      </w:r>
    </w:p>
    <w:p w14:paraId="36755CB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五、PLC系统模块</w:t>
      </w:r>
    </w:p>
    <w:p w14:paraId="5012322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（一）PLC系统模块</w:t>
      </w:r>
    </w:p>
    <w:p w14:paraId="314C82C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提供24路输入和22路输出IO接口，支持 PROFINET、TCP、Modbus通讯</w:t>
      </w:r>
    </w:p>
    <w:p w14:paraId="7DE87A7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（二）PLC可编程逻辑控制器</w:t>
      </w:r>
    </w:p>
    <w:p w14:paraId="6819C9B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 75 KB 工作存储器 / 2 MB 装载存储器</w:t>
      </w:r>
    </w:p>
    <w:p w14:paraId="74B9106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 4个高速计数器（3 个最大100 kHz；1 个最大30 kHz）</w:t>
      </w:r>
    </w:p>
    <w:p w14:paraId="100EC74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 8个DI/6个DQ和2个AI（集成）</w:t>
      </w:r>
    </w:p>
    <w:p w14:paraId="1F05810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 通过以下方式进行扩展：1个信号板(SB)；2个信号模块(SM)；3个通信模块(CM)</w:t>
      </w:r>
    </w:p>
    <w:p w14:paraId="17DC97F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（三）实训台底座：铝合金型材结构，台面具有T型槽方便安装；</w:t>
      </w:r>
    </w:p>
    <w:p w14:paraId="076583E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双臂协作机器人实验平台1套</w:t>
      </w:r>
    </w:p>
    <w:p w14:paraId="5AEA773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一、硬件技术参数</w:t>
      </w:r>
    </w:p>
    <w:p w14:paraId="193ADB8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1、六轴协作机器人（2套）</w:t>
      </w:r>
    </w:p>
    <w:p w14:paraId="6F4AD08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（1）轴数：6轴；</w:t>
      </w:r>
    </w:p>
    <w:p w14:paraId="06ACDE2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（2）工作半径：≥580mm，负载：≥2kg，重复定位精度：≤±0.1mm；</w:t>
      </w:r>
    </w:p>
    <w:p w14:paraId="12AEF72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（3）本体重量（含电缆）：≤10KG；</w:t>
      </w:r>
    </w:p>
    <w:p w14:paraId="67033E9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(4）编程方式：移动终端（PAD/手机）APP图形化编程、拖拽编程，随机配套不小于10寸PAD；</w:t>
      </w:r>
    </w:p>
    <w:p w14:paraId="5D6D089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（5）工具端最大速度：≥1.5m/s；</w:t>
      </w:r>
    </w:p>
    <w:p w14:paraId="5BC0237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（6）IP等级：IP54；</w:t>
      </w:r>
    </w:p>
    <w:p w14:paraId="6D52255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（7）工具IO端口：数字输入2个 /数字输出2个 /模拟输入1个；</w:t>
      </w:r>
    </w:p>
    <w:p w14:paraId="4DCAAFA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（8）材质：铝合金+PC；</w:t>
      </w:r>
    </w:p>
    <w:p w14:paraId="2C338D2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（9）控制柜：</w:t>
      </w:r>
    </w:p>
    <w:p w14:paraId="246F7A4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1）数字输入： 16个</w:t>
      </w:r>
    </w:p>
    <w:p w14:paraId="7DDCDF3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2）数字输出： 16个</w:t>
      </w:r>
    </w:p>
    <w:p w14:paraId="06BFD14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3）模拟输入： 2个</w:t>
      </w:r>
    </w:p>
    <w:p w14:paraId="43C98C6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4）模拟输出： 2个</w:t>
      </w:r>
    </w:p>
    <w:p w14:paraId="68F8840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5）通信协议：支持TCP/IP, Modbus TCP, Modbus RTU</w:t>
      </w:r>
    </w:p>
    <w:p w14:paraId="38C7A68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6）电源：100-240VAC, 50-60Hz</w:t>
      </w:r>
    </w:p>
    <w:p w14:paraId="2A0DCF1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7）控制柜尺寸： 410×307×235 (mm) (W×H×D)</w:t>
      </w:r>
    </w:p>
    <w:p w14:paraId="6337C48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8）净重： 12Kg</w:t>
      </w:r>
    </w:p>
    <w:p w14:paraId="51E3F2E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9）材质：碳钢板</w:t>
      </w:r>
    </w:p>
    <w:p w14:paraId="1A77CDD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2、视觉控制器（1套）</w:t>
      </w:r>
    </w:p>
    <w:p w14:paraId="7858022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（1）立式安装方便接线，直接安装在型材台面之上。</w:t>
      </w:r>
    </w:p>
    <w:p w14:paraId="6288018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（2）采用高性能i5 12代及以上规格处理器多核处理器，核数≥4，基础频率≥</w:t>
      </w:r>
      <w:r>
        <w:rPr>
          <w:rFonts w:ascii="仿宋" w:hAnsi="仿宋" w:eastAsia="仿宋" w:cs="仿宋"/>
          <w:bCs/>
          <w:color w:val="auto"/>
          <w:sz w:val="24"/>
          <w:szCs w:val="24"/>
          <w:highlight w:val="none"/>
          <w:lang w:bidi="en-US"/>
        </w:rPr>
        <w:t>3.0GH</w:t>
      </w:r>
      <w:r>
        <w:rPr>
          <w:rFonts w:hint="eastAsia" w:ascii="仿宋" w:hAnsi="仿宋" w:eastAsia="仿宋" w:cs="仿宋"/>
          <w:bCs/>
          <w:color w:val="auto"/>
          <w:sz w:val="24"/>
          <w:szCs w:val="24"/>
          <w:highlight w:val="none"/>
          <w:lang w:bidi="en-US"/>
        </w:rPr>
        <w:t>z，内存不低于8G，硬盘不低于120G SSD硬盘，可同时支持两路USB3.0相机和四路PoE GigE相机同时采集。</w:t>
      </w:r>
    </w:p>
    <w:p w14:paraId="62E4515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（3）自带光耦隔离GPIO（8IN、8OUT）、两路RS232/485接口。</w:t>
      </w:r>
    </w:p>
    <w:p w14:paraId="02FDC2A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（4）支持TCP/IP、EtherCAT等网络协议，支持运动控制及分布式IO扩展。</w:t>
      </w:r>
    </w:p>
    <w:p w14:paraId="40A4390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▲（5）支持四路光源控制，支持软件亮度调节和外触发。（投标时提供功能截屏证明文件）</w:t>
      </w:r>
    </w:p>
    <w:p w14:paraId="616CD8B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（6）全铝合金外壳设计，强度高，散热性能好，尺寸不大于210x90x195mm。</w:t>
      </w:r>
    </w:p>
    <w:p w14:paraId="2DF2B76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（7）支持HDMI和DVI仪器显示终端，配套仪器显示终端不小于23寸，配套工业小尺寸键鼠。</w:t>
      </w:r>
    </w:p>
    <w:p w14:paraId="5FA2CA6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（8）输入电源DC 24V，最大功率240W。</w:t>
      </w:r>
    </w:p>
    <w:p w14:paraId="40FACCF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3、视觉相机（1套）</w:t>
      </w:r>
    </w:p>
    <w:p w14:paraId="396BEB6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(1)网口工业相机；</w:t>
      </w:r>
    </w:p>
    <w:p w14:paraId="0D8A87D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(2)有效像素≥500万；</w:t>
      </w:r>
    </w:p>
    <w:p w14:paraId="13699E5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(3)帧率/分辨率：≥60fps @1280 *1024；</w:t>
      </w:r>
    </w:p>
    <w:p w14:paraId="02D38C7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(4)信噪比：≥40dB；</w:t>
      </w:r>
    </w:p>
    <w:p w14:paraId="336073F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(5)动态范围：≥60dB；</w:t>
      </w:r>
    </w:p>
    <w:p w14:paraId="6AB825E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(6)数据接口： GigE；</w:t>
      </w:r>
    </w:p>
    <w:p w14:paraId="416E9BC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(7)IO：1 入1 出，光耦隔离接口；</w:t>
      </w:r>
    </w:p>
    <w:p w14:paraId="5B80FB3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(8)支持三种工作方式：连续采集、软触发采集、外触发采集</w:t>
      </w:r>
    </w:p>
    <w:p w14:paraId="4375B1A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(9)配套镜头 C-Mount，焦距12mm，200万像素；</w:t>
      </w:r>
    </w:p>
    <w:p w14:paraId="493E808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(10)配套定制漫射光源一组，发光面积不小于30x140mm，中间开孔，亮度可调，支持频闪控制。</w:t>
      </w:r>
    </w:p>
    <w:p w14:paraId="7663347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4、电动夹爪 （2套）</w:t>
      </w:r>
    </w:p>
    <w:p w14:paraId="0A8D4F2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（1）电动夹爪夹指</w:t>
      </w:r>
    </w:p>
    <w:p w14:paraId="6EB7D3E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（2）开口行程≥80mm；</w:t>
      </w:r>
    </w:p>
    <w:p w14:paraId="499F438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（3）加持力：35-60N；</w:t>
      </w:r>
    </w:p>
    <w:p w14:paraId="33AFB68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（4）最大加持重量：≥0.5kg；</w:t>
      </w:r>
    </w:p>
    <w:p w14:paraId="51649CC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（5）电机类型：伺服电机；</w:t>
      </w:r>
    </w:p>
    <w:p w14:paraId="04D6EF1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（6）额定电压/功率：24V/30W；</w:t>
      </w:r>
    </w:p>
    <w:p w14:paraId="6F038A3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（7）夹爪重量：＜1kg；  </w:t>
      </w:r>
    </w:p>
    <w:p w14:paraId="6956AAD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二、主要软件技术参数：</w:t>
      </w:r>
    </w:p>
    <w:p w14:paraId="5842270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配套通用软件平台：</w:t>
      </w:r>
    </w:p>
    <w:p w14:paraId="57058DC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软硬件控制处理一体化集成设计。在一个软件平台中实现统一标准化的设备控制、图像处理和数据统计应用方式。设备控制包括相机应用控制、PLC应用控制、运动控制卡应用控制、光源应用控制、机器人应用控制等。</w:t>
      </w:r>
    </w:p>
    <w:p w14:paraId="0805D98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2）提供图形化编程和代码编程两种编程模式：</w:t>
      </w:r>
    </w:p>
    <w:p w14:paraId="6A8F8B1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a、图形化编程要求通俗易懂简单易用，采用拖拽式操作配置的方式实现参数的设置、数据的编辑、变最的引用和赋值、显示窗口布局显示、图像和ROI任意绑定显示、流程图定义任务流程。</w:t>
      </w:r>
    </w:p>
    <w:p w14:paraId="638AD39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b、流程图模块包括顺序执行模块、判断模块、分支模块、循环模块、并行模块、工具组模块、流程块模块和定时器模块。</w:t>
      </w:r>
    </w:p>
    <w:p w14:paraId="0CAA7A5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c、代码编程支持基于VB.net、C#多种语言的编程和开发。包括提供SDK底层算法开发包、算法工具开发模块、功能插件开发模块、硬件资源开发模块、用户界面开发模块等。</w:t>
      </w:r>
    </w:p>
    <w:p w14:paraId="0B35F41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3）包含常用图像处理、运动控制和外部通讯工具，包括2D/3D标定、2D/3D定位、2D/3D测量、AOI检测、深度学习、传送带跟踪计数等多种高级算子，提供API，支持二次开发。</w:t>
      </w:r>
    </w:p>
    <w:p w14:paraId="3BDD64B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4）支持多用户管理，并可为每个用户分配权限。同时支持权限精细化管理，可支持权限可单独分配置到每个配置、算法工具、工具变量，同个算法工具的不同输入输出变量可分配不同的使用权限。</w:t>
      </w:r>
    </w:p>
    <w:p w14:paraId="2B52426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5）支持硬件狗授权，也支持网络远程实时在线授权，并进行使用权限分配。</w:t>
      </w:r>
    </w:p>
    <w:p w14:paraId="12385F8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6）提供专为制造业应用场景所设计的深度学习模块，该模块包含图像分割、目标识别、图像分类和字符识别等深度学习工具，适用于各种视觉应用场景。</w:t>
      </w:r>
    </w:p>
    <w:p w14:paraId="3A4ECE0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7）具有引导应用模块，支持以流程化的配置方式，软件支持单相机及多相机对位，支持XY、XYQ、XQ、YQ、UVW等多种平台类型。</w:t>
      </w:r>
    </w:p>
    <w:p w14:paraId="3250B35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8）软件平台3D相机的处理软件工具支持多种不同类型3D相机（包含TOF、线激光、双目结构光、扫描振镜等），软件工具包含3D标定、3D定位、3D测量等，可实现三维测量和三维点云计算并配套相应的教学程序。</w:t>
      </w:r>
    </w:p>
    <w:p w14:paraId="26E9723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三、其它要求</w:t>
      </w:r>
    </w:p>
    <w:p w14:paraId="4D1D89B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1、机台 （1套）</w:t>
      </w:r>
    </w:p>
    <w:p w14:paraId="1295200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（1）采用方通焊接框架，铝型材桌面，型材端面安装挡条，内部安装电气控制系统，上部分安装工作执行模块；</w:t>
      </w:r>
    </w:p>
    <w:p w14:paraId="1CAA314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（2）工作台尺寸：约1200×850×800；采用重型福马脚轮，方便移动和固定。</w:t>
      </w:r>
    </w:p>
    <w:p w14:paraId="0F814BD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（3）需提供设备3D效果图和整体布局尺寸图。  </w:t>
      </w:r>
    </w:p>
    <w:p w14:paraId="20105A4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2、工控机：工业机箱，不低于</w:t>
      </w:r>
      <w:r>
        <w:rPr>
          <w:rFonts w:hint="eastAsia" w:ascii="仿宋" w:hAnsi="仿宋" w:eastAsia="仿宋" w:cs="仿宋"/>
          <w:bCs/>
          <w:color w:val="auto"/>
          <w:sz w:val="24"/>
          <w:szCs w:val="24"/>
          <w:highlight w:val="none"/>
        </w:rPr>
        <w:t>I7</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12代及以上规格处理器，具备多线程处理能力，缓存容量不低于2</w:t>
      </w:r>
      <w:r>
        <w:rPr>
          <w:rFonts w:ascii="仿宋" w:hAnsi="仿宋" w:eastAsia="仿宋" w:cs="仿宋"/>
          <w:bCs/>
          <w:color w:val="auto"/>
          <w:sz w:val="24"/>
          <w:szCs w:val="24"/>
          <w:highlight w:val="none"/>
        </w:rPr>
        <w:t>0MB</w:t>
      </w:r>
      <w:r>
        <w:rPr>
          <w:rFonts w:hint="eastAsia" w:ascii="仿宋" w:hAnsi="仿宋" w:eastAsia="仿宋" w:cs="仿宋"/>
          <w:bCs/>
          <w:color w:val="auto"/>
          <w:sz w:val="24"/>
          <w:szCs w:val="24"/>
          <w:highlight w:val="none"/>
        </w:rPr>
        <w:t>，基准主频不低于2</w:t>
      </w:r>
      <w:r>
        <w:rPr>
          <w:rFonts w:ascii="仿宋" w:hAnsi="仿宋" w:eastAsia="仿宋" w:cs="仿宋"/>
          <w:bCs/>
          <w:color w:val="auto"/>
          <w:sz w:val="24"/>
          <w:szCs w:val="24"/>
          <w:highlight w:val="none"/>
        </w:rPr>
        <w:t>.5GHz</w:t>
      </w:r>
      <w:r>
        <w:rPr>
          <w:rFonts w:hint="eastAsia" w:ascii="仿宋" w:hAnsi="仿宋" w:eastAsia="仿宋" w:cs="仿宋"/>
          <w:bCs/>
          <w:color w:val="auto"/>
          <w:sz w:val="24"/>
          <w:szCs w:val="24"/>
          <w:highlight w:val="none"/>
          <w:lang w:bidi="en-US"/>
        </w:rPr>
        <w:t>，8G内存条，128G SSD硬盘；</w:t>
      </w:r>
    </w:p>
    <w:p w14:paraId="0395215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3、实验资源 </w:t>
      </w:r>
    </w:p>
    <w:p w14:paraId="6EAD9EC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（1）三阶魔方还原模块通过视觉系统对随机打乱的魔方进行识别，双臂机器人对按照视觉系统给定的还原步骤对魔方进行还原。</w:t>
      </w:r>
    </w:p>
    <w:p w14:paraId="4346B16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（2）“三阶鲁班锁装配”通过视觉系统对随机打乱的鲁班所进行定位和识别，双臂机器人对按照视觉系统给定的步骤进行装配。</w:t>
      </w:r>
    </w:p>
    <w:p w14:paraId="310BF6F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（3）螺丝&amp;螺母装配 通过视觉对螺母位置进行识别，引导机器人进行螺丝装配。</w:t>
      </w:r>
    </w:p>
    <w:p w14:paraId="05E5751A">
      <w:pPr>
        <w:spacing w:line="360" w:lineRule="auto"/>
        <w:rPr>
          <w:rFonts w:ascii="仿宋" w:hAnsi="仿宋" w:eastAsia="仿宋" w:cs="仿宋"/>
          <w:b/>
          <w:bCs/>
          <w:color w:val="auto"/>
          <w:sz w:val="24"/>
          <w:szCs w:val="24"/>
          <w:highlight w:val="none"/>
          <w:lang w:bidi="en-US"/>
        </w:rPr>
      </w:pPr>
      <w:r>
        <w:rPr>
          <w:rFonts w:hint="eastAsia" w:ascii="仿宋" w:hAnsi="仿宋" w:eastAsia="仿宋" w:cs="仿宋"/>
          <w:b/>
          <w:bCs/>
          <w:color w:val="auto"/>
          <w:sz w:val="24"/>
          <w:szCs w:val="24"/>
          <w:highlight w:val="none"/>
          <w:lang w:bidi="en-US"/>
        </w:rPr>
        <w:t>移动复合机器人实验平台1套</w:t>
      </w:r>
    </w:p>
    <w:p w14:paraId="3AC8C32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该主要由AGV底盘、协作机器人、协同操作感知系统、末端夹爪、储料单元、无线通讯模块等组成。多合一控制系统带来了简单便捷、安全可靠、扩展灵活、高效协同的全场景交互体验，可以灵活适应各种工作环境，通过模拟人手、眼、脚的方式配合来完成各种复杂的工作任务。多个智能体复合，并协调控制，可灵活控制AGV底盘、协作机器人、视觉系统、末端夹爪等设备。</w:t>
      </w:r>
    </w:p>
    <w:p w14:paraId="5EB42F8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2、AGV底盘：（1套）</w:t>
      </w:r>
    </w:p>
    <w:p w14:paraId="7356918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 AGV尺寸不大于850*550*288mm，车身重不大于200kg，顶升高度：大于70mm，负载不小于400kg，最大速度：不低于1.5m/s ，支持原地回转，续航能力：不小于8H，定位精度：优于±10mm/±1°。</w:t>
      </w:r>
    </w:p>
    <w:p w14:paraId="074A318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（2）导航方式2D激光SLAM+视觉+IMU融合导航方式。有声光报警、语音提示功能。扫描式障碍物检查传感器+机械防撞构双重防护。</w:t>
      </w:r>
    </w:p>
    <w:p w14:paraId="242A468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（3）可方便与立体仓库接驳。载具通讯接口 RS485，ModbusRTU， ModbusTCP，可选配 I/O，CANopen。</w:t>
      </w:r>
    </w:p>
    <w:p w14:paraId="4B5AFDF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（4）AGV小车提供48V/31.5Ah磷酸铁锂电池，电源充满时间：小于2小时。</w:t>
      </w:r>
    </w:p>
    <w:p w14:paraId="3399F83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（5）扩展接口 USB2.0 x 2 / PLC，无线网络协议 Wi-Fi 802.11，a/b/g/n/ac，可选配5G通讯模组,具有wifi通信功能。</w:t>
      </w:r>
    </w:p>
    <w:p w14:paraId="61AF618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（6）AGV自带7寸的屏幕，方便设置。</w:t>
      </w:r>
    </w:p>
    <w:p w14:paraId="6B39325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（7）增加地标定位的情况下，点定位精度可以达到±2mm/0.2°。</w:t>
      </w:r>
    </w:p>
    <w:p w14:paraId="1AC3B02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（8）调度系统支持二次开发，能及时获取AGV当前的运行状态，并指导AGV完成一系列的动作。</w:t>
      </w:r>
    </w:p>
    <w:p w14:paraId="225BA8F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（9）调度系统路径规划，能根据当前AGV的所在位置以及站点所在位置对AGV进行最优路径规划。</w:t>
      </w:r>
    </w:p>
    <w:p w14:paraId="4EFA199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（10）现场设备信号采集与动作控制，需与现场设备进行信息交互，达到指定位置或完成指定动作需发送信号控制现场设备完成对应动作。</w:t>
      </w:r>
    </w:p>
    <w:p w14:paraId="3610EE2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3、六轴协作机器人:(1套)</w:t>
      </w:r>
    </w:p>
    <w:p w14:paraId="767646C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（1）工作半径：≥932mm。</w:t>
      </w:r>
    </w:p>
    <w:p w14:paraId="0FD5406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（2）最大负载：≥5kg。</w:t>
      </w:r>
    </w:p>
    <w:p w14:paraId="03A05F0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（3）重复定位精度：≤±0.05mm。</w:t>
      </w:r>
    </w:p>
    <w:p w14:paraId="613D994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（4）自由度：≥6轴。</w:t>
      </w:r>
    </w:p>
    <w:p w14:paraId="3CA7DAB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（5）编程方式：支持图形化编程、拖拽编程。</w:t>
      </w:r>
    </w:p>
    <w:p w14:paraId="03E86FB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(6）示教器类型：平板电脑/手机APP（无线示教器）。</w:t>
      </w:r>
    </w:p>
    <w:p w14:paraId="4289D56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(7）本体上I/O端口：数字输入2、数字输出2、模拟输入2。</w:t>
      </w:r>
    </w:p>
    <w:p w14:paraId="085FFE3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(8）本体上I/O电源：12/24VDC。</w:t>
      </w:r>
    </w:p>
    <w:p w14:paraId="616052B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(9）净重：≤23KG。</w:t>
      </w:r>
    </w:p>
    <w:p w14:paraId="4C149868">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(10）控制柜I/O端口：16路数字量输入&amp;输出，2路模拟量输入&amp;输出。</w:t>
      </w:r>
    </w:p>
    <w:p w14:paraId="6388E2A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(11）通信方式：TCP/IP、Modbus TCP、Modbus RTU、Profinet等。</w:t>
      </w:r>
    </w:p>
    <w:p w14:paraId="1C921F4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(12）电源要求：100-240VAC, 50-60Hz。</w:t>
      </w:r>
    </w:p>
    <w:p w14:paraId="0636C07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(13）支持关节限位设置，用户可以设置每个关节的软限位角度、关节速度限制、误差报警阈值。</w:t>
      </w:r>
    </w:p>
    <w:p w14:paraId="336A5EB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(14）支持拓展外部视觉防护系统。搭配外部视觉可以实现安全防护状态，用户可以根据实际工况定义减速区域和协作区域， 当人员或外部物体进入对应区域内，机器人会识别到并进行对应的减速或停止状态，防止因为误入导致的安全事故。</w:t>
      </w:r>
    </w:p>
    <w:p w14:paraId="5C8CEAEF">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(15）支持碰撞等级设置，用户既可以通过快捷设置，快速的设置机器人的碰撞防护灵敏度。也可以选择自定义，根据自己的实际需求，设置碰撞防护灵敏度。</w:t>
      </w:r>
    </w:p>
    <w:p w14:paraId="61BB1B4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4、协同操作感知系统：（1套）</w:t>
      </w:r>
    </w:p>
    <w:p w14:paraId="6751E5B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（1）2D工业相机，彩色有效像素≥500万，芯片尺寸≥2/3英寸，千兆网接口，配套镜头：C-Mount，焦距16mm，F1.4，500万像素，配套漫射环形光源，亮度可数字控制；</w:t>
      </w:r>
    </w:p>
    <w:p w14:paraId="741382E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3D工业相机一台，采用一体式封装，自带红外结构光源和白色LED光源，两个相机分辨率不低于1920x1080像素，视场角大于80°x56°，最小工作距离350mm，深度测量重复精度优于2mm@WD&lt;600mm，点云输出分辨率不低于1280x720像素，点云单帧输出优于1S、最小工作距离不大于0.3m，视场角(横向)&gt;56˚ ，USB3.0输出，外形不大于180x100x 60mm，可以进行3D标定、3D匹配、3D体积测量等实验，能实现基于双目特征的匹配和基于立体模式的匹配。</w:t>
      </w:r>
    </w:p>
    <w:p w14:paraId="28EB3E4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（3）边缘计算器：</w:t>
      </w:r>
    </w:p>
    <w:p w14:paraId="61D6C48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1）采用高性能</w:t>
      </w:r>
      <w:r>
        <w:rPr>
          <w:rFonts w:hint="eastAsia" w:ascii="仿宋" w:hAnsi="仿宋" w:eastAsia="仿宋" w:cs="仿宋"/>
          <w:bCs/>
          <w:color w:val="auto"/>
          <w:sz w:val="24"/>
          <w:szCs w:val="24"/>
          <w:highlight w:val="none"/>
        </w:rPr>
        <w:t>I7</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12代及以上规格处理器，具备多线程处理能力，缓存容量不低于2</w:t>
      </w:r>
      <w:r>
        <w:rPr>
          <w:rFonts w:ascii="仿宋" w:hAnsi="仿宋" w:eastAsia="仿宋" w:cs="仿宋"/>
          <w:bCs/>
          <w:color w:val="auto"/>
          <w:sz w:val="24"/>
          <w:szCs w:val="24"/>
          <w:highlight w:val="none"/>
        </w:rPr>
        <w:t>0MB</w:t>
      </w:r>
      <w:r>
        <w:rPr>
          <w:rFonts w:hint="eastAsia" w:ascii="仿宋" w:hAnsi="仿宋" w:eastAsia="仿宋" w:cs="仿宋"/>
          <w:bCs/>
          <w:color w:val="auto"/>
          <w:sz w:val="24"/>
          <w:szCs w:val="24"/>
          <w:highlight w:val="none"/>
        </w:rPr>
        <w:t>，基准主频不低于2</w:t>
      </w:r>
      <w:r>
        <w:rPr>
          <w:rFonts w:ascii="仿宋" w:hAnsi="仿宋" w:eastAsia="仿宋" w:cs="仿宋"/>
          <w:bCs/>
          <w:color w:val="auto"/>
          <w:sz w:val="24"/>
          <w:szCs w:val="24"/>
          <w:highlight w:val="none"/>
        </w:rPr>
        <w:t>.5GHz</w:t>
      </w:r>
      <w:r>
        <w:rPr>
          <w:rFonts w:hint="eastAsia" w:ascii="仿宋" w:hAnsi="仿宋" w:eastAsia="仿宋" w:cs="仿宋"/>
          <w:bCs/>
          <w:color w:val="auto"/>
          <w:sz w:val="24"/>
          <w:szCs w:val="24"/>
          <w:highlight w:val="none"/>
          <w:lang w:bidi="en-US"/>
        </w:rPr>
        <w:t>，内存不低于16G，硬盘不低于128G SSD硬盘，可同时支持两路USB3.0相机和四路PoE GigE相机同时采集。</w:t>
      </w:r>
    </w:p>
    <w:p w14:paraId="03CAF65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2）自带光耦隔离GPIO（8-IN、8-OUT）、两路RS232/485接口。</w:t>
      </w:r>
    </w:p>
    <w:p w14:paraId="1582FCA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3）至少支持TCP/IP、EtherCAT网络协议，支持运动控制及分布式IO扩展。</w:t>
      </w:r>
    </w:p>
    <w:p w14:paraId="5CEA565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4）支持四路光源控制，支持软件亮度调节和外触发。</w:t>
      </w:r>
    </w:p>
    <w:p w14:paraId="0CC9497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5）支持HDMI和DVI仪器显示终端，配套工业小尺寸键鼠。</w:t>
      </w:r>
    </w:p>
    <w:p w14:paraId="45CAEBC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6）兼容多种协议，包括S7、Modbus、Profinet、HTTP、HTTPS、SFTP、SNTP、SNMP、IPSec、OPCUA、MQTT、 gRPC。</w:t>
      </w:r>
    </w:p>
    <w:p w14:paraId="633A0C7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7）输入电源DC 24V，最大功率240W。</w:t>
      </w:r>
    </w:p>
    <w:p w14:paraId="577FFD8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8）支持HDMI仪器显示终端，配套仪器显示终端≥19寸，配套工业小尺寸键鼠。</w:t>
      </w:r>
    </w:p>
    <w:p w14:paraId="4E0EC50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（3）软件平台：</w:t>
      </w:r>
    </w:p>
    <w:p w14:paraId="5BECD43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采用软硬件控制处理一体化集成设计。在一个软件平台中实现统一标准化的设备控制、图像处理和数据统计应用方式。设备控制包括相机应用控制、PLC应用控制、运动控制卡应用控制、光源应用控制、机器人应用控制等。</w:t>
      </w:r>
    </w:p>
    <w:p w14:paraId="0378E3D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2）提供图形化编程和代码编程两种编程模式：</w:t>
      </w:r>
    </w:p>
    <w:p w14:paraId="6111E4E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a、图形化编程要求通俗易懂简单易用，采用拖拽式操作配置的方式实现参数的设置、数据的编辑、变最的引用和赋值、显示窗口布局显示、图像和ROI任意绑定显示、流程图定义任务流程。</w:t>
      </w:r>
    </w:p>
    <w:p w14:paraId="620665D0">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b、流程图模块包括顺序执行模块、判断模块、分支模块、循环模块、并行模块、工具组模块、流程块模块和定时器模块。</w:t>
      </w:r>
    </w:p>
    <w:p w14:paraId="3AC43C3D">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c、代码编程支持基于VB.net、C#多种语言的编程和开发。包括提供SDK底层算法开发包、算法工具开发模块、功能插件开发模块、硬件资源开发模块、用户界面开发模块等。</w:t>
      </w:r>
    </w:p>
    <w:p w14:paraId="7CC6016B">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3）包含常用图像处理、运动控制和外部通讯工具，包括2D/3D标定、2D/3D定位、2D/3D测量、AOI检测、深度学习、传送带跟踪计数等多种高级算子，提供API，支持二次开发。</w:t>
      </w:r>
    </w:p>
    <w:p w14:paraId="17CC42C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4）支持多用户管理，并可为每个用户分配权限。同时支持权限精细化管理，可支持权限可单独分配置到每个配置、算法工具、工具变量，同个算法工具的不同输入输出变量可分配不同的使用权限。</w:t>
      </w:r>
    </w:p>
    <w:p w14:paraId="46D5D4F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5）支持硬件狗授权，也支持网络远程实时在线授权，并进行使用权限分配。</w:t>
      </w:r>
    </w:p>
    <w:p w14:paraId="55BFFE3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6）提供专为制造业应用场景所设计的深度学习模块，该模块包含图像分割、目标识别、图像分类和字符识别等深度学习工具，适用于各种视觉应用场景。</w:t>
      </w:r>
    </w:p>
    <w:p w14:paraId="49E2608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7）具有引导应用模块，支持以流程化的配置方式，软件支持单相机及多相机对位，支持XY、XYQ、XQ、YQ、UVW等多种平台类型。</w:t>
      </w:r>
    </w:p>
    <w:p w14:paraId="798C995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8）软件平台3D相机的处理软件工具支持多种不同类型3D相机（包含TOF、线激光、双目结构光、扫描振镜等），软件工具包含3D标定、3D定位、3D测量等，可实现三维测量和三维点云计算并配套相应的教学程序。</w:t>
      </w:r>
    </w:p>
    <w:p w14:paraId="5DBE38E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5、末端工具:(1套)</w:t>
      </w:r>
    </w:p>
    <w:p w14:paraId="10A63581">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(1）根据样品需求配置合适的采摘工具。</w:t>
      </w:r>
    </w:p>
    <w:p w14:paraId="57CFF79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(2）采摘需要采用柔性夹爪，抓取对象直径30~100mm。</w:t>
      </w:r>
    </w:p>
    <w:p w14:paraId="78F3971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(3）需要配置传感器判断是否抓住采摘对象并可以设定采摘的动作和力度。</w:t>
      </w:r>
    </w:p>
    <w:p w14:paraId="261E38E3">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6、电控及通讯模块：（1套）</w:t>
      </w:r>
    </w:p>
    <w:p w14:paraId="0EFDD2D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(1）电控模块包含保护电路、开关电源、PLC、电磁阀等，所有的电气组件放置在下方的电控柜。</w:t>
      </w:r>
    </w:p>
    <w:p w14:paraId="754E2A4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(2）内置无线通讯网关，支持wifi 6。</w:t>
      </w:r>
    </w:p>
    <w:p w14:paraId="71B379B6">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7、其他要求：</w:t>
      </w:r>
    </w:p>
    <w:p w14:paraId="4DC07E09">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(1）提供2种以上水果储料装置，带自动称重和满框识别功能。</w:t>
      </w:r>
    </w:p>
    <w:p w14:paraId="2DE1AE1A">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(2）提供2种以上的仿真采摘样品。</w:t>
      </w:r>
    </w:p>
    <w:p w14:paraId="79C962C4">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(3）提供相关的实验指导书和视频教程。</w:t>
      </w:r>
    </w:p>
    <w:p w14:paraId="536AC81E">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8、未来场景化教学实验</w:t>
      </w:r>
    </w:p>
    <w:p w14:paraId="49506C3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（1）移动机器人的自主移动控制</w:t>
      </w:r>
    </w:p>
    <w:p w14:paraId="4BB0384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1）综合性实验，在未来特种场景实现移动机器人的自主综合性行进控制</w:t>
      </w:r>
    </w:p>
    <w:p w14:paraId="3F712707">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2）自主导航移动部分</w:t>
      </w:r>
    </w:p>
    <w:p w14:paraId="75BADB92">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（2）采摘、抓取实验</w:t>
      </w:r>
    </w:p>
    <w:p w14:paraId="41DE64C5">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1）学习移动机器人在环境中的自主抓取技术</w:t>
      </w:r>
    </w:p>
    <w:p w14:paraId="29A3C23C">
      <w:pPr>
        <w:spacing w:line="360" w:lineRule="auto"/>
        <w:rPr>
          <w:rFonts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2）物资转运部分</w:t>
      </w:r>
      <w:r>
        <w:rPr>
          <w:rFonts w:hint="eastAsia" w:ascii="仿宋" w:hAnsi="仿宋" w:eastAsia="仿宋" w:cs="仿宋"/>
          <w:bCs/>
          <w:color w:val="auto"/>
          <w:sz w:val="24"/>
          <w:szCs w:val="24"/>
          <w:highlight w:val="none"/>
        </w:rPr>
        <w:br w:type="page"/>
      </w:r>
    </w:p>
    <w:p w14:paraId="3E1649DF">
      <w:pPr>
        <w:tabs>
          <w:tab w:val="center" w:pos="4832"/>
          <w:tab w:val="left" w:pos="7140"/>
        </w:tabs>
        <w:spacing w:line="360" w:lineRule="auto"/>
        <w:jc w:val="center"/>
        <w:outlineLvl w:val="1"/>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标的五：智能制造教学实训平台</w:t>
      </w:r>
    </w:p>
    <w:p w14:paraId="534E271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一、整体要求</w:t>
      </w:r>
    </w:p>
    <w:p w14:paraId="043991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智能制造教学平台采用高柔性和高精度结构设计理念，可用于产品的加工、装配、智能检测、性能测试、包装等连续性生产中，系统采用分段式设计，每个工站可以独立工作运行，方便进行学校进行实践教学和技术研发，工站之间采用协议通讯，适合多种随机的小型或标准件的生产与加工，工站数量可以根据实习生产需求进行裁剪与扩充，适合不同的应用场景和预算；系统通过“人工智能+智能制造”赋能制造业的典型应用场景的综合示范系统，物联网、大数据、云计算、机器视觉、数字仿真、边缘计算、智能控制、WMS/MES等技术赋能生产制造，构建成一个完整的工业4.0智能制造系统。</w:t>
      </w:r>
    </w:p>
    <w:p w14:paraId="123228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智能制造教学平台由若干智能生产单元构成，包括：智能仓储、智能加工、智能检测、智能装配、智能输送、智能机器人、中央控制、数字孪生等构成，融合机器视觉2D、3D相机技术、AGV智能技术、机器人技术、智能物联仓储管理、运动控制、PLC、图像处理、机器仿真、数字孪生技术、AI技术等模块，并且相互融合贯通，灵活搭配。</w:t>
      </w:r>
    </w:p>
    <w:p w14:paraId="47104E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▲3、本项目为“交钥匙工程”，需要提供配套所需要的配套设备，夹治具、样品套件、易损件等。（投标时提供完整的生产流程的整体描述和场地规划3D设计图纸证明材料）</w:t>
      </w:r>
    </w:p>
    <w:p w14:paraId="582C77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二、详细配置技术参数</w:t>
      </w:r>
    </w:p>
    <w:p w14:paraId="0CDB28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（一）物料出库平台1套</w:t>
      </w:r>
    </w:p>
    <w:p w14:paraId="16C6F9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立体仓库：</w:t>
      </w:r>
    </w:p>
    <w:p w14:paraId="795BDC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1.原材料、成品分区域放置；</w:t>
      </w:r>
    </w:p>
    <w:p w14:paraId="3E9397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2.货架全铝合金型材框架；</w:t>
      </w:r>
    </w:p>
    <w:p w14:paraId="6811BAA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3.原料、成品货架总宫格≥48个；</w:t>
      </w:r>
    </w:p>
    <w:p w14:paraId="30466A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4.宫格尺寸（长*宽*高）：≥300mm*400mm*200mm；</w:t>
      </w:r>
    </w:p>
    <w:p w14:paraId="6F2CC9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5.单个仓位承重≥5kg每一仓位配套限位装置并具有空位检测传感器；</w:t>
      </w:r>
    </w:p>
    <w:p w14:paraId="7716FA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堆垛机：</w:t>
      </w:r>
    </w:p>
    <w:p w14:paraId="36FA82E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1．巷道式堆垛机采用智能化人机界面，便于操作；</w:t>
      </w:r>
    </w:p>
    <w:p w14:paraId="400AC13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2．控制系统为高速高精运动控制；</w:t>
      </w:r>
    </w:p>
    <w:p w14:paraId="51FE59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3．定位精度：优于±0.5mm；</w:t>
      </w:r>
    </w:p>
    <w:p w14:paraId="7CF252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4．空载速度：60m/min；</w:t>
      </w:r>
    </w:p>
    <w:p w14:paraId="01E583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5．载荷速度：40m/min；</w:t>
      </w:r>
    </w:p>
    <w:p w14:paraId="6D41528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6．检测装置：光电检测、机械限位；</w:t>
      </w:r>
    </w:p>
    <w:p w14:paraId="0B3782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7．安全装置：故障报警及自检测、停车减速、机械防撞、急停按钮、安全围栏；</w:t>
      </w:r>
    </w:p>
    <w:p w14:paraId="256662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8．巷道式堆垛机行程范围：高≥1800mm，≥宽2400mm，≥深±500mm（可双向伸缩）； </w:t>
      </w:r>
    </w:p>
    <w:p w14:paraId="60D5B9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9．堆垛机负载≥20kg，台面尺寸≥250mm*350mm。</w:t>
      </w:r>
    </w:p>
    <w:p w14:paraId="6B69D8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（二）复合机器人AGV平台 1套</w:t>
      </w:r>
    </w:p>
    <w:p w14:paraId="6D578F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 AGV底盘：</w:t>
      </w:r>
    </w:p>
    <w:p w14:paraId="223D56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1.导航方式：激光SLAM/视觉/IMU融合导航；</w:t>
      </w:r>
    </w:p>
    <w:p w14:paraId="060FA23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2.驱动方式：两轮差速驱动；</w:t>
      </w:r>
    </w:p>
    <w:p w14:paraId="52FA76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★3.额定负载：≥400kg；</w:t>
      </w:r>
    </w:p>
    <w:p w14:paraId="4CAD3C2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4.机身自重：≤150kg；</w:t>
      </w:r>
    </w:p>
    <w:p w14:paraId="2D36EC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5.外形尺寸（L*W*H）：≥840*540*270mm；</w:t>
      </w:r>
    </w:p>
    <w:p w14:paraId="7F551C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6.转弯半径：≥471mm；</w:t>
      </w:r>
    </w:p>
    <w:p w14:paraId="7F29A8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7.定位精度：≥±10mm/±1°；</w:t>
      </w:r>
    </w:p>
    <w:p w14:paraId="01CE14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★8.对接精度：±2mm/±0.2°；</w:t>
      </w:r>
    </w:p>
    <w:p w14:paraId="2D2BCC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9.障碍物检测距离：≥30m；</w:t>
      </w:r>
    </w:p>
    <w:p w14:paraId="646057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10.最大速度：≥1.5m/s；</w:t>
      </w:r>
    </w:p>
    <w:p w14:paraId="6435F2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11.标准载具：背负/举升/旋转举升；</w:t>
      </w:r>
    </w:p>
    <w:p w14:paraId="0D534AA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12.举升行程：≥50mm；</w:t>
      </w:r>
    </w:p>
    <w:p w14:paraId="563B6A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13.传感器配置：标配前激光传感器、顶底双相机，可选配置深度相机、后相机；</w:t>
      </w:r>
    </w:p>
    <w:p w14:paraId="2D12B4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14.电池类型：磷酸铁锂电池；</w:t>
      </w:r>
    </w:p>
    <w:p w14:paraId="0DEF83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15.满载运行时间：≥8h；</w:t>
      </w:r>
    </w:p>
    <w:p w14:paraId="022F86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16.充电时长：≤2h；</w:t>
      </w:r>
    </w:p>
    <w:p w14:paraId="412125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17.无线网络协议：Wi-Fi802.11 a/b/g/n/ac；</w:t>
      </w:r>
    </w:p>
    <w:p w14:paraId="6F2349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18.扩展接口：USB2.0×2/PLC；</w:t>
      </w:r>
    </w:p>
    <w:p w14:paraId="73C8D7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19.载具通讯接口：RS485，ModbusRTU，ModbusTCP等；</w:t>
      </w:r>
    </w:p>
    <w:p w14:paraId="4B429C8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20.触摸屏：≥7英寸；</w:t>
      </w:r>
    </w:p>
    <w:p w14:paraId="5A0F78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2.2、流道模组：</w:t>
      </w:r>
    </w:p>
    <w:p w14:paraId="7117B8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（1）流道模组整体尺寸≤850*400*150（mm），多流道之间采用协议通讯，流道之间衔接采用辅助托板，使物体过渡传送平稳。</w:t>
      </w:r>
    </w:p>
    <w:p w14:paraId="59E708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（2）流道采用闭环步进电机驱动皮带结构。</w:t>
      </w:r>
    </w:p>
    <w:p w14:paraId="68134E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（3）宽度采用步进电机调节，可调范围：≥100~200mm。</w:t>
      </w:r>
    </w:p>
    <w:p w14:paraId="5AEA76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（4）流道传送最大负荷：≥10kg。</w:t>
      </w:r>
    </w:p>
    <w:p w14:paraId="374F068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（5）流道定位精度：≤±0.5mm。</w:t>
      </w:r>
    </w:p>
    <w:p w14:paraId="4B60E3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（6）配置不少于三个位置传感器，至少对应视觉触发、定位执行、物料托盘入栈、物料托盘入栈出栈。</w:t>
      </w:r>
    </w:p>
    <w:p w14:paraId="2136CBE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2.3其他配套：</w:t>
      </w:r>
    </w:p>
    <w:p w14:paraId="03E6658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（1）提供自动充电桩1套。</w:t>
      </w:r>
    </w:p>
    <w:p w14:paraId="01173DF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（2）提供维修工具包1套。</w:t>
      </w:r>
    </w:p>
    <w:p w14:paraId="5681CC8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（三）在线视觉检测平台1套</w:t>
      </w:r>
    </w:p>
    <w:p w14:paraId="4AEA00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一、工作站组成：</w:t>
      </w:r>
    </w:p>
    <w:p w14:paraId="411414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在线3D视觉检测站由在线机台、龙门直角机器人、定位台、3D视觉系统、电控柜、工控机和配套软件等组成。</w:t>
      </w:r>
    </w:p>
    <w:p w14:paraId="07AD3E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二、在线机台：</w:t>
      </w:r>
    </w:p>
    <w:p w14:paraId="1A69539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1.在线3D视觉检测工作站采用分体设计，由上段半透明工作台、中段控制柜和下段方通支架三段组成，方便在链板传送线已固定的情况下安装。</w:t>
      </w:r>
    </w:p>
    <w:p w14:paraId="5C2172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2.3D视觉检测单元通过龙门直角机器人z轴安装，并跨在链板传送带正中位置，并且龙门直角机器人的高度可以根据加工或检测单元的要求整体调节，投标文件提供招标要求结构的运行视频。</w:t>
      </w:r>
    </w:p>
    <w:p w14:paraId="760F71E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外形尺寸≥1000mm（宽）x1000mm（深）x2100mm（高）。</w:t>
      </w:r>
    </w:p>
    <w:p w14:paraId="4B4342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正面操作面板可以打开，上面安装不小于19寸触摸屏仪器显示终端，设备上合理布局键鼠及电控板安装空间。</w:t>
      </w:r>
    </w:p>
    <w:p w14:paraId="61BE6AC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三、龙门直角机器人：</w:t>
      </w:r>
    </w:p>
    <w:p w14:paraId="5AAFC32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1.龙门直角机器人为三轴平台，每轴包含直线模组、带编码器反馈步进电机、原点开关、限位开关和拖链等组成，Z轴电机带抱闸；</w:t>
      </w:r>
    </w:p>
    <w:p w14:paraId="3235A3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2.XYZ行程≥300x300x100mm；</w:t>
      </w:r>
    </w:p>
    <w:p w14:paraId="31CC252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3.Z轴采用开放式设计，可以方便更换多种加工单元或视觉系统，负载≥10kg；</w:t>
      </w:r>
    </w:p>
    <w:p w14:paraId="2A5566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4.所有轴重复精度优于±0.01mm，最大线速度≥300mm/s。</w:t>
      </w:r>
    </w:p>
    <w:p w14:paraId="7B62E7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四、定位台：</w:t>
      </w:r>
    </w:p>
    <w:p w14:paraId="36B826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1.定位台用于防止加工过程中托盘随链板传送线晃动，主要由位置传感器、阻挡气缸、四杆导向台，顶升气缸等组成。</w:t>
      </w:r>
    </w:p>
    <w:p w14:paraId="45DCBCF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2.定位精度可达到±0.01mm；</w:t>
      </w:r>
    </w:p>
    <w:p w14:paraId="1362CB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顶升高度：5~10mm可调；</w:t>
      </w:r>
    </w:p>
    <w:p w14:paraId="58C440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最大负载：≥10KG。</w:t>
      </w:r>
    </w:p>
    <w:p w14:paraId="12B38C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五、3D视觉系统：</w:t>
      </w:r>
    </w:p>
    <w:p w14:paraId="41449C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1.3D视觉系统采用线激光轮廓测量仪，单行点云数据不少1500个点；</w:t>
      </w:r>
    </w:p>
    <w:p w14:paraId="038A70F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2.Z方向重复精度值：≤1.2μm；</w:t>
      </w:r>
    </w:p>
    <w:p w14:paraId="4CF6BE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3.Z方向测量范围≥210mm；</w:t>
      </w:r>
    </w:p>
    <w:p w14:paraId="702405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4.单次测量视野宽度范围：96~194mm可调；</w:t>
      </w:r>
    </w:p>
    <w:p w14:paraId="5CF89B4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5.扫描频率：≥200 Hz，最高可达 5 kHz</w:t>
      </w:r>
    </w:p>
    <w:p w14:paraId="4E1C3E0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6.光学等级：肉眼安全3R级别。</w:t>
      </w:r>
    </w:p>
    <w:p w14:paraId="1DB72F3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7.输入：IO、差分编码器，激光安全控制，外触发；</w:t>
      </w:r>
    </w:p>
    <w:p w14:paraId="284EDB8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8.输出：2x数字输出，RS-485串口 (115K)，1x模拟输出 (4-20mA)；</w:t>
      </w:r>
    </w:p>
    <w:p w14:paraId="0F68E84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9.防护等级：≥IP67；</w:t>
      </w:r>
    </w:p>
    <w:p w14:paraId="41C5F1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六、电控柜：</w:t>
      </w:r>
    </w:p>
    <w:p w14:paraId="5E68FF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1.电控柜位于在线机台中段的后侧。</w:t>
      </w:r>
    </w:p>
    <w:p w14:paraId="3F43E2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2.内部包含空开、电源、PLC、通讯模块、驱动器、轨道光源控制器、轨道千兆网交换机、电磁阀等。</w:t>
      </w:r>
    </w:p>
    <w:p w14:paraId="4E6F5D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PLC采用优质品牌，通过通讯模块设备可以单机独立运行，也可以通过TCP/IP或无线协议组网，同时支持有线和无线通信协议，具备强大的运动控制和分布式I/O控制能力，可实现4轴及以上的运动控制，支持EtherCAT、以太网（MODBUS-TCP、TCP/IP、UDP）、CAN和RS485（MODBUS、自由协议）接口，可实现多层次网络通信，能够满足多场景的应用需求；自带4路200K高速输入和4路200K高速输出，可实现4轴脉冲输出和4路编码器计数（支持4倍频，CW/CCW，脉冲+方向和单相计数），含16个输入点和14个输出点。</w:t>
      </w:r>
    </w:p>
    <w:p w14:paraId="71995A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七、工控机：</w:t>
      </w:r>
    </w:p>
    <w:p w14:paraId="593A26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1.CPU ：≥以下参数：主频2.3GHz，睿频3.3GHz，TDP45W；</w:t>
      </w:r>
    </w:p>
    <w:p w14:paraId="191FF3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2.内存：≥8G；</w:t>
      </w:r>
    </w:p>
    <w:p w14:paraId="6CF534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3.硬盘：≥512G；</w:t>
      </w:r>
    </w:p>
    <w:p w14:paraId="3B5F81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4.具有两个以上千兆网接口；</w:t>
      </w:r>
    </w:p>
    <w:p w14:paraId="3650563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5.支持PCI及PCIe扩展插槽。</w:t>
      </w:r>
    </w:p>
    <w:p w14:paraId="1D4D7D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八、配套视觉软件：</w:t>
      </w:r>
    </w:p>
    <w:p w14:paraId="73A96A0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采用软硬件控制处理一体化集成设计。在一个软件平台中实现统一标准化的设备控制、图像处理和数据统计应用方式。设备控制包括相机应用控制、PLC应用控制、运动控制卡应用控制、光源应用控制、机器人应用控制等。</w:t>
      </w:r>
    </w:p>
    <w:p w14:paraId="6B10DA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2）提供图形化编程和代码编程两种编程模式：</w:t>
      </w:r>
    </w:p>
    <w:p w14:paraId="2A719B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a、图形化编程要求通俗易懂简单易用，采用拖拽式操作配置的方式实现参数的设置、数据的编辑、变最的引用和赋值、显示窗口布局显示、图像和ROI任意绑定显示、流程图定义任务流程。</w:t>
      </w:r>
    </w:p>
    <w:p w14:paraId="50650C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b、流程图模块包括顺序执行模块、判断模块、分支模块、循环模块、并行模块、工具组模块、流程块模块和定时器模块。</w:t>
      </w:r>
    </w:p>
    <w:p w14:paraId="154BB2C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c、代码编程支持基于VB.net、C#多种语言的编程和开发。包括提供SDK底层算法开发包、算法工具开发模块、功能插件开发模块、硬件资源开发模块、用户界面开发模块等。</w:t>
      </w:r>
    </w:p>
    <w:p w14:paraId="6BE553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3）包含常用图像处理、运动控制和外部通讯工具，包括2D/3D标定、2D/3D定位、2D/3D测量、AOI检测、深度学习、传送带跟踪计数等多种高级算子，提供API，支持二次开发。</w:t>
      </w:r>
    </w:p>
    <w:p w14:paraId="7E3342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4）支持多用户管理，并可为每个用户分配权限。同时支持权限精细化管理，可支持权限可单独分配置到每个配置、算法工具、工具变量，同个算法工具的不同输入输出变量可分配不同的使用权限。</w:t>
      </w:r>
    </w:p>
    <w:p w14:paraId="5E3335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5）支持硬件狗授权，也支持网络远程实时在线授权，并进行使用权限分配。</w:t>
      </w:r>
    </w:p>
    <w:p w14:paraId="78EA592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6）提供专为制造业应用场景所设计的深度学习模块，该模块包含图像分割、目标识别、图像分类和字符识别等深度学习工具，适用于各种视觉应用场景。</w:t>
      </w:r>
    </w:p>
    <w:p w14:paraId="3D618DF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7）具有引导应用模块，支持以流程化的配置方式，软件支持单相机及多相机对位，支持XY、XYQ、XQ、YQ、UVW等多种平台类型。</w:t>
      </w:r>
    </w:p>
    <w:p w14:paraId="70BAF3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8）软件平台3D相机的处理软件工具支持多种不同类型3D相机（包含TOF、线激光、双目结构光、扫描振镜等），软件工具包含3D标定、3D定位、3D测量等，可实现三维测量和三维点云计算并配套相应的教学程序。</w:t>
      </w:r>
    </w:p>
    <w:p w14:paraId="5F442BE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（四）六轴机器人执行平台2套</w:t>
      </w:r>
    </w:p>
    <w:p w14:paraId="602C39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1.机器人本体：额定负载：≥1</w:t>
      </w:r>
      <w:r>
        <w:rPr>
          <w:rFonts w:ascii="仿宋" w:hAnsi="仿宋" w:eastAsia="仿宋" w:cs="仿宋"/>
          <w:bCs/>
          <w:color w:val="auto"/>
          <w:sz w:val="24"/>
          <w:szCs w:val="24"/>
          <w:highlight w:val="none"/>
        </w:rPr>
        <w:t>0</w:t>
      </w:r>
      <w:r>
        <w:rPr>
          <w:rFonts w:hint="eastAsia" w:ascii="仿宋" w:hAnsi="仿宋" w:eastAsia="仿宋" w:cs="仿宋"/>
          <w:bCs/>
          <w:color w:val="auto"/>
          <w:sz w:val="24"/>
          <w:szCs w:val="24"/>
          <w:highlight w:val="none"/>
        </w:rPr>
        <w:t>kg，臂展：≥1440mm；</w:t>
      </w:r>
    </w:p>
    <w:p w14:paraId="5518EB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2.机器人自由度个数：6个；</w:t>
      </w:r>
    </w:p>
    <w:p w14:paraId="3207221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3.机器人重复定位精度：≤±0.03mm；</w:t>
      </w:r>
    </w:p>
    <w:p w14:paraId="7A17F6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4.本体自重 ≤1</w:t>
      </w:r>
      <w:r>
        <w:rPr>
          <w:rFonts w:ascii="仿宋" w:hAnsi="仿宋" w:eastAsia="仿宋" w:cs="仿宋"/>
          <w:bCs/>
          <w:color w:val="auto"/>
          <w:sz w:val="24"/>
          <w:szCs w:val="24"/>
          <w:highlight w:val="none"/>
        </w:rPr>
        <w:t>30</w:t>
      </w:r>
      <w:r>
        <w:rPr>
          <w:rFonts w:hint="eastAsia" w:ascii="仿宋" w:hAnsi="仿宋" w:eastAsia="仿宋" w:cs="仿宋"/>
          <w:bCs/>
          <w:color w:val="auto"/>
          <w:sz w:val="24"/>
          <w:szCs w:val="24"/>
          <w:highlight w:val="none"/>
        </w:rPr>
        <w:t>kg</w:t>
      </w:r>
    </w:p>
    <w:p w14:paraId="3320DC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5.动作范围：</w:t>
      </w:r>
    </w:p>
    <w:p w14:paraId="6662A5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轴1：≥-170°~+170°；</w:t>
      </w:r>
    </w:p>
    <w:p w14:paraId="5DC4562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轴2：≥-105°~+145°；</w:t>
      </w:r>
    </w:p>
    <w:p w14:paraId="4747D74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轴3：≥-210°~+70°；</w:t>
      </w:r>
    </w:p>
    <w:p w14:paraId="13340B3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轴4：≥-270°~+270°；</w:t>
      </w:r>
    </w:p>
    <w:p w14:paraId="06A55A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轴5：≥-135°~+135°；</w:t>
      </w:r>
    </w:p>
    <w:p w14:paraId="24C7273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轴6：≥-360°~+360°；</w:t>
      </w:r>
    </w:p>
    <w:p w14:paraId="295742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6.最大速度：  </w:t>
      </w:r>
    </w:p>
    <w:p w14:paraId="43BEDF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轴1：≥245°/s ；</w:t>
      </w:r>
    </w:p>
    <w:p w14:paraId="5CE533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轴2：≥245°/s；</w:t>
      </w:r>
    </w:p>
    <w:p w14:paraId="16B15B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轴3：≥290°/s ；</w:t>
      </w:r>
    </w:p>
    <w:p w14:paraId="4EF876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轴4：≥480°/s；</w:t>
      </w:r>
    </w:p>
    <w:p w14:paraId="0C2D20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轴5：≥390°/s；</w:t>
      </w:r>
    </w:p>
    <w:p w14:paraId="5290D7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轴6：≥535°/s；</w:t>
      </w:r>
    </w:p>
    <w:p w14:paraId="5D753B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7.安装方式：地面或悬挂；</w:t>
      </w:r>
    </w:p>
    <w:p w14:paraId="5F17F67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8.防护等级：≥IP67；</w:t>
      </w:r>
    </w:p>
    <w:p w14:paraId="2C4830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9.集成气源：1*φ8+2*φ6, 8bar；</w:t>
      </w:r>
    </w:p>
    <w:p w14:paraId="16CB612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10.本体集成信号源：≥24路(30V，0.5A)；</w:t>
      </w:r>
    </w:p>
    <w:p w14:paraId="700B49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11.机器人支持二次开发。</w:t>
      </w:r>
    </w:p>
    <w:p w14:paraId="3AA1A8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12.配套控制器：供电230VAC或3 x 380VAC*1，尺寸≤522mm × 408mm × 425mm，重量≤35KG，高速稳定的运动控制，支持Profinet、Ethernet/IP、TCP/IP、Modbus/TCP等多种通信方式；</w:t>
      </w:r>
    </w:p>
    <w:p w14:paraId="1797983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11.示教器彩色触摸屏屏幕尺寸：≥10英寸，分辨率：≥1920 x 1080，紧急停机，3位启动开关，防护等级≥IP54，热插拔运行时可插拔；</w:t>
      </w:r>
    </w:p>
    <w:p w14:paraId="759541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12.机器人工作站需要配置独立的末端工具、电控柜和固定座，根据功能需要配置快换和中转等机构。</w:t>
      </w:r>
    </w:p>
    <w:p w14:paraId="4616E83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（五）多单元产线整合系统</w:t>
      </w:r>
    </w:p>
    <w:p w14:paraId="59CA88E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机器人抓手模块：</w:t>
      </w:r>
    </w:p>
    <w:p w14:paraId="485522D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1．快换盘（1主3副（吸盘，两爪，三爪））</w:t>
      </w:r>
    </w:p>
    <w:p w14:paraId="313526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主要功能：</w:t>
      </w:r>
    </w:p>
    <w:p w14:paraId="146EF5E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采用技术先进、稳定可靠的标准手爪快换产品；断电手爪不掉落；主副盘吸合后，需要有副盘在位检测信号反馈；换手架/换手台需要设计有手爪在位检测信号。</w:t>
      </w:r>
    </w:p>
    <w:p w14:paraId="393846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技术规格：</w:t>
      </w:r>
    </w:p>
    <w:p w14:paraId="3DE0FE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1）换手盘额定负载：≥5kg</w:t>
      </w:r>
    </w:p>
    <w:p w14:paraId="70DB00F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2）换手盘机器人侧+工具侧本体总重量≤0.6kg</w:t>
      </w:r>
    </w:p>
    <w:p w14:paraId="2A6945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3）承受载荷指标：</w:t>
      </w:r>
    </w:p>
    <w:p w14:paraId="41AED5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承受载荷指标：</w:t>
      </w:r>
    </w:p>
    <w:p w14:paraId="167660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Mx My最大静态力矩≥60nm</w:t>
      </w:r>
    </w:p>
    <w:p w14:paraId="5FB8CB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Mx My最大动态力矩≥160nm</w:t>
      </w:r>
    </w:p>
    <w:p w14:paraId="61182A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Ft最大连接力≥5000N</w:t>
      </w:r>
    </w:p>
    <w:p w14:paraId="3B46B5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X/Y/Z重复精度≤ +/-0.02mm</w:t>
      </w:r>
    </w:p>
    <w:p w14:paraId="2EDBC66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4）材质：高强度铝合金</w:t>
      </w:r>
    </w:p>
    <w:p w14:paraId="3479D7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5）锁紧机构：凸轮式锁紧机构。</w:t>
      </w:r>
    </w:p>
    <w:p w14:paraId="37CC7F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6）自动定心的功能：3个凸轮锁紧后，有定位的作用。</w:t>
      </w:r>
    </w:p>
    <w:p w14:paraId="75AA53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7）凸轮补偿装置：3个凸轮磨损会自动进行补偿，始终保持锁紧的状态。</w:t>
      </w:r>
    </w:p>
    <w:p w14:paraId="20ACD20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8）自清洁功能：3个凸轮有自动清理的功能。</w:t>
      </w:r>
    </w:p>
    <w:p w14:paraId="1B5DB3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9）灵活的凸轮伸缩功能。在小负载的情况，不会拖带工具。</w:t>
      </w:r>
    </w:p>
    <w:p w14:paraId="5B7463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10）锁紧传感开关的电压范围：10-30VDC。</w:t>
      </w:r>
    </w:p>
    <w:p w14:paraId="78CC17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11）生命周期可靠性：</w:t>
      </w:r>
    </w:p>
    <w:p w14:paraId="00152F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故障平均周期MCTF ≥ 8800万周期</w:t>
      </w:r>
    </w:p>
    <w:p w14:paraId="1C963C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平均修复时间MTTR ≤ 12 分钟</w:t>
      </w:r>
    </w:p>
    <w:p w14:paraId="4D9DF8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12）工作环境：工作气压 5-7bar.工作温度 5-60℃</w:t>
      </w:r>
    </w:p>
    <w:p w14:paraId="5A8DA74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13）内置用户气源端口：≥8个</w:t>
      </w:r>
    </w:p>
    <w:p w14:paraId="0209C0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14）数量：1套</w:t>
      </w:r>
    </w:p>
    <w:p w14:paraId="09160D7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2.定制手抓</w:t>
      </w:r>
    </w:p>
    <w:p w14:paraId="5BA45C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主要功能：采用双手抓形式实现工件上下料作业提高作业效率；手抓驱动形式采用气源驱动实现稳定抓取；手抓采用三爪形式实现圆柱体工件抓取。</w:t>
      </w:r>
    </w:p>
    <w:p w14:paraId="0FB6C99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技术规格：</w:t>
      </w:r>
    </w:p>
    <w:p w14:paraId="52F010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主要由铝制连接板、气爪、电气接口模块、磁性开关、电磁阀等组成。</w:t>
      </w:r>
    </w:p>
    <w:p w14:paraId="7A24CD2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手抓形式：双手抓形式</w:t>
      </w:r>
    </w:p>
    <w:p w14:paraId="3400C5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手抓驱动：气源驱动</w:t>
      </w:r>
    </w:p>
    <w:p w14:paraId="4CB4DA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机器人边库：</w:t>
      </w:r>
    </w:p>
    <w:p w14:paraId="403B2F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1.尺寸（长*宽*高）：≥900*600*800mm；</w:t>
      </w:r>
    </w:p>
    <w:p w14:paraId="66CB9F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2.放置有多种独立的末端工具与机器人进行快换；</w:t>
      </w:r>
    </w:p>
    <w:p w14:paraId="548234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3.可缓存数量：≥2个托盘；</w:t>
      </w:r>
    </w:p>
    <w:p w14:paraId="4E1B4C0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4.配套工件的的中转、换向等机构，可满足工件生产过程中，各种工序的定位；</w:t>
      </w:r>
    </w:p>
    <w:p w14:paraId="4DA7C39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5.采用模块化设计，配有单独的控制器，可进行单机操作或与机器人联动操作。</w:t>
      </w:r>
    </w:p>
    <w:p w14:paraId="26A3F4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6.配套多种检测传感器，结合触摸屏控制器可知晓该工作站目前生产状态。</w:t>
      </w:r>
    </w:p>
    <w:p w14:paraId="7E8BE2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7.边库设计有机器人控制柜放位置及单工作站PLC控制电控，集成度高，便于维修及调试。</w:t>
      </w:r>
    </w:p>
    <w:p w14:paraId="0FD87C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（六）物流调度系统</w:t>
      </w:r>
    </w:p>
    <w:p w14:paraId="7EB972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1）能及时获取AGV当前的运行状态，并指导AGV完成一系列的动作；</w:t>
      </w:r>
    </w:p>
    <w:p w14:paraId="25B309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2）路径规划，能根据当前AGV的所在位置以及站点所在位置对AGV进行最优路径规划；</w:t>
      </w:r>
    </w:p>
    <w:p w14:paraId="759144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3）现场设备信号采集与动作控制，需与现场设备进行信息交互，达到指定位置或完成指定动作需发送信号控制现场设备完成对应动作；</w:t>
      </w:r>
    </w:p>
    <w:p w14:paraId="50EA49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4）调度系统的任务信息需与MES系统对接，并向MES系统汇报；</w:t>
      </w:r>
    </w:p>
    <w:p w14:paraId="0F1154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5）任务修改或取消，任务尚未开始，系统可以修改和取消任务并下发新任务；</w:t>
      </w:r>
    </w:p>
    <w:p w14:paraId="59A6C0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6）设备监控，对AGV运行状态及任务状态进行监控，并有历史任务信息，工作日志等；</w:t>
      </w:r>
    </w:p>
    <w:p w14:paraId="5F27340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7）同一套调度系统支持不同车型的混行；同一套系统，支持不同导航方式车混行；</w:t>
      </w:r>
    </w:p>
    <w:p w14:paraId="6AC57D8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AGV监控客户端软件采用C/S架构；支持部署在云端的云运维平台，无需现场值守，只做数据接入，即能够自动完成设备、运行、告警、充电等数据的采集和统计，主动发现并上报问题，提供一定的智能数据分析功能，智能识别设备的隐性问题，并及时提供问题的解决方案。</w:t>
      </w:r>
    </w:p>
    <w:p w14:paraId="354677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（七）中控系统</w:t>
      </w:r>
    </w:p>
    <w:p w14:paraId="133AAA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一、集成调试：</w:t>
      </w:r>
    </w:p>
    <w:p w14:paraId="723D57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1.本工程为交钥匙工程；</w:t>
      </w:r>
    </w:p>
    <w:p w14:paraId="1A91F2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2.本项目包括：集成安装、安装施工和调试、联调测试；</w:t>
      </w:r>
    </w:p>
    <w:p w14:paraId="78B5765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提供实验室一体化配套设施（含文化建设、布线、等护航服务）包含整个实验室内对提供的实验设备的电源布线，采用不低于BV4平方国标铜芯单芯单股硬线，负荷满足实验室用电设备同时工作需求且有余量、线槽采用光亮氧化铝合金弧形地板线槽，防踩耐踩铝合金地面压线槽（1mm厚）等辅料。实验室供电电源要求规范布线，国标铜线，优质桥架.线管及国标开关插座；</w:t>
      </w:r>
    </w:p>
    <w:p w14:paraId="259E40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4.投标文件正本中提供平面布局、三维效果图，其中平面布局图要应明确设备尺寸、间距及设备名称。</w:t>
      </w:r>
    </w:p>
    <w:p w14:paraId="44FBE4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二、总控台：</w:t>
      </w:r>
    </w:p>
    <w:p w14:paraId="7864A7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1.包括服务器、人工智能开发及边缘算力模块、PLC、触摸屏、仪器显示终端、按钮、电控箱等。</w:t>
      </w:r>
    </w:p>
    <w:p w14:paraId="5E5DE4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2.配套采集模块，能够采集现场的模块化传送线、AGV机器人、装配机器人、视觉系统、二维码检测系统的状态以及监控视频等信号，配套PLC控制系统，支持PROFINET网络通讯</w:t>
      </w:r>
    </w:p>
    <w:p w14:paraId="309B13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3.主控台布局合理，符合人体功能学，采用钣金喷漆，尺寸不小于1400mm宽，桌面高度750~800mm，总高度不高于1600mm（不含报警灯高度）。</w:t>
      </w:r>
    </w:p>
    <w:p w14:paraId="5B93F5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4.电控柜布线严谨，具有漏电保护，安全符合国家标准。提供电气原理图，且方便二次开发。</w:t>
      </w:r>
    </w:p>
    <w:p w14:paraId="35AB11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三、主要配件参数如下：</w:t>
      </w:r>
    </w:p>
    <w:p w14:paraId="5F4F94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1.服务器：</w:t>
      </w:r>
    </w:p>
    <w:p w14:paraId="0E4C5B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（1）CPU I7</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12代及以上规格处理器，具备多线程处理能力，缓存容量不低于2</w:t>
      </w:r>
      <w:r>
        <w:rPr>
          <w:rFonts w:ascii="仿宋" w:hAnsi="仿宋" w:eastAsia="仿宋" w:cs="仿宋"/>
          <w:bCs/>
          <w:color w:val="auto"/>
          <w:sz w:val="24"/>
          <w:szCs w:val="24"/>
          <w:highlight w:val="none"/>
        </w:rPr>
        <w:t>0MB</w:t>
      </w:r>
      <w:r>
        <w:rPr>
          <w:rFonts w:hint="eastAsia" w:ascii="仿宋" w:hAnsi="仿宋" w:eastAsia="仿宋" w:cs="仿宋"/>
          <w:bCs/>
          <w:color w:val="auto"/>
          <w:sz w:val="24"/>
          <w:szCs w:val="24"/>
          <w:highlight w:val="none"/>
        </w:rPr>
        <w:t>，基准主频不低于2</w:t>
      </w:r>
      <w:r>
        <w:rPr>
          <w:rFonts w:ascii="仿宋" w:hAnsi="仿宋" w:eastAsia="仿宋" w:cs="仿宋"/>
          <w:bCs/>
          <w:color w:val="auto"/>
          <w:sz w:val="24"/>
          <w:szCs w:val="24"/>
          <w:highlight w:val="none"/>
        </w:rPr>
        <w:t>.5GHz</w:t>
      </w:r>
      <w:r>
        <w:rPr>
          <w:rFonts w:hint="eastAsia" w:ascii="仿宋" w:hAnsi="仿宋" w:eastAsia="仿宋" w:cs="仿宋"/>
          <w:bCs/>
          <w:color w:val="auto"/>
          <w:sz w:val="24"/>
          <w:szCs w:val="24"/>
          <w:highlight w:val="none"/>
        </w:rPr>
        <w:t>，32G内存。</w:t>
      </w:r>
    </w:p>
    <w:p w14:paraId="3EC611C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（2）不低于256G SSD+2T机械硬盘。</w:t>
      </w:r>
    </w:p>
    <w:p w14:paraId="4DF0CF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（3）8G以上（含）独立显卡。</w:t>
      </w:r>
    </w:p>
    <w:p w14:paraId="5C434F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（4）具有两个以上千兆网接口和不小于2个PCI的扩展插槽。</w:t>
      </w:r>
    </w:p>
    <w:p w14:paraId="318C21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（5）配置≥23寸仪器显示终端。</w:t>
      </w:r>
    </w:p>
    <w:p w14:paraId="6F0EDC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2、人工智能开发及边缘算力模块：</w:t>
      </w:r>
    </w:p>
    <w:p w14:paraId="79BA53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1）开发板：基于ARM架构的多核处理器，NPU算力不低于1TOPS，内存不低于4GB，存储不低于32GB。</w:t>
      </w:r>
    </w:p>
    <w:p w14:paraId="709684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2）人脸识别单元:支持深度学习红外人脸识别；支持活体检测，人脸捕捉，特征提取；外置USB接口传输视频流,可与控件板分离式安装。</w:t>
      </w:r>
    </w:p>
    <w:p w14:paraId="199699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3）RFID:13.56M RFID读写模块；DC 5V 功率0.5W；通讯协议：I2C。</w:t>
      </w:r>
    </w:p>
    <w:p w14:paraId="656DC5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4）4G模组:全网通4G通信模组。</w:t>
      </w:r>
    </w:p>
    <w:p w14:paraId="0AC8836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5）语音识别单元:AI语音识别，自定义唤醒词/命令词，MAX150条；支持中文播报。</w:t>
      </w:r>
    </w:p>
    <w:p w14:paraId="765AA5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6）外部接口:HDMI 2.0X1;MIPI DSI x 1; MIPI CSI0 x1;MIPI CSI1 x1;千兆以太网 x 2;USB 3.0 x1;USB 2.0 x3;USB OTG x1;CAN 总线 x2;RS232总线 x2;GPIO IN8/OUT8;ADC转换通道 x5;PCIe-2.0 x 1。</w:t>
      </w:r>
    </w:p>
    <w:p w14:paraId="222DE8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7）环境适应性:宽压DC 9~36V输入；工作温度：-45℃~85℃；静电等级：ESD3。</w:t>
      </w:r>
    </w:p>
    <w:p w14:paraId="47F40E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8）模块软件功能：</w:t>
      </w:r>
    </w:p>
    <w:p w14:paraId="2E4ABE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（1）设备信息管理功能：查询设备型号，ID号，出厂日期，使用单位等设备信息。</w:t>
      </w:r>
    </w:p>
    <w:p w14:paraId="4D9850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（2）用户管理功能：用户增，删，改，查，可设置权限；可通过RFID,人脸识别验证授权登录。</w:t>
      </w:r>
    </w:p>
    <w:p w14:paraId="772731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（3）AI语音交互，包含开机帮助提示、设备功能简介和基础操作动作（比如上电、状态查询、停止等）；可以进行AI语音操作功能扩展。</w:t>
      </w:r>
    </w:p>
    <w:p w14:paraId="39390E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（4）南北向接口：通讯协议:MQTT,Modbus;上位机可通过以太网/4G与系统实现数据交互；系统通过ModBus协议，I2C，SPI，DIO直接与外部设备通讯（如：读取电流、电压、气压、温度、湿度等传感器的数据）；</w:t>
      </w:r>
    </w:p>
    <w:p w14:paraId="0A8032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（5）系统数据管理：设备状态数据管理，如上电，开机，运行，停止故障，运行日志等。数据统计查询，包含电流、电压、气压、温度、湿度等数据。支持数据本地保存和云端同步远程管理；</w:t>
      </w:r>
    </w:p>
    <w:p w14:paraId="01268BA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（6）WebServer功能：可通过网页进行系统设置及数据管理；远程数据监控报警及管理；远程用户授权；远程数据录入（包括但不限于设备信息数据，用户数据等）；远程人脸录入；远程配置下发；</w:t>
      </w:r>
    </w:p>
    <w:p w14:paraId="597805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PLC：</w:t>
      </w:r>
    </w:p>
    <w:p w14:paraId="54C249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（1）存储器：工作存储器 集成（用于程序） 10 Mbyte、集成（用于数据） 100 Mbyte、集成（用于 CPU Runtime 的 CPU 功能库） 50 Mbyte、装载存储器 内置（在 PC 的大容量存储器中） 1024 Mbyte</w:t>
      </w:r>
    </w:p>
    <w:p w14:paraId="6E4F5A6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）CPU-组件</w:t>
      </w:r>
    </w:p>
    <w:p w14:paraId="7B612DE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元素数量（总数） 6000;元素不仅可以是数据块、功能块和功能等模块，还可以是用户自定义数据类型、全局性常量等</w:t>
      </w:r>
    </w:p>
    <w:p w14:paraId="372E37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rPr>
        <w:t>）计数器、定时器及其剩磁</w:t>
      </w:r>
    </w:p>
    <w:p w14:paraId="72FAC63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S7计数器数量2048</w:t>
      </w:r>
    </w:p>
    <w:p w14:paraId="66AC38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）数据范围及其剩磁</w:t>
      </w:r>
    </w:p>
    <w:p w14:paraId="58B8F7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保留的数据范围（包括时间、计数器、标记），最大值135 kbyte; （SIMATIC IPC427D、IPC477D、IPC427E、IPC477E、IPC627E、IPC677E）；35 KB（SIMATIC IPC627D、IPC677D 和 IPC827D）</w:t>
      </w:r>
    </w:p>
    <w:p w14:paraId="4805C67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扩展的保留数据范围（包括时间、计数器、标记），最大值 100 Mbyte; 将 PC大容量存储用于保持性数据时</w:t>
      </w:r>
    </w:p>
    <w:p w14:paraId="7BBEE9B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）地址范围</w:t>
      </w:r>
    </w:p>
    <w:p w14:paraId="4452571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IO模块数量8192</w:t>
      </w:r>
    </w:p>
    <w:p w14:paraId="390B22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rPr>
        <w:t>）接口</w:t>
      </w:r>
    </w:p>
    <w:p w14:paraId="729B8F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PROFINET 接口数量 2</w:t>
      </w:r>
    </w:p>
    <w:p w14:paraId="5F782F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PROFIBUS 接口数量 1</w:t>
      </w:r>
    </w:p>
    <w:p w14:paraId="199903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物理接口  RJ 45（以太网）</w:t>
      </w:r>
    </w:p>
    <w:p w14:paraId="4F2FA8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电源箱</w:t>
      </w:r>
    </w:p>
    <w:p w14:paraId="32FD49C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（1）包括 1P+N C20（带漏保）空气开关、10A 插座 3 个、电源箱。</w:t>
      </w:r>
    </w:p>
    <w:p w14:paraId="60FB28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（2）支持5V、12V、24V常用支流电压输出；</w:t>
      </w:r>
    </w:p>
    <w:p w14:paraId="6EB158B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交换机</w:t>
      </w:r>
    </w:p>
    <w:p w14:paraId="0949BA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支持网络标准IEEE802.3、IEEE802.3u、IEEE802.3x；</w:t>
      </w:r>
    </w:p>
    <w:p w14:paraId="47DCA9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（2）8口全千兆自适应RJ45端口；</w:t>
      </w:r>
    </w:p>
    <w:p w14:paraId="42C5953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（3）体积小巧、支持轨道安装；</w:t>
      </w:r>
    </w:p>
    <w:p w14:paraId="1994C9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 三色警示灯套件</w:t>
      </w:r>
    </w:p>
    <w:p w14:paraId="6A20BA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（1）灯体颜色：红色、绿色、颜色；</w:t>
      </w:r>
    </w:p>
    <w:p w14:paraId="034BAC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（2）防护等级：IP65；</w:t>
      </w:r>
    </w:p>
    <w:p w14:paraId="7E05F6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（3）发光形式：常亮、闪亮、转亮。</w:t>
      </w:r>
    </w:p>
    <w:p w14:paraId="04DA50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 触摸屏</w:t>
      </w:r>
    </w:p>
    <w:p w14:paraId="3E6C11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（1）尺寸：≥10寸；</w:t>
      </w:r>
    </w:p>
    <w:p w14:paraId="71DBE4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（2）分辨率：≥800x480；</w:t>
      </w:r>
    </w:p>
    <w:p w14:paraId="6F3F08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（3）输入电压：24V±20%；</w:t>
      </w:r>
    </w:p>
    <w:p w14:paraId="3DBF289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（4）储存器(闪存/内存)(MB)：128MB；</w:t>
      </w:r>
    </w:p>
    <w:p w14:paraId="3B1EFB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（5）以太网网口通讯；</w:t>
      </w:r>
    </w:p>
    <w:p w14:paraId="11CC91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（6）背光类型：LED；</w:t>
      </w:r>
    </w:p>
    <w:p w14:paraId="042BDF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（7）兼容PLC。</w:t>
      </w:r>
    </w:p>
    <w:p w14:paraId="302D07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（八）数字孪生系统30套</w:t>
      </w:r>
    </w:p>
    <w:p w14:paraId="3315E69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一、产线快速搭建与运动仿真功能：</w:t>
      </w:r>
    </w:p>
    <w:p w14:paraId="2B01566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三维建模软件接口功能</w:t>
      </w:r>
    </w:p>
    <w:p w14:paraId="64BD33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与CAD、SolidWorks、UG、3DMAX等制图软件对接，支持dxf、stl、fbx、3ds、obj、step、stl等常见三维模型格式文件导入；</w:t>
      </w:r>
    </w:p>
    <w:p w14:paraId="437298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装备自定义泛化封装功能</w:t>
      </w:r>
    </w:p>
    <w:p w14:paraId="79461A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具有装备泛化封装功能，用户可将其个性化的设备封装成数字孪生体模型，供后续构建虚拟仿真工程复用；</w:t>
      </w:r>
    </w:p>
    <w:p w14:paraId="211462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（1）支持设备模型外形参数化定义，包括模型的长宽高外观尺寸参数化变形、模型线性克隆阵列、旋转克隆阵列等；</w:t>
      </w:r>
    </w:p>
    <w:p w14:paraId="4076CE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（2）具有模型运动动作方式快速定义功能，通过操作配置即可实现模型运动部件的主从关系、运动方式及行程范围的快速定义，运动方式包括：平移、旋转、平移协同、旋转协同等；</w:t>
      </w:r>
    </w:p>
    <w:p w14:paraId="2C1C24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具有机构运动行为创建功能，支持创建驱动器行为和运动学行为。驱动器包括：单轴驱动器、多轴驱动器、轨迹驱动器；运动学包括：二轴、三轴、四轴等多轴机构、Scara机器人、并联机器人等的逆运动学算法组件，支持不同种类的机械手快速封装。</w:t>
      </w:r>
    </w:p>
    <w:p w14:paraId="2340B5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具有功能组件库，依托该功能组件库可快速定义出各种特定功能效果，组件包括通用组件（工件发生器组件、工件销毁器组件、包围盒夹具、射线夹具、相机组件、多连杆组件）、电线绘制组件（画笔组件、点胶或焊缝增材组件）、传感器组件（体积传感器组件、射线传感器组件）、物理学功能组件（直筒传送带、圆弧传送带、刚体）；</w:t>
      </w:r>
    </w:p>
    <w:p w14:paraId="4DCEC21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（5）具有刚体功能组件，支持定义刚体的特性，包括质量、摩擦力、弹力等；</w:t>
      </w:r>
    </w:p>
    <w:p w14:paraId="3EDA12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（6）模型的控制信号定义，信号类型包括boolean、string、float、int、byte、double、long、short等控制器常用类型；</w:t>
      </w:r>
    </w:p>
    <w:p w14:paraId="408175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（7）具有装备脚本编制功能，采用Python语言进行脚本编制，实现对控制信号的触发进行响应，平台内嵌代码编辑器和编译器，可实现编写脚本后立马调试；</w:t>
      </w:r>
    </w:p>
    <w:p w14:paraId="50EED7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提供程序块控件，通过拖拽控件无需编程即可快速实现设备控制逻辑及时序定义；常用可视化控件指令包括：If、Switch、While、Call、Delay、Parallel、SetSignal、Wait等，此外，机器人控件指令包括：PTP、LIN、CIRC、ROT、SETBASE、SETTOOL等；</w:t>
      </w:r>
    </w:p>
    <w:p w14:paraId="53F248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提供可视化信号面板，实现模型信号的关联控制。信号面板将模型的信号与其他模型或通迅配置进行关联（连接），实现模型间的各种功能和动作的关联控制。信号和信号之间通过拖拽连线进行关联和数据传递。</w:t>
      </w:r>
    </w:p>
    <w:p w14:paraId="2AC1B0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模型库功能</w:t>
      </w:r>
    </w:p>
    <w:p w14:paraId="6A863C0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（1）内置有立方体、球体、圆柱、传感器、文字、直线皮带/滚筒输送机、曲线皮带/滚筒输送机等基础模型；</w:t>
      </w:r>
    </w:p>
    <w:p w14:paraId="4F337F0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（2）模型库中预置了丰富的模型组件，包含主流品牌机器人（ABB、KUKA、Fanuc、YASKAWA、Nachi 等，埃斯顿、埃夫特、遨博、广数、华数、汇川、珞石等）、输送机、AGV、通用机床、立体仓库、高密度四向穿立库、控制器、视觉相机、传感器等；</w:t>
      </w:r>
    </w:p>
    <w:p w14:paraId="60FAD9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（3）支持自定义模型库（新建、删除），支持自定义的设备/单元封装的数字孪生模型以组件的形式形成组件库，支持组件复用；</w:t>
      </w:r>
    </w:p>
    <w:p w14:paraId="194875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（4）模型库内置模型支持模型属性参数化，如滚筒输送机改变长度时，滚筒数量也会自动增加或减少；</w:t>
      </w:r>
    </w:p>
    <w:p w14:paraId="7B1474A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（5）模型库中的模型可直接拖拉拽进入场景中，快速完机器人工作站、生产系统方案搭建；</w:t>
      </w:r>
    </w:p>
    <w:p w14:paraId="741486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模型编辑与交互功能</w:t>
      </w:r>
    </w:p>
    <w:p w14:paraId="06AA93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（1）具有模型原点修改功能：可直接修改模型原点值，也可基于特征拾取模型特征，快速精准将模型原点调整到该特征位置；</w:t>
      </w:r>
    </w:p>
    <w:p w14:paraId="77C1524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（2）支持模型位姿修改：三维场景中的模型，通过鼠键配合实现模型位姿任意值或固定幅度值修改。</w:t>
      </w:r>
    </w:p>
    <w:p w14:paraId="1A5A85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（3）活动部件交互操作：启动交互模式后，可以通过鼠标操作活动部件在设定的运动方式和行程范围内任意移动，便于用户确定该活动部件的运动行为、行程和作业示教。</w:t>
      </w:r>
    </w:p>
    <w:p w14:paraId="29C5CD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三维场景交互功能</w:t>
      </w:r>
    </w:p>
    <w:p w14:paraId="7A0BB3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（1）支持场景交互操作，通过键鼠实现场景移动、放缩、旋转、360度漫游查看等；</w:t>
      </w:r>
    </w:p>
    <w:p w14:paraId="08AB8E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（2）场景视角管理：支持场景视角添加、删除；选择保存后的视角缩略图，3D场景可以快速切换到对应视角。</w:t>
      </w:r>
    </w:p>
    <w:p w14:paraId="0F252A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（3）聚焦模型功能，鼠标双击场景模型或者点选聚焦模型按钮，以鼠标指针为中心，视角迅速聚焦该区域，便于模型迅速定位；</w:t>
      </w:r>
    </w:p>
    <w:p w14:paraId="0863693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 智能产线快速布局搭建功能</w:t>
      </w:r>
    </w:p>
    <w:p w14:paraId="50DBEC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（1）支持用户拖拉拽模型库中的设备模型进入三维场景中，通过移动、旋转、编辑、装配等系类等操作，进行方案快速布局搭建；</w:t>
      </w:r>
    </w:p>
    <w:p w14:paraId="72003A2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（2）具有捕捉（特征探测）功能：基于三维模型几何拓扑特征的解析和识别方法，可识别模型的点线面、中心、三角网格中心、圆心、轴心等特征；</w:t>
      </w:r>
    </w:p>
    <w:p w14:paraId="02E056F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（3）具有模型测距功能，便于装配和布局搭建：具有基于特征拾取的两点之间距离测量功能，可测量两点之间的直线距离值和X/Y/Z方向分量的距离值，测距结果在三维场景中标注显示；</w:t>
      </w:r>
    </w:p>
    <w:p w14:paraId="60E316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（4）精准装配功能：基于智能捕捉两个部件的点线面特征，部件与部件之间自动靠接、自动吸附对齐，无需手动进行位置调整，实现精准装配；</w:t>
      </w:r>
    </w:p>
    <w:p w14:paraId="4A944B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 运动仿真功能</w:t>
      </w:r>
    </w:p>
    <w:p w14:paraId="06DF5E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支持近物理仿真功能：支持包括但不限于物理碰撞检测、摩擦力、重力、速度、加速度、惯性等近物理仿真；虚拟设备运动仿真时，能充分考虑工件、设备的物理场特性，以及可能发生物理碰撞检测，包括碰撞、滑动、掉落地上等物理现象；</w:t>
      </w:r>
    </w:p>
    <w:p w14:paraId="501058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（2）虚拟设备运行过程中，能呈现金属切削过程实时减材效果、焊接过程实时增材效果、喷涂作业过程工件实时着色效果； </w:t>
      </w:r>
    </w:p>
    <w:p w14:paraId="5427FB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（3）虚拟场景中，能呈现出布或铝箔等连续材质在设备上流转的流动效果； </w:t>
      </w:r>
    </w:p>
    <w:p w14:paraId="6702FA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二、机器人模块：</w:t>
      </w:r>
    </w:p>
    <w:p w14:paraId="002DA4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支持导入自定义的机器人模型；</w:t>
      </w:r>
    </w:p>
    <w:p w14:paraId="254C10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支持多类型（Scara、DELTA、五轴、六轴、三轴、并联等）机器人运动学参数自定义，包含正解、逆解、直线和圆弧插补，速度规划等；</w:t>
      </w:r>
    </w:p>
    <w:p w14:paraId="01566F5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支持多关节联动控制；</w:t>
      </w:r>
    </w:p>
    <w:p w14:paraId="294B4A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支持机器人离线示教功能，能够对机器人末端工具进行托拉拽，并对目标点进行点位信息进行纪录，实现点位的离线拖动示教；</w:t>
      </w:r>
    </w:p>
    <w:p w14:paraId="129F54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具有机器人示教面板，面板中具有离线示教模式（末端位姿拖动/捕捉）切换功能、移动模式（世界坐标/工具坐标/基坐标）切换功能、关节角度拖动调整功能、复位至初始姿态功能、以及对齐至坐标系功能；</w:t>
      </w:r>
    </w:p>
    <w:p w14:paraId="734007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 具有丰富的机器人指令：具有PTP、LIN、CIRC、ROT、SETBASE、SETTOOL等指令进行点到点、直线、曲线等多种机器人轨迹规划；</w:t>
      </w:r>
    </w:p>
    <w:p w14:paraId="38B96A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具有机器人程序编辑功能，具有子控制程序创建、复制、删除和保存编译功能；通过控件式的指令块免代码编辑机器人程序；点选指令块机器人能联动切换到对应的位姿；机器人运行过程中，对应执行的程序块能够实时高亮显示；</w:t>
      </w:r>
    </w:p>
    <w:p w14:paraId="4CA0D7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 具有机器人末端轨迹划线功能，便于校验规划的合理性；</w:t>
      </w:r>
    </w:p>
    <w:p w14:paraId="39CF0D1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三、虚拟调试功能：</w:t>
      </w:r>
    </w:p>
    <w:p w14:paraId="68099F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数据通讯与控制模块</w:t>
      </w:r>
    </w:p>
    <w:p w14:paraId="75C013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（1）支持客户端、服务端、中间件多种模式进行数据通讯；</w:t>
      </w:r>
    </w:p>
    <w:p w14:paraId="0C4529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（2）支持IOT、信息系统通信传值；</w:t>
      </w:r>
    </w:p>
    <w:p w14:paraId="25BD9C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（3）支持多种协议进行数据通信，包括但不限于：S7、Modbus、Socket-Client、Socket-Server、Robotstudio等；</w:t>
      </w:r>
    </w:p>
    <w:p w14:paraId="77B109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（4）支持外部PLC、机器人控制器对虚拟场景模型进行虚拟控制，实现半物理仿真效果；</w:t>
      </w:r>
    </w:p>
    <w:p w14:paraId="37CBBE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电控程序虚拟调试</w:t>
      </w:r>
    </w:p>
    <w:p w14:paraId="0BA8B0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支持与西门子PLC、汇川PLC、三菱PLC交互数据，实现PLC程序驱动的虚拟模型运动仿真，通过分析判断虚拟设备运动动作及加工工艺过程是否符合设计要求，反向验证PLC控制程序逻辑和时序的正确性、合理性和完备性，实现脱离实物设备，即可完成PLC程序的调试验证；</w:t>
      </w:r>
    </w:p>
    <w:p w14:paraId="3F46DA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▲四、数字孪生虚实映射功能：</w:t>
      </w:r>
      <w:r>
        <w:rPr>
          <w:rFonts w:hint="eastAsia" w:ascii="仿宋" w:hAnsi="仿宋" w:eastAsia="仿宋" w:cs="仿宋"/>
          <w:bCs/>
          <w:color w:val="auto"/>
          <w:sz w:val="24"/>
          <w:szCs w:val="24"/>
          <w:highlight w:val="none"/>
          <w:lang w:bidi="en-US"/>
        </w:rPr>
        <w:t>（投标时提供功能截屏证明材料）</w:t>
      </w:r>
    </w:p>
    <w:p w14:paraId="7DE153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逼真的材质渲染效果和模型材质编辑功能</w:t>
      </w:r>
    </w:p>
    <w:p w14:paraId="7CB2042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（1）三维场景采用PBR渲染，虚拟模型具有包括但不限金属、塑料、铝合金、抛光等逼真材质效果；</w:t>
      </w:r>
    </w:p>
    <w:p w14:paraId="3695CE8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模型材质编辑功能，具有软件的材质编辑器，通过材质编辑实现虚拟设备在外观形态上与实物一致；PBR材质编辑支持基础色、金属度、粗糙度、基础色贴图、法线贴图、金属贴图、粗糙度贴图、金属粗糙度贴图、发光贴图、高度贴图、高度差、AO贴图等编辑设置。</w:t>
      </w:r>
    </w:p>
    <w:p w14:paraId="1F2A148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 具有虚实互控和统计分析数据看板功能： </w:t>
      </w:r>
    </w:p>
    <w:p w14:paraId="152D77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采集设备的启停、状态、实时位姿、任务信息、库位信息、货物ID等实时数据，孪生系统通过数据挖掘和数据处理（过滤、刷选、归类、标识、结构化存储等），将现场数据转化为触发事件，驱动虚拟模型（包括设备和在制品）低延时、高流畅性运动。</w:t>
      </w:r>
    </w:p>
    <w:p w14:paraId="1DBC5E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（2）具有前端UI看板集成开发功能，实现个性化看板：用户开发的前端UI看板可直接嵌入到3D场景中，呈现设备利用率、产能、库存等统计指标。</w:t>
      </w:r>
    </w:p>
    <w:p w14:paraId="4AE8C0F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五、智能制造使能技术数字孪生实训功能：</w:t>
      </w:r>
    </w:p>
    <w:p w14:paraId="483A2B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软件集成了PLC仿真、机器人仿真、视觉相机仿真、产线和仓储仿真等功能。提供用户自主建模与自主布局功能，并开放底层接口，支持用户二次开发，是智能制造综合实训平台，并提供了丰富的教学资源。</w:t>
      </w:r>
    </w:p>
    <w:p w14:paraId="63C36C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PLC应用编程实训</w:t>
      </w:r>
    </w:p>
    <w:p w14:paraId="2145EF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（1）支持西门子、三菱、汇川等多种品牌PLC实训；</w:t>
      </w:r>
    </w:p>
    <w:p w14:paraId="2347ED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（2）系统支持与PLC进行多种数据通讯及交互：满足常用PLC数据格式读取和写入，包括bool，short，int，long，float，byte，unit，long，double；</w:t>
      </w:r>
    </w:p>
    <w:p w14:paraId="7C0B1C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（3）支持针对PLC指定地址进行定时读取，用户可以自定义读取间隔；</w:t>
      </w:r>
    </w:p>
    <w:p w14:paraId="2D7748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（4）支持PLC数据的批量信息读取，用户可以自定义读取地址及长度；</w:t>
      </w:r>
    </w:p>
    <w:p w14:paraId="4D1F73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具有多种运行模式：支持托管式运行模式，采用仿真动画的形式将设备的加工运行过程进行展示；支持基于软PLC技术的纯软件实操模式；支持基于硬件在环技术的半实物控制模式，控制器是实物PLC，控制对象是虚拟场景；</w:t>
      </w:r>
    </w:p>
    <w:p w14:paraId="5C30AC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工业机器人操作与编程实训</w:t>
      </w:r>
    </w:p>
    <w:p w14:paraId="547F7B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（1）具有丰富的机器人库（scara、五轴、六轴等），同时也支持自定义封装机器人模型，支持多类型机器人实训； </w:t>
      </w:r>
    </w:p>
    <w:p w14:paraId="390ED8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（2）离线拖动示教功能，能够对机器人末端工具进行托拉拽，并对目标点进行点位信息进行纪录，实现点位的离线拖动示教；</w:t>
      </w:r>
    </w:p>
    <w:p w14:paraId="4E1996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（3）多机器人协同作业实训：支持多种类型机器人，如直角机器人、SCARA机器人、4轴串联机器人、6轴串联机器人，每台机器人都有独立的运动控制器，分别编程，独立运行； </w:t>
      </w:r>
    </w:p>
    <w:p w14:paraId="145F792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（4）碰撞检测功能：场景中的模型对象具有碰撞检测功能，当机构发生干涉碰撞时，干涉部件通过颜色变化标示出来；</w:t>
      </w:r>
    </w:p>
    <w:p w14:paraId="59D3CC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（5）机器人轨迹线功能：具有机器人TCP轨迹线功能，可控制轨迹线显示与隐藏；</w:t>
      </w:r>
    </w:p>
    <w:p w14:paraId="09408A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（6）货物精准拾取与放置：拾取货物时，学生编程驱动的机器人运动不到位（精度±1mm范围），工件拾取不成功；放置货物时，学生编程驱动的机器人运动放置的位置偏离目标的裕度范围，工件会跌落到地面；</w:t>
      </w:r>
    </w:p>
    <w:p w14:paraId="64EE4E3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具有多种运行模式：支持离线演示运行模式，采用仿真动画的形式将设备的加工运行过程进行展示；支持基于虚拟示教器的纯软件实操模式；支持基于硬件在环技术的半实物控制模式，示教器是手持式实物示教器，控制对象是虚拟场景；</w:t>
      </w:r>
    </w:p>
    <w:p w14:paraId="63BA68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机器视觉实训</w:t>
      </w:r>
      <w:r>
        <w:rPr>
          <w:rFonts w:hint="eastAsia" w:ascii="仿宋" w:hAnsi="仿宋" w:eastAsia="仿宋" w:cs="仿宋"/>
          <w:bCs/>
          <w:color w:val="auto"/>
          <w:sz w:val="24"/>
          <w:szCs w:val="24"/>
          <w:highlight w:val="none"/>
          <w:lang w:bidi="en-US"/>
        </w:rPr>
        <w:t>（投标时提供功能截屏证明材料）</w:t>
      </w:r>
    </w:p>
    <w:p w14:paraId="1FA94C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具有相机功能组件：支持在虚拟场景中以特定视角拍摄场景，并支持拍摄结果在三维场景中的虚拟仪器显示终端上实时展示，支持拍摄结果以文件、编码的形式与视觉软件实时交互。相机组件可设置图像宽度、图像高度、相机视野、近裁切面、远裁切面等参数；</w:t>
      </w:r>
    </w:p>
    <w:p w14:paraId="52C857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（2）还原真实环境：虚拟相机模拟打光、拍照；产品或工件形态、特征变化模拟；</w:t>
      </w:r>
    </w:p>
    <w:p w14:paraId="784C01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（3）仿真场景中的虚拟相机，能与外部机器视觉软件实时数据交换，实现对虚拟工件的在线视觉检测；机器视觉软件与虚拟机器人总线通讯，把工件坐标传给虚拟机器人，引导虚拟机器人抓取工件；</w:t>
      </w:r>
    </w:p>
    <w:p w14:paraId="12BEBD98">
      <w:pPr>
        <w:spacing w:line="360" w:lineRule="auto"/>
        <w:rPr>
          <w:rFonts w:ascii="仿宋" w:hAnsi="仿宋" w:eastAsia="仿宋" w:cs="仿宋"/>
          <w:bCs/>
          <w:color w:val="auto"/>
          <w:sz w:val="24"/>
          <w:szCs w:val="24"/>
          <w:highlight w:val="none"/>
        </w:rPr>
      </w:pPr>
      <w:bookmarkStart w:id="123" w:name="OLE_LINK38"/>
      <w:r>
        <w:rPr>
          <w:rFonts w:hint="eastAsia" w:ascii="仿宋" w:hAnsi="仿宋" w:eastAsia="仿宋" w:cs="仿宋"/>
          <w:bCs/>
          <w:color w:val="auto"/>
          <w:sz w:val="24"/>
          <w:szCs w:val="24"/>
          <w:highlight w:val="none"/>
        </w:rPr>
        <w:t>边缘节点软件</w:t>
      </w:r>
      <w:bookmarkEnd w:id="123"/>
    </w:p>
    <w:p w14:paraId="309A14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1）边缘节点管理软件支持接入多个边缘节点，可以自动生成边缘节点的配置信息，能够高效、便捷地管</w:t>
      </w:r>
    </w:p>
    <w:p w14:paraId="75B9C9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理边缘节点，所有边缘节点可以在云端统一管理、监控和运维。</w:t>
      </w:r>
    </w:p>
    <w:p w14:paraId="3099C9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2）终端设备管理终端设备支持通过MQTT、Modbus和TCP等协议接入到边缘节点中并对其进行统一管理。</w:t>
      </w:r>
    </w:p>
    <w:p w14:paraId="3FD667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3）边缘应用管理：</w:t>
      </w:r>
      <w:bookmarkStart w:id="124" w:name="OLE_LINK32"/>
      <w:r>
        <w:rPr>
          <w:rFonts w:hint="eastAsia" w:ascii="仿宋" w:hAnsi="仿宋" w:eastAsia="仿宋" w:cs="仿宋"/>
          <w:bCs/>
          <w:color w:val="auto"/>
          <w:sz w:val="24"/>
          <w:szCs w:val="24"/>
          <w:highlight w:val="none"/>
        </w:rPr>
        <w:t>边缘节点软件</w:t>
      </w:r>
      <w:bookmarkEnd w:id="124"/>
      <w:r>
        <w:rPr>
          <w:rFonts w:hint="eastAsia" w:ascii="仿宋" w:hAnsi="仿宋" w:eastAsia="仿宋" w:cs="仿宋"/>
          <w:bCs/>
          <w:color w:val="auto"/>
          <w:sz w:val="24"/>
          <w:szCs w:val="24"/>
          <w:highlight w:val="none"/>
        </w:rPr>
        <w:t>支持将边缘应用快速部署到边缘节点运行。支持对应用进行版本升级、配置变更、卸载、监控和日志采集。</w:t>
      </w:r>
    </w:p>
    <w:p w14:paraId="5DE8704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算法服务：边缘节点软件针对智能制造的生产需求，提供丰富边缘计算处理的算法（如图像处理、数据分析、人工智能、逻辑流程判断等），可灵活、快捷地应用到边缘应用中去。并提供算法接口，可轻松、灵活、便捷地实现算法的扩展。</w:t>
      </w:r>
    </w:p>
    <w:p w14:paraId="15FB7E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设备影子：设备影子是终端设备存储在云端的一份设备数据，用于保存终端设备的当前配置、状态。设备影子是实现终端设备和用户应用之间的数据双向同步的中介。在配置应用管理时，用户应用不需要直接对终端设备进行操作，只需要在云端的设备影子上进行，最后由设备影子同步到边缘设备。即使当时设备不在线，设备上线后仍能从设备影子同步到最新配置。边缘设备将状态实时上报到设备影子，需要时用户应用只需查询设备影子即可。这样可以有效减少边缘设备和云端的网络交互，尤其是低功耗设备。</w:t>
      </w:r>
    </w:p>
    <w:p w14:paraId="035F6F2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边缘节点软件特点：</w:t>
      </w:r>
    </w:p>
    <w:p w14:paraId="20C183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（1）丰富的智能边缘应用:</w:t>
      </w:r>
      <w:r>
        <w:rPr>
          <w:rFonts w:hint="eastAsia"/>
          <w:color w:val="auto"/>
          <w:highlight w:val="none"/>
        </w:rPr>
        <w:t xml:space="preserve"> </w:t>
      </w:r>
      <w:r>
        <w:rPr>
          <w:rFonts w:hint="eastAsia" w:ascii="仿宋" w:hAnsi="仿宋" w:eastAsia="仿宋" w:cs="仿宋"/>
          <w:bCs/>
          <w:color w:val="auto"/>
          <w:sz w:val="24"/>
          <w:szCs w:val="24"/>
          <w:highlight w:val="none"/>
        </w:rPr>
        <w:t>边缘节点软件依托其丰富且可扩展的算法服务，可自主灵活搭建满足各类计算处理需求的边缘应用（如图像处理、条码识别、OCR、深度学习、运动控制、智能视觉等）部署到边缘节点运行，且提供边缘应用和云上服务协同能力。</w:t>
      </w:r>
    </w:p>
    <w:p w14:paraId="1B3A512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（2）支持高性能边缘智能硬件：边缘节点软件提供软硬一体化解决方案，为用户提供低成本、开箱即用、简便运维的一站式服务，提供专用边缘控制器/KVision工业视觉边缘处理器硬件；</w:t>
      </w:r>
    </w:p>
    <w:p w14:paraId="11CC81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云边协同：边缘节点软件可方便、快捷地协同云端和边缘端的工作，例如智能制造场景下，在云端使用生产管理软件、仓储管理软件、KSCADA统一对生产流程、物料产品、生产数据进行统一管控，下发订单到各边缘端执行，同时将边缘节点的数据回传到云端，再通过这些云端平台做进一步的处理，形成闭环。</w:t>
      </w:r>
    </w:p>
    <w:p w14:paraId="576AA5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安全可靠：为边缘节点创建专属服务用户，保护相应的目录和拥有的权限，向云端上传日志、监控信息由用户自行选择。为每个边缘节点颁布唯一接入证书，双向通讯通过证书认证、加密。终端设备使用证书进行身份认证。</w:t>
      </w:r>
    </w:p>
    <w:p w14:paraId="6CF2CB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低成本：云计算和边缘计算结合，在边缘节点处实现对数据的过滤和分析，大幅提高效率，降低云端计算成本。带宽成本，在进行云端传输时通过边缘节点进行一部分数据处理，缩短终端设备响应时间，减少从终端设备到云端的数据流量，降低带宽成本。</w:t>
      </w:r>
    </w:p>
    <w:p w14:paraId="0031472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▲3、边缘节点应用平台：</w:t>
      </w:r>
      <w:r>
        <w:rPr>
          <w:rFonts w:hint="eastAsia" w:ascii="仿宋" w:hAnsi="仿宋" w:eastAsia="仿宋" w:cs="仿宋"/>
          <w:bCs/>
          <w:color w:val="auto"/>
          <w:sz w:val="24"/>
          <w:szCs w:val="24"/>
          <w:highlight w:val="none"/>
          <w:lang w:bidi="en-US"/>
        </w:rPr>
        <w:t>（投标时提供功能截屏证明材料）</w:t>
      </w:r>
    </w:p>
    <w:p w14:paraId="5A3F52B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边缘节点应用软件平台核心是一组可以在边缘智能硬件设备上运行的程序和管理工具。通过应用软件平台，可以快速地搭建在本地智能硬件设备上运行的边缘节点，并且可以通过边缘节点软件云端控制台进行节点管理工作。</w:t>
      </w:r>
    </w:p>
    <w:p w14:paraId="301C75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软件平台采用软硬件控制处理一体化集成设计。在一个软件平台中实现统一标准化的设备硬件控制、图像处理和数据统计应用方式。硬件控制包括相机应用控制、PLC应用控制、运动控制卡应用控制、光源应用控制、机器人应用控制等，支持常见品牌的2D相机和3D相机；支持常见品牌的PLC、运动控制卡和工业机器人，也支持常见的激光振镜控制。</w:t>
      </w:r>
    </w:p>
    <w:p w14:paraId="2448AA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提供图形化编程和代码编程两种编程模式：图形化编程通俗易懂简单易用，采用拖拽式操作配置的方式实现参数的设置、数据的编辑、显示窗口布局显示、流程图定义任务流程；代码编程支持基于VB.net、C#多种语言的编程和开发；包括提供SDK底层算法开发包、算法工具开发模块、硬件资源开发模块、用户界面开发模块等。</w:t>
      </w:r>
    </w:p>
    <w:p w14:paraId="5EEAB5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（4）支持任务流程逻辑自由定义，支持多线程、多工位同步异步执行；支持多用户模式；支持客户端服务器之间交叉指令控制；</w:t>
      </w:r>
    </w:p>
    <w:p w14:paraId="62A775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（九）生产管理软件系统</w:t>
      </w:r>
    </w:p>
    <w:p w14:paraId="7F8911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1.MES系统包含看板管理、计划排程、生产调度管理、生产执行管理、质量统计、设备监控、追溯分析等功能。</w:t>
      </w:r>
    </w:p>
    <w:p w14:paraId="08087C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2.用户管理，包括角色定义，权限分配，所属部门等功能；一个用户可以用多个角色，属于多个部门。</w:t>
      </w:r>
    </w:p>
    <w:p w14:paraId="11A1C5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3.部门管理，可多层自定义的树型管理结构。</w:t>
      </w:r>
    </w:p>
    <w:p w14:paraId="4C87AF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4.设备配置，可由一个或多个设备可组成一个工站。可配置设备可见可操作性使能属性。可配置设备管理控制权限。</w:t>
      </w:r>
    </w:p>
    <w:p w14:paraId="667CCD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5.设备点检，可制定点检内容，设置点检标准，可对未按照要求点检或点检不合格的设备进行预警或停机</w:t>
      </w:r>
    </w:p>
    <w:p w14:paraId="735DA1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6.设备保养，可定制保养内容，设置保养标准，可未按照要求保养的设备进行预警或停机</w:t>
      </w:r>
    </w:p>
    <w:p w14:paraId="7AE88A2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7.设备影子，设备影子可保存终端设备的当前配置、状态。实现终端设备和用户应用之间的数据双向同步。</w:t>
      </w:r>
    </w:p>
    <w:p w14:paraId="2A5494E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8.工艺路线，工艺路线包含有产品信息、工艺流程、工站信息。系统中可以同时存在多个工艺流程。</w:t>
      </w:r>
    </w:p>
    <w:p w14:paraId="395A0CE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9.生产工艺，包含生产工序、工艺参数。生产工艺可以用来定义最终产品，也可以定义产品生产过程中相关半成品的工艺。</w:t>
      </w:r>
    </w:p>
    <w:p w14:paraId="2AB0584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10.生产工序：根据生产需求自定生产工序。支持浏览、查询、编辑生产工艺；并可被生产工艺、工艺流程等选择关联。</w:t>
      </w:r>
    </w:p>
    <w:p w14:paraId="01FBF3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11.工艺流程，依据生产工序自由定制工艺流程，支持浏览、查询、编辑。</w:t>
      </w:r>
    </w:p>
    <w:p w14:paraId="36B1A09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12.订单管理，可依据生产需求定制生产订单，也可自动生成订单；并且订单可关联工艺路线。</w:t>
      </w:r>
    </w:p>
    <w:p w14:paraId="594838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13.工单管理，可自定义生成工单，也可自动生成工单，并且有手动自动报工功能。</w:t>
      </w:r>
    </w:p>
    <w:p w14:paraId="510751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14.生产流程，可自定义生产流程，一个生产流程可以有多个工艺流程，依据生产订单指定并调用流程进行生产；显示流程列表，实时更新流程列表状态。</w:t>
      </w:r>
    </w:p>
    <w:p w14:paraId="0C7338B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15.生产计划，自定义生产计划，自动排产；制定排产规则；制定生产流程的载入和下载规则。</w:t>
      </w:r>
    </w:p>
    <w:p w14:paraId="2DD46F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16.检测项目，可自主添加检测项，定义检测项名称、检测类型、检测工具，检测方法。</w:t>
      </w:r>
    </w:p>
    <w:p w14:paraId="080FBC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17.质量计划，可制定产品质量标准、检测方法和质量控制计划。并且质量计划可与检测项关联，并可设置该项的的标准值、单位、误差上限、误差下限。</w:t>
      </w:r>
    </w:p>
    <w:p w14:paraId="3E43F9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18.质量监控，可实时采集生产过程中的质量数据；对采集到的质量数据进行监控和分析，以实时报告产品质量状况。</w:t>
      </w:r>
    </w:p>
    <w:p w14:paraId="3ACF10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19.质量分析，可通过数据分析实施持续的改进优化方案，可识别和消除制造过程中的质量问题。</w:t>
      </w:r>
    </w:p>
    <w:p w14:paraId="6DDD95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20.看板管理,数字化看板管理、基于数据的分析报表支持、各类定制化报表和看板、报表数据库与生产数据库分离，提高运行效率。</w:t>
      </w:r>
    </w:p>
    <w:p w14:paraId="3C5BFF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21.计划排程,灵活配置不同工序的个性化管控点、自动建立针对具体图号和产品的工艺路线、基于标准工艺路线和加工工时的模拟排产、根据排产结果指导现场任务的下达和分配。</w:t>
      </w:r>
    </w:p>
    <w:p w14:paraId="37EBFC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22.生产调度管理,物料跟踪、检测单元、物料消耗数据采集与跟踪。</w:t>
      </w:r>
    </w:p>
    <w:p w14:paraId="48E458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23.生产执行管理,作业指导、现场看板、生产指令自动下发并根据工艺要求进行检测。</w:t>
      </w:r>
    </w:p>
    <w:p w14:paraId="54F953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24.质量统计，在线质量检测（设备集成）、人工检测信息记录不合格品及返修报废记录、质量报警与自动停线、质量分析报告、统计过程分析、质量分析报表。</w:t>
      </w:r>
    </w:p>
    <w:p w14:paraId="47076B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25.设备监控,设备基础档案管理、设备状态监控与数据采集、设备利用率分析、设备点检与异常报警、设备的维修保养记录</w:t>
      </w:r>
    </w:p>
    <w:p w14:paraId="3001CD2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26.追溯分析,建模跟踪、制造跟踪、质量跟踪、原料批次追踪、正反向历史追溯、串号跟踪与防伪。</w:t>
      </w:r>
    </w:p>
    <w:p w14:paraId="03B653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（十）仓储管理软件系统</w:t>
      </w:r>
    </w:p>
    <w:p w14:paraId="044A38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1.系统主要有物料管理、库内管理、追溯管理、设备管理、系统管理、数据大屏等功能。</w:t>
      </w:r>
    </w:p>
    <w:p w14:paraId="272441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2.多仓库管理，支持多层级仓库设置，可根据实际业务进行独立或统一管理，实现库存信息共享，提高仓库使用率。</w:t>
      </w:r>
    </w:p>
    <w:p w14:paraId="7C6B8B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3.智能盘点，盘点流程统一管理，用户随时可以盘点仓库，库存盘点机制灵活，效率高，实现库存可视化管理，提高仓库准确率</w:t>
      </w:r>
    </w:p>
    <w:p w14:paraId="7BB035E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4.策略规则，出放库、批次、库位、波次规则自定义设置，满足不同仓储场景管理需求；</w:t>
      </w:r>
    </w:p>
    <w:p w14:paraId="5F1DB7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数字报表，根据业务需求生成不同数据源的仓储报表，实现仓储数据多维度可视化，助力企业仓储数字化管理</w:t>
      </w:r>
    </w:p>
    <w:p w14:paraId="412013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 库位划分，当客户需要区分产品时，可以灵活划分库位区分不同的产品功能属性。</w:t>
      </w:r>
    </w:p>
    <w:p w14:paraId="444517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 库存报警，当库存数量不满足一个量的时候，系统报警。</w:t>
      </w:r>
    </w:p>
    <w:p w14:paraId="44906E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 物料管理，可制定物料编码，设置物料类型编码，配置计量单位。</w:t>
      </w:r>
    </w:p>
    <w:p w14:paraId="19023A3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 支持主流操作系统硬件平台。</w:t>
      </w:r>
    </w:p>
    <w:p w14:paraId="7823D1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 结合条形码、RFID等识别技术与物流应用技术与计算机软件技术结合，对产品及原材料在仓储，加工，配送等流动中实现自动化储存。</w:t>
      </w:r>
    </w:p>
    <w:p w14:paraId="5BC05E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 入库管理，一键储存，可RFID输入物流信息，仓位管理界面，可自动登记货物，全自动入库记录。</w:t>
      </w:r>
    </w:p>
    <w:p w14:paraId="277DA3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 出库管理，宫格化管理界面，支持查找功能，远程控制模式，可一键出库，自动储存记录更新仓储数据库。</w:t>
      </w:r>
    </w:p>
    <w:p w14:paraId="24129E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 与MES系统无缝对接，实时自动保存本地数据库系统。</w:t>
      </w:r>
    </w:p>
    <w:p w14:paraId="5EED78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 库存信息管理设置，物料种类，区域划分，批处理。</w:t>
      </w:r>
    </w:p>
    <w:p w14:paraId="716986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 库存管理、物料查询、特殊品库、调拨管理、盘点及移库管理等功能。</w:t>
      </w:r>
    </w:p>
    <w:p w14:paraId="0789DF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机器人离线编程仿真软件</w:t>
      </w:r>
    </w:p>
    <w:p w14:paraId="05B713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（1）机器人离线编程软件是一套独完整独立的机器人三维仿真编程环境系统。通过曲面曲线特征来计算机器人运动轨迹，保证轨迹的精度要求。</w:t>
      </w:r>
    </w:p>
    <w:p w14:paraId="538ECB8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（2）基于优秀 3D 内核技术开发，完全独立开发的软件，兼容第三方 CAM 软件功能。支持主流 CAM 软件刀路轨迹输入功能，完成比较复杂的 CNC 功能。</w:t>
      </w:r>
    </w:p>
    <w:p w14:paraId="5610CC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（3）应用范围：搬运、码垛、喷漆、机械铣削加工、抛光、打磨、雕刻、激光 切割、点焊、弧焊；可以根据软件用户的特殊需求进行开发和改进，实现特殊用途。</w:t>
      </w:r>
    </w:p>
    <w:p w14:paraId="541C80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（4）提供两种工作模式：工具（TOOL）模式、零件（PART）模式，支持 6 关节、4 关节、Scara、Delta 等类型机器人，以及用户自定义运动机构，包含机器人运动学及速度规划算法功能。</w:t>
      </w:r>
    </w:p>
    <w:p w14:paraId="072D8F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（5）生产过程仿真功能，验证项目的可行性。</w:t>
      </w:r>
    </w:p>
    <w:p w14:paraId="32A29A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（6）软件需支持国内外主流工业机器人品牌的模型库及后置处理器，包括但不限于ABB、KUKA、发那科、安川、埃夫特、埃斯顿、新松等；仿真输出对应的机器人代码，可直接用于生产加工。</w:t>
      </w:r>
    </w:p>
    <w:p w14:paraId="1555FC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（7）对于复杂的模型可以通过 UG 的 CAM 模块生成刀位文件，导入离线编程系  统进行模拟仿真生成代码；支持 CAD 文件输入，文本轨迹生成等，可以完成绘图、平面文字书写或毛笔字书法等功能。</w:t>
      </w:r>
    </w:p>
    <w:p w14:paraId="0016E9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（8）支持任意数量外部附加轴功能，设备间可以进行位置动态绑定。</w:t>
      </w:r>
    </w:p>
    <w:p w14:paraId="786460B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（9）支持图形化界面对机器人轨迹进行优化，对附加轴轨迹自动优化。</w:t>
      </w:r>
    </w:p>
    <w:p w14:paraId="011EB6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（10）支持运动范围、速度和加速度限制检查。</w:t>
      </w:r>
    </w:p>
    <w:p w14:paraId="03AD28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（11）离线编程输出程序可直接被机器人读取,并且导入现场机器人轨迹路径到仿真中。具有传送带、Buffer、传送链、AGV 等物流仿真功能，对工厂布局以及物流过程进行仿真，获取生产信息数据；具备人机工程分析模块，可以对项目施工人员进行仿真模拟。支持机器人是机器人示教器编程，用户可以在虚拟的 HMI 界面上对虚拟机器人进行编程操作。</w:t>
      </w:r>
    </w:p>
    <w:p w14:paraId="3D827D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（12）支持用户自定义运动机构并提供二次开发接口，用户自己编写运动学算法。</w:t>
      </w:r>
    </w:p>
    <w:p w14:paraId="054B1B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（13）软件采用多任务控制逻辑，因此在虚拟环境中用户可以实现同时对多台机器人，以及所有运动设备、输送设备的的运动仿真控制。</w:t>
      </w:r>
    </w:p>
    <w:p w14:paraId="247797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（14）模型轻量化处理模块，可以将 STP 格式数模进行轻量化处理。</w:t>
      </w:r>
    </w:p>
    <w:p w14:paraId="4B1D7A0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（15）自动计算机器人运动范围及最大矩形空间。</w:t>
      </w:r>
    </w:p>
    <w:p w14:paraId="08ADDF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（16）焊接过程焊缝生成模拟，喷涂过程喷涂效果模拟。</w:t>
      </w:r>
    </w:p>
    <w:p w14:paraId="0BDC3B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（17）支持与 PLC 在线通讯，实现自动化 PLC 程序的虚拟调试。</w:t>
      </w:r>
    </w:p>
    <w:p w14:paraId="12577FB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（18）具备 CAD/CAM 功能模块，进行建模及机器人轨迹的快速计算模块。</w:t>
      </w:r>
    </w:p>
    <w:p w14:paraId="1B56196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视觉及自动化控制设备管理软件</w:t>
      </w:r>
    </w:p>
    <w:p w14:paraId="0190A0B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采用软硬件控制处理一体化集成设计。在一个软件平台中实现统一标准化的设备控制、图像处理和数据统计应用方式。设备控制包括相机应用控制、PLC应用控制、运动控制卡应用控制、光源应用控制、机器人应用控制等。</w:t>
      </w:r>
    </w:p>
    <w:p w14:paraId="72C1E1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（2）提供图形化编程和代码编程两种编程模式：</w:t>
      </w:r>
    </w:p>
    <w:p w14:paraId="6A592D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2.1图形化编程要求通俗易懂简单易用，采用拖拽式操作配置的方式实现参数的设置、数据的编辑、变最的引用和赋值、显示窗口布局显示、图像和ROI任意绑定显示、流程图定义任务流程；</w:t>
      </w:r>
    </w:p>
    <w:p w14:paraId="1177761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2.2流程图模块包括顺序执行模块、判断模块、分支模块、循环模块、并行模块、工具组模块、流程块模块和定时器模块；</w:t>
      </w:r>
    </w:p>
    <w:p w14:paraId="639DC5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2.3代码编程支持基于VB.net、C#多种语言的编程和开发；包括提供SDK底层算法开发包、算法工具开发模块、功能插件开发模块、硬件资源开发模块、用户界面开发模块等。</w:t>
      </w:r>
    </w:p>
    <w:p w14:paraId="0D02B1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（3）支持TCP/IP、串口、PLC控制、MQTT等操作仿真；（4）软件提供应用场景深度配置方式：</w:t>
      </w:r>
    </w:p>
    <w:p w14:paraId="7D80C3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4.1支持料号配置管理、工位配置、工具配置、参数配置，流程模块单独导入、导出功能；</w:t>
      </w:r>
    </w:p>
    <w:p w14:paraId="7BD297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4.2提供2D/3D定位、2D/3D标定,条码/2维码识别、2D/3D测量、缺陷检测、PLC控制、机器人控制等的标准配置应用模块库；支持标准库的编辑及导入/导出；</w:t>
      </w:r>
    </w:p>
    <w:p w14:paraId="359710D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 支持图像显示窗口任意添加、多类型位置布局。</w:t>
      </w:r>
    </w:p>
    <w:p w14:paraId="2CE1C7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软件支持任务流程逻辑自由定义，支持多线程、多工位同步异步执行；支持多用户模式；支持客户端服务器之间交叉指令控制；支持客户端和服务器之间批量数据和图片传输；支持可以多台设备通讯协同完成实训任务。</w:t>
      </w:r>
    </w:p>
    <w:p w14:paraId="70C95E1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5.1可以在独立的笔记本运行，网络端用户可以获取对应IP地址机台上的图片。既可以用笔记本客户端对设备进行控制，也可以多台设备通讯协同完成实训任务。</w:t>
      </w:r>
    </w:p>
    <w:p w14:paraId="6E4C6A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 软件提供变量灵活编辑和自定义功能：</w:t>
      </w:r>
    </w:p>
    <w:p w14:paraId="74251E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支持编辑和自定义的变量类型包括：基础数据类包括型短整型、长整型、单精度浮点型、双精度浮点型、布尔型、Point类型、PointF类型、PointF3D类型、图像类型、字符串类型、枚举类型以及基于这些基础数据类型的列表类型和数组类型；ROI图形类型包括直线ROI类型、矩ROI类型、圆ROI类型、弧ROI类型、圆环ROI类型、十字ROI类型、多边形ROI类型；</w:t>
      </w:r>
    </w:p>
    <w:p w14:paraId="5C57F3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6.2  支持流程模和工具输入、输出参数中添加、编辑自定义类型变量； </w:t>
      </w:r>
    </w:p>
    <w:p w14:paraId="1C20CE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  支持流程模块或工具中的输入、输出参数变量实现计算器、字符串脚本公式功能；</w:t>
      </w:r>
    </w:p>
    <w:p w14:paraId="348819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  支持自定义全局寄存器变量，支持流程执行过程变量与全局寄存器变量的数据交互和存储，支持资源过程变量与全局寄存器变量的数据交互和存储</w:t>
      </w:r>
    </w:p>
    <w:p w14:paraId="739EA52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（7）软件提供变量类型自由转换功能，支持流程模块和工具输入、输出参数的变量类型自由转换：</w:t>
      </w:r>
    </w:p>
    <w:p w14:paraId="179E4E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7.1支持数值类型变量之间的转换，如整型与浮点型数值之间的转换；</w:t>
      </w:r>
    </w:p>
    <w:p w14:paraId="106BD0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7.2支持数值类型与字符串类型变量之间的转换，如整型数据与字符串之间的转换；</w:t>
      </w:r>
    </w:p>
    <w:p w14:paraId="57F6A6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7.3支持数值类型与坐标类型变量之间的转换；</w:t>
      </w:r>
    </w:p>
    <w:p w14:paraId="2403C68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7.4支持坐标类型与字符串类型变量之间的转换；</w:t>
      </w:r>
    </w:p>
    <w:p w14:paraId="26F6C4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7.5支持单值数据类型与列表、数组类型之间的转换；</w:t>
      </w:r>
    </w:p>
    <w:p w14:paraId="51723FB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（8）软件提供自定义算法工具扩展功能，支持二次开发算法工具在软件平台流程和原有算法工具无差别调用，实现自定义算法工具的自由扩展。</w:t>
      </w:r>
    </w:p>
    <w:p w14:paraId="0D413A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（9）软件提供硬件资源扩展功能，支持二次开发硬件资源在软件平台调用，实现硬件资源的自由扩展。</w:t>
      </w:r>
    </w:p>
    <w:p w14:paraId="521E39B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 软件提供拖拽式操作功能，具体的拖拽式操作方式包括但不限于以下内容：</w:t>
      </w:r>
    </w:p>
    <w:p w14:paraId="39F501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 支持拖拽式操作变量的引用、赋值；</w:t>
      </w:r>
    </w:p>
    <w:p w14:paraId="61B840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10.2 支持拖拽式操作数据报表的编辑和生成；</w:t>
      </w:r>
    </w:p>
    <w:p w14:paraId="63B216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10.3 支持拖拽式操作工具输入、输出图像和ROI在任意图像窗口绑定显示；</w:t>
      </w:r>
    </w:p>
    <w:p w14:paraId="6B6158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10.4 支持拖拽式操作变量在图像窗口的编辑和实时刷新显示；</w:t>
      </w:r>
    </w:p>
    <w:p w14:paraId="3DBF1E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10.5 支持拖拽式操作变量在指定窗口的编辑和实时刷新显示；</w:t>
      </w:r>
    </w:p>
    <w:p w14:paraId="2C36B90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10.6 支持拖拽式操作计算器、字符脚本公式编辑器；</w:t>
      </w:r>
    </w:p>
    <w:p w14:paraId="194FDA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10.7 支持拖拽式操作及配置任务流程图；</w:t>
      </w:r>
    </w:p>
    <w:p w14:paraId="4E09D4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（11）软件提供的系统操作管理功能包括但不限于以下内容：</w:t>
      </w:r>
    </w:p>
    <w:p w14:paraId="552062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 支持用户权限管理，支持不同权限用户不同界面，不同使用权限；</w:t>
      </w:r>
    </w:p>
    <w:p w14:paraId="6486731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 支持系统指令控制功能，支持内部系统指令触发控制任务流程、支持外部通讯发送系统指令触发控制任务流程、支持外部通讯发送系统指令切换配置；</w:t>
      </w:r>
    </w:p>
    <w:p w14:paraId="31E973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 支持键盘快捷键操作方式；</w:t>
      </w:r>
    </w:p>
    <w:p w14:paraId="485B4C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 支持全局数据变量、工具、流程模块搜索查询和批量编辑；</w:t>
      </w:r>
    </w:p>
    <w:p w14:paraId="13B35D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11.5 支持流程模块信号源触发控制，支持流程模块内部或处部信号触发，支持流程模块同步异步运行处理。 </w:t>
      </w:r>
    </w:p>
    <w:p w14:paraId="0A64A3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（12）提供机器视觉应用图形化编程至少包含常用图像处理、运动控制和外部通讯工具，包括3D标定、3D定位、3D测量、AOI检测、深度学习、传送带跟踪计数等多种高级算子，提供API，支持二次开发；</w:t>
      </w:r>
    </w:p>
    <w:p w14:paraId="49D03F7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 软件平台2D相机的处理软件工具至少包含有无/正反检测、颜色/位置判断、定位、尺寸测量、ID识别、字符识别、缺陷检测等工具；</w:t>
      </w:r>
    </w:p>
    <w:p w14:paraId="646396F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（14）软件工具包含3D标定、3D定位、3D测量等，可实现双目3D匹配和点云3D匹配，并可以实现三维测量和三维姿态跟踪等实验，并配套相应的教学资源；</w:t>
      </w:r>
    </w:p>
    <w:p w14:paraId="27D449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（15）软件除了支持常见品牌的2D相机和3D相机之外，也具有外部接口，支持常见品牌的PLC、运动控制卡和工业机器人，也支持常见的激光振镜控制；</w:t>
      </w:r>
    </w:p>
    <w:p w14:paraId="73E2AB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（16）软件支持单相机及多相机对位，支持XYθ、XYY、UVW、SCARA等多种平台类型；</w:t>
      </w:r>
    </w:p>
    <w:p w14:paraId="50CDA2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（17）提供专为制造业应用场景所设计的深度学习模块，该模块包含图像分割、目标识别、图像分类和字符识别等深度学习工具，适用于各种视觉应用场景。</w:t>
      </w:r>
    </w:p>
    <w:p w14:paraId="6D20EC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17.1 图像分割工具可用于对已知的缺陷进行标注训练，通过训练好的模型可以准确的提取出缺陷区域的位置信息，常用于不规则的零件表面划痕或者裂纹检测等。目标识别对已知的目标物体进行标注，在生产过程中可以检测当前图像是否出现类似的目标物体，并输出准确的目标位置信息。图像分类主要是用于对整张图片的特征进行识别，根据各自图片信息中的不同特征来区分不同类别的目标。深度学习的字符识别的作用与传统的OCR检测算法类似，但相比传统的OCR算法其具有更能适应复杂背景和低对比度的优点，且识别准确率高，当遇到识别不准的字符时，可以对其进行标注并加入训练集进行训练。</w:t>
      </w:r>
    </w:p>
    <w:p w14:paraId="0D48FC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17.2所有深度学习工具都包含训练模块和推理模块，采用图形化编程模式。训练端包含数据集导入、数据集标注、训练参数设置和训练等功能，推理端只需导入指定的模型文件和检测图片进行推理即可输出检测结果，且推理端工具同时支持GPU推理和CPU推理。</w:t>
      </w:r>
    </w:p>
    <w:p w14:paraId="06DDFD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17.3 不同的深度学习工具之间可以进行数据交互，依赖于图形化的编程环境可以搭建出灵活、高度自定义的深度学习解决方案。且可以实现多任务队列化训练，即同时配置多个不同的训练任务后一次性训练完成。</w:t>
      </w:r>
    </w:p>
    <w:p w14:paraId="68F392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17.4集成了传统视觉检测方法和深度学习的方法，用户可以同时访问传统视觉算法工具和深度学习工具，通过搭建流程图的方式可以使用户灵活的开发视觉应用并集成到生产环境。</w:t>
      </w:r>
    </w:p>
    <w:p w14:paraId="55FC876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17.5训练效果可视化，训练工具在训练过程中可以实时显示loss、precision、mAp、recall等数值的曲线，用户可以实时观测到模型的训练情况并随时选择终止训练导出当前的模型，且在训练完成后算法会自动在现有的数据集上进行模型评估并输出相关的评估参数和图表。针对图像分割的推理结果还可以选择classification伪彩色图显示，用户能够一眼分辨图像中每个区域为缺陷区域的可能性。</w:t>
      </w:r>
    </w:p>
    <w:p w14:paraId="15546E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17.6最小化数据收集负担，本软件针对工业应用场景有针对性的开发出一系列的图像增强算法，在数据集很少的情况下通过现有的数据集图片可以选择旋转、缩放、镜像、高斯模糊、图像拉伸、对比度增强、亮度增强等图像增强算法生成与实际环境中相似的多种图像，通过学习图像增强后的数据集可以进行更准确的检测，最大的减小数据收集的负担。</w:t>
      </w:r>
    </w:p>
    <w:p w14:paraId="23F1110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17.7 Patch Train（超高分辨率图像学习），针对超高分辨率的图像可以选择设置patchSize参数来进行图像的裁剪处理，训练时会根据patchSize参数对图像裁剪为多个小的单位进行学习和检测，该功能主要是消除超大分辨率图像对GPU存储大小的限制问题，且能对缺陷进行更加精密的学习。</w:t>
      </w:r>
    </w:p>
    <w:p w14:paraId="43B924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17.8 Multi-parameter Train（多参数学习），针对同一个训练工具可以同时配置多套训练参数进行训练，训练完成后输出多个训练模型和评估结果，用户可以通过比较评估结果来选择最佳的深度学习模型，而无需多次调整参数设置进行学习。</w:t>
      </w:r>
    </w:p>
    <w:p w14:paraId="64249F3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 软件主要算法工具有：服务器客户端通讯工具、串口工具、PLC读写工具、机器人控制工具、信号源工具、图像源工具、相机工具、保存图片工具、仿射变换工具、斑点分析工具、找圆工具、找线工具、边缘点查找工具、形状匹配工具、灰度匹配工具、圆拟合工具、圆卡尺工具、夹角工具、边缘卡尺工具、线交点工具、线间距工具、点间距工具、矩形卡尺工具、点线距离工具、坐标转换工具、标定工具、图像转换工具、通道分离工具、颜色提取工具、图像剪切工具、图像处理工具、阈值化工具、形态学工具、ROI转图像工具、2维码工具、字符识别工具、条码检测工具、缺陷检测工具、轮廓提取工具、位移计算工具、坐标计算工具、对位平台工具、累加工具、分类工具、保存表格工具、格式转换工具、列表工具、逻辑运算工具、字符串截取工具、用户变量工具。</w:t>
      </w:r>
    </w:p>
    <w:p w14:paraId="27D5B5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数据大屏系统</w:t>
      </w:r>
    </w:p>
    <w:p w14:paraId="659C85C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（1）支持内置柱状图、折线图、饼图、散点图等统计图表</w:t>
      </w:r>
    </w:p>
    <w:p w14:paraId="20FCAB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（2）支持文本类、图片类、视频类、表格类等多种数据显示。</w:t>
      </w:r>
    </w:p>
    <w:p w14:paraId="12C1E03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（3）支持静态数据、API接口数据、SQL数据、实时数据等多种数据源。</w:t>
      </w:r>
    </w:p>
    <w:p w14:paraId="0E2E63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（十一）加工中心1套：加工中心结构紧凑，占地面积小，具有框架刚性强，移动速度快，加工效率高等特点。严谨的结构设计，精细的加工制造，保障极高的产品性价比。</w:t>
      </w:r>
    </w:p>
    <w:p w14:paraId="151956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1、工作台尺寸：≥550×1000mm </w:t>
      </w:r>
    </w:p>
    <w:p w14:paraId="1F8981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2、允许最大荷重：≥500kg， T型槽尺寸≥5-18-90mm； </w:t>
      </w:r>
    </w:p>
    <w:p w14:paraId="6EBD69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3、工作台最大行程(X轴)：≥800 mm； </w:t>
      </w:r>
    </w:p>
    <w:p w14:paraId="6B829A9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4、滑座最大行程(Y轴)：≥550mm； </w:t>
      </w:r>
    </w:p>
    <w:p w14:paraId="19123F1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5、主轴箱最大行程(Z轴)：≥550mm； </w:t>
      </w:r>
    </w:p>
    <w:p w14:paraId="4C2D12B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6、主轴鼻端至工作台面尺寸：≥120-670mm； </w:t>
      </w:r>
    </w:p>
    <w:p w14:paraId="363C8E2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7、主轴锥孔(7:24)：BT40；   </w:t>
      </w:r>
    </w:p>
    <w:p w14:paraId="093D78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8、转速范围：≥8000r/min；  </w:t>
      </w:r>
    </w:p>
    <w:p w14:paraId="1A4941D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9、最大输出扭矩：≥52.5N.m； </w:t>
      </w:r>
    </w:p>
    <w:p w14:paraId="5B200D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10、主轴电机功率 ：≥7.5kW； </w:t>
      </w:r>
    </w:p>
    <w:p w14:paraId="63631EA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11、主轴中心到立柱导轨面距离：≥ 590mm ；</w:t>
      </w:r>
    </w:p>
    <w:p w14:paraId="103E7A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12、主轴传动：皮带式传动；</w:t>
      </w:r>
    </w:p>
    <w:p w14:paraId="316556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13、瓣刀：45度四瓣刀； </w:t>
      </w:r>
    </w:p>
    <w:p w14:paraId="5518A6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14、刀柄规格BT40-RE32 ；</w:t>
      </w:r>
    </w:p>
    <w:p w14:paraId="113400F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15、拉钉规格：BT40-45°； </w:t>
      </w:r>
    </w:p>
    <w:p w14:paraId="29640AE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16、进给速度：≥1-10000 mm/min；      </w:t>
      </w:r>
    </w:p>
    <w:p w14:paraId="5DB473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17、X轴： ≥24/36m/min， Y轴：≥ 24/36m/min；Z轴：≥18/36m/min </w:t>
      </w:r>
    </w:p>
    <w:p w14:paraId="5A41184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18、刀库形式：圆盘式；  </w:t>
      </w:r>
    </w:p>
    <w:p w14:paraId="203738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19、刀库容量：≥24把 ； </w:t>
      </w:r>
    </w:p>
    <w:p w14:paraId="293D1B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20、最大刀具长度 ：≥300mm； </w:t>
      </w:r>
    </w:p>
    <w:p w14:paraId="24970A4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21、最大刀具重量：≥ 8kg； </w:t>
      </w:r>
    </w:p>
    <w:p w14:paraId="2A45CC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22、换刀时间(刀对刀)：≤7s；</w:t>
      </w:r>
    </w:p>
    <w:p w14:paraId="683D19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23、满刀：≥ φ80 mm；</w:t>
      </w:r>
    </w:p>
    <w:p w14:paraId="4E363F2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24、相邻空刀：≥  φ150mm；</w:t>
      </w:r>
    </w:p>
    <w:p w14:paraId="18C5B71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25、电压：AC 380V；</w:t>
      </w:r>
    </w:p>
    <w:p w14:paraId="1A2DB3B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26、电气总容量：≤25KVA；</w:t>
      </w:r>
    </w:p>
    <w:p w14:paraId="3C5D78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27、气压: ≥0.5Mpa；</w:t>
      </w:r>
    </w:p>
    <w:p w14:paraId="7EEBD6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28、长×宽×高:≤ 2600×2380×2400mm; </w:t>
      </w:r>
    </w:p>
    <w:p w14:paraId="59D715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29、机床重量: ≤ 5000kg;</w:t>
      </w:r>
    </w:p>
    <w:p w14:paraId="0D0667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30、系统：提供自动化集成所需开放接口，包括但不仅限于机床循环启动、报警、急停、暂停、开始等信号的输入与输出接口。</w:t>
      </w:r>
    </w:p>
    <w:p w14:paraId="41D374B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（十二）数控仿真软件技术要求：</w:t>
      </w:r>
    </w:p>
    <w:p w14:paraId="0869DAB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1、软件支持以工作站、功能模块、元器件等多种形式将模型从模型库中导入到场景。支持多种数据类型的读写，如：Bool、Int、Real、Dint、word、Dword等。支持包括但不限于TCP/IP、OPC-UA通讯协议、Modbus TCP等通讯协议。</w:t>
      </w:r>
    </w:p>
    <w:p w14:paraId="01F7E7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2、软件支持模型库管理：模型库中真实还原机器人、机床、料仓、夹具、导轨、数控车床、加工中心、AGV、三坐标检测仪、装配台、打标机等产线核心实体模块，可供用户在模型库中随意选择。</w:t>
      </w:r>
    </w:p>
    <w:p w14:paraId="00AD420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支持对虚拟机床控制系统仿真空间坐标系的定义、数控机床刀盘、刀库的定义。包括手动装刀、不同类型刀具定义、刀具参数设置等功能。软件中可供选择的车刀包括内孔车刀、内孔螺纹车刀，外圆车刀等不少于6个，立铣刀包括6mm钢用加工铣刀、8mm钢用加工铣刀、10mm加工铣刀不少于4个。</w:t>
      </w:r>
    </w:p>
    <w:p w14:paraId="69BF5B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4、支持对机床各轴空间位置的手动运动控制，能够实时读取各轴坐标位置，设置各轴运动倍率，支持对各轴零点进行设置。</w:t>
      </w:r>
    </w:p>
    <w:p w14:paraId="1CDAA4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5、支持从文本文件读取机床G代码并在软件中直接编辑G代码，支持进行G代码规范检查。</w:t>
      </w:r>
    </w:p>
    <w:p w14:paraId="48F3FA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6、支持各类设备装置、执行机构的对象定义，如物料、传感器、机器人快换夹具、数控车床、加工中心等。</w:t>
      </w:r>
    </w:p>
    <w:p w14:paraId="7EB190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7、支持机器人程序容器定义，以机器人程序驱动机器人模型，同时可以支持多型号六关节机器人的虚拟拖拽示教，至少能够实现三个主流品牌机器人在软件中的拖拽示教编程。</w:t>
      </w:r>
    </w:p>
    <w:p w14:paraId="1C20FE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8、支持对仿真环境进行信号逻辑配置，以拖动、连线等方式快速建立设备间工艺流程的逻辑关系，能够实现产线生产工艺流程的逻辑仿真运行。</w:t>
      </w:r>
    </w:p>
    <w:p w14:paraId="380033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支持智能产线中车床和铣床或加工中心的加工过程中工件三维实时切削效果仿真，不借助第三方软件，要求必须在智能产线自动化联动过程中实现车床和铣床或加工中心通过G代码驱动的实时切削效果，支持车刀，铣刀的水平，垂直和倾斜移动切削，支持螺纹刀的实时螺纹生成及实时多次车螺纹的过程。</w:t>
      </w:r>
      <w:r>
        <w:rPr>
          <w:rFonts w:hint="eastAsia" w:ascii="仿宋" w:hAnsi="仿宋" w:eastAsia="仿宋" w:cs="仿宋"/>
          <w:bCs/>
          <w:color w:val="auto"/>
          <w:sz w:val="24"/>
          <w:szCs w:val="24"/>
          <w:highlight w:val="none"/>
          <w:lang w:bidi="en-US"/>
        </w:rPr>
        <w:t>（投标时提供功能截屏证明材料）</w:t>
      </w:r>
    </w:p>
    <w:p w14:paraId="3062A8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10、软件支持物理规律的虚拟环境的创建，物料支持重力、碰撞等。</w:t>
      </w:r>
    </w:p>
    <w:p w14:paraId="5872EC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软件支持多版本博图仿真通讯，能够实时读写仿真PLC数据，通过仿真实现设备联调。智能产线数字孪生虚拟调试软件提供了与主流PLC和机器人的数据通信接口，能够实现机器人的示教编程、机床G代码运动仿真调试和PLC的运动控制与程序调试。同时支持在软件中自定义硬件数据来源，实现对用户自定的设备动作和流程进行仿真，能够实现智能产线的设计仿真验证、机器人编程仿真调试、PLC编程仿真的调试。</w:t>
      </w:r>
    </w:p>
    <w:p w14:paraId="6BDFDC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12、软件支持多种逻辑指令，能够独立实现设备的运行仿真和混流生产工艺，如单车自动加工、单铣自动加工、单车加单铣混合加工等。</w:t>
      </w:r>
    </w:p>
    <w:p w14:paraId="239F4E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13、软件支持虚拟设备的测距功能，能够支持产线规划布局需求。</w:t>
      </w:r>
    </w:p>
    <w:p w14:paraId="3E0F334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14、支持工业机器人碰撞检测，实时反馈工业机器人运行时的碰撞，通过反馈提醒用户及时调整工业机器人运动轨迹。</w:t>
      </w:r>
    </w:p>
    <w:p w14:paraId="3852BA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软件支持以关节、位置、姿态三种形式拖拽机器人末端参照选定的基准坐标系进行位移或旋转。机器人线性运动模式下，可以切换机器人的工具和工件坐标系，使用不同工具坐标系拖拽末端进行示教，并能够支持拖拽示教程序导出功能，导出程序能够在实体设备中使用。</w:t>
      </w:r>
    </w:p>
    <w:p w14:paraId="3B5AB1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16、支持通过信号控制机床加工程序，能够控制加工程序的启停，并且实时反馈加工程序执行状态。</w:t>
      </w:r>
    </w:p>
    <w:p w14:paraId="55F834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17、利用软件自带的刀具库，在智能制造单元中分别进行铣削加工中的平面铣、铣槽、倒角铣、铣圆弧、型腔铣和底壁铣等实时铣削仿真加工方法。</w:t>
      </w:r>
    </w:p>
    <w:p w14:paraId="4B32DF0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▲18、支持</w:t>
      </w:r>
      <w:bookmarkStart w:id="125" w:name="OLE_LINK4"/>
      <w:r>
        <w:rPr>
          <w:rFonts w:hint="eastAsia" w:ascii="仿宋" w:hAnsi="仿宋" w:eastAsia="仿宋" w:cs="仿宋"/>
          <w:bCs/>
          <w:color w:val="auto"/>
          <w:sz w:val="24"/>
          <w:szCs w:val="24"/>
          <w:highlight w:val="none"/>
        </w:rPr>
        <w:t>多种刀具选择，软件车床刀具库</w:t>
      </w:r>
      <w:bookmarkEnd w:id="125"/>
      <w:r>
        <w:rPr>
          <w:rFonts w:hint="eastAsia" w:ascii="仿宋" w:hAnsi="仿宋" w:eastAsia="仿宋" w:cs="仿宋"/>
          <w:bCs/>
          <w:color w:val="auto"/>
          <w:sz w:val="24"/>
          <w:szCs w:val="24"/>
          <w:highlight w:val="none"/>
        </w:rPr>
        <w:t>中拥有80度外圆车刀、35度外圆车刀、60度内孔车刀、3mm外圆切槽刀、3mm内孔切槽刀、60度外螺纹车刀、60度内螺纹车刀等，铣床刀具库中拥有立铣刀（φ6、φ8、φ10、φ12）、倒角刀（φ6-45度）、球头刀（φ12R6）等。</w:t>
      </w:r>
      <w:r>
        <w:rPr>
          <w:rFonts w:hint="eastAsia" w:ascii="仿宋" w:hAnsi="仿宋" w:eastAsia="仿宋" w:cs="仿宋"/>
          <w:bCs/>
          <w:color w:val="auto"/>
          <w:sz w:val="24"/>
          <w:szCs w:val="24"/>
          <w:highlight w:val="none"/>
          <w:lang w:bidi="en-US"/>
        </w:rPr>
        <w:t>（投标时提供功能截屏证明材料）</w:t>
      </w:r>
    </w:p>
    <w:p w14:paraId="471D62B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19、支持在智能制造单元中车削加工的外圆车削、内圆车削、外圆切槽、内圆切槽、内螺纹车削、外螺纹车削等实时车削仿真工艺，不借助第三方软件实现该功能。</w:t>
      </w:r>
    </w:p>
    <w:p w14:paraId="71CF9E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软件支持自定义加工毛坯，软件中方形毛坯和圆形毛坯支持修改尺寸，自定义毛坯大小，能够在智能产线虚拟场景中实现单产品的车铣多工序实时三维切削仿真加工工艺，要求不借助第三方数控加工仿真软件并通过产线联动实现该功能。</w:t>
      </w:r>
    </w:p>
    <w:p w14:paraId="6ED64B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21、软件支持通过plc程序实现仿真中机器人从料仓取料，车、铣床和加工中心加工仿真，实现加工半成品和成品入库完整流程。</w:t>
      </w:r>
    </w:p>
    <w:p w14:paraId="6B041A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支持开展多种实训项目有智能制造产线搭建、PLC仿真应用、工业机器人上下料流程控制、虚拟机床应用调试、车床自动加工系统联调、铣床自动加工系统调试、智能产线自动加工系统调试、智能仓储与物流系统调试、智能清洗打标单元系统调试、装配单元系统调试等，能够提供完整的实训指导手册。</w:t>
      </w:r>
    </w:p>
    <w:p w14:paraId="02B776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23、软件支持运动仿真加速功能，能够实现产线中实时切削仿真加工、机器人运动等装备的加速运动仿真。</w:t>
      </w:r>
    </w:p>
    <w:p w14:paraId="0F631D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24、软件能实现机床外壳和内部结构隐藏功能，可以实现在生产调试过程中，能够清晰看到工件装夹具、对刀、换刀等过程。</w:t>
      </w:r>
    </w:p>
    <w:p w14:paraId="115B10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25、软件能实现智能产线中机床上下料自动装夹功能，能够对一定范围内放偏的工件，使其自动摆正，贴合夹具。软件能判断尺寸过大的工件，并提示用户，防止工件与夹具穿模。</w:t>
      </w:r>
    </w:p>
    <w:p w14:paraId="5AF22F6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26、软件中产线机床设置有软硬限位报警功能，限位解除方式模拟真实的机床操作方式，能够有效支持进行智能产线中数控机床的安装调试训练。</w:t>
      </w:r>
    </w:p>
    <w:p w14:paraId="0242C6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27、软件支持通过数控虚拟控制面板实现对产线中车床和铣床及加工中心的运动控制，主要功能：1）能够实现机床的对刀功能，对刀过程软件有对刀提示功能。2）具有手动、增量、卡盘松紧、主轴正反转等功能按键，能够模拟真实加工时的操作步骤，且软件有试切提示，加工飞屑效果等，使对刀过程更直观、准确。3）面板中可实时反映机床目前的实际坐标位置。4） 虚拟面板能够实现对刀库中的现有刀具进行参数管理，设置其长度补偿，用于仿真加工。5）虚拟数控面板可设置工件坐标系，任意选取G54~G59寄存器，方便加工不同的工件。6）可对加工程序进行管理，任意新增或编辑、修改加工程序。</w:t>
      </w:r>
    </w:p>
    <w:p w14:paraId="395593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28、支持对生成的生产订单进行监控，可查询订单处于录入中或已下发状态、零件合格数量、成品存放仓位等数据信息，同时支持订单预览，可在预览窗口中查看该零件的模型以及加工图案。</w:t>
      </w:r>
    </w:p>
    <w:p w14:paraId="1F0B90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29、软件支持料仓管理功能，1）能对产线里面的单元料仓及立体仓库里面的物料进行生成、初始化。2）支持对料仓中的物料进行分类显示，可分为有物料以及无物料，有物料可显示零件名称、零件状态、检测结果。3）支持料盘多种入库方式，包括直接入库和码垛机入库。</w:t>
      </w:r>
    </w:p>
    <w:p w14:paraId="48436E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▲（十三）加工部分课程资源</w:t>
      </w:r>
      <w:r>
        <w:rPr>
          <w:rFonts w:hint="eastAsia" w:ascii="仿宋" w:hAnsi="仿宋" w:eastAsia="仿宋" w:cs="仿宋"/>
          <w:bCs/>
          <w:color w:val="auto"/>
          <w:sz w:val="24"/>
          <w:szCs w:val="24"/>
          <w:highlight w:val="none"/>
          <w:lang w:bidi="en-US"/>
        </w:rPr>
        <w:t>（投标时提供功能截屏证明材料）</w:t>
      </w:r>
    </w:p>
    <w:p w14:paraId="6A91A775">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提供配套实训课程资源包：实训手册包括智能制造切削单元搭建、数控车床虚拟仿真工作站系统联调、智能制造切削单元综合实训等至少10个实训项目，包括智能产线容器配置、加工中心加工电机前盖零件、加工中心加工运行流程、智能切削单元系统运行流程等至少10个视频资源，同时所有提供所有实训案例的PLC程序和案例场景。</w:t>
      </w:r>
    </w:p>
    <w:p w14:paraId="30882AE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2、配套课程资源包提供二维码技能包至少30个，支持APP扫码播放视频，要求APP可以在华为应用市场、苹果APPStore等主流应用市场下载。</w:t>
      </w:r>
    </w:p>
    <w:p w14:paraId="36C552E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3、课程资源包软件支持该课件资源引用、创建课件、课件编辑，支持微课、图片等资源插入课件，重构课件，实现课件资源离线模式账号验证使用。</w:t>
      </w:r>
    </w:p>
    <w:p w14:paraId="79BAA5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软件支持学生自主训练与考核功能，并自带智能制造与机器人专业题库，考核功能能够实现软件自动评分功能，学生可以查看训练记录，可查看每次训练情况，答题正确率，考核功能支持查看用户个人考试成绩报告，包括答题情况，错题知识点分布情况和掌握的知识点结构雷达图。</w:t>
      </w:r>
    </w:p>
    <w:p w14:paraId="217EB2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软件训练与考核功能支持：1）单选题、多选题、判断题、连线题、画图题、找茬等题型，2）支持文字、图片、动图（GIF）3种方式的题干内容。支持文字、图片2种方式的答案内容。3）软件支持虚拟实操考核题型，在虚拟仿真工厂环境中完成任务的训练或者考核，软件对任务能够实现自动评分。</w:t>
      </w:r>
    </w:p>
    <w:p w14:paraId="5637FEE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（十四）加工中心改造：改造内容至少满足以下要求：</w:t>
      </w:r>
    </w:p>
    <w:p w14:paraId="5F1C833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1、防护门改造：</w:t>
      </w:r>
    </w:p>
    <w:p w14:paraId="37DE133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采用气缸机构开启关闭防护门，安装限位开关检测防护门关闭和开启状态。</w:t>
      </w:r>
    </w:p>
    <w:p w14:paraId="4674500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1.1.圆柱气缸参数</w:t>
      </w:r>
    </w:p>
    <w:p w14:paraId="6F1AB8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（1）气缸缸径：≥Φ25mm</w:t>
      </w:r>
    </w:p>
    <w:p w14:paraId="763DE8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（2）重复精度：±0.05mm</w:t>
      </w:r>
    </w:p>
    <w:p w14:paraId="05506E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（3）动作方式：双作用</w:t>
      </w:r>
    </w:p>
    <w:p w14:paraId="3129E9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（4）使用流体：空气</w:t>
      </w:r>
    </w:p>
    <w:p w14:paraId="53A2CB8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（5）使用压力MPa：0.1～0.6</w:t>
      </w:r>
    </w:p>
    <w:p w14:paraId="7380AE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（6）环境温度及使用流体温度℃：-10～60</w:t>
      </w:r>
    </w:p>
    <w:p w14:paraId="68FD0AF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（7）最高使用频率c.p.m：60</w:t>
      </w:r>
    </w:p>
    <w:p w14:paraId="6674C4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（8）开闭行程：≥800mm</w:t>
      </w:r>
    </w:p>
    <w:p w14:paraId="333F6A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1.2.电磁阀</w:t>
      </w:r>
    </w:p>
    <w:p w14:paraId="55D727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（1）DC24V</w:t>
      </w:r>
    </w:p>
    <w:p w14:paraId="4B5E1B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（2）使用压力：0.15～0.7 MPa</w:t>
      </w:r>
    </w:p>
    <w:p w14:paraId="4C99AAF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1.3.限位开关</w:t>
      </w:r>
    </w:p>
    <w:p w14:paraId="7F3F383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（1）数量：2个</w:t>
      </w:r>
    </w:p>
    <w:p w14:paraId="7ECE5A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（2）导线引出方向：横方向</w:t>
      </w:r>
    </w:p>
    <w:p w14:paraId="791BED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（3）适合负载：DC24V继电器、PLC用</w:t>
      </w:r>
    </w:p>
    <w:p w14:paraId="7403D2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（4）负载电压：DC24V</w:t>
      </w:r>
    </w:p>
    <w:p w14:paraId="213388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（5）负载电流：2.5～40mA</w:t>
      </w:r>
    </w:p>
    <w:p w14:paraId="60A22D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（6）内部电压降：4V以下</w:t>
      </w:r>
    </w:p>
    <w:p w14:paraId="0D28D12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（7）漏电流：0.8mA以下</w:t>
      </w:r>
    </w:p>
    <w:p w14:paraId="2F4801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（8）指示灯：ON时红色发光二极管亮</w:t>
      </w:r>
    </w:p>
    <w:p w14:paraId="4C7DD2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2、液压或气动工装</w:t>
      </w:r>
    </w:p>
    <w:p w14:paraId="0BD4F8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（1）能够同时适配满足工业环形光源和多种标准加工件。</w:t>
      </w:r>
    </w:p>
    <w:p w14:paraId="37866CA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（2）系统压力≥40Bar</w:t>
      </w:r>
    </w:p>
    <w:p w14:paraId="69BF5C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（3）功率≤1.5kw</w:t>
      </w:r>
    </w:p>
    <w:p w14:paraId="10B7CC9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3、加工中心系统信息智能化展示通讯联接</w:t>
      </w:r>
    </w:p>
    <w:p w14:paraId="1702A6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（1）扩展数控系统8 IN/8 OUT数字量输入输出；</w:t>
      </w:r>
    </w:p>
    <w:p w14:paraId="7299FB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（2）继电器触点：NO、NC ；</w:t>
      </w:r>
    </w:p>
    <w:p w14:paraId="1A5945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（3）额定电压：不大于AC 250V、或DC 30V；</w:t>
      </w:r>
    </w:p>
    <w:p w14:paraId="44A728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（4）触点允许电流：8A；</w:t>
      </w:r>
    </w:p>
    <w:p w14:paraId="4AEA66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（5）继电器：适配安装相应继电器；</w:t>
      </w:r>
    </w:p>
    <w:p w14:paraId="6960A7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（6）信号包含：不限于开关门、开门到位、刀具就位、工装加紧、工装放松等；</w:t>
      </w:r>
    </w:p>
    <w:p w14:paraId="7D8CD9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（7）能获取加工中心的状态信息、机床模式等与大屏进行数据通讯联接。</w:t>
      </w:r>
    </w:p>
    <w:p w14:paraId="7C1D9CA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4、设备配套</w:t>
      </w:r>
    </w:p>
    <w:p w14:paraId="70DE92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（1）提供产线需要的BT40刀柄和加工刀具；</w:t>
      </w:r>
    </w:p>
    <w:p w14:paraId="0B4D3B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（2）提供加工必须要的切削液和清洗液。</w:t>
      </w:r>
    </w:p>
    <w:p w14:paraId="69DFF8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（十五）数控车床1套</w:t>
      </w:r>
    </w:p>
    <w:p w14:paraId="4DB99C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1）床身上最大回转直径：≥560mm； </w:t>
      </w:r>
    </w:p>
    <w:p w14:paraId="6A99244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2）最大车削长度：≥500mm； </w:t>
      </w:r>
    </w:p>
    <w:p w14:paraId="69DBB0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3）最大车削直径：≥ 350mm；</w:t>
      </w:r>
    </w:p>
    <w:p w14:paraId="00D07E3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4）最大车削直径：≥ 280mm；</w:t>
      </w:r>
    </w:p>
    <w:p w14:paraId="30762FF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5）滑板上最大回转直径：≥330mm；</w:t>
      </w:r>
    </w:p>
    <w:p w14:paraId="4F6EE2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6）主轴端部型式及代号：A2-6；</w:t>
      </w:r>
    </w:p>
    <w:p w14:paraId="01DB5C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7）主轴孔直径：≥50mm；</w:t>
      </w:r>
    </w:p>
    <w:p w14:paraId="37B4D2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8）主轴转速级数：无级变速；</w:t>
      </w:r>
    </w:p>
    <w:p w14:paraId="67BD2C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9）主轴转速范围：50-4000r/min</w:t>
      </w:r>
    </w:p>
    <w:p w14:paraId="6BB4FF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10）主轴最大输出扭矩：≥177Nm；</w:t>
      </w:r>
    </w:p>
    <w:p w14:paraId="0028DA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11）主电机输出功率：≥11kW； </w:t>
      </w:r>
    </w:p>
    <w:p w14:paraId="4C6EC3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12）X轴快移速度：≥20m/min；</w:t>
      </w:r>
    </w:p>
    <w:p w14:paraId="3F82ED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13）Z轴快移速度：≥20m/min；</w:t>
      </w:r>
    </w:p>
    <w:p w14:paraId="0B7D2B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14）X轴行程：≥200mm；</w:t>
      </w:r>
    </w:p>
    <w:p w14:paraId="18839F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15）Z轴行程：≥530mm；</w:t>
      </w:r>
    </w:p>
    <w:p w14:paraId="323666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16）卡盘直径/型式：中空液压卡盘≥200mm；</w:t>
      </w:r>
    </w:p>
    <w:p w14:paraId="6E5E3B9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17）尾座行程：≥450mm；</w:t>
      </w:r>
    </w:p>
    <w:p w14:paraId="197BA60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18）尾座套筒锥孔锥度：莫氏5#；</w:t>
      </w:r>
    </w:p>
    <w:p w14:paraId="203BBB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19）机床重量：≤3500kg；</w:t>
      </w:r>
    </w:p>
    <w:p w14:paraId="278F84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20）标准刀架形式：卧式8工位；</w:t>
      </w:r>
    </w:p>
    <w:p w14:paraId="2E0A620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21）刀盘可否就近选刀：可；</w:t>
      </w:r>
    </w:p>
    <w:p w14:paraId="6263E81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22）盘刀件最大承重：200KG（含卡盘等机床附件）， 轴类件最大承重：≥500KG（含卡盘等机床附件）；</w:t>
      </w:r>
    </w:p>
    <w:p w14:paraId="4F4289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23）机床外形尺寸（长×宽×高）≤2770×1900×2200MM；</w:t>
      </w:r>
    </w:p>
    <w:p w14:paraId="48C623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数控系统：包括：基本功能：支持G代码编程、坐标系设定（如工件坐标系、机床坐标系）、插补功能（线性插补G01、圆弧插补G02/G03）、进给控制（快速进给G00、进给速度单位G94等）以及辅助功能（M指令、S指令、T指令）。 编程与操作：提供用户宏程序、固定循环（如车床复合循环）、刀具补偿（刀尖半径补偿G40/G41/G42、刀具长度补偿G43/G44）等简化编程功能。 </w:t>
      </w:r>
    </w:p>
    <w:p w14:paraId="5E2B36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，提供自动化集成所需开放接口，包括但不仅限于机床循环启动、报警、急停、暂停、开始等信号的输入与输出接口。</w:t>
      </w:r>
    </w:p>
    <w:p w14:paraId="1479C2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（十六）数控车床改造1套</w:t>
      </w:r>
    </w:p>
    <w:p w14:paraId="36F852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一、防护门改造</w:t>
      </w:r>
    </w:p>
    <w:p w14:paraId="2C1C43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采用气缸机构开启关闭防护门，安装限位开关检测防护门关闭和开启状态。</w:t>
      </w:r>
    </w:p>
    <w:p w14:paraId="7B3D910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1.圆柱气缸参数</w:t>
      </w:r>
    </w:p>
    <w:p w14:paraId="13238B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（1）气缸缸径：Φ25mm</w:t>
      </w:r>
    </w:p>
    <w:p w14:paraId="01C13F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（2）重复精度：±0.05mm</w:t>
      </w:r>
    </w:p>
    <w:p w14:paraId="5BB8C5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（3）动作方式：双作用</w:t>
      </w:r>
    </w:p>
    <w:p w14:paraId="6ADF7D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（4）使用流体：空气</w:t>
      </w:r>
    </w:p>
    <w:p w14:paraId="76957D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（5）使用压力MPa：0.1～0.6</w:t>
      </w:r>
    </w:p>
    <w:p w14:paraId="681736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（6）环境温度及使用流体温度℃：-10～60</w:t>
      </w:r>
    </w:p>
    <w:p w14:paraId="2D9F7D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（7）最高使用频率c.p.m：60</w:t>
      </w:r>
    </w:p>
    <w:p w14:paraId="3DA827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（8）开闭行程：≥800mm</w:t>
      </w:r>
    </w:p>
    <w:p w14:paraId="7F0C4A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2.电磁阀</w:t>
      </w:r>
    </w:p>
    <w:p w14:paraId="0CED492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（1）DC24V</w:t>
      </w:r>
    </w:p>
    <w:p w14:paraId="7A79A6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（2）使用压力：0.15～0.7 MPa</w:t>
      </w:r>
    </w:p>
    <w:p w14:paraId="0494630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3.限位开关</w:t>
      </w:r>
    </w:p>
    <w:p w14:paraId="7B1330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（1）数量：2个</w:t>
      </w:r>
    </w:p>
    <w:p w14:paraId="547DA0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（2）导线引出方向：横方向</w:t>
      </w:r>
    </w:p>
    <w:p w14:paraId="73898A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（3）适合负载：DC24V继电器、PLC用</w:t>
      </w:r>
    </w:p>
    <w:p w14:paraId="797741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（4）负载电压：DC24V</w:t>
      </w:r>
    </w:p>
    <w:p w14:paraId="31EA55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（5）负载电流：2.5～40mA</w:t>
      </w:r>
    </w:p>
    <w:p w14:paraId="775B82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（6）内部电压降：4V以下</w:t>
      </w:r>
    </w:p>
    <w:p w14:paraId="464E5F3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（7）漏电流：0.8mA以下</w:t>
      </w:r>
    </w:p>
    <w:p w14:paraId="74D36C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（8）指示灯：ON时红色发光二极管亮</w:t>
      </w:r>
    </w:p>
    <w:p w14:paraId="7FEA8B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二、液压或气动工装</w:t>
      </w:r>
    </w:p>
    <w:p w14:paraId="1A6B3A0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1.能够同时适配满足工业环形光源多种标准加工件</w:t>
      </w:r>
    </w:p>
    <w:p w14:paraId="700A036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2.系统压力≥40Bar</w:t>
      </w:r>
    </w:p>
    <w:p w14:paraId="6631F7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3.功率≤1.5kw</w:t>
      </w:r>
    </w:p>
    <w:p w14:paraId="1F41E3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三、加工中心系统信息智能化展示通讯联接</w:t>
      </w:r>
    </w:p>
    <w:p w14:paraId="6EB365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1.扩展数控系统8 IN/8 OUT数字量输入输出；</w:t>
      </w:r>
    </w:p>
    <w:p w14:paraId="0CCC8B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2.继电器触点：NO、NC ；</w:t>
      </w:r>
    </w:p>
    <w:p w14:paraId="391CEA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3.额定电压：不大于AC 250V、或DC 30V；</w:t>
      </w:r>
    </w:p>
    <w:p w14:paraId="25D09F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4.触点允许电流：8A；</w:t>
      </w:r>
    </w:p>
    <w:p w14:paraId="2E2FB2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5.继电器：适配安装相应继电器；</w:t>
      </w:r>
    </w:p>
    <w:p w14:paraId="359447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6.信号包含：不限于开关门、开门到位、刀具就位、工装加紧、工装放松等；</w:t>
      </w:r>
    </w:p>
    <w:p w14:paraId="67750AA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7.能获取加工中心的状态信息、机床模式等与大屏进行数据通讯联接。</w:t>
      </w:r>
    </w:p>
    <w:p w14:paraId="0EACAF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四、配套</w:t>
      </w:r>
    </w:p>
    <w:p w14:paraId="3F6E61B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1.提供足够的BT40刀柄和加工刀具。</w:t>
      </w:r>
    </w:p>
    <w:p w14:paraId="777F93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2.提供加工必须要的切削液和清洗液。</w:t>
      </w:r>
    </w:p>
    <w:p w14:paraId="31B1B5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（十七）智能装配工作站</w:t>
      </w:r>
    </w:p>
    <w:p w14:paraId="6D4ADE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一、平台组成：</w:t>
      </w:r>
    </w:p>
    <w:p w14:paraId="01B05B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装配工作站主要由协作机器人、快换装置、视觉定位系统、工装、电气系统、装配工作台、边缘计算器和其他配套等组成。</w:t>
      </w:r>
    </w:p>
    <w:p w14:paraId="592B9F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二、协作机器人：</w:t>
      </w:r>
    </w:p>
    <w:p w14:paraId="6BE8F3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1.轴数：6轴。</w:t>
      </w:r>
    </w:p>
    <w:p w14:paraId="2C8D4C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2.工作半径：≥819mm，负载：≥7kg，重复定位精度：优于±0.02mm；</w:t>
      </w:r>
    </w:p>
    <w:p w14:paraId="2C296C8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3.本体重量（含电缆）：≤22KG；</w:t>
      </w:r>
    </w:p>
    <w:p w14:paraId="60B2FA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4.编程方式：支持图形化编程、拖拽编程 </w:t>
      </w:r>
    </w:p>
    <w:p w14:paraId="78436B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5.示教器类型：平板电脑/手机APP（无线示教器），交货时需提供无线示教器APP安装包，支持机器人手动操纵、程序编写、参数配置以及信息监控等功能；</w:t>
      </w:r>
    </w:p>
    <w:p w14:paraId="5E2F5F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6.动作范围及速度：</w:t>
      </w:r>
    </w:p>
    <w:p w14:paraId="2DFCDD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机械臂     动作范围     速度</w:t>
      </w:r>
    </w:p>
    <w:p w14:paraId="06088E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关节1       ±360°      180°/s</w:t>
      </w:r>
    </w:p>
    <w:p w14:paraId="5D1912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关节2     -85°,+265°   180°/s</w:t>
      </w:r>
    </w:p>
    <w:p w14:paraId="537314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关节3       ±175°      180°/s</w:t>
      </w:r>
    </w:p>
    <w:p w14:paraId="083B1E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关节4     -85°,+265°   180°/s</w:t>
      </w:r>
    </w:p>
    <w:p w14:paraId="29779F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关节5       ±360°      180°/s</w:t>
      </w:r>
    </w:p>
    <w:p w14:paraId="5E0E11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关节6       ±360°      180°/s</w:t>
      </w:r>
    </w:p>
    <w:p w14:paraId="2FAA349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7.工具端最大速度：≥2.5m/s。</w:t>
      </w:r>
    </w:p>
    <w:p w14:paraId="3D4F1A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8.IP等级：IP54。</w:t>
      </w:r>
    </w:p>
    <w:p w14:paraId="4A37D49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9.工具IO端口：数字输入2个 /数字输出2个 /模拟输入2个。</w:t>
      </w:r>
    </w:p>
    <w:p w14:paraId="6E44CB7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10.控制柜：</w:t>
      </w:r>
    </w:p>
    <w:p w14:paraId="05E96E9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（1）电控柜尺寸（W*H*D）：≤410×307×235mm；</w:t>
      </w:r>
    </w:p>
    <w:p w14:paraId="70B362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（2）IP等级：IP44；</w:t>
      </w:r>
    </w:p>
    <w:p w14:paraId="1C727D9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（3）电控柜I/O端口：16个数字输入，16个数字输出，2个模拟输入或输出；</w:t>
      </w:r>
    </w:p>
    <w:p w14:paraId="57BB712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（4）通讯标配：TCP/IP, Modbus TCP, Modbus RTU，Profinet，Ethernet/IP；</w:t>
      </w:r>
    </w:p>
    <w:p w14:paraId="16A718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（5）重量：≤15.4kg；</w:t>
      </w:r>
    </w:p>
    <w:p w14:paraId="471C59F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三、快换装置：</w:t>
      </w:r>
    </w:p>
    <w:p w14:paraId="1F5B53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1.根据装配要求配套多组末端装置；</w:t>
      </w:r>
    </w:p>
    <w:p w14:paraId="025A44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2.快换采用气动自动吸合式，额定负载：≥5kg；</w:t>
      </w:r>
    </w:p>
    <w:p w14:paraId="0064AF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3.快换工具机器人侧+工具侧本体=总重量≤0.5kg；</w:t>
      </w:r>
    </w:p>
    <w:p w14:paraId="3EB3CC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4.X/Y/Z重复精度:≤ ±0.03mm；</w:t>
      </w:r>
    </w:p>
    <w:p w14:paraId="5BCB9B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5.内置气源接口数量：≥2路；</w:t>
      </w:r>
    </w:p>
    <w:p w14:paraId="731A53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6.内置信号源接口数量：≥9路；</w:t>
      </w:r>
    </w:p>
    <w:p w14:paraId="0A6336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7.该工具配套专门的工具放置架，放置架具有放入识别功能，防错定位功能，可以防止人为的误放或错位放置；</w:t>
      </w:r>
    </w:p>
    <w:p w14:paraId="67C0BB6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8.材质：高强度铝合金；</w:t>
      </w:r>
    </w:p>
    <w:p w14:paraId="1CE66E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9.锁紧机构：凸轮式锁紧机构；</w:t>
      </w:r>
    </w:p>
    <w:p w14:paraId="398EE58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10.自动定心的功能：3个凸轮锁紧后，有定位的作用；</w:t>
      </w:r>
    </w:p>
    <w:p w14:paraId="55CEBC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11.灵活的凸轮伸缩功能。在小负载的情况，不会拖带工具；</w:t>
      </w:r>
    </w:p>
    <w:p w14:paraId="58F5FF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12.锁紧传感开关的电压范围：10-30VDC；</w:t>
      </w:r>
    </w:p>
    <w:p w14:paraId="042246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13.工作环境：工作气压 5-7bar.工作温度 5-60℃。</w:t>
      </w:r>
    </w:p>
    <w:p w14:paraId="3EA4F4E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四、视觉定位系统：</w:t>
      </w:r>
    </w:p>
    <w:p w14:paraId="7CC365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1.有效像素≥500万；</w:t>
      </w:r>
    </w:p>
    <w:p w14:paraId="144A272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2.芯片尺寸：2/3”；</w:t>
      </w:r>
    </w:p>
    <w:p w14:paraId="4920116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3.数据接口：USB3.0或GigE；</w:t>
      </w:r>
    </w:p>
    <w:p w14:paraId="793DA6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4.配套镜头：C-Mount，焦距16mm，F2.8，500万像素；</w:t>
      </w:r>
    </w:p>
    <w:p w14:paraId="7BDC58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5.配套光源：正面无影光源，亮度可编程控制；</w:t>
      </w:r>
    </w:p>
    <w:p w14:paraId="33C374E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6.配套安装夹具，全部固定在机器人手臂上，并可以微调；</w:t>
      </w:r>
    </w:p>
    <w:p w14:paraId="5F99E1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配套软件：图形化编程、拖拽编程，支持常见品牌机器人和PLC，至少包含60多个常用图像工具，可提供深度学习、AOI等多种高级算子，提供API，支持二次开发，支持多项目同步运行，支持多用户模式，支持远程客户端通讯，能够实现识别、定位、测量、检测等各种视觉应用。</w:t>
      </w:r>
    </w:p>
    <w:p w14:paraId="332AE8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五、伺服螺丝批：</w:t>
      </w:r>
    </w:p>
    <w:p w14:paraId="44785A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扭距范围：0.5-3.6 N.m;</w:t>
      </w:r>
    </w:p>
    <w:p w14:paraId="470F24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转速：10~3000转/分钟;</w:t>
      </w:r>
    </w:p>
    <w:p w14:paraId="4F3E23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3.功率：≥400W;</w:t>
      </w:r>
    </w:p>
    <w:p w14:paraId="2A5B74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4.无机械齿轮和离合器结构;</w:t>
      </w:r>
    </w:p>
    <w:p w14:paraId="185ED9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5.高精度电流采样和终值算法驱控，响应快，重复精度高，扭力精准;</w:t>
      </w:r>
    </w:p>
    <w:p w14:paraId="1B30762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6.多种工作模式，单段，多段和机牙模式，转速扭矩可调，锁缚智能化;</w:t>
      </w:r>
    </w:p>
    <w:p w14:paraId="123F48B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7.驱控器 IO 信号有电批启停，电批反转，力矩到达和电批报警输出信号;</w:t>
      </w:r>
    </w:p>
    <w:p w14:paraId="77FDA7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8.集成一个基于 MODBUS RTU 协议的 485 通信口，外联控制器或触摸屏;</w:t>
      </w:r>
    </w:p>
    <w:p w14:paraId="1C5E87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9.仪器端管理软件，读取保存数据，显示扭力曲线，对接工厂 MES 系统;</w:t>
      </w:r>
    </w:p>
    <w:p w14:paraId="29D380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10.驱控器自带 2.4 寸真彩触摸屏可调试设置参数，方便监控调试电批运作。</w:t>
      </w:r>
    </w:p>
    <w:p w14:paraId="1431D8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六、螺丝供料器：</w:t>
      </w:r>
    </w:p>
    <w:p w14:paraId="5BAE04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1.螺钉规格：M3-8圆柱头内六角螺钉；</w:t>
      </w:r>
    </w:p>
    <w:p w14:paraId="1D30C3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2.供料速度：≥20颗/分钟；</w:t>
      </w:r>
    </w:p>
    <w:p w14:paraId="43466D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3.配置计数器，显示供料数量；</w:t>
      </w:r>
    </w:p>
    <w:p w14:paraId="77B24C2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4.取料位配置传感器，确保机械手正常取料；</w:t>
      </w:r>
    </w:p>
    <w:p w14:paraId="6919EE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5.插拔式电源及接口，模组拆装更便捷；</w:t>
      </w:r>
    </w:p>
    <w:p w14:paraId="071156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6.模组与底板采用销钉定位安装，重复定位精准；</w:t>
      </w:r>
    </w:p>
    <w:p w14:paraId="2302BA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7.通讯方式：RS232、IO。</w:t>
      </w:r>
    </w:p>
    <w:p w14:paraId="0218C6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七、工装：</w:t>
      </w:r>
    </w:p>
    <w:p w14:paraId="5F3BB4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1.根据工业环形光源和工艺品套件装配需要提供机械或电气配套的复合装配工装；</w:t>
      </w:r>
    </w:p>
    <w:p w14:paraId="23465F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2.确保配合装配机器人完成的高精度装配；</w:t>
      </w:r>
    </w:p>
    <w:p w14:paraId="3383E4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八、电气系统：</w:t>
      </w:r>
    </w:p>
    <w:p w14:paraId="10D0E8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1.输入电源：交流单相220V，频率50Hz；</w:t>
      </w:r>
    </w:p>
    <w:p w14:paraId="193826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2.安全保护：为确保在使用过程中设备及学生的安全，包含急停开关、漏电保护、短路保护、过载保护，整套设备安全保护符合国家标准。</w:t>
      </w:r>
    </w:p>
    <w:p w14:paraId="37AA26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3.PLC、通讯模块、开关电源、三联件、电磁阀等均采用一线品牌。</w:t>
      </w:r>
    </w:p>
    <w:p w14:paraId="5FD59D2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九、装配工作台：</w:t>
      </w:r>
    </w:p>
    <w:p w14:paraId="4DE4A8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1.装配工作台采用方通焊接框架，铝合金台面；</w:t>
      </w:r>
    </w:p>
    <w:p w14:paraId="2589FF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2.内部安装电气控制系统，上面部分安装工作执行模块；</w:t>
      </w:r>
    </w:p>
    <w:p w14:paraId="2BB22D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3.工作台尺寸：≥1800（L）×1000（W）×800（H）mm；</w:t>
      </w:r>
    </w:p>
    <w:p w14:paraId="495EC5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4.采用重型福马脚轮，方便移动和固定。</w:t>
      </w:r>
    </w:p>
    <w:p w14:paraId="3965398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十、边缘计算器：</w:t>
      </w:r>
    </w:p>
    <w:p w14:paraId="20AFFE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1）采用高性能</w:t>
      </w:r>
      <w:r>
        <w:rPr>
          <w:rFonts w:hint="eastAsia" w:ascii="仿宋" w:hAnsi="仿宋" w:eastAsia="仿宋" w:cs="仿宋"/>
          <w:bCs/>
          <w:color w:val="auto"/>
          <w:sz w:val="24"/>
          <w:szCs w:val="24"/>
          <w:highlight w:val="none"/>
          <w:lang w:eastAsia="zh"/>
        </w:rPr>
        <w:t xml:space="preserve">I7 </w:t>
      </w:r>
      <w:r>
        <w:rPr>
          <w:rFonts w:hint="eastAsia" w:ascii="仿宋" w:hAnsi="仿宋" w:eastAsia="仿宋" w:cs="仿宋"/>
          <w:bCs/>
          <w:color w:val="auto"/>
          <w:sz w:val="24"/>
          <w:szCs w:val="24"/>
          <w:highlight w:val="none"/>
        </w:rPr>
        <w:t>12代及以上规格处理器，具备多线程处理能力，缓存容量不低于2</w:t>
      </w:r>
      <w:r>
        <w:rPr>
          <w:rFonts w:ascii="仿宋" w:hAnsi="仿宋" w:eastAsia="仿宋" w:cs="仿宋"/>
          <w:bCs/>
          <w:color w:val="auto"/>
          <w:sz w:val="24"/>
          <w:szCs w:val="24"/>
          <w:highlight w:val="none"/>
        </w:rPr>
        <w:t>0MB</w:t>
      </w:r>
      <w:r>
        <w:rPr>
          <w:rFonts w:hint="eastAsia" w:ascii="仿宋" w:hAnsi="仿宋" w:eastAsia="仿宋" w:cs="仿宋"/>
          <w:bCs/>
          <w:color w:val="auto"/>
          <w:sz w:val="24"/>
          <w:szCs w:val="24"/>
          <w:highlight w:val="none"/>
        </w:rPr>
        <w:t>，基准主频不低于2</w:t>
      </w:r>
      <w:r>
        <w:rPr>
          <w:rFonts w:ascii="仿宋" w:hAnsi="仿宋" w:eastAsia="仿宋" w:cs="仿宋"/>
          <w:bCs/>
          <w:color w:val="auto"/>
          <w:sz w:val="24"/>
          <w:szCs w:val="24"/>
          <w:highlight w:val="none"/>
        </w:rPr>
        <w:t>.5GHz</w:t>
      </w:r>
      <w:r>
        <w:rPr>
          <w:rFonts w:hint="eastAsia" w:ascii="仿宋" w:hAnsi="仿宋" w:eastAsia="仿宋" w:cs="仿宋"/>
          <w:bCs/>
          <w:color w:val="auto"/>
          <w:sz w:val="24"/>
          <w:szCs w:val="24"/>
          <w:highlight w:val="none"/>
        </w:rPr>
        <w:t>，内存不低于16G，硬盘不低于128G SSD硬盘，可同时支持两路USB3.0相机和四路PoE GigE相机同时采集。</w:t>
      </w:r>
    </w:p>
    <w:p w14:paraId="52C7D51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2）自带光耦隔离GPIO（8-IN、8-OUT）、两路RS232/485接口。</w:t>
      </w:r>
    </w:p>
    <w:p w14:paraId="4E9E198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3）至少支持TCP/IP、EtherCAT网络协议，支持运动控制及分布式IO扩展。</w:t>
      </w:r>
    </w:p>
    <w:p w14:paraId="0BA9C77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4）支持四路光源控制，支持软件亮度调节和外触发。</w:t>
      </w:r>
    </w:p>
    <w:p w14:paraId="71D5138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5）支持HDMI和DVI仪器显示终端，配套工业小尺寸键鼠。</w:t>
      </w:r>
    </w:p>
    <w:p w14:paraId="0FBF558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6）兼容多种协议，包括S7、Modbus、Profinet、HTTP、HTTPS、SFTP、SNTP、SNMP、IPSec、OPCUA、MQTT、 gRPC。</w:t>
      </w:r>
    </w:p>
    <w:p w14:paraId="38B1A4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7）输入电源DC 24V，最大功率240W。</w:t>
      </w:r>
    </w:p>
    <w:p w14:paraId="6EC517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8）支持HDMI仪器显示终端，配套仪器显示终端≥19寸，配套工业小尺寸键鼠。</w:t>
      </w:r>
    </w:p>
    <w:p w14:paraId="29EDB0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9）配套通用软件平台。</w:t>
      </w:r>
    </w:p>
    <w:p w14:paraId="19EEE2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十一、其他配套：</w:t>
      </w:r>
    </w:p>
    <w:p w14:paraId="37EB5E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1.必须为“交钥匙工程”，所有的夹具等配件、空压机等工具、样品、耗材、图像标定板等必须提供足量，并包含运输、上楼、现场走线和安装调试在内，工作站须满足工业环境要求；</w:t>
      </w:r>
    </w:p>
    <w:p w14:paraId="1C5873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2.机器人和视觉系统的控制系统具有多种通讯接口，能够与计算机通过以太网进行网络连接。</w:t>
      </w:r>
    </w:p>
    <w:p w14:paraId="7A8250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（十八）数字大屏2套</w:t>
      </w:r>
    </w:p>
    <w:p w14:paraId="28F3BB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1）可视化大屏采用主流的4K屏，屏幕尺寸75寸，能够实时显示在线生产或物流的关键指标和核心数据，也能够实时显示六轴协作机器人上料单元的3D相机和两套在线视觉检测单元实时检测结果；</w:t>
      </w:r>
    </w:p>
    <w:p w14:paraId="44BCB1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2）不低于2GB+32GB金属机身</w:t>
      </w:r>
    </w:p>
    <w:p w14:paraId="4826399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3）包含高清HDMI VGA  USB接口等</w:t>
      </w:r>
    </w:p>
    <w:p w14:paraId="5E4058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（十九）安全防护</w:t>
      </w:r>
    </w:p>
    <w:p w14:paraId="4EF4817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1.采用铝型材结构；</w:t>
      </w:r>
    </w:p>
    <w:p w14:paraId="38D1BD7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2.配有钢丝编制网格围栏，立柱采用40×40mm型材结构，围栏网框采用30×30mm铝型材配置；</w:t>
      </w:r>
    </w:p>
    <w:p w14:paraId="7B938D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3.围栏门上配备安全开关及门插；</w:t>
      </w:r>
    </w:p>
    <w:p w14:paraId="7E383C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4.安全开关设有请求按钮，请求按钮上有急停、请求进入、复位按钮，同时配有按钮指示灯。</w:t>
      </w:r>
    </w:p>
    <w:p w14:paraId="210E18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（二十）配套教学实训资源</w:t>
      </w:r>
    </w:p>
    <w:p w14:paraId="387D09C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为了满足教学需求，需提供如下教学资源：</w:t>
      </w:r>
    </w:p>
    <w:p w14:paraId="5055C1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一、教学资源：</w:t>
      </w:r>
    </w:p>
    <w:p w14:paraId="4DB11F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1.产品使用说明书（主要软、硬件）；</w:t>
      </w:r>
    </w:p>
    <w:p w14:paraId="0F2431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2.活页实验指导书；</w:t>
      </w:r>
    </w:p>
    <w:p w14:paraId="55612A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3.提供智能产线培训和保障服务；</w:t>
      </w:r>
    </w:p>
    <w:p w14:paraId="7B933B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二、配套教学实训样品：</w:t>
      </w:r>
    </w:p>
    <w:p w14:paraId="473193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1，工业环形光源毛包含环形光源底板、环形光源盖、PCB板和散热垫组成，提供配套的毛坯样品不少于20套，带RFID的托盘不少于10套。</w:t>
      </w:r>
    </w:p>
    <w:p w14:paraId="148389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2，常用机械标准件不少于2种类型的样品、治具和工艺要求。</w:t>
      </w:r>
    </w:p>
    <w:p w14:paraId="49F2CB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4D3A9872">
      <w:pPr>
        <w:tabs>
          <w:tab w:val="center" w:pos="4832"/>
          <w:tab w:val="left" w:pos="7140"/>
        </w:tabs>
        <w:spacing w:line="360" w:lineRule="auto"/>
        <w:jc w:val="center"/>
        <w:outlineLvl w:val="1"/>
        <w:rPr>
          <w:rFonts w:ascii="仿宋" w:hAnsi="仿宋" w:eastAsia="仿宋" w:cs="仿宋"/>
          <w:b/>
          <w:color w:val="auto"/>
          <w:sz w:val="24"/>
          <w:szCs w:val="24"/>
          <w:highlight w:val="none"/>
        </w:rPr>
      </w:pPr>
      <w:bookmarkStart w:id="126" w:name="OLE_LINK20"/>
      <w:r>
        <w:rPr>
          <w:rFonts w:hint="eastAsia" w:ascii="仿宋" w:hAnsi="仿宋" w:eastAsia="仿宋" w:cs="仿宋"/>
          <w:b/>
          <w:color w:val="auto"/>
          <w:sz w:val="24"/>
          <w:szCs w:val="24"/>
          <w:highlight w:val="none"/>
        </w:rPr>
        <w:t>标的六：机械创新（理实虚+数字孪生）实训平台</w:t>
      </w:r>
    </w:p>
    <w:bookmarkEnd w:id="126"/>
    <w:p w14:paraId="135113D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1、数字教材AI大模型助教模块*1：</w:t>
      </w:r>
    </w:p>
    <w:p w14:paraId="1A9864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1.1后台管理系统：</w:t>
      </w:r>
    </w:p>
    <w:p w14:paraId="6FC2AC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1.1.1非结构化数据导入模块：</w:t>
      </w:r>
      <w:r>
        <w:rPr>
          <w:rFonts w:hint="eastAsia" w:ascii="仿宋" w:hAnsi="仿宋" w:eastAsia="仿宋" w:cs="仿宋"/>
          <w:bCs/>
          <w:color w:val="auto"/>
          <w:sz w:val="24"/>
          <w:szCs w:val="24"/>
          <w:highlight w:val="none"/>
        </w:rPr>
        <w:tab/>
      </w:r>
    </w:p>
    <w:p w14:paraId="38CFFC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1.1.1.1多格式素材导入：支持PDF、Word、PPT、TXT、图片、视频、音频等常见格式上传。</w:t>
      </w:r>
    </w:p>
    <w:p w14:paraId="3A2BCC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1.1.1.2自动标签化：利用多模态AI识别引擎，为素材自动生成内容标签，支持人工修正与补充。</w:t>
      </w:r>
    </w:p>
    <w:p w14:paraId="310320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1.1.2知识库构建模块：</w:t>
      </w:r>
    </w:p>
    <w:p w14:paraId="47CED9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1.1.2.1知识库创建：支持创建知识库，可设置访问权限。</w:t>
      </w:r>
    </w:p>
    <w:p w14:paraId="4940D410">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1.1.2.2向量化存储：将切片后的知识点转换为向量，存入向量数据库，实现语义检索。支持对导入的文档通过向量模型进行向量化处理操作，支持手工重新进行向量化处理；可查看每个文件的字符数，以及向量化处理后的分段数，支持每个分段内容设置开启关闭状态，段落列表可以进行搜索。回答中可以显示引用的段落、消耗的tokens，以及耗时。</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7FE05D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1.1.3智能体知识库</w:t>
      </w:r>
    </w:p>
    <w:p w14:paraId="5225997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1.1.3.1专属知识库:为每个智能体（课程智能体）分配独立知识库，可绑定后台知识库数据。</w:t>
      </w:r>
    </w:p>
    <w:p w14:paraId="255DAA4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1.1.3.2动态更新:支持将知识更新到知识库，确保智能体回答基于最新资源。</w:t>
      </w:r>
    </w:p>
    <w:p w14:paraId="399A3F3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1.1.4知识资源库管理：</w:t>
      </w:r>
    </w:p>
    <w:p w14:paraId="655454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1.1.4.1云端资源库：建立统一资源管理界面，支持对素材进行查询、预览、新增、编辑、删除等操作。</w:t>
      </w:r>
    </w:p>
    <w:p w14:paraId="079E22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1.2智能课件备课系统</w:t>
      </w:r>
    </w:p>
    <w:p w14:paraId="74FFB1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1.2.1AI会话辅助：</w:t>
      </w:r>
    </w:p>
    <w:p w14:paraId="20FE8C6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1.2.1.1智能大纲生成：根据用户输入的主题、教学目标，AI自动生成结构化的课件大纲，支持多轮对话调整。</w:t>
      </w:r>
    </w:p>
    <w:p w14:paraId="3CE1DD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1.2.1.2内容填充建议：基于大纲，推荐匹配的文本、图片、视频 ，并插入相应位置。</w:t>
      </w:r>
    </w:p>
    <w:p w14:paraId="09F208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1.2.2模板选择</w:t>
      </w:r>
    </w:p>
    <w:p w14:paraId="7E918F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1.2.2.1多样化模板库:提供多种专业课程模板，包含版式、配色等。</w:t>
      </w:r>
    </w:p>
    <w:p w14:paraId="21364C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1.2.3课程编辑：</w:t>
      </w:r>
    </w:p>
    <w:p w14:paraId="6A2274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1.2.3.1 AI生成素材：支持AI生成文本素材，并自动布局至课件页面。</w:t>
      </w:r>
    </w:p>
    <w:p w14:paraId="2741C0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1.2.3..2可视化编辑：提供所见即所得的课件编辑界面，支持预览。</w:t>
      </w:r>
    </w:p>
    <w:p w14:paraId="1811255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1.2.3.3资源库调用：可直接从后台知识资源库搜索、调用上传的素材，插入课件。</w:t>
      </w:r>
    </w:p>
    <w:p w14:paraId="17A334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 AI智能体：</w:t>
      </w:r>
    </w:p>
    <w:p w14:paraId="798EDA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1.3.1常用功能：</w:t>
      </w:r>
    </w:p>
    <w:p w14:paraId="186EE8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1.3.1.1教室：多个教室场景，场景可以进行切换。</w:t>
      </w:r>
    </w:p>
    <w:p w14:paraId="1C372D0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1.3.1.2举手：点击唤出文本对话框。</w:t>
      </w:r>
    </w:p>
    <w:p w14:paraId="3C5E97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1.3.1.3录制：点击录制，以学生视角进行第一视角的场景画面录制，录制后默认保存视频到本地文件夹中。</w:t>
      </w:r>
    </w:p>
    <w:p w14:paraId="17E197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1.3.1.4视角：点击视角，可切换对应视角。</w:t>
      </w:r>
    </w:p>
    <w:p w14:paraId="4B1C93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1.3.1.5设置：进行课程内容的绑定和切换。</w:t>
      </w:r>
    </w:p>
    <w:p w14:paraId="01D3FF0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1.3.2播报模式/交互模式：</w:t>
      </w:r>
    </w:p>
    <w:p w14:paraId="1E0AA8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1.3.2.1播报模式：数字课堂学习下的场景应用，在该模式下，替代解说人或老师对上传的课件内容进行动态展示和讲解。内容展示和讲解可通过解说词的标签设置进行自定义同步播报。</w:t>
      </w:r>
    </w:p>
    <w:p w14:paraId="138FD66E">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1.3.2.2交互模式下，可通过文本或语音对机器人进行对话，在接收到用户问题后，可从知识库中获取答案并推荐相关资料及资源进行展示。在交互模式下可唤醒机器人，进行问答与素材及资源的推荐。可快速触发响应功能按钮，呈现人机交互的状态信息栏，观察对应信息进行对话关键词唤醒和问题录制。</w:t>
      </w:r>
      <w:r>
        <w:rPr>
          <w:rFonts w:hint="eastAsia" w:ascii="仿宋" w:hAnsi="仿宋" w:eastAsia="仿宋" w:cs="仿宋"/>
          <w:b/>
          <w:bCs/>
          <w:color w:val="auto"/>
          <w:sz w:val="24"/>
          <w:szCs w:val="24"/>
          <w:highlight w:val="none"/>
        </w:rPr>
        <w:t>（投标时需提供符合参数要求的</w:t>
      </w:r>
      <w:bookmarkStart w:id="127" w:name="OLE_LINK18"/>
      <w:r>
        <w:rPr>
          <w:rFonts w:hint="eastAsia" w:ascii="仿宋" w:hAnsi="仿宋" w:eastAsia="仿宋" w:cs="仿宋"/>
          <w:b/>
          <w:bCs/>
          <w:color w:val="auto"/>
          <w:sz w:val="24"/>
          <w:szCs w:val="24"/>
          <w:highlight w:val="none"/>
        </w:rPr>
        <w:t>具有检测资质的第三方检测机构出具的检测报告扫描件</w:t>
      </w:r>
      <w:bookmarkEnd w:id="127"/>
      <w:r>
        <w:rPr>
          <w:rFonts w:hint="eastAsia" w:ascii="仿宋" w:hAnsi="仿宋" w:eastAsia="仿宋" w:cs="仿宋"/>
          <w:b/>
          <w:bCs/>
          <w:color w:val="auto"/>
          <w:sz w:val="24"/>
          <w:szCs w:val="24"/>
          <w:highlight w:val="none"/>
        </w:rPr>
        <w:t>、或软件功能界面截图证明文件）</w:t>
      </w:r>
    </w:p>
    <w:p w14:paraId="090D6D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1.3.3多模态交互与实训指导：</w:t>
      </w:r>
    </w:p>
    <w:p w14:paraId="075FD58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1.3.3.1智能体需具备记忆能力，支持在同一个任务中进行多轮上下文关联对话。支持在实训过程中通过自然语言（文本/语音）与智能体进行交互。支持在课堂上随时通过自然语言（文本/语音）与智能体互动，智能体调取相应资源或者三维模型进行展示，辅助课堂互动。</w:t>
      </w:r>
      <w:r>
        <w:rPr>
          <w:rFonts w:hint="eastAsia" w:ascii="仿宋" w:hAnsi="仿宋" w:eastAsia="仿宋" w:cs="仿宋"/>
          <w:b/>
          <w:bCs/>
          <w:color w:val="auto"/>
          <w:sz w:val="24"/>
          <w:szCs w:val="24"/>
          <w:highlight w:val="none"/>
        </w:rPr>
        <w:t>（投标时需提供符合参数要求的技术白皮书、或软件功能界面截图等证明文件）</w:t>
      </w:r>
    </w:p>
    <w:p w14:paraId="429DD7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1.3.3.2系统须具备“演示接管”功能：智能体需能自动接管虚拟仿真设备，进行分步骤的操作演示；智能体能根据操作步骤或提问，自动在主界面或辅屏调取关联的动画、视频、或图解，实现多维展示。支持仿真训练模式。系统可支持智能体进行随机或定向的模拟演练。借助与智能体的多轮对话、查阅相关资料等手段，独立自主地完成训练项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7C13EE4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1.3.3.3能够分析当前的操作与行为，在系统判定发生错误操作时，主动触发正确提示。</w:t>
      </w:r>
    </w:p>
    <w:p w14:paraId="7D8BFE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1.3.4智能考核与评价模块：</w:t>
      </w:r>
    </w:p>
    <w:p w14:paraId="3DAF5D94">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1.3.4.1系统在考核模式下，需在后台实时采集的操作步骤顺序、参数设置及操作耗时等数据流。基于预设的操作规范规则，系统通过行为分析算法对采集到的数据进行多维度比对，自动出具客观实操得分。根据在考核中出现的具体扣分项或薄弱环节，调用AI智能体动态、实时生成针对该薄弱点的理论测试题，进行二次强化考核。</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（投标时需提供符合参数要求的具有检测资质的第三方检测机构出具的检测报告扫描件、或软件功能界面截图证明文件）</w:t>
      </w:r>
    </w:p>
    <w:p w14:paraId="7454B0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数字人形象需内置不少于三套基础交互动作模组，分别对应倾听、思考与回应状态，系统可根据实时交互情境自动触发动作切换，过程中需确保眨眼与口型驱动自然流畅、与语音协调同步。视角切换过程中，数字人应具备调整视角功能，且根据视角变化自动调整在场景中的空间位置与朝向。数字人系统采用行业主流的音素唇形驱动算法，可根据播报词的文字音素发音去匹配的数字人模型唇部动作。在播报模式下，实时计算播报进度与词频显示节奏，调控文本呈现时序，实现语音与文本的同步。</w:t>
      </w:r>
    </w:p>
    <w:p w14:paraId="4445D52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可演示使用全流程，包含：注册及登录账号、选择课程内容、根据左侧屏机器人开场白内容，语音选择问题进行提问。根据第一个问题的回答，推荐出的资料进行学习。从第一个问题的回答中引申的推荐问题，继续选择问题，学习各问题推荐的资料文件，如PPT,PDF,视频等。学习完成后，使用关键字“开始考试”触发软件考试功能。考试完成，使用按键“ESC"或语音“结束考试”进行结束，结束后点击头像查看用户画像数据，观察个人数据的变化。切换播报模式并开始，在数字Ai课堂的数字老师的引导下对当前课程内容进行系统学习，学习过程中，可对课程穿插的资料进行打断并学习与提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7B920D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通过文本输入，唤醒智能体对3D模型进行展示：支持加载三维模型，支持对三维模型进行旋转、缩放、拆装、点击等交互操作、点击下一步，模型可进行下一步操作3D操作；支持通过自然语言（文本/语音）调取资源，对图片可进行展示，对语音和视频可进行播放及拖动进度条操作。</w:t>
      </w:r>
    </w:p>
    <w:p w14:paraId="71DD64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智能体可调出3D模型内燃机、移动副、螺旋副、转动副、球面副、曲柄摇杆机构、双摇杆机构、对心曲柄滑块、双偏心连杆机构、直动滑杆机构、摇块机构、双滑块机构、鹤式起重机、牛头刨床、4R万向节、滚子推杆盘形凸轮,摆动推杆盘形凸轮、外啮合直齿轮、蜗轮蜗杆、齿式棘轮机构、超越离合器等机构知识。在智能体中输入内燃机机构仿真，出现内燃机3D仿真模型，可对内燃机模型进行缩放、旋转交互，并可查看内燃机的简介、工作原理和典型案例。</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179CAC9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智能体可调包含①机构的组成和结构；②平面机构的运动分析；③平面机构的力分析；④机械效率和自锁；⑤机械的平衡；⑥平面连杆机构及其设计；⑦凸轮机构及设计；⑧齿轮结构及其设计等内容。包含①机构认知实验；②曲柄导杆滑块机构实验；③曲柄摇杆机构性能实验；④动平衡实验；⑤凸轮动态测试；⑥齿轮范成实验；⑦减速器拆装实验；⑧齿轮传动效率测试实验；⑨带传动实验等课程实验指导。</w:t>
      </w:r>
    </w:p>
    <w:p w14:paraId="1AF99D5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1.9以上所有软件功能都需要在数智孪生实践管理平台上正常运行。</w:t>
      </w:r>
    </w:p>
    <w:p w14:paraId="15F609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2、多态可重组智能机构创新实验系统*6：</w:t>
      </w:r>
    </w:p>
    <w:p w14:paraId="0512BE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2.1实验台性能特点要求：</w:t>
      </w:r>
    </w:p>
    <w:p w14:paraId="68C5788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2.1.1实验台结构组成：由机架、小型步进电动机、传动带、齿轮、凸轮、槽轮、主从动轴、转动副轴、活动铰链座、连杆、特制螺栓、张紧轮组件、组合支座组件等组成。</w:t>
      </w:r>
    </w:p>
    <w:p w14:paraId="5B095E92">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▲2.1.2机架上下横梁为4080及以上铝型材，五根立柱为≧</w:t>
      </w:r>
      <w:bookmarkStart w:id="128" w:name="OLE_LINK19"/>
      <w:r>
        <w:rPr>
          <w:rFonts w:hint="eastAsia" w:ascii="仿宋" w:hAnsi="仿宋" w:eastAsia="仿宋" w:cs="仿宋"/>
          <w:bCs/>
          <w:color w:val="auto"/>
          <w:sz w:val="24"/>
          <w:szCs w:val="24"/>
          <w:highlight w:val="none"/>
        </w:rPr>
        <w:t>T24X4</w:t>
      </w:r>
      <w:bookmarkEnd w:id="128"/>
      <w:r>
        <w:rPr>
          <w:rFonts w:hint="eastAsia" w:ascii="仿宋" w:hAnsi="仿宋" w:eastAsia="仿宋" w:cs="仿宋"/>
          <w:bCs/>
          <w:color w:val="auto"/>
          <w:sz w:val="24"/>
          <w:szCs w:val="24"/>
          <w:highlight w:val="none"/>
        </w:rPr>
        <w:t>及以上丝杆，并配备≧15个滑块。</w:t>
      </w:r>
      <w:r>
        <w:rPr>
          <w:rFonts w:hint="eastAsia" w:ascii="仿宋" w:hAnsi="仿宋" w:eastAsia="仿宋" w:cs="仿宋"/>
          <w:b/>
          <w:bCs/>
          <w:color w:val="auto"/>
          <w:sz w:val="24"/>
          <w:szCs w:val="24"/>
          <w:highlight w:val="none"/>
        </w:rPr>
        <w:t>（投标时提供具有检测资质的第三方检测机构出具的检测报告扫描件，或正面、背面、左侧面、右侧面、俯视面等不同维度实物图片等证明文件）</w:t>
      </w:r>
    </w:p>
    <w:p w14:paraId="7232E9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2.1.3零件、连杆等杆组可进行大范围尺寸调整便于机构组合拼装，铝材表面分色氧化处理。</w:t>
      </w:r>
    </w:p>
    <w:p w14:paraId="42B4FF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2.1.4转轴、滑块、移动杆内部安装有轴承。</w:t>
      </w:r>
    </w:p>
    <w:p w14:paraId="41ADC6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2.2实验项目及内容：</w:t>
      </w:r>
    </w:p>
    <w:p w14:paraId="4A7B98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平面、空间及轮系机构组成原理及创新设计的拼装设计及测试实验不少于以下39种：外槽轮机构、盘形凸轮、双摇杆机构、曲柄滑块机构、曲柄摇杆机构、齿轮连杆机构、内燃机机构、精压机机构、牛头刨床机构、齿轮齿条—双曲柄滑块机构、齿轮--曲柄摇杆机构、齿轮--曲柄摆块机构、喷气织机开口机构、冲压机构、插床机构、筛料机构、凸轮连杆组合机构、凸轮-五连杆机构、行程放大机构、冲压机构、双摆杆摆角放大机构、齿轮-对心曲柄滑块机构、齿轮-偏置曲柄滑块机构、等速运动-等加速等减速运动规律凸轮机构、简谐运动规律凸轮机构、齿轮—曲柄摇杆机构、曲柄摆块-齿条齿轮机构、摆块机构、摆动导杆-对心滑块机构、摆动导杆-偏置滑块机构、正弦机构、摆动导杆-双摇杆机构、齿轮-齿轮齿条机构、球面四杆机构、RCRC揉面机构、运动分解、运动合成、行星轮系一种、差动轮系一种、学员自由组合搭接机构并进行测试。</w:t>
      </w:r>
    </w:p>
    <w:p w14:paraId="595C4E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▲2.2.2创意性设计组合拼装实验：可由学生自行构思机构运动简图，并自行完成方案的拼接并进行测试，绘制实验曲线。任意搭接任意测试。</w:t>
      </w:r>
    </w:p>
    <w:p w14:paraId="5B060C4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2.3测试软件：</w:t>
      </w:r>
    </w:p>
    <w:p w14:paraId="5E41E9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2.3.1测控软件实时显示设备实验数据；</w:t>
      </w:r>
    </w:p>
    <w:p w14:paraId="0675FF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2.3.2可以记录当前实验数据，可根据采集的数据绘制实验曲线，分析特征数据；</w:t>
      </w:r>
    </w:p>
    <w:p w14:paraId="1F5094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2.3.3软件完成实验数据的采集、实验状态的监控、生成实验报告，实验报告可导出；</w:t>
      </w:r>
    </w:p>
    <w:p w14:paraId="47D579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2.3.4软件可直接控制测控系统硬件，如开启电机，调节电机转速，调节负载等；</w:t>
      </w:r>
    </w:p>
    <w:p w14:paraId="6964EA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2.3.5通过软件可设置实验配置实验参数及实验内容；</w:t>
      </w:r>
    </w:p>
    <w:p w14:paraId="29C59D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2.3.6软件具备设备诊断功能，如通讯诊断等；</w:t>
      </w:r>
    </w:p>
    <w:p w14:paraId="1F573D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2.3.7软件支持windows10，windows11操作系统；</w:t>
      </w:r>
    </w:p>
    <w:p w14:paraId="46A616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2.3.8支持参数设置、采集分析、实验报告等功能；</w:t>
      </w:r>
    </w:p>
    <w:p w14:paraId="024CB90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▲2.3.9软件支持电机角速度、线速度等实时数据的小时，支持负载设定及大小调整；软件支持采样次数等数据显示，支持电机的启动/停止、转速设定、大小调整；</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70AFDB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▲2.3.10软件支持一键卸载功能，支持数据的导出；支持IP地址的设置。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3511A8F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2.4主要技术参数：</w:t>
      </w:r>
    </w:p>
    <w:p w14:paraId="66575F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2.4.1机架：数量≥2个/套；尺寸≥1000*350*650mm；材料为重型铝合金型材；</w:t>
      </w:r>
    </w:p>
    <w:p w14:paraId="46388D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2.4.2立柱：数量≥5根；滑块：每根立柱上≥3个，滑块可上下滑动、360度旋转。</w:t>
      </w:r>
    </w:p>
    <w:p w14:paraId="30F9442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2.4.3机架存放桌：</w:t>
      </w:r>
    </w:p>
    <w:p w14:paraId="57AFED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2.4.3.1外观样式：立柱采用铝合金型材和钢制框架，立柱型材截面尺寸≧60*60mm；台架连接构件厚度≥4mm；需配置铝合金型材电源条；配套仪器显示终端支架，可固定19-24寸仪器显示终端；配置全钢制键盘架≥1套；安装仪器主机托板≥1块；设有可调节高度支撑脚。实验台面采用中密度纤维板，厚度≧20mm。外形尺寸≧1500*700*770mm（长*宽*高）。</w:t>
      </w:r>
    </w:p>
    <w:p w14:paraId="091519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2.4.3.2铝合金型材电源条电气性能：单相三线，交流220V±10%，50HZ；容量≤2.2KVA；接地保护，漏电保护（动作电流＜30mA），过载保护；漏电保护器≥1位、电源指示灯≥1位、五孔插座≥8位250V/10A，插座带安全门。</w:t>
      </w:r>
    </w:p>
    <w:p w14:paraId="5B3E0C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2.4.4零件：采用45号钢和铝合金，表面镀锌和氧化分色处理。</w:t>
      </w:r>
    </w:p>
    <w:p w14:paraId="072374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2.4.5传感器：拉线式直线位移传感器：（1000）0-10V；旋转编码器≧1000脉冲。</w:t>
      </w:r>
    </w:p>
    <w:p w14:paraId="57785C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2.4.6步进电机≥8.5N·m。</w:t>
      </w:r>
    </w:p>
    <w:p w14:paraId="245EEE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2.4.7数字孪生控制盒：</w:t>
      </w:r>
    </w:p>
    <w:p w14:paraId="5A7D27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2.4.7.1机箱材质：上下铝板厚度≥1.5mm，前后铝板厚度≥2mm，采用铝合金型材边框以及铝合金拉手；外形尺寸≥185*397*350mm；</w:t>
      </w:r>
    </w:p>
    <w:p w14:paraId="04BFF5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2.4.7.2供电电压：AC 220V 50Hz；功率≦1.3kW；机箱支持WIFI，外部配有以太网口≧1个；</w:t>
      </w:r>
    </w:p>
    <w:p w14:paraId="584E504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2.4.7.3机箱检测通道：位移传感器的位移≧4路、角度传感器（编码器）角位移≧2路、频率信号≧2路；模拟输出≧两路模拟输出（支持电压0-10V或电流0-20mA）。</w:t>
      </w:r>
    </w:p>
    <w:p w14:paraId="455A801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▲2.4.7.4物联网液晶触摸屏≧7英寸。能显示①模拟通道输入数据②频率通道数据③编码器通道数据④模拟通道输出设置⑤电机状态、方向、转速设置；电机的停止、启动、减速以及加速。</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6D215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2.4.7.5配套孪生摄像头：像素≥400万、无线Wi-Fi、语音通话、云存、移动追踪、异光感知、移动检测、人形识别、挥手识别、星光夜视、软件遮蔽。</w:t>
      </w:r>
    </w:p>
    <w:p w14:paraId="2365BD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2.4.8步进电机控制盒：配有步进控制器和步进驱动器；外形尺寸≧160*150*283mm 。</w:t>
      </w:r>
    </w:p>
    <w:p w14:paraId="077174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2.4.9配套测控系统器配置不低于 I5/16G/512G/23.8英寸仪器显示终端。</w:t>
      </w:r>
    </w:p>
    <w:p w14:paraId="24E7183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2.4.10 控制盒内PLC综合编程虚拟要求：</w:t>
      </w:r>
    </w:p>
    <w:p w14:paraId="23E3F32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2.4.10.1软件由微课学习、编程实训、创意实训和个人中心四个模块组成；视频资源包括PLC相关的学习视频20个，涵盖PLC知识讲解、PLC编程、软件使用和实物操作等种类；需要包括以下微课视频清单：三线制接近开关的使用、PLC模拟输入和信号、PLC硬件解释、S7-200 PLC接线、变送器类型、传感器类型、工业用传感器、开关变送器和仪表、开关量传感器接线1、开关量传感器接线2、流量计的工作原理、如何阅读滑阀示意图、什么是NAMUR传感器、什么是PID控制器、什么是PLC、什么是VFD变频驱动器、什么是电气控制面板、什么是压力传感器、什么是仪器校准器、什么是振动传感器。</w:t>
      </w:r>
    </w:p>
    <w:p w14:paraId="32FB77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2.4.10.2 元件库主要包括与PLC相关的低压电气元件、传感器和执行器，建立了三维数字模型并进行虚拟展示，三维模型总数不少于20个;点击任意元件，可展示元件的三维模型，能够进行三维交互，包括缩放、旋转、平移，能够对零件进行360°观看;需要包括以下元件清单：中间继电器、交流接触器、交流电机、伺服电机、动态扭矩传感器、小型断路器、拉绳位移传感器、时间继电器、步进电机、气动开关阀、涡轮流量计、压开关阀、热电偶、热继电器、电磁流量计、磁致伸缩位移传感器、转换开关、阻旋式料位计、雷达料位计、静态扭矩传感器;典型的PLC实训项目组成，分为初级实训和中级实训两个类别。编程实训需要针对固定的实验场景进行编程实训，编程实训项目的数量不少于20个，需要包括以下实训项目：电动机启停控制、电动机的正反转控制、电机星三角启动、音乐喷泉、七段数码显示、天塔之光、交通信号灯、四层电梯控制、水塔水位自动控制、多种液体自动混合、四节传送带控制、自动送料装车系统、机械手动作模拟控制、装配流水线、邮件分拣机、PID控制-比例阀控制、PID控制-温度控制、PID控制-液位控制、通信控制 Modbus通信、多位控制。</w:t>
      </w:r>
    </w:p>
    <w:p w14:paraId="5A0E22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2.4.10.3展示典型实训项目-PID控制实验测试：实训场景中包括虚拟操作车间、控制位移传感器;下载程序后，设置一组PID参数，在虚拟场景中启动油源，设置目标位置，查看其阶跃响应曲线。然后设置另一组PID参数，查看其阶跃响应曲线，对比得出合理的PID参数</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74CBE05D">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2.4.10.4可实现自动考核：点击考核按钮将进入考核模式，该模式中自动执行PLC程序，并对程序进行检测，检测完毕后进行自动打分，当PLC未连接或处于运行状态时，考核模式不会启动;创意实训实例展示：场景搭建好后，可对场景中的元素进行绑定。可选择不同的通信协议，选择可选择虚拟、半实物和实物三种模式，设置好服务器的ip，关联好PLC的输入输出，绑定完成后连接PLC，连接成功后显示绿色标识。能够配置传感器和执行器与PLC的连接关系，对于传感器和执行器，可以设置高电平有效还是低电平有效。每个控制对象的IO点都可以单独设定。PLC程序下载后，可通过场景中的按钮来控制传送带的动作，零件在传送带上自动碰撞检测</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1DD2F6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2.5数字孪生软件要求：</w:t>
      </w:r>
    </w:p>
    <w:p w14:paraId="62B7E8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2.5.1软件包括孪生大屏、实验教材、孪生实验三大模块。</w:t>
      </w:r>
    </w:p>
    <w:p w14:paraId="797E00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2.5.2孪生大屏可展示设备三维模型，进行旋转，缩放，移动交互。可显示当前设备信息（预约时间，设备位置，设备名称，设备状态）。设备数据统计（设备使用次数，设备在线时长），设备预约情况（设备编号，设备位置，预约开始时间，预约结束时间），当前设备实时数据，设备使用趋势，以及支持的实验项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410539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2.5.3立体教材展示实验相关知识，包含封面、目录、翻页、页面跳转等功能。</w:t>
      </w:r>
    </w:p>
    <w:p w14:paraId="2D228A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▲2.5.4立体教材包含：实验预习准备、预习小测、实验操作步骤、实验硬件组装说明、实验软件操作说明、平台使用操作说明、实验操作步骤流程、实验总结分析、实验总结分析、实验思考。</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4EC94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2.5.5立体教材具有该实验台对所需要的拓展知识，以图片、3D视频、视频讲解等形式展示以下知识点：什么是机械、什么是机器、什么是机构；机器的组成、原动机、传动机构、执行机构；机构运动简图的基本概念、常见构件的表示方法、常用机构运动简图符号、绘制机构运动简图的步骤；连杆机构基本概念、连杆机构传动特点、四连杆机构的组成、四连杆机构的应用。</w:t>
      </w:r>
    </w:p>
    <w:p w14:paraId="409BD8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2.5.6孪生实验界面包含实验步骤，控制面板，数据采集表，实验曲线，现场视频。可远程操作硬件试验台实际设备，实际设备数据驱动数字模型孪生动作，完成实验过程。</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3DE4BB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2.5.7软件可切换仿真模式，点击模式切换按钮，再点击项目选择，选择项目，可进入仿真实验，点击面板控制可隐藏面板。</w:t>
      </w:r>
    </w:p>
    <w:p w14:paraId="475822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2.5.8虚拟实验包含行星轮系机构，内燃机机构，冲压机构， 插床机构，摆动导杆-偏置滑块机构，曲柄摇杆机构，牛头刨床机构，球面四杆机构，等速运动规律凸轮机构，简谐运动规律凸轮机构，齿轮-对心曲柄滑块机构，齿轮-曲柄摇杆机构12个实验项目。</w:t>
      </w:r>
    </w:p>
    <w:p w14:paraId="0E17AF0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2.5.9软件实验步骤包括:转速设置，设置转速步长，点击电机开关，数据采样，速度归零，关闭电机。</w:t>
      </w:r>
    </w:p>
    <w:p w14:paraId="18243D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2.5.10软件有考核功能，实验完点击上传成绩，可查看考核成绩，考核耗时。</w:t>
      </w:r>
    </w:p>
    <w:p w14:paraId="0F7D1301">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2.5.11孪生平台包含行星轮系机构，内燃机机构，冲压机构， 插床机构，摆动导杆-偏置滑块机构，曲柄摇杆机构，牛头刨床机构，球面四杆机构，等速运动规律凸轮机构，简谐运动规律凸轮机构，齿轮-对心曲柄滑块机构，齿轮-曲柄摇杆机构12个孪生实验项目。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10E4950D">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2.5.12以上所有测试，虚拟，孪生实验都需要在数智孪生实践管理平台上正常运行。</w:t>
      </w:r>
    </w:p>
    <w:p w14:paraId="2C5AED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3、机械基础实验创意搭接实验箱*8：</w:t>
      </w:r>
    </w:p>
    <w:p w14:paraId="356E82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3.1主要技术参数要求：</w:t>
      </w:r>
    </w:p>
    <w:p w14:paraId="0D2A39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3.1.1能搭接完成平面连杆机构≥14、凸轮机构≥7种、定轴齿轮机构≥2种、棘轮机构≥4种、2K-H周转轮系≥1种，摆线针轮机构≥1种，槽轮机构≥2种，不完全齿轮机构≥1种。</w:t>
      </w:r>
    </w:p>
    <w:p w14:paraId="4774F4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3.1.2所有零件铝合金加工，表面分色氧化，配铁制实验箱；</w:t>
      </w:r>
    </w:p>
    <w:p w14:paraId="4360A5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3.1.3配套实验装配图。</w:t>
      </w:r>
    </w:p>
    <w:p w14:paraId="69D367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3.1.3配套铁制实验箱，外形尺寸625×370×380mm。</w:t>
      </w:r>
    </w:p>
    <w:p w14:paraId="103725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3.1.2配套虚拟资源：</w:t>
      </w:r>
    </w:p>
    <w:p w14:paraId="4A278E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3.1.2.1机构认知</w:t>
      </w:r>
    </w:p>
    <w:p w14:paraId="3C4B6C0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3.1.2.1.1机构认知软件模块包括①机器与机构的组成，包括四缸发动机；②平面连杆机构包括正弦机构，偏心轮机构；③连杆机构与应用包括曲柄摇杆机构、双摇杆机构、摇块机构、摄影机平台、牛头刨床：④凸轮机构包括尖端推杆盘形凸轮，槽形凸轮，反凸轮机构：⑤齿轮机构包括外啮合直齿轮，内啮合直齿轮，行星轮系：⑥间歇运行机构包括包括齿式棘轮机构、摩擦式棘轮机构。</w:t>
      </w:r>
    </w:p>
    <w:p w14:paraId="1BEEC8D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3.1.2.1.2四缸发动机模型，可进行旋转、缩放，平移交互操作，缸体半透明化展示，观察活塞运动及气缸四冲程动作；具有四缸发动机应用案例展示。</w:t>
      </w:r>
    </w:p>
    <w:p w14:paraId="3273763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3.1.2.1.3 各机构展示包括简介、工作原理和典型案例等功能模块。</w:t>
      </w:r>
    </w:p>
    <w:p w14:paraId="40D43E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3.1.2.2典型机构应用</w:t>
      </w:r>
    </w:p>
    <w:p w14:paraId="590B5E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3.1.2.2.1典型机构应用包括平面杆组结构、高副低代机构、偏心距机构、传动机构、轮系、凸轮机构6个实验模块。</w:t>
      </w:r>
    </w:p>
    <w:p w14:paraId="3F224D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3.1.2.2.2包含实验项目、结构分析、实验原理及相应的工作原理。</w:t>
      </w:r>
    </w:p>
    <w:p w14:paraId="75DA32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3.1.2.3机构创新</w:t>
      </w:r>
    </w:p>
    <w:p w14:paraId="4E20B9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3.1.2.3.1平面机构创新软件由设计方法、设计实例、仿真软件三大模块组成。</w:t>
      </w:r>
    </w:p>
    <w:p w14:paraId="01A0B1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3.1.2.3.2具有电子书功能，包含平面机构的运动分析、平面机构设计知识点，可实现图片展示、动画播放；具有翻页、跳转、放大、缩小、缩略图预览等功能。</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43D034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3.1.2.3.3 具有线性仿真功能，通过按钮调整曲柄、连杆和偏距的参数，仿真动画同步动作。</w:t>
      </w:r>
    </w:p>
    <w:p w14:paraId="09F72B6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▲3.1.2.3.3机构创新软件包含起重机机构设计实例：设计计算，包含平面机构的设计题目，要求、步骤；</w:t>
      </w:r>
    </w:p>
    <w:p w14:paraId="0DF690C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结果验证，可通过修改起重机构机构杆件的长度或坐标等参数生成新的仿真结果；虚拟仿真，能对起重机三维模型进行旋转、缩放、平移等交互操作；实物展示，展示起重机机构实物运动视频；视野拓展，展示起重机机构的工程应用案例。</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75B81D5D">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▲3.1.2.3.4可设置连杆X坐标、Y坐标、角度参数，可选择对连杆位置、速度、加速度进行实时动画仿真；并可保存设置，导出数据。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112FE7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4、数字化可重组机械基础设计分析系统*6：</w:t>
      </w:r>
    </w:p>
    <w:p w14:paraId="0D4AC36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4.1功能特点要求：</w:t>
      </w:r>
    </w:p>
    <w:p w14:paraId="0A9FD6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4.1.1实训台采用铁质双层亚光密纹喷塑结构，台面为带“T”形槽的铝合金型材+实木板；带有4个双开门。配4个福马轮，实验台外形尺寸≧长1800*宽800*高800mm。</w:t>
      </w:r>
    </w:p>
    <w:p w14:paraId="4DF610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4.1.2零件采用45号钢/铝合金制作，零件表面发黑处理/氧化处理；</w:t>
      </w:r>
    </w:p>
    <w:p w14:paraId="004FF5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4.1.3机械设计零件认知及装拆实验；</w:t>
      </w:r>
    </w:p>
    <w:p w14:paraId="231AE207">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4.1.4实例搭接演示：颚式破碎机传动机构实例搭接、锤式破碎机传动机构实例搭接、双齿辊破碎机传动机构实例搭接、回转窑/球磨机传动机构实例搭接、带式输送机传动机构实例搭接、双卧轴混凝土搅拌机传动机构实例搭接、牛头刨床机构实例搭接、冲压机机构实例搭接、连杆轨迹探究机构实例搭接。</w:t>
      </w:r>
      <w:r>
        <w:rPr>
          <w:rFonts w:hint="eastAsia" w:ascii="仿宋" w:hAnsi="仿宋" w:eastAsia="仿宋" w:cs="仿宋"/>
          <w:b/>
          <w:bCs/>
          <w:color w:val="auto"/>
          <w:sz w:val="24"/>
          <w:szCs w:val="24"/>
          <w:highlight w:val="none"/>
        </w:rPr>
        <w:t>（投标时提供实验台上的实物照片证明资料）</w:t>
      </w:r>
    </w:p>
    <w:p w14:paraId="1734A1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4.1.5自由搭接传动测试：</w:t>
      </w:r>
    </w:p>
    <w:p w14:paraId="5B15384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4.1.5.1自由搭接传动首端使用伺服电机模块，末端连接磁粉制动器模块，中间自由连接其他传动模块，搭配压力传感器，进行传动效率，减速比检测，伺服电机（搭压力传感器）—一级齿轮传动——轴系齿轮（相当二级减速）——变速箱——磁粉制动器（搭压力传感器）  </w:t>
      </w:r>
    </w:p>
    <w:p w14:paraId="261EA9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4.1.5.2双路径传动（电机——涡轮蜗杆——一路中心距调整座——齿轮轴系——凸轮机构，一路齿轮传动——槽轮机构——链传动）</w:t>
      </w:r>
    </w:p>
    <w:p w14:paraId="34142A2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4.1.5.3自由组合出其他传动路径。</w:t>
      </w:r>
    </w:p>
    <w:p w14:paraId="7C5176B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4.2主要技术参数要求：</w:t>
      </w:r>
    </w:p>
    <w:p w14:paraId="66A3F5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4.2.1孪生控制器：</w:t>
      </w:r>
    </w:p>
    <w:p w14:paraId="2563DBB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4.2.1.1采用PLC控制系统，包含≧2个RS485通讯/编程口；</w:t>
      </w:r>
    </w:p>
    <w:p w14:paraId="3E3B08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4.2.1.2液晶触摸屏，尺寸≧7英寸；</w:t>
      </w:r>
    </w:p>
    <w:p w14:paraId="55D336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4.2.2伺服电机，转矩≧3.8N.m；功率≧1000W；</w:t>
      </w:r>
    </w:p>
    <w:p w14:paraId="113607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4.2.3磁粉制动器≧1台， 额定转矩≧25N.m。</w:t>
      </w:r>
    </w:p>
    <w:p w14:paraId="66D243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4.2.4拉（压）力传感器≧1个，量程≧200N；</w:t>
      </w:r>
    </w:p>
    <w:p w14:paraId="562B397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4.2.5电源：单相220V±10%/5A/50Hz。有漏电保护。</w:t>
      </w:r>
    </w:p>
    <w:p w14:paraId="3B656FD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4.2.6整体尺寸≧1800mm*800mm*1300mm；</w:t>
      </w:r>
    </w:p>
    <w:p w14:paraId="652E71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4.2.7轴的类型要求有光轴、阶梯轴、花键轴等，材料45号钢，总数量≧30根； </w:t>
      </w:r>
    </w:p>
    <w:p w14:paraId="40A434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4.2.8键的类型要求有平键、半圆键、A型键、B型键、C型键等，总数量≧100个；</w:t>
      </w:r>
    </w:p>
    <w:p w14:paraId="7AF474B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4.2.9带的类型要求有三角带、圆带、同步带等，总数量≧6根；</w:t>
      </w:r>
    </w:p>
    <w:p w14:paraId="5B9D1B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4.2.10齿轮的类型要求有直齿、斜齿、伞齿轮等，材质为45钢，表面防锈处理；总数量≧30个。</w:t>
      </w:r>
    </w:p>
    <w:p w14:paraId="0CFC311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4.2.11轴承的类型要求有深沟球轴承、角接触轴承、调心球轴承、圆柱滚子轴承、圆锥滚子轴承等，总数量≧60个；</w:t>
      </w:r>
    </w:p>
    <w:p w14:paraId="0F2022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4.2.12联轴器的类型要求有双片弹性联轴器、单片弹性联轴器、膜片联轴器、梅花联轴器、刚性联轴器、波纹管联轴器、万向节联轴器等，总数量≧12个；</w:t>
      </w:r>
    </w:p>
    <w:p w14:paraId="6F549D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4.2.13一级齿轮传动数量≥1套，由箱体，第 1 轴系，第 2 轴系3个组件组成；</w:t>
      </w:r>
    </w:p>
    <w:p w14:paraId="2B84AF6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4.2.14齿轮轴系≥1套，由箱体，第3 轴系2个组件组成；</w:t>
      </w:r>
    </w:p>
    <w:p w14:paraId="2EF474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4.2.15万向节，锥齿轮支座≥1套，由底座、叉轴系2个组件组成；</w:t>
      </w:r>
    </w:p>
    <w:p w14:paraId="142802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4.2.16槽轮机构≥1套，由底座、 拨销轴系、槽轮轴系3个组件组成；</w:t>
      </w:r>
    </w:p>
    <w:p w14:paraId="3427030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4.2.17蜗杆机构≥1套，由蜗杆底座、 蜗杆轴系、蜗轮轴系3个组件组成；</w:t>
      </w:r>
    </w:p>
    <w:p w14:paraId="4A4149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4.2.18中心调整座≥1套，由底座、 下轴系、 上轴系3个组件组成；</w:t>
      </w:r>
    </w:p>
    <w:p w14:paraId="3CE1C3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4.2.19 90度竖直传动≥1套，由上下支架、水平锥齿轮、竖直锥齿轮、传动轴组成；</w:t>
      </w:r>
    </w:p>
    <w:p w14:paraId="3E878D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4.2.20输送链主动轴系≥1套，由底座、 轴系2个组件组成；</w:t>
      </w:r>
    </w:p>
    <w:p w14:paraId="6DB458F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4.2.21立架横梁组件≥1套，由立架、 立梁、固定座3个组件组成；</w:t>
      </w:r>
    </w:p>
    <w:p w14:paraId="33016A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4.2.22基座数量≥1套；外形尺寸≥340x120x30 mm；立柱尺寸≥30x30x275mm；不同尺寸连杆数量≥4根，；不同尺寸转动副轴数量≥3根；不同尺寸转轴数量≥6根；不同尺寸限位套数量≥3个；不同尺寸齿轮数量≥2个，m≧2,α≧20°。 </w:t>
      </w:r>
    </w:p>
    <w:p w14:paraId="2334C18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4.2.23变速器数量≥1套： 由箱体、花键轴、轴套齿轮和变速滑块组成。</w:t>
      </w:r>
    </w:p>
    <w:p w14:paraId="3379E63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4.2.24数字化平台控制器配置不低于 I5/16G/512G/23.8英寸仪器显示终端。</w:t>
      </w:r>
    </w:p>
    <w:p w14:paraId="4E7F8C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 数字孪生软件：</w:t>
      </w:r>
    </w:p>
    <w:p w14:paraId="52CB34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4.3.1孪生大屏：</w:t>
      </w:r>
    </w:p>
    <w:p w14:paraId="1CB59C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4.3.1.1孪生大屏可展示设备三维模型，进行旋转，缩放，移动交互。</w:t>
      </w:r>
    </w:p>
    <w:p w14:paraId="5AC4C6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4.3.1.2可切换孪生实验和虚拟实验。</w:t>
      </w:r>
    </w:p>
    <w:p w14:paraId="4E7CF2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4.3.1.3控制面板展示所有信息可隐藏。</w:t>
      </w:r>
    </w:p>
    <w:p w14:paraId="2D995F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4.3.1.4当前设备信息：具有隐藏和显示功能，能显示预约时间，设备位置，设备名称，设备状态等相关信息</w:t>
      </w:r>
    </w:p>
    <w:p w14:paraId="1576A8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4.3.1.5设备数据统计：设备使用次数，设备在线时长</w:t>
      </w:r>
    </w:p>
    <w:p w14:paraId="2B36E5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4.3.1.6设备预约情况：设备编号，设备位置，预约开始时间，预约结束时间</w:t>
      </w:r>
    </w:p>
    <w:p w14:paraId="21F742F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4.3.1.7当前设备实时数据：能显示电机组件的转速扭矩和制动器组件转速扭矩数据，以及传动效率。</w:t>
      </w:r>
    </w:p>
    <w:p w14:paraId="2A9448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4.3.1.8设备使用趋势：显示设备每周的使用情况。</w:t>
      </w:r>
    </w:p>
    <w:p w14:paraId="65467D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4.3.1.8支持的实验项目：显示项目名称和基础实验信息。</w:t>
      </w:r>
    </w:p>
    <w:p w14:paraId="0F2C0E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4.3.2实验教材：</w:t>
      </w:r>
    </w:p>
    <w:p w14:paraId="319AFA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4.3.2.1展示实验相关知识，包含封面、目录、翻页、页面跳转等功能。</w:t>
      </w:r>
    </w:p>
    <w:p w14:paraId="219033EC">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▲4.3.2.2包含：实验预习准备、预习小测、实验操作步骤、实验硬件组装说明、 测控软件操作说明、孪生平台操作说明、实验操作步骤流程、实验总结分析、实验总结分析、实验思考。</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3425A80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4.3.2.3立体教材具有该实验台对所需要的拓展知识，以图片、3D视频、视频讲解等形式展示以下知识点：带传动的概述、带传动的类型、带传动的张紧、带传动的应用；链传动的特点、链传动的应用、链传动的张紧；齿轮传动定义、齿轮传动类型、齿轮基本参数、齿轮加工方法；蜗杆传动定义、蜗杆传动的组成、齿轮基本参数。</w:t>
      </w:r>
    </w:p>
    <w:p w14:paraId="0C1E7E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4.3.3孪生实验：</w:t>
      </w:r>
    </w:p>
    <w:p w14:paraId="64C1FFF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4.3.3.1能完成直齿圆柱齿轮，V带传动，变速器， V带+直齿孪生及虚拟实验。</w:t>
      </w:r>
    </w:p>
    <w:p w14:paraId="4D5168B4">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4.3.3.2孪生实验有转速恒定，负载恒定两种实验方式；孪生实验界面包含实验步骤，控制面板，数据采集表，实验曲线，现场视频等功能。可远程控制操作实际实验台，实验台具备摄像头，可以实时查看实验台现场视频，同时实际实验台数据驱动孪生场景数字模型孪生动作，完成实验过程。</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4D40F1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4.3.3.3现场视频可实时传送的现场画面，具有隐藏、恢复显示和全屏查看功能。</w:t>
      </w:r>
    </w:p>
    <w:p w14:paraId="1E83BF7E">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▲4.3.3.4控制面板具有电机启停、电源开关、负载调整、速度调速、数据采样、上传成绩、清除数据等功能。</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081E3B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4.3.3.5数据采集表能显示采样次数、负载、转入转速、输入扭矩、输入功率等实验数据。</w:t>
      </w:r>
    </w:p>
    <w:p w14:paraId="0D16D6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4.3.3.6转速恒定实验步骤包括:打开电源，转速设置，转速步长设置，负载设置，开始实验，数据采样，逐级加载，负载归零，速度归零，关闭电机，关闭电源。负载恒定实验步骤包括:打开电源，转速设置，转速步长设置，负载设置，负载步长设置，开始实验，数据采样，逐级减速，负载归零，速度归零，关闭电机，关闭电源。</w:t>
      </w:r>
    </w:p>
    <w:p w14:paraId="73804D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4.4配套虚拟软件：</w:t>
      </w:r>
    </w:p>
    <w:p w14:paraId="72E478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4.4.1机械传动创意设计虚拟仿真实验：包含冲压机、绘制连杆曲线、间歇运动输送链生产线、低速运动输送链生产线、凸轮给料输送机、牛头刨床机构、自由创意搭接七个实验项目。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6DD6D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4.4.2软件需具有以下功能：①移动功能，通过移动零件，将零件安装到指定位置。②旋转功能，通过旋转零件，使零件正确安装。③观察功能，可以通过界面上的观察部件功能，拉近视角了解选中零件的结构。④零件介绍功能，鼠标移动到零件位置能自动显示零件的名称；⑤属性查看功能：可查看零件的技术参数，⑥运动展示功能，可展示传动部件的运动结构；⑦操作记录、记分功能：可以记录的每一步的操作安装的记录，并且根据的操作生成相应的评分统计系统功能；⑧搭接提示功能，可以提示装配错误或者成功、下一步的操作提示等。</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47D6930">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4.4.3间歇运动输送链生产线实验项目拼装功能：工作台上放有V带轮，A型V带，锥齿轮轴系，齿轮轴系，一级半齿轮传动，万向节支座，压板与螺钉组合，联轴器等组装零部件，点击零部件，零部件高亮显示，选择安装按钮或拖动零部件组件到安装位置进行拼装，操作记录区域会记录显示零部件安装成功或失败，安装成功会提示得一分，安装失败，下方会有正确安装提示，可以查看当前得分。拼装完成后会提示搭建完成，点击电源开关机构会运转起来，并可调节转动速度。</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60D74B5">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▲4.4.4冲压机实验项目拼装，绘制连杆曲线实验项目拼装，低速运动输送链生产线实验项目拼装，凸轮给料输送机实验项目拼装，牛头刨床实验项目拼装，自由创意搭接实验项，正确搭建操作时，在 “操作记录”区域以绿色显示当前步骤，可得积分，错误搭建以白色显示并不得积分；</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7CAE89E8">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4.5以上所有测试，虚拟，孪生实验都需要在数智孪生实践管理平台上正常运行（投。</w:t>
      </w:r>
    </w:p>
    <w:p w14:paraId="76EC87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5、数字化可重组机械综合应用实验系统*6：</w:t>
      </w:r>
    </w:p>
    <w:p w14:paraId="18BC1B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5.1实验项目要求</w:t>
      </w:r>
    </w:p>
    <w:p w14:paraId="7D15B5A4">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▲5.1.1一级传动实验孪生实验，不少于11种。</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55DECD3F">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▲5.1.2二级传动实验孪生实验，不少于20种。</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0C3B7B95">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5.1.3三级传动实验孪生实验，不少于20种。</w:t>
      </w:r>
    </w:p>
    <w:p w14:paraId="3689D6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5.2主要技术参数：</w:t>
      </w:r>
    </w:p>
    <w:p w14:paraId="6CAA7BDC">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5.2.1采用铝合金型材+冷轧钢板喷塑结构，共带4个双开门，带4个福马轮；台面采用铝板加工成“T”字槽，铝钣厚度≥16mm，表面氧化处理，外加实木板；外形尺寸≥长1800*宽800*高800mm。</w:t>
      </w:r>
      <w:r>
        <w:rPr>
          <w:rFonts w:hint="eastAsia" w:ascii="仿宋" w:hAnsi="仿宋" w:eastAsia="仿宋" w:cs="仿宋"/>
          <w:b/>
          <w:bCs/>
          <w:color w:val="auto"/>
          <w:sz w:val="24"/>
          <w:szCs w:val="24"/>
          <w:highlight w:val="none"/>
        </w:rPr>
        <w:t>（投标时提供加盖公章的实物图片证明资料）</w:t>
      </w:r>
    </w:p>
    <w:p w14:paraId="0CE50B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5.2.2伺服电机：额定功率≥750W  额定转速≥3000r/min  额定转矩≥2.4N.m。</w:t>
      </w:r>
    </w:p>
    <w:p w14:paraId="0905D1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5.2.3伺服电机：额定功率≥400W  额定转速≥3000r/min  额定转矩≥1.27N.m </w:t>
      </w:r>
    </w:p>
    <w:p w14:paraId="043222C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5.2.4圆带V带平带一体轮直径≥60mm，圆带直径≥6mm，周长≥530mm。 </w:t>
      </w:r>
    </w:p>
    <w:p w14:paraId="444E11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5.2.5 V带周长≥530mm。</w:t>
      </w:r>
    </w:p>
    <w:p w14:paraId="42FBE2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5.2.6平带：宽≥10mm，厚≥1.5mm，周长≥530mm。 </w:t>
      </w:r>
    </w:p>
    <w:p w14:paraId="250132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5.2.7链轮直径≥60mm，链条≥56节。</w:t>
      </w:r>
    </w:p>
    <w:p w14:paraId="238940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5.2.8直齿减速器减速比≥2；</w:t>
      </w:r>
    </w:p>
    <w:p w14:paraId="14AA36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5.2.9斜齿减速器减速比≥1.625；</w:t>
      </w:r>
    </w:p>
    <w:p w14:paraId="4F6984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5.2.10锥齿轮减速器减速比≥2；</w:t>
      </w:r>
    </w:p>
    <w:p w14:paraId="17B830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5.2.11行星减速器减速比≥3；</w:t>
      </w:r>
    </w:p>
    <w:p w14:paraId="5DA7FF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5.2.12直角行星减速器减速比≥3；</w:t>
      </w:r>
    </w:p>
    <w:p w14:paraId="3CFEB11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5.2.13摆线针轮减速器减速比≥9；</w:t>
      </w:r>
    </w:p>
    <w:p w14:paraId="625349D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5.2.14蜗轮蜗杆减速器减速比≥10；</w:t>
      </w:r>
    </w:p>
    <w:p w14:paraId="76E0920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5.2.15谐波减速器减速比≥50；</w:t>
      </w:r>
    </w:p>
    <w:p w14:paraId="0BB5C6D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5.2.16磁粉制动器1：额定电压：24VDC、额定扭矩≥6 N·m、最高转速≥1500r/min。</w:t>
      </w:r>
    </w:p>
    <w:p w14:paraId="2B1B64A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5.2.17磁粉制动器2：额定电压：24VDC、额定扭矩≥25 N·m、最高转速：1500r/min。</w:t>
      </w:r>
    </w:p>
    <w:p w14:paraId="19098A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5.2.17编码器：脉冲信号≥1000P/R、电压DC5-30V、最大机械转速≥5000 r/min。</w:t>
      </w:r>
    </w:p>
    <w:p w14:paraId="50500E0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5.2.19力传感器1：量程0-5kg、输出灵敏度2.0+10%mV/V、非线性:0.03%F.S。</w:t>
      </w:r>
    </w:p>
    <w:p w14:paraId="380BB2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5.2.20力传感器2：量程0-40kg、输出灵敏度2.0+10%mV/V、非线性:0.03%F.S。</w:t>
      </w:r>
    </w:p>
    <w:p w14:paraId="40D275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5.2.21扭矩传感器1：量程0-5N.m、响应频率≥1kHz、采集速度≥1000次/秒、使用电压电流DC24V/0.2A、重复性≥0.05%F.S。</w:t>
      </w:r>
    </w:p>
    <w:p w14:paraId="52CD4F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5.2.22扭矩传感器2：量程0-10N.m、响应频率≥1kHz、采集速度≥1000次/秒、使用电压电流DC24V/0.2A、重复性≥0.05%F.S。</w:t>
      </w:r>
    </w:p>
    <w:p w14:paraId="5009197A">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5.2.23输送带设计模块：</w:t>
      </w:r>
      <w:r>
        <w:rPr>
          <w:rFonts w:hint="eastAsia" w:ascii="仿宋" w:hAnsi="仿宋" w:eastAsia="仿宋" w:cs="仿宋"/>
          <w:b/>
          <w:bCs/>
          <w:color w:val="auto"/>
          <w:sz w:val="24"/>
          <w:szCs w:val="24"/>
          <w:highlight w:val="none"/>
        </w:rPr>
        <w:t>（投标时提供实物图片证明资料）</w:t>
      </w:r>
    </w:p>
    <w:p w14:paraId="02C204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5.2.23.1同步带：宽≥20mm，周长≥385mm；</w:t>
      </w:r>
    </w:p>
    <w:p w14:paraId="115427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5.2.23.2同步带轮：同步带主动轮齿数≥30，宽≥20mm；同步带从动轮齿数≥16，宽≥20mm。</w:t>
      </w:r>
    </w:p>
    <w:p w14:paraId="1E5DDEB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5.2.23.3滚筒：管面直径≥35mm，管面长度≥80mm；</w:t>
      </w:r>
    </w:p>
    <w:p w14:paraId="6D8183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5.2.23.4输送带：宽度≥80mm, 周长≥845mm。</w:t>
      </w:r>
    </w:p>
    <w:p w14:paraId="36D8E109">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5.2.24汽车差速器模块：</w:t>
      </w:r>
      <w:r>
        <w:rPr>
          <w:rFonts w:hint="eastAsia" w:ascii="仿宋" w:hAnsi="仿宋" w:eastAsia="仿宋" w:cs="仿宋"/>
          <w:b/>
          <w:bCs/>
          <w:color w:val="auto"/>
          <w:sz w:val="24"/>
          <w:szCs w:val="24"/>
          <w:highlight w:val="none"/>
        </w:rPr>
        <w:t>（投标时提供加盖公章的实物图片证明资料）</w:t>
      </w:r>
    </w:p>
    <w:p w14:paraId="7B20BB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5.2.24.1差速器总成≥37齿总成（13/37）。</w:t>
      </w:r>
    </w:p>
    <w:p w14:paraId="459874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5.2.24..2牙齿角≥13牙角齿。</w:t>
      </w:r>
    </w:p>
    <w:p w14:paraId="1807D54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5.2.24..3半轴≥6206-6齿-10头。</w:t>
      </w:r>
    </w:p>
    <w:p w14:paraId="51C58C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5.2.24..4万向节总成传动轴≥普通（1.7）细轴总成。</w:t>
      </w:r>
    </w:p>
    <w:p w14:paraId="66742E60">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▲5.2.25低空飞行器案例模块：</w:t>
      </w:r>
      <w:r>
        <w:rPr>
          <w:rFonts w:hint="eastAsia" w:ascii="仿宋" w:hAnsi="仿宋" w:eastAsia="仿宋" w:cs="仿宋"/>
          <w:b/>
          <w:bCs/>
          <w:color w:val="auto"/>
          <w:sz w:val="24"/>
          <w:szCs w:val="24"/>
          <w:highlight w:val="none"/>
        </w:rPr>
        <w:t>（投标时提供加盖公章的实物图片证明资料）</w:t>
      </w:r>
    </w:p>
    <w:p w14:paraId="457F6A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5.2.25.1采用零件库，搭建直齿轮传动、锥齿轮传动、斜齿轮传动、皮带传动四种同轴反桨机构并对运动进行延时。</w:t>
      </w:r>
    </w:p>
    <w:p w14:paraId="6A1735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5.2.25.2依托系统的模块化装配台，搭建4种同轴反转机构并通电演示，接入测控系统测试不同反转机构不同工况下的效率，生成效率对比报告。 </w:t>
      </w:r>
    </w:p>
    <w:p w14:paraId="6C1070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5.2.25.3箱体：材质为铝合金表面喷砂氧化处理，尺寸≥190×190×170mm。</w:t>
      </w:r>
    </w:p>
    <w:p w14:paraId="18E80C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5.2.25.4安装支座：材质为铝合金表面喷砂氧化处理，尺寸≥190×160×150mm。</w:t>
      </w:r>
    </w:p>
    <w:p w14:paraId="14FB61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5.2.25.5带轮安装座：材质为铝合金表面喷砂氧化处理，尺寸≥110×85×75mm。</w:t>
      </w:r>
    </w:p>
    <w:p w14:paraId="1258DD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5.2.25.6齿轮：直齿轮、锥齿轮、斜齿轮、直齿轮惰轮，材料为45钢。</w:t>
      </w:r>
    </w:p>
    <w:p w14:paraId="63F0A8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5.2.25.7带轮：V带轮，材料为6061铝表面喷砂氧化处理。</w:t>
      </w:r>
    </w:p>
    <w:p w14:paraId="42BEF0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5.2.25.8轴承：角接触球轴承、深沟球轴承、向心滚针组合轴承、滚针轴承。</w:t>
      </w:r>
    </w:p>
    <w:p w14:paraId="5465D2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5.2.25.9轴：台阶轴、空心轴，材料为45钢。</w:t>
      </w:r>
    </w:p>
    <w:p w14:paraId="3F59C2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5.2.25.10无人机螺旋桨≥6片。</w:t>
      </w:r>
    </w:p>
    <w:p w14:paraId="5B4F773C">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▲5.2.26破碎机设计模块：</w:t>
      </w:r>
      <w:r>
        <w:rPr>
          <w:rFonts w:hint="eastAsia" w:ascii="仿宋" w:hAnsi="仿宋" w:eastAsia="仿宋" w:cs="仿宋"/>
          <w:b/>
          <w:bCs/>
          <w:color w:val="auto"/>
          <w:sz w:val="24"/>
          <w:szCs w:val="24"/>
          <w:highlight w:val="none"/>
        </w:rPr>
        <w:t>（投标时提供加盖公章的实物图片证明资料）</w:t>
      </w:r>
    </w:p>
    <w:p w14:paraId="7014CF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5.2.26.1破碎机的结构设计认知，破碎机的工况模拟试验</w:t>
      </w:r>
    </w:p>
    <w:p w14:paraId="235E1E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5.2.26.2锤头≥4排16个</w:t>
      </w:r>
    </w:p>
    <w:p w14:paraId="4ADDA1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5.2.26.3筛网≥模拟间距17mm</w:t>
      </w:r>
    </w:p>
    <w:p w14:paraId="24BD997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5.2.26.4进料口≥119x64mm</w:t>
      </w:r>
    </w:p>
    <w:p w14:paraId="412322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5.2.27配套孪生摄像头：像素≥400万、无线Wi-Fi、语音通话、云存、移动追踪、异光感知、移动检测、人形识别、挥手识别、星光夜视、软件遮蔽。</w:t>
      </w:r>
    </w:p>
    <w:p w14:paraId="689A09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5.2.28 A型数字孪生控制盒：</w:t>
      </w:r>
    </w:p>
    <w:p w14:paraId="70E984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5.2.28.1供电电压：AC 220V 50Hz；功率≥600W；</w:t>
      </w:r>
    </w:p>
    <w:p w14:paraId="3CFEC2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5.2.28.2可检测实验参数：电机输出扭矩，转速，及功率；磁粉制动器扭矩，转速，及功率；</w:t>
      </w:r>
    </w:p>
    <w:p w14:paraId="0E10485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5.2.28.3 液晶触摸屏：尺寸≥7英寸，分辨率≥800*480；显示色彩≥65536色彩；</w:t>
      </w:r>
    </w:p>
    <w:p w14:paraId="3E8189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5.2.28.4机箱支持WIFI，可方便连接物联孪生平台</w:t>
      </w:r>
    </w:p>
    <w:p w14:paraId="5E1EEC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5.2.28.5同时机箱外部配有以太网口≥2个；</w:t>
      </w:r>
    </w:p>
    <w:p w14:paraId="2ADE88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5.2.28.6机箱具备控制电机转速，调节负载，采集数据，数据存表，采样曲线绘制等功能；</w:t>
      </w:r>
    </w:p>
    <w:p w14:paraId="27A623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5.2.28.7控制箱尺寸(外形)≥360*300*177mm。</w:t>
      </w:r>
    </w:p>
    <w:p w14:paraId="681D75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5.2.29 B型数字孪生控制盒：</w:t>
      </w:r>
    </w:p>
    <w:p w14:paraId="1BA35D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5.2.29.1供电电压：AC 220V 50Hz； </w:t>
      </w:r>
    </w:p>
    <w:p w14:paraId="44EA37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5.2.29.2可检测实验参数：三个步进运动轴；两个磁粉制动器扭矩，转速等；</w:t>
      </w:r>
    </w:p>
    <w:p w14:paraId="657833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5.2.29.3同时机箱外部配有以太网口≥1个；</w:t>
      </w:r>
    </w:p>
    <w:p w14:paraId="70F008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5.2.29.4控制箱尺寸(外形)≥360*300*177mm；</w:t>
      </w:r>
    </w:p>
    <w:p w14:paraId="1EB287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5.3孪生软件：</w:t>
      </w:r>
    </w:p>
    <w:p w14:paraId="67419D5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5.3.1带链传动孪生软件：</w:t>
      </w:r>
    </w:p>
    <w:p w14:paraId="3B6FF1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5.3.1.1数字孪生资源支持设备预约，可选择资源支持的实验室及实验室相关联的设备，会列出该设备已有的预约情况。24小时内的已有的预约情况以时间轴形式显示。选择未被预约的日期以及开始时间结束时间段，可进行预约，预约的信息在时间轴中展现。</w:t>
      </w:r>
    </w:p>
    <w:p w14:paraId="3E48952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5.3.1.2能完成平带、V带、圆带、链传动数字孪生实验。</w:t>
      </w:r>
    </w:p>
    <w:p w14:paraId="45373077">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5.3.1.3带传动孪生界面包含虚拟实验台及虚拟数据面板以及现场视频；面板能显示电机转速、负载转速、电机启停、转速设定、负载设定等参数，可以记录当前实验数据并绘制实验曲线，支持摄像头实时采集实验台的影像数据，实现设备数据与虚拟仿真三维场景的实施通信与控制，实现真实设备的远程孪生控制。</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13CEC9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5.3.1.4孪生实验能够远程、本地进行双向实验操作，孪生实验场景是三维场景。</w:t>
      </w:r>
    </w:p>
    <w:p w14:paraId="525417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5.3.1.5带链传动数字教材：数字教材包含：实验预习准备，实验操作步骤，齿轮传动知识拓展；教材功能模块包含“封面”、“目录”“教材内容”部分；教材具有目录导航页，在目录界面中点击各标题内容，可以进入教材的相应知识点；点击 “上一页”和“下一页”按钮，可进行页面的翻页；教材涵盖的带链基础知识；教材页面属于交互式多媒体界面，可实现查看图片、动画播放等功能。</w:t>
      </w:r>
    </w:p>
    <w:p w14:paraId="6DB8B9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5.3.1.6带链传动虚拟场景可进行缩放、平移、旋转等交互操作。</w:t>
      </w:r>
    </w:p>
    <w:p w14:paraId="5927092B">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5.3.1.7带链传动虚拟实验涵盖实验台介绍、实验项目：实验台介绍又分为技术参数，功能介绍，结构认知；实验项目包含实验预习、实验练习、实验考核。</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43C332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5.3.1.8带链传动软件虚拟实验包含平带（0 kg,1.5kg,2 kg,2.5 kg,3 kg）、V带（0 kg,1.5kg,2 kg,2.5 kg,3 kg）、圆带（0 kg,1.5kg,2 kg,2.5 kg,3 kg），链传动（0 kg,1.5kg,2 kg,2.5 kg,3 kg）实验项目。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4C89D07C">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5.3.1.9建有带链传动三维模型及实验场景，实验步骤包括:选择实验带链类型；开机实验；设置电机转速；设置负载步长；点击开始；加载记录；可查看实验数据和实验曲线；可以查看考核时间，考核得分。</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1ACF9F2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5.3.2齿轮传动孪生软件：</w:t>
      </w:r>
    </w:p>
    <w:p w14:paraId="662EF6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5.3.2.1软件包括立体教材：包括实验相关理论知识，包含封面、目录、翻页、页面跳转等功能。</w:t>
      </w:r>
    </w:p>
    <w:p w14:paraId="42AB183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5.3.2.2孪生实验能够远程、本地进行双向实验操作，孪生实验场景是三维场景。</w:t>
      </w:r>
    </w:p>
    <w:p w14:paraId="329786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5.3.2.3齿轮传动孪生界面包含虚拟实验台及虚拟数据面板以及现场视频；面板能显示电机转速、负载转速、电机启停、转速设定、负载设定等参数，可以记录当前实验数据并绘制实验曲线，支持摄像头实时采集实验台的影像数据。实现设备数据与虚拟仿真三维场景的实施通信与控制，实现真实设备的远程孪生控制。</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3FF68D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5.3.2.4系统支持预约硬件并实际联通硬件进行实验操作，支持摄像头实时采集实验台的影像数据。</w:t>
      </w:r>
    </w:p>
    <w:p w14:paraId="6ACD9D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5.3.2.5孪生仿真在三维空间构建虚拟的应用场景，可通过结构化的数据驱动，进而模拟相应的运动或执行结果，在三维空间实现虚拟控制对象状态与动作同步。可在孪生场景中，远、程操作硬件试验台实际设备，实际设备数据驱动数字模型孪生动作，完成实验过程。</w:t>
      </w:r>
    </w:p>
    <w:p w14:paraId="081D3A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5.3.2.6软件可以记录当前实验数据，可根据采集的数据绘制实验曲线，分析特征数据，生成实验报告。</w:t>
      </w:r>
    </w:p>
    <w:p w14:paraId="02F4563A">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5.3.2.7能完成直齿减速器、斜齿减速器、锥齿减速器、行星减速器、直角行星减速器、摆线针轮减速器、蜗轮蜗杆减速器、谐波减速器等不少于8种齿轮效率孪生及虚拟实验。</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30784DD0">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5.3.2.8具有齿轮传动实验预习功能：包括实验目的、实验要求、实验器材、预习小测等内容。练习功能：有零件库，有操作步骤提示。考核功能：有零件库、操作记录打分、考核时间等功能。</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16E0A93B">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5.3.2.9建有齿轮传动三维模型及实验场景，实验步骤包括:开机实验；设置电机转速；设置负载步长；点击开始；加载记录；可查看实验数据和实验曲线；可以查看考核时间，考核得分。</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EC0739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5.3.3机械传动设计孪生软件：</w:t>
      </w:r>
    </w:p>
    <w:p w14:paraId="327A0E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5.3.3.1根据实物实验台建立三维模型，具有放大、缩小、旋转等交互功能。</w:t>
      </w:r>
    </w:p>
    <w:p w14:paraId="7831DF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5.3.3.2数字孪生资源支持设备预约，可选择资源支持的实验室及实验室相关联的设备，会列出该设备已有的预约情况。24小时内的已有的预约情况以时间轴形式显示。选择未被预约的日期以及开始时间结束时间段，可进行预约，预约的信息在时间轴中展现。</w:t>
      </w:r>
    </w:p>
    <w:p w14:paraId="123E29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5.3.3.3能完成一级传动孪生实验不少于7种、二级传动孪生实验不少于20种、三级传动孪生实验不少于20种。</w:t>
      </w:r>
    </w:p>
    <w:p w14:paraId="7C7E1E2B">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5.3.3.4孪生界面包含虚拟实验台及虚拟数据面板以及现场视频；面板能显示电机转速、负载转速、电机启停、转速设定、负载设定等参数，可以记录当前实验数据并绘制实验曲线，支持摄像头实时采集实验台的影像数据。实现设备数据与虚拟仿真三维场景的实施通信与控制，实现真实设备的远程孪生控制。</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04F9D6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5.3.3.5有操作记录模块，正确操作评分系统自动打分。实验涵盖实验台介绍、实验项目、其中实验台介绍又分为技术参数，功能介绍，结构认知。实验预习：分为实验目的、实验要求、实验器材、预习小测。</w:t>
      </w:r>
    </w:p>
    <w:p w14:paraId="331B58A2">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5.3.3.6实验练习：具有三维零件库，可查看零件参数。零件库包括传感器模块、制动模块、动力模块、减速器模块、其他工具。有搭接方案三维图和实验步骤操作。实验考核：可操作记录功能，完成实验后考核结果有评分功能。</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4F1679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5.3.3.7包含机械基础综合实训软件，软件含：实验练习 ，实验考核功能 ，其中实验预习又包含实验目的，实验要求，实验器材，预习小测。实验练习功能含有传感器模块，制动模块，动力模块，减速器模块模型库，有操作步骤提示，拖动模型可以安装到实验台上，操作错误会有操作提示。实验考核功能含有操作记录，可数据采样绘制实验曲线，实验完可以查看考核成绩，考核耗时。</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002F20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5.3.3.8可实现以下实验：直齿减速器、斜齿减速器、锥齿减速器、行星减速器、摆线针轮减速器、蜗轮蜗杆减速器、直角行星减速器。二级传动：直齿轮—斜齿轮、直齿轮—锥齿轮、直齿轮—行星齿轮、直齿轮—摆线针轮、斜齿轮—直齿轮、斜齿轮—锥齿轮、斜齿轮—行星齿轮、斜齿轮—摆线针轮、锥齿轮—直齿轮、锥齿轮—斜齿轮、锥齿轮—摆线针轮、行星齿轮—直齿轮、行星齿轮—斜齿轮、行星齿轮—锥齿轮、行星齿轮—摆线针轮。三级传动：直齿—斜齿—锥齿、直齿—锥齿—直角行星、直齿—锥齿—摆线针轮、直齿—直角行星—锥齿、斜齿—锥齿—直角行星、斜齿—锥齿—摆线针轮等虚拟实验项目。</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6AE0878E">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5.3.3.9行星减速器、直齿轮—摆线针轮、直齿—斜齿—锥齿实验实验操作步骤包括:①根据实验项目，参考显示屏中搭接图拖动相应部件到实验台特定位置安装搭接好实验台。②开点击控制盒上电源开关按钮，开机开始准备实验。③点击操作按钮，打开操作面板，设置电机转速。④设置负载步进值；⑤点击电机启停（开），启动电机开始实验。⑥点击打开画线面板，待传动运动平稳后，点击采样，记录采集实验数据。⑦逐点击负载加，待数据稳定后点击采样，逐级加载，逐级采样记录，进行实验曲线绘制。⑧负载设定值归0，卸掉实验负载。⑨点击电机启停（关），实验结束，退出软件。</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4637F807">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5.3.4以上所有测试，虚拟，孪生实验都需要在数智孪生实践管理平台上正常运行。</w:t>
      </w:r>
    </w:p>
    <w:p w14:paraId="7F68B5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6、数智孪生实践管理平台：</w:t>
      </w:r>
    </w:p>
    <w:p w14:paraId="010C68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6.1平台基础功能：</w:t>
      </w:r>
    </w:p>
    <w:p w14:paraId="0943978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6.1.1系统架构</w:t>
      </w:r>
    </w:p>
    <w:p w14:paraId="40AF10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6.1.1.1 平台采用B/S与C/S相融合的混合架构。其中，Web管理端等核心业务通过B/S架构实现，用户经由浏览器访问；虚拟仿真、数字孪生等资源通过C/S架构的3D仿真客户端运行，两者之间由本地插件负责资源的启动、更新与协同调度。</w:t>
      </w:r>
    </w:p>
    <w:p w14:paraId="41F51D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6.1.1.2 Web管理端：基于B/S架构，为管理员、代理商、教师、学生提供统一的浏览器访问入口，承载身份验证、权限管理、基础数据维护、教学管理、资源展示等核心业务功能。</w:t>
      </w:r>
    </w:p>
    <w:p w14:paraId="5C6F2E2B">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6.1.1.3本地插件：为独立的Windows可执行程序（.exe），与Web管理端协同工作。当用户在Web端启动虚拟仿真、数字孪生等资源时，由Web端唤醒本地插件，插件负责启动对应的3D仿真引擎客户端，并将实验场景等参数传递至仿真环境中，实现Web端与3D仿真场景的业务联动。</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2CF110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6.1.1.4 3D仿真引擎客户端：基于C/S架构，为虚拟仿真、数字孪生等资源的实际运行载体。</w:t>
      </w:r>
    </w:p>
    <w:p w14:paraId="0E7B12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6.1.2身份验证</w:t>
      </w:r>
    </w:p>
    <w:p w14:paraId="107774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6.1.2.1 系统须提供统一的网站登录入口，支持管理员、代理商、教师、学生等所有用户通过该入口进行登录。登录时须支持滑动图片拼接等方式进行身份验证。</w:t>
      </w:r>
    </w:p>
    <w:p w14:paraId="1E05D4B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6.1.3 AI智能问答</w:t>
      </w:r>
    </w:p>
    <w:p w14:paraId="045035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6.1.3.1 平台须集成AI智能问答功能，用户在平台页面可通过点击入口（如机器人图标）唤起AI对话窗口，就专业技术问题进行提问。</w:t>
      </w:r>
    </w:p>
    <w:p w14:paraId="731D056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6.1.3.2AI助手须能根据问题提供专业性回复，并明确给出回复内容的知识来源、本次问答所消耗的Token数量以及回答用时。</w:t>
      </w:r>
    </w:p>
    <w:p w14:paraId="0FB8D9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6.1.4系统监控</w:t>
      </w:r>
    </w:p>
    <w:p w14:paraId="079496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6.1.4.1 系统须具备运行状态监控功能，可查看系统运行参数、服务状态、缓存状态等日常运行指标。</w:t>
      </w:r>
    </w:p>
    <w:p w14:paraId="3FA1A7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6.1.5日志管理</w:t>
      </w:r>
    </w:p>
    <w:p w14:paraId="65325F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6.1.5.1 系统须提供完整的日志管理功能，完整记录用户登录日志和操作日志。登录日志须包含登录时间、用户名、登录IP、登录地点、操作系统及浏览器类型等信息；操作日志须包含操作人员、操作时间、操作主机、系统模块、操作类型等关键信息。</w:t>
      </w:r>
    </w:p>
    <w:p w14:paraId="50B37D1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6.1.6插件功能</w:t>
      </w:r>
    </w:p>
    <w:p w14:paraId="7BD435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6.1.6.1 系统须支持插件的上传与管理功能。</w:t>
      </w:r>
    </w:p>
    <w:p w14:paraId="5AE1F80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6.1.6.2 插件须具备资源管理能力：支持从平台下载授权资源，下载过程中实时显示下载进度、下载速度及估算剩余时间；下载完成后支持在线自动解压并实时显示解压进度；在启动本地资源前，能自动校验资源是否为最新版本，并支持自动更新至最新版；解压完成后支持启动已下载的本地资源。</w:t>
      </w:r>
    </w:p>
    <w:p w14:paraId="18EE8B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6.2管理员端功能</w:t>
      </w:r>
    </w:p>
    <w:p w14:paraId="20CBDA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6.2.1账号及权限体系</w:t>
      </w:r>
    </w:p>
    <w:p w14:paraId="59A62D8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6.2.1.1 系统管理员具备添加、编辑和删除代理商、教师、学生等用户账号的权限。</w:t>
      </w:r>
    </w:p>
    <w:p w14:paraId="5DF2C4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6.2.1.2 系统管理员可对平台内的所有用户进行数字资源的使用权限授权管理，授权方式支持对用户授权和对部门授权。对部门授权后，该部门下所有用户自动获得对应资源的下载及使用权限。</w:t>
      </w:r>
    </w:p>
    <w:p w14:paraId="0FA04F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6.2.1.3 系统支持多级组织架构管理，上级组织（如代理商）可对下级组织（如分支机构）进行创建、编辑和删除等管理操作。</w:t>
      </w:r>
    </w:p>
    <w:p w14:paraId="1F0FAB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6.2.1.4 系统应支持代理商（机构）级别的个性化配置，包括更换所属机构的平台名称与LOGO，以及对专业、课程类别等分类信息设置别名。</w:t>
      </w:r>
    </w:p>
    <w:p w14:paraId="7B4A5D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6.2.2基础数据维护</w:t>
      </w:r>
    </w:p>
    <w:p w14:paraId="1FD1EE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6.2.2.1 系统支持对学校、院系、班级等基础组织架构信息进行维护，支持院系、班级的新增、修改、删除及信息导出功能。</w:t>
      </w:r>
    </w:p>
    <w:p w14:paraId="4602F75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6.2.2.2 系统支持对专业分类信息进行编辑和维护，支持分类信息的新增、修改及删除操作。</w:t>
      </w:r>
    </w:p>
    <w:p w14:paraId="67C278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6.2.3资源管理</w:t>
      </w:r>
    </w:p>
    <w:p w14:paraId="53D7B97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6.2.3.1 管理员可对平台内的各类资源进行统一管理，包括素材管理和产品管理。支持外链资源、H5资源、外链页面、图片资源、3D程序、3D资源、视频资源、立体教材等多种素材类型的新增、修改与删除。</w:t>
      </w:r>
    </w:p>
    <w:p w14:paraId="1E18F3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6.2.3.2系统支持按资源类型、名称、资源编码等多维度进行筛选查询。管理员可对单个资源进行启动或停用的状态配置。平台内的虚拟仿真、数字孪生资源支持Web网页浏览及本地化启动应用两种访问形式。管理员可配置产品的展示信息，包括设置封面图片、标题、类型、专业、是否推荐等基本信息；并可对资源的简介、操作指导、使用必读等富文本内容进行编辑，编辑功能须支持图片、视频的插入以及文字格式排版。</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0D5D65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6.2.4项目式学习管理</w:t>
      </w:r>
    </w:p>
    <w:p w14:paraId="75BDC0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6.2.4.1 管理员具备创建课程的权限，可填写课程的基本信息、详细描述，并上传课程封面图片。管理员可对课程进行上架或下架操作，并对课程进行用户授权。授权时须选择被授权的部门，授权后该部门下所有用户自动获得访问该课程的权限。</w:t>
      </w:r>
    </w:p>
    <w:p w14:paraId="5B7DA1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6.2.4.2 管理员可为指定课程添加或移除关联的项目，并可新建项目，为项目添加或移除关联的学习模块。</w:t>
      </w:r>
    </w:p>
    <w:p w14:paraId="28022842">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▲6.2.4.3 系统须提供常用模块模板，至少包括实验介绍、理论学习、虚拟仿真、孪生仿真、试题测评、实验报告、虚拟装配等标准模块。模块支持拖动排序，可为孪生仿真、虚拟仿真、实验报告、实操记录等模块配置得分权重。</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7EBF06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6.2.4.4 管理员可为实验报告、理论学习等模块配置内容，支持富文本编辑方式。管理员可根据教学需要，在模块中添加自定义章节，如“安全须知”、“设备介绍”等。</w:t>
      </w:r>
    </w:p>
    <w:p w14:paraId="1AF26D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6.2.4.5 管理员可为试题测评模块添加试题，试题类型包括单选题、多选题、判断题。试题内容须包含试题题干、选项及标准答案。</w:t>
      </w:r>
    </w:p>
    <w:p w14:paraId="7D670E2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6.2.5硬件设备管理</w:t>
      </w:r>
    </w:p>
    <w:p w14:paraId="75C9F2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6.2.5.1 管理员可为代理商所属机构添加和管理实验室。</w:t>
      </w:r>
    </w:p>
    <w:p w14:paraId="40861A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6.2.5.2 管理员可对孪生设备、网关、摄像头等硬件进行配置与维护：</w:t>
      </w:r>
    </w:p>
    <w:p w14:paraId="323EC1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6.2.5.2.1 设备管理：支持设备的增加、修改和删除操作。可配置设备名称、关联摄像头、所属实验室、关联网关、关联资源、MAC地址/设备号、序列号等信息，并可查看和设置设备的在线/离线状态。</w:t>
      </w:r>
    </w:p>
    <w:p w14:paraId="1BC1E5B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6.2.5.2.2 网关管理：支持网关的增加、修改和删除操作。可配置网关名称、平台地址、网关类型、MQ账号、是否推送等信息。</w:t>
      </w:r>
    </w:p>
    <w:p w14:paraId="57AF63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6.2.5.2.3 摄像头管理：支持摄像头的增加、修改和删除操作。可配置摄像头名称、地址、协议、序列号、通道等信息，并可设置其状态。在线摄像头支持查看实时画面。</w:t>
      </w:r>
    </w:p>
    <w:p w14:paraId="553FE53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6.2.5.3 支持将设备授权给指定的机构，被授权机构的用户在设备列表中可查看该设备的状态。</w:t>
      </w:r>
    </w:p>
    <w:p w14:paraId="65EC8CF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6.2.5.4系统应支持对摄像头、设备等硬件信息的状态进行定时更新（如每小时同步一次在线状态）。系统根据定时更新的状态数据，自动生成在线离线曲线，支持查看24小时、3天、一周的在线离线趋势。</w:t>
      </w:r>
    </w:p>
    <w:p w14:paraId="7A9A59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6.3教师端功能</w:t>
      </w:r>
    </w:p>
    <w:p w14:paraId="4DD978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6.3.1教学数据看板</w:t>
      </w:r>
    </w:p>
    <w:p w14:paraId="670F915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6.3.1.1 教师登录个人中心首页后，可查看与其教学相关的常用统计数据，包括所负责的班级数量、管理的学生总数、可用的项目式学习产品数以及课程数量等。</w:t>
      </w:r>
    </w:p>
    <w:p w14:paraId="33FF304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6.3.2班级管理</w:t>
      </w:r>
    </w:p>
    <w:p w14:paraId="60A4D0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6.3.2.1 教师可查看自己所负责的所有班级信息，包括班级名称、班级架构、班级人数等。</w:t>
      </w:r>
    </w:p>
    <w:p w14:paraId="5C6730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6.3.3 学生管理</w:t>
      </w:r>
    </w:p>
    <w:p w14:paraId="4E4A3D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6.3.3.1 教师可查看自己所管理的所有学生列表信息，包括学生的账号、昵称、班级、手机号码、登录次数、最后登录时间、账户过期时间、账户状态等。</w:t>
      </w:r>
    </w:p>
    <w:p w14:paraId="0C470E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6.3.4 教学资源查看</w:t>
      </w:r>
    </w:p>
    <w:p w14:paraId="2A394B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6.3.4.1 教师可查看已授权给自己所管理班级的产品列表及项目式教学下的课程列表。</w:t>
      </w:r>
    </w:p>
    <w:p w14:paraId="19B22C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6.3.4.2 教师可查看项目式教学下的课程列表和项目列表。课程列表信息须包含课程名称、封面图片、课程简介、关联项目列表、课程状态；项目列表信息须包含项目名称、所属课程、模块组成。</w:t>
      </w:r>
    </w:p>
    <w:p w14:paraId="37E9E3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6.3.5学习过程与成绩管理</w:t>
      </w:r>
    </w:p>
    <w:p w14:paraId="1FB544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6.3.5.1 教师在学习管理中，可查看所管理班级学生的试题测评、实验报告、实操记录、综合提交等学习成果。</w:t>
      </w:r>
    </w:p>
    <w:p w14:paraId="1DD1AE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6.3.5.2 综合提交信息整合了学生最终提交的所有模块内容，至少包括试题测评、实验报告、孪生仿真、虚拟仿真、实操记录等模块的结构化数据：</w:t>
      </w:r>
    </w:p>
    <w:p w14:paraId="4604054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6.3.5.2.1 试题测评模块：教师可查看学生在每道试题的答题情况及正确与否。</w:t>
      </w:r>
    </w:p>
    <w:p w14:paraId="736BF8E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6.3.5.2.2 虚拟仿真与孪生仿真模块：须展示实验数据及根据数据生成的实验曲线。</w:t>
      </w:r>
    </w:p>
    <w:p w14:paraId="66C9E2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6.3.5.2.3 实操记录模块：须展示学生上传的实验过程图片及文件。</w:t>
      </w:r>
    </w:p>
    <w:p w14:paraId="6ED47B0B">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▲6.3.5.3 教师可对实操记录、实验报告、虚拟仿真和孪生仿真等模块进行评分，并可对整个综合提交填写评语。系统须根据各模块预先配置的权重，自动计算学生在当前课程项目下的最终得分。</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1F16C5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6.4学生端功能</w:t>
      </w:r>
    </w:p>
    <w:p w14:paraId="09CF9F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6.4.1资源浏览与使用</w:t>
      </w:r>
    </w:p>
    <w:p w14:paraId="49379A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6.4.1.1 学生登录平台后，首页须展示数字场景、立体教材、虚拟仿真、孪生仿真、项目式学习等核心应用大类入口。</w:t>
      </w:r>
    </w:p>
    <w:p w14:paraId="0452AC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6.4.1.2 点击虚拟仿真等应用大类，系统显示资源列表。支持按综合排序、热门、最新等方式对资源进行排序，并可选择专业名称筛选查看该专业下的资源。</w:t>
      </w:r>
    </w:p>
    <w:p w14:paraId="7679BD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6.4.1.3 资源列表须展示资源的名称、图片、上架日期及浏览次数等信息，鼠标悬停至资源卡片时可显示资源的详细介绍。</w:t>
      </w:r>
    </w:p>
    <w:p w14:paraId="172F73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6.4.1.4 学生可进入有权限资源的详细页面，无权限资源进入时须提示“无权限”。资源详情页须包含资源名称、图片、课时、学习次数、产品简介、操作指导、使用必读等信息，并支持添加收藏功能。点击“开始实验”按钮可唤起本地插件，通过插件启动对应资源。</w:t>
      </w:r>
    </w:p>
    <w:p w14:paraId="05025D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6.4.2孪生设备预约</w:t>
      </w:r>
    </w:p>
    <w:p w14:paraId="4B5E84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▲6.4.2.1 孪生仿真资源支持设备预约功能。预约时须依次选择实验室、设备、日期、开始时间、结束时间。选择日期时须高亮当前日期，选择时间段时开始时间自动默认为当前时间，结束时间自动默认为半小时后。支持手动修改开始和结束时间。选择时间后点击预约，系统须自动检测是否与其他人的预约冲突。若不冲突则预约成功并跳转至预约记录列表；若冲突须提示用户重新选择时段。预约记录列表中支持取消预约操作，已预约成功的记录支持点击“开始试验”直接启动资源。预约记录列表须展示最近24小时的时间轴，时间轴中须以时间块形式直观显示已被预约占用的时段。点击“开始试验”后，系统须唤起本地插件，插件获取资源及硬件设备信息后启动对应孪生仿真资源。</w:t>
      </w:r>
      <w:r>
        <w:rPr>
          <w:rFonts w:hint="eastAsia" w:ascii="仿宋" w:hAnsi="仿宋" w:eastAsia="仿宋" w:cs="仿宋"/>
          <w:b/>
          <w:bCs/>
          <w:color w:val="auto"/>
          <w:sz w:val="24"/>
          <w:szCs w:val="24"/>
          <w:highlight w:val="none"/>
        </w:rPr>
        <w:t>（投标时需提供符合参数要求的具有检测资质的第三方检测机构出具的检测报告扫描件，或软件功能界面截图等证明文件）</w:t>
      </w:r>
    </w:p>
    <w:p w14:paraId="34D8A0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6.4.3实验成绩上传</w:t>
      </w:r>
    </w:p>
    <w:p w14:paraId="370E5F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6.4.3.1 虚拟仿真、孪生仿真资源完成实验后，须支持将实验成绩信息自动上传至平台。</w:t>
      </w:r>
    </w:p>
    <w:p w14:paraId="2CBF60D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6.4.4项目式学习</w:t>
      </w:r>
    </w:p>
    <w:p w14:paraId="73C6B2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6.4.4.1 项目式学习下课程项目的各模块在页面顶部按配置顺序依次排列，模块标签之间使用“&gt;”符号明确表示先后顺序关系，系统须自动添加“综合提交”模块。用户点击模块标签后，系统展示对应的模块详细内容。</w:t>
      </w:r>
    </w:p>
    <w:p w14:paraId="0601948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6.4.4.2 项目可包含实验介绍、理论学习、虚拟仿真、孪生仿真、试题测评、实验报告、虚拟装配等标准模块中的一个或多个。</w:t>
      </w:r>
    </w:p>
    <w:p w14:paraId="0E45DF3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6.4.4.3 试题测评模块支持单选题、多选题、判断题的在线测试，提交后可实时获得成绩。</w:t>
      </w:r>
    </w:p>
    <w:p w14:paraId="0A1B73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6.4.4.4 实操记录模块支持上传实验过程中的图片及其他文件。</w:t>
      </w:r>
    </w:p>
    <w:p w14:paraId="14EB1A3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6.4.4.5 实验报告模块支持提交实验记录，包括实验结论、实验思考、实验附件、实验图片等内容。</w:t>
      </w:r>
    </w:p>
    <w:p w14:paraId="108922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6.4.4.6 虚拟装配模块支持在Web端直接操作学习设备的虚拟装配过程。</w:t>
      </w:r>
    </w:p>
    <w:p w14:paraId="626A0D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6.4.4.7 综合提交模块中，学生可选择已完成过的虚拟仿真、孪生仿真、试题测评、实验报告、实操记录中的理想数据记录进行最终提交。</w:t>
      </w:r>
    </w:p>
    <w:p w14:paraId="19475D2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6.4.5个人中心</w:t>
      </w:r>
    </w:p>
    <w:p w14:paraId="0A0C5C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6.4.5.1 学生个人中心须集成首页、我的学习、项目式教学、个人设置、系统信息等核心功能模块。</w:t>
      </w:r>
    </w:p>
    <w:p w14:paraId="347DA9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6.4.5.2 首页数据看板：提供多维度的个人学习数据统计功能，包括：</w:t>
      </w:r>
    </w:p>
    <w:p w14:paraId="65824F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展示账号登录次数、收藏量、设备预约次数、实验次数；</w:t>
      </w:r>
    </w:p>
    <w:p w14:paraId="2E21FCF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以图表形式统计个人被授权的数字场景、立体教材、虚拟仿真、孪生仿真等各类资源的数量；</w:t>
      </w:r>
    </w:p>
    <w:p w14:paraId="5A063D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展示个人的实验预约记录及预约次数；</w:t>
      </w:r>
    </w:p>
    <w:p w14:paraId="1EA722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以曲线图形式统计近七日内个人的实验预约数据和实验完成数据。</w:t>
      </w:r>
    </w:p>
    <w:p w14:paraId="37BFF8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6.4.5.3 我的学习模块：包含资源授权、我的收藏、我的预约、我的实验、成绩管理等子模块。</w:t>
      </w:r>
    </w:p>
    <w:p w14:paraId="384B0A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6.4.5.3.1 资源授权：展示已被授权的课程列表及项目式学习下的内容列表。</w:t>
      </w:r>
    </w:p>
    <w:p w14:paraId="204F30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6.4.5.3.2 我的收藏：展示所有已收藏的实验项目，并可从此入口快速进入课程学习。</w:t>
      </w:r>
    </w:p>
    <w:p w14:paraId="70626B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6.4.5.3.3 我的预约：列表展示所有孪生设备的预约记录，包括实验课程、设备编号、预约开始及结束时间等信息，支持按时间范围筛选查找。</w:t>
      </w:r>
    </w:p>
    <w:p w14:paraId="0B9CA7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6.4.5.3.4 我的实验：展示个人的所有实验操作记录，包括课程名称、开始时间、结束时间、时长、使用次数等。</w:t>
      </w:r>
    </w:p>
    <w:p w14:paraId="31ABC5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6.4.5.3.5 成绩管理：展示个人在各实验中的得分情况，包括课程名称、实验名称、实验类型、开始时间、结束时间、实验时长、最终成绩等。点击“步骤”可查看系统生成的结构化实验报告，包含每一步骤的名称、开始结束时间、用时、满分、得分、操作次数；点击“报告”可查看实验参数、实验数据及实验曲线，实验曲线支持折线图等基本图形化渲染展示。</w:t>
      </w:r>
    </w:p>
    <w:p w14:paraId="5793EE9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6.4.5.4 项目式教学模块：包含试题测评、实验报告、实操记录、综合提交等子模块。</w:t>
      </w:r>
    </w:p>
    <w:p w14:paraId="66CD8B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6.4.5.4.1 试题测评：展示学生的试题测评记录列表，包括课程名称、项目名称、测评得分、提交时间。</w:t>
      </w:r>
    </w:p>
    <w:p w14:paraId="20BCEC1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6.4.5.4.2 实验报告：展示学生的实验报告记录列表，包括课程名称、项目名称、提交时间，并可查看详细的实验报告内容。</w:t>
      </w:r>
    </w:p>
    <w:p w14:paraId="50C1EB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6.4.5.4.3 实操记录：展示学生的实操记录列表，包括课程名称、项目名称、资源列表、提交时间。资源列表中的文件支持点击预览或下载。</w:t>
      </w:r>
    </w:p>
    <w:p w14:paraId="19F1912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6.4.5.4.4 综合提交：展示学生的综合提交记录列表，包括课程名称、项目名称、得分、提交时间。点击查看按钮可查看提交的各个项目模块得分及教师评语。</w:t>
      </w:r>
    </w:p>
    <w:p w14:paraId="232132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6.4.5.5 个人信息模块：包含我的信息、安全设置等子模块。</w:t>
      </w:r>
    </w:p>
    <w:p w14:paraId="18FCC8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6.4.5.5.1 我的信息：学生可查看自己的账号、昵称、手机号、邮箱、所属部门。</w:t>
      </w:r>
    </w:p>
    <w:p w14:paraId="3A021BD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6.4.5.5.2 安全设置：支持修改密码及退出登录操作。</w:t>
      </w:r>
    </w:p>
    <w:p w14:paraId="63D5D8F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6.4.5.6 系统信息模块：包含实验插件管理功能。可查看实验插件名称、版本及插件安装使用过程中的注意事项，同时提供插件下载链接。</w:t>
      </w:r>
    </w:p>
    <w:p w14:paraId="029F8E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6.5虚拟仿真</w:t>
      </w:r>
    </w:p>
    <w:p w14:paraId="6919F8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6.5.1 数字场景模块</w:t>
      </w:r>
    </w:p>
    <w:p w14:paraId="72DF4E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6.5.1.1 数字场景须至少包含机械创新实验室、机械原理实验室、机械制图实训室、XEM教育元宇宙演示系统等三维虚拟场景模块。</w:t>
      </w:r>
    </w:p>
    <w:p w14:paraId="5EC200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 教育元宇宙演示系统</w:t>
      </w:r>
    </w:p>
    <w:p w14:paraId="73D818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6.5.2.1 系统须提供素材库、场景库、配置清单三大核心功能：</w:t>
      </w:r>
    </w:p>
    <w:p w14:paraId="476A65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6.5.2.1.1素材库：须包含基础库（地板、窗户、空调等基础设施）、教学用品（讲台、桌椅、白板、显示屏等）、装饰物品（文化墙装饰、绿植等）以及专业库（机械原理、机械设计、机械创新等数字孪生实验室专用设备）。</w:t>
      </w:r>
    </w:p>
    <w:p w14:paraId="0289ED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6.5.2.1.2 场景库：须提供多种预设场景模板。</w:t>
      </w:r>
    </w:p>
    <w:p w14:paraId="2DB481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6.5.2.1.3 配置清单：须展示实训室场景的设备明细清单。</w:t>
      </w:r>
    </w:p>
    <w:p w14:paraId="3C9AA3C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6.5.2.2 场景构建功能：</w:t>
      </w:r>
    </w:p>
    <w:p w14:paraId="0503236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6.5.2.2.1 支持从库中拖拽模型至场景，自由构建实验室虚拟展示场景，并支持场景保存。</w:t>
      </w:r>
    </w:p>
    <w:p w14:paraId="648156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6.5.2.2.2 编辑工具栏须提供移动、旋转、重做、撤销、缩放、锁定、聚焦等操作功能。</w:t>
      </w:r>
    </w:p>
    <w:p w14:paraId="5DB1A3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6.5.2.2.3 支持修改模型名称及展示属性（多行文本），提供内嵌框架URL配置功能，开启后可链接至外部URL或本地文件。</w:t>
      </w:r>
    </w:p>
    <w:p w14:paraId="019FED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6.5.2.3 视角与预览功能：</w:t>
      </w:r>
    </w:p>
    <w:p w14:paraId="7053188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6.5.2.3.1 须提供默认第一视角、45°正视角全景查看、自由视角及俯视视角，支持任意角度查看选定设备模型。</w:t>
      </w:r>
    </w:p>
    <w:p w14:paraId="16AD6AB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6.5.2.3.2 支持一键切换预览与编辑状态。预览模式下面板自动折叠，鼠标悬停可拾取设备名称，点击后弹出该设备的三维模型展示、基本信息介绍及配置的超链接，三维模型支持缩放和旋转查看。</w:t>
      </w:r>
    </w:p>
    <w:p w14:paraId="1089FD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6.5.2.3.3 支持模型超链接配置，预览模式下点击可外链跳转至关联资源。</w:t>
      </w:r>
    </w:p>
    <w:p w14:paraId="2DC746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6.6数字孪生</w:t>
      </w:r>
    </w:p>
    <w:p w14:paraId="2EDB023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6.6.1数字孪生实训环境</w:t>
      </w:r>
    </w:p>
    <w:p w14:paraId="79CC9E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6.6.1.1 系统须构建三维虚拟实训环境，至少包含PLC实验室、机械原理实验室、机械创新实验室等专业教学场景的三维虚拟场景。</w:t>
      </w:r>
    </w:p>
    <w:p w14:paraId="359662A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6.6.1.2 支持数字孪生资源设备预约功能。学生可根据实验安排选择设备使用时段进行预约，预约成功后相关信息自动在预约列表中展现，已被预约的时段不可重复预约。</w:t>
      </w:r>
    </w:p>
    <w:p w14:paraId="799E45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6.6.1.3 学生获得数字孪生资源权限后，可通过平台一键唤起本地客户端插件，自动启动对应的三维虚拟场景资源，并联动真实设备进行数字孪生操作，实现虚拟场景与实体设备的对接。</w:t>
      </w:r>
    </w:p>
    <w:p w14:paraId="2EF0C62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6.6.1.4 孪生实验须基于真实实验台硬件建立一一对应的虚拟数字场景和三维模型，确保虚拟环境与物理设备的几何结构、空间位置、运动关系完全匹配。</w:t>
      </w:r>
    </w:p>
    <w:p w14:paraId="1DE2B64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6.6.1.5 孪生仿真须在三维空间中构建完整的虚拟应用场景，支持程序控制功能的下发与执行，能够通过结构化的工业数据驱动虚拟模型，实时模拟设备的运动轨迹与控制结果，实现虚拟控制对象状态与物理设备动作的精准同步。</w:t>
      </w:r>
    </w:p>
    <w:p w14:paraId="0B8AEA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6.6.1.6 系统须通过工业互联数据采集盒及孪生摄像头，建立虚拟仿真场景与真实设备之间的实时通信与控制通道。学生在孪生场景中操作虚拟模型时，控制指令通过数据采集盒下发至实际设备，驱动远程真实设备同步执行相应动作；实际设备的运行状态和结果数据须实时回传至虚拟仿真资源。虚拟仿真场景同时集成现场视频实时画面，提供远程操控的视觉反馈，实现虚实联动与远程实验操作。</w:t>
      </w:r>
    </w:p>
    <w:p w14:paraId="0C3733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6.7平台本地化部署要求</w:t>
      </w:r>
    </w:p>
    <w:p w14:paraId="01C0648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6.7.1部署环境要求</w:t>
      </w:r>
    </w:p>
    <w:p w14:paraId="7D16B8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6.7.1.1 平台须支持本地化部署，全部软件系统可安装在采购方自有服务器或私有云平台之上，须支持在完全内网环境下独立运行，所有业务功能不受影响。</w:t>
      </w:r>
    </w:p>
    <w:p w14:paraId="060C42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6.7.1.2 服务器操作系统须兼容Ubuntu等主流Linux发行版，数据库须兼容MySQL等主流关系型数据库，中间件须支持Nginx。客户端浏览器须兼容Chrome及其最新版本。</w:t>
      </w:r>
    </w:p>
    <w:p w14:paraId="5882B8C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6.7.1.3 平台须兼容主流的服务器硬件配置（如4核CPU/16GB内存/1TB存储及以上），客户端须支持在独立显卡（显存≥</w:t>
      </w:r>
      <w:r>
        <w:rPr>
          <w:rFonts w:hint="eastAsia" w:ascii="仿宋" w:hAnsi="仿宋" w:eastAsia="仿宋" w:cs="仿宋"/>
          <w:bCs/>
          <w:color w:val="auto"/>
          <w:sz w:val="24"/>
          <w:szCs w:val="24"/>
          <w:highlight w:val="none"/>
          <w:lang w:eastAsia="zh"/>
        </w:rPr>
        <w:t>8</w:t>
      </w:r>
      <w:r>
        <w:rPr>
          <w:rFonts w:hint="eastAsia" w:ascii="仿宋" w:hAnsi="仿宋" w:eastAsia="仿宋" w:cs="仿宋"/>
          <w:bCs/>
          <w:color w:val="auto"/>
          <w:sz w:val="24"/>
          <w:szCs w:val="24"/>
          <w:highlight w:val="none"/>
        </w:rPr>
        <w:t>GB）的计算机上流畅运行虚拟仿真、数字孪生等3D资源。</w:t>
      </w:r>
    </w:p>
    <w:p w14:paraId="3FE807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6.7.2数据安全保障</w:t>
      </w:r>
    </w:p>
    <w:p w14:paraId="428D79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6.7.2.1 系统须提供完善的数据安全保障机制，所有关键操作（如用户管理、权限变更、数据删除等）须留存详细操作日志，便于事后审计和追溯。</w:t>
      </w:r>
    </w:p>
    <w:p w14:paraId="369B1D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6.7.2.2 系统须支持自动定时备份功能，并能够通过备份文件对系统数据进行快速恢复。</w:t>
      </w:r>
    </w:p>
    <w:p w14:paraId="4188723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6.7.2.3 所有业务数据，包括结构化数据及附件文档，均须全部存储在采购方本地服务器或私有云平台中，确保数据资产归采购方所有。</w:t>
      </w:r>
    </w:p>
    <w:p w14:paraId="73A28F7C">
      <w:pPr>
        <w:spacing w:line="360" w:lineRule="auto"/>
        <w:rPr>
          <w:rFonts w:ascii="仿宋" w:hAnsi="仿宋" w:eastAsia="仿宋" w:cs="仿宋"/>
          <w:bCs/>
          <w:color w:val="auto"/>
          <w:sz w:val="24"/>
          <w:szCs w:val="24"/>
          <w:highlight w:val="none"/>
          <w:lang w:eastAsia="zh"/>
        </w:rPr>
      </w:pPr>
      <w:r>
        <w:rPr>
          <w:rFonts w:hint="eastAsia" w:ascii="仿宋" w:hAnsi="仿宋" w:eastAsia="仿宋" w:cs="仿宋"/>
          <w:bCs/>
          <w:color w:val="auto"/>
          <w:sz w:val="24"/>
          <w:szCs w:val="24"/>
          <w:highlight w:val="none"/>
          <w:lang w:eastAsia="zh"/>
        </w:rPr>
        <w:t>6.7.2.4投标人须承诺：所投产品各项核心技术指标、重要技术指标均满足招标文件要求，响应内容真实有效。如存在弄虚作假或不实承诺，采购人有权取消其中标资格并依法追究责任。</w:t>
      </w:r>
    </w:p>
    <w:p w14:paraId="092FCB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475F4AD7">
      <w:pPr>
        <w:tabs>
          <w:tab w:val="center" w:pos="4832"/>
          <w:tab w:val="left" w:pos="7140"/>
        </w:tabs>
        <w:spacing w:line="360" w:lineRule="auto"/>
        <w:jc w:val="center"/>
        <w:outlineLvl w:val="1"/>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标的七：机械制造加工工艺实验平台</w:t>
      </w:r>
    </w:p>
    <w:p w14:paraId="4BC59432">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1、机械制造加工工艺虚拟实验软件*1：</w:t>
      </w:r>
    </w:p>
    <w:p w14:paraId="28AECC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1.1平台基础管理</w:t>
      </w:r>
    </w:p>
    <w:p w14:paraId="5EAFF5D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1.1.1身份验证功能：</w:t>
      </w:r>
    </w:p>
    <w:p w14:paraId="13517B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1.1.1.1管理员、老师和学生均需通过网站登录窗口输入账号密码进行身份验证。系统将采用多种技术，如密码加密存储或验证码，增强安全性。</w:t>
      </w:r>
    </w:p>
    <w:p w14:paraId="715ECF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1.1.1.2管理员登录后，可以进行系统管理、用户权限分配、资源审核等操作。</w:t>
      </w:r>
    </w:p>
    <w:p w14:paraId="0D4FB01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1.1.1.3老师登录后，可以管理班级、上传成绩、查看学生学习情况等。</w:t>
      </w:r>
    </w:p>
    <w:p w14:paraId="5F8408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1.1.1.4学生登录后，可以查看课程信息、进行实验、查看成绩等。</w:t>
      </w:r>
    </w:p>
    <w:p w14:paraId="2D1D93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1.1.2权限管理：</w:t>
      </w:r>
    </w:p>
    <w:p w14:paraId="5FFA59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1.1.2.1管理员具有最高权限，可以对老师和学生的权限进行详细设置。</w:t>
      </w:r>
    </w:p>
    <w:p w14:paraId="4E0FDF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1.1.2.2老师可以对学生的成绩进行录入、修改和查询。</w:t>
      </w:r>
    </w:p>
    <w:p w14:paraId="6F7ECB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1.1.2.3学生只能查看自己的成绩和学习进度，不能访问其他学生的信息。</w:t>
      </w:r>
    </w:p>
    <w:p w14:paraId="6D140F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1.1.3资源授权管理：</w:t>
      </w:r>
    </w:p>
    <w:p w14:paraId="736BC95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1.1.3.1管理员可以对用户进行资源授权管理，包括但不限于课程资源、实验资源等，确保用户只能访问授权范围内的资源。</w:t>
      </w:r>
    </w:p>
    <w:p w14:paraId="03F8A94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1.1.4统计信息展示：</w:t>
      </w:r>
    </w:p>
    <w:p w14:paraId="19ED15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1.1.4.1登录后，后台首页将展示课程数、学生数、登录次数、实验总次数等统计信息，以图表或表格形式直观呈现，便于管理员快速了解平台使用情况。</w:t>
      </w:r>
    </w:p>
    <w:p w14:paraId="7A4ABF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1.1.4.2课程数统计将显示平台上所有课程的总数，包括虚拟仿真课程和理论课程。</w:t>
      </w:r>
    </w:p>
    <w:p w14:paraId="234E0B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1.1.4.3学生数统计将显示平台上注册的学生总数，包括不同专业的学生。</w:t>
      </w:r>
    </w:p>
    <w:p w14:paraId="13D703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1.1.4.4登录次数统计将显示平台的所有登录次数，反映平台的活跃度。</w:t>
      </w:r>
    </w:p>
    <w:p w14:paraId="34882D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1.1.4.5实验总次数统计将显示平台上所有实验的总次数，包括虚拟仿真实验和实际操作实验。</w:t>
      </w:r>
    </w:p>
    <w:p w14:paraId="675E71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1.1.5专业分类维护：</w:t>
      </w:r>
    </w:p>
    <w:p w14:paraId="3B2190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1.1.5.1系统支持对专业分类信息进行编辑和维护，管理员可以根据教学需要，添加、修改或删除专业分类信息。</w:t>
      </w:r>
    </w:p>
    <w:p w14:paraId="541D188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1.1.5.2专业分类可以包括基础科学、工程技术、人文社科等，每个分类下可以进一步细分为更具体的子分类。</w:t>
      </w:r>
    </w:p>
    <w:p w14:paraId="1ECBB72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1.1.6资源下载权限：</w:t>
      </w:r>
    </w:p>
    <w:p w14:paraId="25DEAA3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1.1.6.1管理员可以设置资源的下载权限，只有被授权的用户才能进入课程下载资源。</w:t>
      </w:r>
    </w:p>
    <w:p w14:paraId="28D859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1.2、资源管理：</w:t>
      </w:r>
    </w:p>
    <w:p w14:paraId="6E9957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1.2.1资源类型管理：</w:t>
      </w:r>
    </w:p>
    <w:p w14:paraId="390BFA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1.2.1.1资源管理功能支持图片、3D模型、虚拟仿真、视频等格式，满足不同教学需求。</w:t>
      </w:r>
    </w:p>
    <w:p w14:paraId="4DAC1D0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1.2.1.2图片资源可以包括教学插图、实验步骤图等，帮助学生更直观地理解课程内容。</w:t>
      </w:r>
    </w:p>
    <w:p w14:paraId="35D8916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1.2.1.3模型资源可以用于虚拟仿真实验，提供立体的实验操作体验。</w:t>
      </w:r>
    </w:p>
    <w:p w14:paraId="55413A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1.2.1.4视频资源可以包括实验操作演示、理论讲解等，增强学生的学习体验。</w:t>
      </w:r>
    </w:p>
    <w:p w14:paraId="216918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1.2.2资源编辑操作：</w:t>
      </w:r>
    </w:p>
    <w:p w14:paraId="0BD3DC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1.2.2.1管理员可以对资源进行新增、修改、删除等操作，确保资源的更新和维护。</w:t>
      </w:r>
    </w:p>
    <w:p w14:paraId="7640EC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1.2.2.2新增资源时，需要填写资源的基本信息，如名称、类型、描述等，并上传相应的文件。</w:t>
      </w:r>
    </w:p>
    <w:p w14:paraId="46B40C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1.2.2.3修改资源时，可以更新资源的描述、文件或状态，确保资源信息的准确性。</w:t>
      </w:r>
    </w:p>
    <w:p w14:paraId="2BCEE7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1.2.2.4删除资源时，需要确认删除操作，系统将记录删除的详细信息，包括删除者、删除时间和删除的资源。</w:t>
      </w:r>
    </w:p>
    <w:p w14:paraId="733D31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1.2.3资源查询筛选：</w:t>
      </w:r>
    </w:p>
    <w:p w14:paraId="4EE9B7B9">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1.2.3.1提供基于类型、名称、编码等条件的查询筛选功能。可通过输入关键词或选择特定条件，如资源类型、创建时间等，进行资源搜索。系统将根据用户输入的条件，显示符合条件的资源列表，并提供排序和过滤功能。</w:t>
      </w:r>
      <w:r>
        <w:rPr>
          <w:rFonts w:hint="eastAsia" w:ascii="仿宋" w:hAnsi="仿宋" w:eastAsia="仿宋" w:cs="仿宋"/>
          <w:b/>
          <w:bCs/>
          <w:color w:val="auto"/>
          <w:sz w:val="24"/>
          <w:szCs w:val="24"/>
          <w:highlight w:val="none"/>
        </w:rPr>
        <w:t>（投标时提供符合参数要求的具有检测资质的第三方检测机构出具的检测报告扫描件，或产品说明书、或软件功能截屏证明文件）</w:t>
      </w:r>
    </w:p>
    <w:p w14:paraId="2F8BD8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1.2.4资源状态配置：</w:t>
      </w:r>
    </w:p>
    <w:p w14:paraId="75A4DA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1.2.4.1管理员可以根据教学计划，配置资源的启动和停用状态，合理安排教学资源的使用。</w:t>
      </w:r>
    </w:p>
    <w:p w14:paraId="74F881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1.2.4.2资源状态包括启动、停用，管理员可以根据实际情况，设置资源的当前状态。</w:t>
      </w:r>
    </w:p>
    <w:p w14:paraId="5E8E9F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1.2.4.3系统将显示资源的状态信息，用户可以一目了然地了解资源的可用性。</w:t>
      </w:r>
    </w:p>
    <w:p w14:paraId="0C853F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1.3、成绩管理上传：</w:t>
      </w:r>
    </w:p>
    <w:p w14:paraId="16E9F3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1.3.1班级学生管理：</w:t>
      </w:r>
    </w:p>
    <w:p w14:paraId="494E13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1.3.1.1老师可以管理自己班级的学生名单，包括添加、删除、编辑学生信息，确保学生信息的准确性。</w:t>
      </w:r>
    </w:p>
    <w:p w14:paraId="635381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1.3.1.2老师可以通过班级管理界面，查看班级的学生名单，并进行相应的管理操作。</w:t>
      </w:r>
    </w:p>
    <w:p w14:paraId="4C2938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1.3.1.3添加学生时，老师需要填写学生的基本信息，如姓名、学号、专业等。</w:t>
      </w:r>
    </w:p>
    <w:p w14:paraId="7EFD7E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1.3.1.4删除学生时，老师需要确认删除操作，点击确认后再执行删除操作。</w:t>
      </w:r>
    </w:p>
    <w:p w14:paraId="443FE6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1.3.2成绩录入与查询：</w:t>
      </w:r>
    </w:p>
    <w:p w14:paraId="0A2085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1.3.2.1老师可以通过成绩管理界面，录入学生的考试成绩，并设置成绩的显示方式，如百分制或等级制。</w:t>
      </w:r>
    </w:p>
    <w:p w14:paraId="363BCA1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1.3.3学生端功能：</w:t>
      </w:r>
    </w:p>
    <w:p w14:paraId="793064B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1.3.3.1学生可以在自己的端查看课程信息，进行自主学习。</w:t>
      </w:r>
    </w:p>
    <w:p w14:paraId="123C4D1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1.3.3.2系统提供成绩查询功能，学生可以随时查看成绩，了解自己的学习情况。</w:t>
      </w:r>
    </w:p>
    <w:p w14:paraId="3256A3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1.3.4课程收藏：</w:t>
      </w:r>
    </w:p>
    <w:p w14:paraId="47CCA2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1.3.4.1系统提供课程收藏功能。用户可以通过个人中心，收藏自己感兴趣的课程。</w:t>
      </w:r>
    </w:p>
    <w:p w14:paraId="3168A08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1.3.5学习记录追踪：</w:t>
      </w:r>
    </w:p>
    <w:p w14:paraId="26D14D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1.3.5.1用户可以在个人中心查看自己的学习记录，包括学习内容、次数、时间等，帮助用户了解自己的学习情况。</w:t>
      </w:r>
    </w:p>
    <w:p w14:paraId="4CEB4B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1.4、国家中心对接</w:t>
      </w:r>
    </w:p>
    <w:p w14:paraId="3B66E2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1.4.1成绩数据同步：系统支持将学生的实验成绩同步到国家虚拟仿真实验教学项目贡献服务平台，确保成绩的官方记录和认可。</w:t>
      </w:r>
    </w:p>
    <w:p w14:paraId="43654B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1.5、本地化部署</w:t>
      </w:r>
    </w:p>
    <w:p w14:paraId="47A43D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1.5.1本地化部署支持：系统支持在本地环境中部署，包括Windows或Linux操作系统。</w:t>
      </w:r>
    </w:p>
    <w:p w14:paraId="08D462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1.6、机械制造虚拟仿真实验系统：</w:t>
      </w:r>
    </w:p>
    <w:p w14:paraId="1B63709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1.6.1车床模块：</w:t>
      </w:r>
    </w:p>
    <w:p w14:paraId="62314C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1.6.1.1车床模块基于CA6140车床的三维模型，进行虚拟仿真项目的设计开发；</w:t>
      </w:r>
    </w:p>
    <w:p w14:paraId="45457A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1.6.1.2三维环境中，可旋转、缩放、平移车床模型，鼠标滑到某一结构上，显示结构名称。可用鼠标互动操作主轴正反转操作手柄、床鞍纵向移动手柄、下刀架横向移动手柄等。能实现车床爆炸、零件单独显隐、隐藏其他等功能。</w:t>
      </w:r>
    </w:p>
    <w:p w14:paraId="410D5E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1.6.1.3包含切削运动、切削要素、车刀结构认知、车刀的角度及辅助平面等知识内容。</w:t>
      </w:r>
    </w:p>
    <w:p w14:paraId="42D25A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1.6.1.4讲解包括车外圆面、车端面、加工细长轴、车倒角、车退刀槽、车成型面、车螺纹、等常见加工现象。</w:t>
      </w:r>
    </w:p>
    <w:p w14:paraId="04AE5B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1.6.1.5以加工阶梯轴实训项目为例了解使用CA6140车床进行工件加工的全过程，掌握加工操作要领。主要工序包括根据图样进行分析、加工过程、台阶面的测量等内容。</w:t>
      </w:r>
    </w:p>
    <w:p w14:paraId="332343FE">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1.6.1.6以车轴实训为例，进行加工的全过程仿真模拟。主要工序包括①图样进行分析：点击右侧图纸按钮对图纸进行分析，②确定加工步骤：点击右边工艺卡查看工艺。③刀具选择及其安装：点击右边刀具库选择安装刀具。④安装工件：点击右侧材料库，选择合适材料，工具库选择百分表。⑤车削阶梯轴：3D演示车床车削加工。⑥检验核对测量工件等内容。</w:t>
      </w:r>
      <w:r>
        <w:rPr>
          <w:rFonts w:hint="eastAsia" w:ascii="仿宋" w:hAnsi="仿宋" w:eastAsia="仿宋" w:cs="仿宋"/>
          <w:b/>
          <w:bCs/>
          <w:color w:val="auto"/>
          <w:sz w:val="24"/>
          <w:szCs w:val="24"/>
          <w:highlight w:val="none"/>
        </w:rPr>
        <w:t>（投标时提供符合参数要求的具有检测资质的第三方检测机构出具的检测报告扫描件，或产品说明书、或软件功能截屏证明文件）</w:t>
      </w:r>
    </w:p>
    <w:p w14:paraId="5CB5B1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1.6.2铣床模块：</w:t>
      </w:r>
    </w:p>
    <w:p w14:paraId="29F9D7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1.6.2.1铣床模块基于卧式铣床的三维模型，进行虚拟仿真项目的设计开发；</w:t>
      </w:r>
    </w:p>
    <w:p w14:paraId="20C109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1.6.2.2三维环境中，可旋转、缩放、平移铣床模型，鼠标滑到某一结构上，显示结构名称。</w:t>
      </w:r>
    </w:p>
    <w:p w14:paraId="638184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1.6.2.3交互展示切削运动：三维模型动作，展示主运动、进给运动。</w:t>
      </w:r>
    </w:p>
    <w:p w14:paraId="1B3063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1.6.2.4交互展示工件的装夹：（平口钳装夹、压板螺栓装夹）</w:t>
      </w:r>
    </w:p>
    <w:p w14:paraId="2D11578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1.6.2.5从工具箱中选择工具、夹具，完成安装。从刀具库中选择合适的刀具，夹具库中选择合适的夹具，全部选择正确后演示加工现象。</w:t>
      </w:r>
    </w:p>
    <w:p w14:paraId="2F5109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1.6.3滚齿机模块：</w:t>
      </w:r>
    </w:p>
    <w:p w14:paraId="2B8D709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1.6.3.1滚齿机模块基于Y3180滚齿机的三维模型，进行虚拟仿真项目的设计开发；</w:t>
      </w:r>
    </w:p>
    <w:p w14:paraId="2E434E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1.6.3.2建立滚齿机三维数字模型，三维环境中，可旋转、缩放、平移滚齿机模型，鼠标滑到某一结构上，显示结构名称。能实现机床爆炸、零件单独显隐、隐藏其他等功能。</w:t>
      </w:r>
    </w:p>
    <w:p w14:paraId="3B35CA3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1.6.3.3交互实验步骤，包含查看加工零件图纸(图纸工艺的详细说明：含尺寸公差等级、精度、跳动度、基线、模数、齿数、压力角、齿顶高系数、全齿高等说明)。</w:t>
      </w:r>
    </w:p>
    <w:p w14:paraId="2845407C">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1.6.3.4交互展示加工齿轮齿数装卸挂齿过程、加工模数装夹刀具滚刀、装夹加工齿轮胚料过程(从工作台拿取工件装到转盘轴开锁紧手柄，转动上下手轮，压紧转盘轴，然后往上紧)、调整滚齿速度过程(转动两个调速手柄）、试滚对刀(启动滚齿机，按尾架移动按钮，尾架移的全流程齿轮加工过程。</w:t>
      </w:r>
      <w:r>
        <w:rPr>
          <w:rFonts w:hint="eastAsia" w:ascii="仿宋" w:hAnsi="仿宋" w:eastAsia="仿宋" w:cs="仿宋"/>
          <w:b/>
          <w:bCs/>
          <w:color w:val="auto"/>
          <w:sz w:val="24"/>
          <w:szCs w:val="24"/>
          <w:highlight w:val="none"/>
        </w:rPr>
        <w:t>（投标时提供符合参数要求的具有检测资质的第三方检测机构出具的检测报告扫描件，或产品说明书、或软件功能截屏证明文件）</w:t>
      </w:r>
    </w:p>
    <w:p w14:paraId="50D8833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1.6.3.5可完成各个步骤的实训过程模拟，考核过程操作错误则提示正确操作步骤。</w:t>
      </w:r>
    </w:p>
    <w:p w14:paraId="08DA3D3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钻床模块：</w:t>
      </w:r>
    </w:p>
    <w:p w14:paraId="4C1F681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1本软件模型基于Z3050钻床的三维模型进行虚拟仿真项目的设计开发，其结构组成分别有床身，主轴箱，立柱，摆臂，主轴箱移动手轮，主轴箱、立柱夹紧选择开关，主电机启动按钮，总停按钮，微动进给手盘，主轴正反转、变速、空挡手柄，接通、断开进给手柄，主轴、主轴转速预选旋钮，钻头，液喷管，主轴箱移动手柄，冷却泵开关，底座，钻盘底座，三抓卡盘，工件，扳手，钻床桌子。鼠标在结构上方有自动显示结构名称的功能，方便操作者对钻床的结构设备进行了解。</w:t>
      </w:r>
    </w:p>
    <w:p w14:paraId="44D39C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2实训模块包含3D演示和进行仿真练习，实现实践教学。3D演示:通过动画演示实验流程的每个步骤，包含:点击钻头;将其插入主轴锥孔、点击工件;将工件放入三抓卡盘;将工件夹紧、旋转主轴转速预选旋钮;进行转速和进给量的调节;使之达到指定速度、打开主电机启动按钮;启动主轴、旋转主轴箱和立柱夹紧选择开关;寻找圆心、摇动主轴箱移动手柄:寻找零点;使钻头与工件接触、打开冷却泵开关;加工出冷却液、摇动主轴箱移动手柄;主轴自动给进、摇动主轴箱移动手柄;将钻头退出;主轴停转;加工完成。使实验流程更科学仿真，让操作者对实验流程了解更细致，使其在软件使用和实验流程上更得心应手。</w:t>
      </w:r>
    </w:p>
    <w:p w14:paraId="079C3464">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3进行仿真练习:操作者可通过点击红色箭头提示位置，进行自主仿真操作。操作者可通过下方文字显示的操作提示，对实验流程进行练习，系统会根据标准的组成流程对操作者的操作进行指导和评定，对其中操作者错误的组成操作进行警告和提示。系统会根据标准的组成流程对操作者的操作进行分步计分。</w:t>
      </w:r>
      <w:r>
        <w:rPr>
          <w:rFonts w:hint="eastAsia" w:ascii="仿宋" w:hAnsi="仿宋" w:eastAsia="仿宋" w:cs="仿宋"/>
          <w:b/>
          <w:bCs/>
          <w:color w:val="auto"/>
          <w:sz w:val="24"/>
          <w:szCs w:val="24"/>
          <w:highlight w:val="none"/>
        </w:rPr>
        <w:t>（投标时提供符合参数要求的具有检测资质的第三方检测机构出具的检测报告扫描件，或产品说明书、或软件功能截屏证明文件）</w:t>
      </w:r>
    </w:p>
    <w:p w14:paraId="58A7D1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磨床模块：</w:t>
      </w:r>
    </w:p>
    <w:p w14:paraId="3DC8CB9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.1磨床模块基于M7120磨床的三维模型，进行虚拟仿真项目的设计开发；</w:t>
      </w:r>
    </w:p>
    <w:p w14:paraId="5B6C9E9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.2建立磨床数字模型，三维环境中，可旋转、缩放、平移磨床模型，鼠标滑到某一结构上，显示结构名称。</w:t>
      </w:r>
    </w:p>
    <w:p w14:paraId="539C41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.3交互实验步骤，包含查看加工零件图纸(图纸工艺说明)。</w:t>
      </w:r>
    </w:p>
    <w:p w14:paraId="31D29C7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.4交互展示工件测量、工件装夹过程、磨床操作、磨削加工过程。</w:t>
      </w:r>
    </w:p>
    <w:p w14:paraId="321D5D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.5可完成各个步骤的实训过程模拟，考核过程操作错误则提示正确操作步骤。</w:t>
      </w:r>
    </w:p>
    <w:p w14:paraId="666B31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rPr>
        <w:t>切削力、切削温度的测量实验：</w:t>
      </w:r>
    </w:p>
    <w:p w14:paraId="3117ED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rPr>
        <w:t>.1利用虚拟现实技术，在三维虚拟实验室环境中，包括车床及相关实验装置三维模型，如静态电阻应变仪、测力刀架、电脑，进行虚拟仿真实验。</w:t>
      </w:r>
    </w:p>
    <w:p w14:paraId="7078A09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rPr>
        <w:t>.2交互操作设备，基于车床三维模型，依照安装步骤，选择实验装置，进行测量实验装置的安装实训。</w:t>
      </w:r>
    </w:p>
    <w:p w14:paraId="337A08D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rPr>
        <w:t>.3根据实验步骤，学生操作虚拟实验设备，进行实验操作，系统实时显示实验现象。</w:t>
      </w:r>
    </w:p>
    <w:p w14:paraId="57D39E7F">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▲1.6.</w:t>
      </w:r>
      <w:r>
        <w:rPr>
          <w:rFonts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rPr>
        <w:t>.4包括切削力和切削温度测量实验：模拟车床型号CA6140仿真。切削条件包含：刀具几何参数(角度)如：刀具主前角、刀具主后角、刀具副后角、刀具主偏角、刀具副偏角、刀具刃倾角、刀片材料T15、工件材料45、热处理状况正火、夹持方式、长度、直径等信息。</w:t>
      </w:r>
      <w:r>
        <w:rPr>
          <w:rFonts w:hint="eastAsia" w:ascii="仿宋" w:hAnsi="仿宋" w:eastAsia="仿宋" w:cs="仿宋"/>
          <w:b/>
          <w:bCs/>
          <w:color w:val="auto"/>
          <w:sz w:val="24"/>
          <w:szCs w:val="24"/>
          <w:highlight w:val="none"/>
        </w:rPr>
        <w:t>（投标时提供符合参数要求的具有检测资质的第三方检测机构出具的检测报告扫描件，或产品说明书、或软件功能截屏证明文件）</w:t>
      </w:r>
    </w:p>
    <w:p w14:paraId="4FE9BD52">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
        </w:rPr>
        <w:t>1.6.6.5投标人须承诺：所投产品各项核心技术指标、重要技术指标均满足招标文件要求，响应内容真实有效。如存在弄虚作假或不实承诺，采购人有权取消其中标资格并依法追究责任。</w:t>
      </w:r>
    </w:p>
    <w:p w14:paraId="2E2A736B">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2、装拆实验用夹具系列模型*1：</w:t>
      </w:r>
    </w:p>
    <w:p w14:paraId="597273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2.1功能特点：</w:t>
      </w:r>
    </w:p>
    <w:p w14:paraId="7006A9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2.1.1全铝数控加工，表面分色氧化处理。</w:t>
      </w:r>
    </w:p>
    <w:p w14:paraId="6C6AB3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2.1.2配套装拆工具。</w:t>
      </w:r>
    </w:p>
    <w:p w14:paraId="21AD788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2.2夹具明细：</w:t>
      </w:r>
    </w:p>
    <w:p w14:paraId="2073724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2.2.1车床夹具（7种）：</w:t>
      </w:r>
    </w:p>
    <w:p w14:paraId="3DAB3EB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2.2.1.1车床夹具与机床主轴联接，尺寸≥1800×200×120mm；</w:t>
      </w:r>
    </w:p>
    <w:p w14:paraId="2A8FB3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2.2.1.2盘套类零件成组车床夹具，尺寸≥φ180×200mm；</w:t>
      </w:r>
    </w:p>
    <w:p w14:paraId="6A7B30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2.2.1.3带分度装置车床夹具，尺寸≥φ180×140mm；</w:t>
      </w:r>
    </w:p>
    <w:p w14:paraId="420A9D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2.2.1.4泵体孔车床夹具，尺寸≥180×150×120mm；</w:t>
      </w:r>
    </w:p>
    <w:p w14:paraId="7D9814F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2.2.1.5薄壁套弹性车床夹具，尺寸≥φ90×160mm；</w:t>
      </w:r>
    </w:p>
    <w:p w14:paraId="7010E12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2.2.1.6液性塑料定心夹紧车床夹具，尺寸≥φ180×210mm；</w:t>
      </w:r>
    </w:p>
    <w:p w14:paraId="41ED75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2.2.1.7完全定位车床夹具，尺寸≥φ180×150mm；</w:t>
      </w:r>
    </w:p>
    <w:p w14:paraId="49DDD8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2.2.2铣床夹具（8种）：</w:t>
      </w:r>
    </w:p>
    <w:p w14:paraId="157F75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2.2.2.1铣三通槽的铣床夹具，尺寸≥200×160×115mm；</w:t>
      </w:r>
    </w:p>
    <w:p w14:paraId="56AA65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2.2.2.2多件联动夹紧铣床夹具，尺寸≥200×120×80mm；</w:t>
      </w:r>
    </w:p>
    <w:p w14:paraId="20A17B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2.2.2.3靠模铣床夹具，尺寸≥200×170×160mm；</w:t>
      </w:r>
    </w:p>
    <w:p w14:paraId="4FD90D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2.2.2.4偏心夹紧铣床夹具，尺寸≥200×140×160mm；</w:t>
      </w:r>
    </w:p>
    <w:p w14:paraId="3BEF97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2.2.2.5斜楔联动夹紧铣床夹具，尺寸≥200×150×200mm；</w:t>
      </w:r>
    </w:p>
    <w:p w14:paraId="1F7CFD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2.2.2.6铣半圆键槽铣床夹具，尺寸≥200×150×120mm；</w:t>
      </w:r>
    </w:p>
    <w:p w14:paraId="5C5F62E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2.2.2.7垫块铣直角面夹具，尺寸≥200×200×180mm；</w:t>
      </w:r>
    </w:p>
    <w:p w14:paraId="736B74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2.2.2.8先定位后夹紧铣床夹具，尺寸≥200×200×180mm；</w:t>
      </w:r>
    </w:p>
    <w:p w14:paraId="6EE4BA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2.2.3钻床夹具(8种):</w:t>
      </w:r>
    </w:p>
    <w:p w14:paraId="6779A6D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2.2.3.1盖板式钻床夹具，尺寸≥220×110×80mm；</w:t>
      </w:r>
    </w:p>
    <w:p w14:paraId="7A3153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2.2.3.2固定式钻模，尺寸≥160×120×150mm；</w:t>
      </w:r>
    </w:p>
    <w:p w14:paraId="202D07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2.2.3.3回转式钻模，尺寸≥160×140×140mm；</w:t>
      </w:r>
    </w:p>
    <w:p w14:paraId="7CBE8CB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2.2.3.4翻转式钻模，尺寸≥160×200×150mm；</w:t>
      </w:r>
    </w:p>
    <w:p w14:paraId="37D444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2.2.3.5手动滑柱式钻模，尺寸≥180×190×180mm；</w:t>
      </w:r>
    </w:p>
    <w:p w14:paraId="5EBB74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2.2.3.6可卸式钻模板，尺寸≥220×120×110mm；</w:t>
      </w:r>
    </w:p>
    <w:p w14:paraId="06AE1C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2.2.3.7带分度装置的钻床夹具，尺寸≥180×180×120mm；</w:t>
      </w:r>
    </w:p>
    <w:p w14:paraId="091417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2.2.3.8轴类零件径向孔可调钻模，尺寸≥200×180×160mm；</w:t>
      </w:r>
    </w:p>
    <w:p w14:paraId="3874252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2.2.4镗床夹具（3种）：</w:t>
      </w:r>
    </w:p>
    <w:p w14:paraId="7D2BE72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2.2.4.1双支承镗床夹具（带镗刀），尺寸≥220×190×140mm；</w:t>
      </w:r>
    </w:p>
    <w:p w14:paraId="2631E15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2.2.4.2镗削车床尾座孔的镗床夹具，尺寸≥200×160×130mm；</w:t>
      </w:r>
    </w:p>
    <w:p w14:paraId="2334AB7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2.2.4.3连杆精镗大小孔夹具，尺寸≥200×160×130mm；</w:t>
      </w:r>
    </w:p>
    <w:p w14:paraId="71F2B2CA">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3、柔性工装组合夹具设计及组装系统*1：</w:t>
      </w:r>
    </w:p>
    <w:p w14:paraId="3B8D8A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3.1功能特点：</w:t>
      </w:r>
    </w:p>
    <w:p w14:paraId="322372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3.1.1全铝合金材料，全数控加工，表面分色氧化处理。</w:t>
      </w:r>
    </w:p>
    <w:p w14:paraId="4953FD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3.1.2主要包括：基础件、支承件、定位件、导向件、夹紧件、紧固件、其他件、工件等零部件组成，配相应拆装工具。</w:t>
      </w:r>
    </w:p>
    <w:p w14:paraId="02CCB7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3.1.3组合夹具含加工工件组合，部件积木式结构，互换性，方便后续配套升级。</w:t>
      </w:r>
    </w:p>
    <w:p w14:paraId="25C22F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3.2夹具明细：</w:t>
      </w:r>
    </w:p>
    <w:p w14:paraId="0FC423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3.2.1无人机箱体柔性工装组合夹具：</w:t>
      </w:r>
    </w:p>
    <w:p w14:paraId="40EECD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3.2.1.1无人机支架铣床夹具1；</w:t>
      </w:r>
    </w:p>
    <w:p w14:paraId="20660A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3.2.1.2无人机支架铣床夹具2；</w:t>
      </w:r>
    </w:p>
    <w:p w14:paraId="7CA9CB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3.2.1.3无人机支架钻孔夹具；</w:t>
      </w:r>
    </w:p>
    <w:p w14:paraId="11EBB4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3.2.2车床法兰盘柔性工装组合夹具：</w:t>
      </w:r>
    </w:p>
    <w:p w14:paraId="3A5838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3.2.2.1车床法兰盘车削槽系组合夹具；</w:t>
      </w:r>
    </w:p>
    <w:p w14:paraId="14590C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3.2.2.2车床法兰盘铣削34.5平面槽系组合夹具；</w:t>
      </w:r>
    </w:p>
    <w:p w14:paraId="31E8E2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3.2.2.3车床法兰盘铣削54平面槽系组合夹具；</w:t>
      </w:r>
    </w:p>
    <w:p w14:paraId="3DDA6E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3.2.2.4车床法兰盘钻双孔孔系组合夹具；</w:t>
      </w:r>
    </w:p>
    <w:p w14:paraId="456FD1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3.2.2.5车床法兰盘钻斜孔槽系组合夹具；</w:t>
      </w:r>
    </w:p>
    <w:p w14:paraId="07EF4D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3.2.2.6车床法兰盘车削孔系组合夹具；</w:t>
      </w:r>
    </w:p>
    <w:p w14:paraId="395A04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3.2.2.7车床法兰盘铣削34.5平面孔系组合夹具；</w:t>
      </w:r>
    </w:p>
    <w:p w14:paraId="7E3083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3.2.3车床输出轴柔性工装组合夹具：</w:t>
      </w:r>
    </w:p>
    <w:p w14:paraId="7599FE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3.2.3.1车床输出轴钻均布10孔槽系组合夹具；</w:t>
      </w:r>
    </w:p>
    <w:p w14:paraId="1BACF50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3.2.3.2车床输出轴铣键槽槽系组合夹具；</w:t>
      </w:r>
    </w:p>
    <w:p w14:paraId="147F09C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3.2.3.3车床输出轴钻斜孔槽系组合夹具；</w:t>
      </w:r>
    </w:p>
    <w:p w14:paraId="06B975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3.2.4方刀架柔性工装组合夹具：</w:t>
      </w:r>
    </w:p>
    <w:p w14:paraId="5080F5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3.2.4.1方刀架中心孔车削槽系组合夹具；</w:t>
      </w:r>
    </w:p>
    <w:p w14:paraId="7641F4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3.2.4.2方刀架右端面铣削槽系组合夹具；</w:t>
      </w:r>
    </w:p>
    <w:p w14:paraId="3CDE4F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3.2.4.3方刀架四侧面铣削槽系组合夹具；</w:t>
      </w:r>
    </w:p>
    <w:p w14:paraId="3C6930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3.2.4.4方刀架4-15孔钻削槽系组合夹具；</w:t>
      </w:r>
    </w:p>
    <w:p w14:paraId="489AEF8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3.2.4.5方刀架M12孔钻削槽系组合夹具；</w:t>
      </w:r>
    </w:p>
    <w:p w14:paraId="7AC999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3.2.4.6方刀架中心孔车削孔系组合夹具；</w:t>
      </w:r>
    </w:p>
    <w:p w14:paraId="4227DF7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3.2.4.7方刀架四侧面铣削孔系组合夹具；</w:t>
      </w:r>
    </w:p>
    <w:p w14:paraId="7873D0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3.2.4.8方刀架4-15孔钻削孔系组合夹具；</w:t>
      </w:r>
    </w:p>
    <w:p w14:paraId="27450F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3.2.4.9方刀架M12孔钻削孔系组合夹具；</w:t>
      </w:r>
    </w:p>
    <w:p w14:paraId="31DAD0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3.2.5方套柔性工装组合夹具：</w:t>
      </w:r>
    </w:p>
    <w:p w14:paraId="622DA4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3.2.5.1方套铣削斜面槽系组合夹具；</w:t>
      </w:r>
    </w:p>
    <w:p w14:paraId="15C05E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3.2.5.2方套铣削台阶面槽系组合夹具；</w:t>
      </w:r>
    </w:p>
    <w:p w14:paraId="19F26D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3.2.5.3方套钻5-8.5孔槽系组合夹具；</w:t>
      </w:r>
    </w:p>
    <w:p w14:paraId="646B3A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3.2.5.4方套钻锁紧螺钉孔槽系组合夹具；</w:t>
      </w:r>
    </w:p>
    <w:p w14:paraId="4449D8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3.2.5.5方套铣削台阶面孔系组合夹具；</w:t>
      </w:r>
    </w:p>
    <w:p w14:paraId="7C1B29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3.2.5.6方套5-8.5孔钻削孔系组合夹具；</w:t>
      </w:r>
    </w:p>
    <w:p w14:paraId="74F178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3.2.6十字轴柔性工装组合夹具：</w:t>
      </w:r>
    </w:p>
    <w:p w14:paraId="33A1B4B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3.2.6.1十字轴铣四轴端面槽系组合夹具；</w:t>
      </w:r>
    </w:p>
    <w:p w14:paraId="6758F9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3.2.6.2十字轴钻轴向中心孔槽系组合夹具；</w:t>
      </w:r>
    </w:p>
    <w:p w14:paraId="512D9D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3.2.6.3十字轴粗车四轴外圆槽系组合夹具；</w:t>
      </w:r>
    </w:p>
    <w:p w14:paraId="107E7B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3.2.6.4十字轴镗锥面槽系组合夹具；</w:t>
      </w:r>
    </w:p>
    <w:p w14:paraId="3DD61F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3.2.6.5十字轴钻中心孔孔系组合夹具；</w:t>
      </w:r>
    </w:p>
    <w:p w14:paraId="370B99C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3.2.6.6十字轴铣四轴端面孔系组合夹具；</w:t>
      </w:r>
    </w:p>
    <w:p w14:paraId="073A5AD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3.2.6.7十字轴粗车四轴外圆孔系组合夹具；</w:t>
      </w:r>
    </w:p>
    <w:p w14:paraId="5F4DC4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3.2.6.8十字轴镗锥面孔系组合夹具；</w:t>
      </w:r>
    </w:p>
    <w:p w14:paraId="4A76CE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3.2.7油阀座柔性工装组合夹具：</w:t>
      </w:r>
    </w:p>
    <w:p w14:paraId="1FA6E9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3.2.7.1油阀座右侧车削槽系组合夹具；</w:t>
      </w:r>
    </w:p>
    <w:p w14:paraId="7319AD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3.2.7.2油阀座钻10.5孔槽系组合夹具；</w:t>
      </w:r>
    </w:p>
    <w:p w14:paraId="1AA2DA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3.2.7.3油阀座镗16.8孔槽系组合夹具；</w:t>
      </w:r>
    </w:p>
    <w:p w14:paraId="7CE4E52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3.2.7.4油阀座台阶面铣削槽系组合夹具；</w:t>
      </w:r>
    </w:p>
    <w:p w14:paraId="054DDD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3.2.7.5油阀座钻外圆柱面2mm孔槽系组合夹具；</w:t>
      </w:r>
    </w:p>
    <w:p w14:paraId="0EECBE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3.2.7.6油阀座钻端面2mm孔槽系组合夹具；</w:t>
      </w:r>
    </w:p>
    <w:p w14:paraId="00524F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3.2.7.7油阀座右侧车削孔系组合夹具；</w:t>
      </w:r>
    </w:p>
    <w:p w14:paraId="28BD95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3.2.7.8油阀座台阶面铣削孔系组合夹具</w:t>
      </w:r>
    </w:p>
    <w:p w14:paraId="560DF0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3.2.8投标文件提供以上组合夹具三维图</w:t>
      </w:r>
    </w:p>
    <w:p w14:paraId="15CC79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3.3配套设计软件模块10套：</w:t>
      </w:r>
    </w:p>
    <w:p w14:paraId="594C5A17">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▲3.3.1主要内容包括小型系列组合夹具标准件，中型系列组合夹具标准件，大型系列组合夹具标准件，H 型孔系组合夹具标准件，K 型孔系组合夹具标准件，含有所有零件的二维工程图和三维结构图。</w:t>
      </w:r>
      <w:r>
        <w:rPr>
          <w:rFonts w:hint="eastAsia" w:ascii="仿宋" w:hAnsi="仿宋" w:eastAsia="仿宋" w:cs="仿宋"/>
          <w:b/>
          <w:bCs/>
          <w:color w:val="auto"/>
          <w:sz w:val="24"/>
          <w:szCs w:val="24"/>
          <w:highlight w:val="none"/>
        </w:rPr>
        <w:t>（投标时提供符合参数要求的软件功能截屏、或技术白皮书等证明文件）</w:t>
      </w:r>
    </w:p>
    <w:p w14:paraId="387A0C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3.3.2基础件包括正方形基础板、长方形基础板、条形基础板、基础角铁、基础内角铁和圆形基础板。</w:t>
      </w:r>
    </w:p>
    <w:p w14:paraId="1A37A7A9">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3.3.3支承件具有二维、三维图，包括正方形垫片、正方形垫板、正方形支承、长方形垫片、长方形垫板、长方形支承、紧固垫板、紧固座承、角度垫板、角度支承、V 型垫板、V 型支承、V 型角铁、带柄 V 型铁、椅角形角铁、右角形角铁、左菱形板、右菱形板、左支承角铁、右支承角铁、单槽角铁、双槽角铁、三槽角铁、加肋角铁、伸长板、方形支座、三角支座、三棱支座、六棱支座、导向支承、定位支承、端孔定位支承、滑动支承和台阶板。</w:t>
      </w:r>
      <w:r>
        <w:rPr>
          <w:rFonts w:hint="eastAsia" w:ascii="仿宋" w:hAnsi="仿宋" w:eastAsia="仿宋" w:cs="仿宋"/>
          <w:b/>
          <w:bCs/>
          <w:color w:val="auto"/>
          <w:sz w:val="24"/>
          <w:szCs w:val="24"/>
          <w:highlight w:val="none"/>
        </w:rPr>
        <w:t>（投标时提供符合参数要求的软件功能截屏、或技术白皮书等证明文件）</w:t>
      </w:r>
    </w:p>
    <w:p w14:paraId="6E89278F">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3.3.4定位件具有二维、三维图，包括平键、T 形键、过渡键、圆形定位销、菱形定位销、圆形定位盘、正方形定位接头、长方形定位接头、圆形定位接头、对位栓、轴、定位环、密孔垫片、矩形垫片。</w:t>
      </w:r>
      <w:r>
        <w:rPr>
          <w:rFonts w:hint="eastAsia" w:ascii="仿宋" w:hAnsi="仿宋" w:eastAsia="仿宋" w:cs="仿宋"/>
          <w:b/>
          <w:bCs/>
          <w:color w:val="auto"/>
          <w:sz w:val="24"/>
          <w:szCs w:val="24"/>
          <w:highlight w:val="none"/>
        </w:rPr>
        <w:t>（投标时提供符合参数要求的软件功能截屏、或技术白皮书等证明文件）</w:t>
      </w:r>
    </w:p>
    <w:p w14:paraId="77B98672">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3.3.5具导向件具有二维、三维图，包括左偏心钻模板、右偏心钻模板、左弯条形钻模板、右弯条形钻模板、平钻模板、单槽钻模板、沉孔钻模板、条形钻模板、中孔钻模板、双面槽中孔钻模板、立式钻模板、固定钻套、快换钻套、密孔钻套。</w:t>
      </w:r>
      <w:r>
        <w:rPr>
          <w:rFonts w:hint="eastAsia" w:ascii="仿宋" w:hAnsi="仿宋" w:eastAsia="仿宋" w:cs="仿宋"/>
          <w:b/>
          <w:bCs/>
          <w:color w:val="auto"/>
          <w:sz w:val="24"/>
          <w:szCs w:val="24"/>
          <w:highlight w:val="none"/>
        </w:rPr>
        <w:t>（投标时提供符合参数要求的软件功能截屏、或技术白皮书等证明文件）</w:t>
      </w:r>
    </w:p>
    <w:p w14:paraId="00E959CA">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3.3.6压紧件具有二维、三维图，包括平压板、伸长压板、弯头压板、关节压板、叉形压板、U 形压板、Y 形压板、十字形压板、等边压板。</w:t>
      </w:r>
      <w:r>
        <w:rPr>
          <w:rFonts w:hint="eastAsia" w:ascii="仿宋" w:hAnsi="仿宋" w:eastAsia="仿宋" w:cs="仿宋"/>
          <w:b/>
          <w:bCs/>
          <w:color w:val="auto"/>
          <w:sz w:val="24"/>
          <w:szCs w:val="24"/>
          <w:highlight w:val="none"/>
        </w:rPr>
        <w:t>（投标时提供符合参数要求的软件功能截屏、或技术白皮书等证明文件）</w:t>
      </w:r>
    </w:p>
    <w:p w14:paraId="42BB37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▲3.3.7紧固件具有二维、三维图，包括双头螺栓、关节螺栓、螺孔螺栓、弯头螺栓、长方头槽用螺栓、T 形槽用螺栓、压紧螺钉、圆柱端紧定螺钉、止动螺钉、圆柱头螺钉、钻套螺钉、薄六角螺母、厚六角螺母、特厚六角螺母、小六角螺母、滚花螺母、方螺母、长方螺母、过滚螺母、平垫圈、球面垫圈、锥面垫圈、快换垫。</w:t>
      </w:r>
      <w:r>
        <w:rPr>
          <w:rFonts w:hint="eastAsia" w:ascii="仿宋" w:hAnsi="仿宋" w:eastAsia="仿宋" w:cs="仿宋"/>
          <w:b/>
          <w:bCs/>
          <w:color w:val="auto"/>
          <w:sz w:val="24"/>
          <w:szCs w:val="24"/>
          <w:highlight w:val="none"/>
        </w:rPr>
        <w:t>（投标时提供符合参数要求的软件功能截屏、或技术白皮书等证明文件）</w:t>
      </w:r>
    </w:p>
    <w:p w14:paraId="3F614481">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3.3.8其他件具有二维、三维图，包括连接板、回转板、摇板、平面支钉、球面支钉、二爪支钉、三爪支钉、平面支承帽、球面支承帽、轴销、凸接头、凹接头、手柄、手柄球、滚基础扣板、扇形平衡块、弹簧、砧块、弓形夹。</w:t>
      </w:r>
      <w:r>
        <w:rPr>
          <w:rFonts w:hint="eastAsia" w:ascii="仿宋" w:hAnsi="仿宋" w:eastAsia="仿宋" w:cs="仿宋"/>
          <w:b/>
          <w:bCs/>
          <w:color w:val="auto"/>
          <w:sz w:val="24"/>
          <w:szCs w:val="24"/>
          <w:highlight w:val="none"/>
        </w:rPr>
        <w:t>（投标时提供符合参数要求的软件功能截屏、或技术白皮书等证明文件）</w:t>
      </w:r>
    </w:p>
    <w:p w14:paraId="01AD942E">
      <w:pPr>
        <w:spacing w:line="360" w:lineRule="auto"/>
        <w:rPr>
          <w:rFonts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3.3.9投标人须承诺：所投产品各项核心技术指标、重要技术指标均满足招标文件要求，响应内容真实有效。如存在弄虚作假或不实承诺，采购人有权取消其中标资格并依法追究责任。</w:t>
      </w:r>
    </w:p>
    <w:p w14:paraId="4493CD40">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4、刀具组合认知实验展示架组*1：</w:t>
      </w:r>
    </w:p>
    <w:p w14:paraId="6C3142E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4.1、基本要求：</w:t>
      </w:r>
    </w:p>
    <w:p w14:paraId="357692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4.1.1刀具组合认知实验展示架组展示车刀、铣刀、孔系刀具、铰刀、钻花基本结构和种类，以及配套的使用加工设备图例。</w:t>
      </w:r>
    </w:p>
    <w:p w14:paraId="2D4FE0A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4.1.2展示架采用双面挂板结构，每个刀具固定在挂板上，挂板尺寸长≥1000mm×宽 950mm；挂板固定在展示架上，展示架下设四个带刹车的万向轮，方便展示架的移动和换面转动；整体尺寸≥长1180mm×高1700mm×宽350mm；所有刀具均固定在挂板上，底板标注有对应名称（规格）。1套2个展示架，包括孔系加工刀具组合认知实验展示架（两面）和车铣加工刀具组合认知实验展示架（两面）。</w:t>
      </w:r>
    </w:p>
    <w:p w14:paraId="415C1D7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4.2刀具展示内容要求</w:t>
      </w:r>
    </w:p>
    <w:p w14:paraId="26A325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4.2.1车刀</w:t>
      </w:r>
    </w:p>
    <w:p w14:paraId="6C7A5A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4.2.1.1左手焊接车刀及右手焊接车刀：切断刀（20×20mm）、右偏刀（20×20mm）、左偏刀（20×20mm）、弯头车刀（20×20mm）、直头车刀--右偏刀（20×20mm）、宽刃精车刀（20×20mm）、成形车刀（20×20mm）、60°外螺纹车刀（20×20mm）、皮带轮槽车刀（20×20mm）、55°外螺纹车刀（20×20mm）、矩形螺纹车刀（20×20mm）、端面车刀（20×20mm）、右偏刀（16×16mm）、左偏刀（16×16mm）、直头刀--右偏刀（16×16mm）、弯头刀（16×16mm）、皮带轮槽车刀（25×25mm）、通孔车刀（20×20mm）、盲孔车刀（20×20mm）、内槽车刀（20×20mm）、内槽螺纹车刀（20×20mm）、通孔车刀（16×16mm）、盲孔车刀（16×16mm）；合计≥23 把。</w:t>
      </w:r>
    </w:p>
    <w:p w14:paraId="5FFD83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4.2.1.2包括右偏刀柄及刀片（20×20mm）、弯头刀柄及刀片（20×20mm）、切断刀柄及刀片（20×20mm）、60°螺纹车刀柄及刀片（20×20mm）、内螺纹车刀柄及刀片（20×20mm）、内槽车刀柄及刀片（20×20mm）；合计12件。</w:t>
      </w:r>
    </w:p>
    <w:p w14:paraId="1FDDFE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4.2.1.3整体车刀与白钢刀坯：包括左偏刀（20×20mm）、右偏刀（20×20mm）、成形车刀（16×16mm）、皮带轮槽车刀（16×16mm）、切断刀（5×20mm）、60°螺纹车刀（5×20mm）、55°螺纹车刀（5×20mm）、矩形螺纹车刀（5×20mm）、宽刃精车刀（16×16mm）；合计≥18把。</w:t>
      </w:r>
    </w:p>
    <w:p w14:paraId="7B7C074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4.2.1.4其它车刀：包括直纹滚花刀（20×20mm）、网纹滚花刀（20×20mm）、装配式切断刀（20×20mm）；合计≥3把。</w:t>
      </w:r>
    </w:p>
    <w:p w14:paraId="728868F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4.2.1.5可转位车刀：包括顶切车刀（20×20mm）、93°偏头侧切车刀（20×20mm）、外径槽刀（20×20mm）、93°偏头侧切车刀（16×16mm）、顶切车刀（16×16mm）、外径槽刀（16×16mm）、圆头侧切车刀（20×20mm）、圆头侧切车刀（16×16mm）、75°直头侧切车刀（20×20mm）、62.5°直头侧切车刀（20×20mm）、62.5°直头侧切车刀（16×16mm）、72.5°直头侧切车刀（20×20mm）、外径螺纹车刀（20×20mm）、45°直头车切车刀（20×20mm、内螺纹车刀（20×20mm）、内孔车刀（20×20mm）、内径槽刀（20×20mm）、内孔车刀（16×16mm）、50°直头侧切车刀（20×20mm）、外径槽刀（12×12mm）、外径槽刀（25×25mm）、93°偏头侧切车刀（25×25mm）、外径槽刀（20×25mm）、60°直头侧切车刀（20×20mm、45°偏头侧切车刀（20×20mm）、93°偏头侧切车刀（32×32mm）、90°偏头侧切车刀（20×20mm）、72.5°直头侧切车刀（16×16mm）、75°直头侧切车刀（16×16mm）、圆头侧切车刀（12×12mm）、圆头侧切车刀（25×25mm）、外径槽刀（16×20）、端面挖槽刀（20×20mm）；合计≥33把。配不锈钢模拟工件与其相应加工方法相配。</w:t>
      </w:r>
    </w:p>
    <w:p w14:paraId="2F4DAB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4.2.2铣刀</w:t>
      </w:r>
    </w:p>
    <w:p w14:paraId="55FBF96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4.2.2.1包括套式面铣刀（50×25mm）、30°角度铣刀（60×30°）、锯片铣刀（100×2mm）、螺旋齿圆柱铣刀（40×40mm）、三面刃铣刀（80×4×12齿×27内孔）、面铣刀盘（125）、等柄径燕尾槽铣刀（16×60°）、直柄平头铣刀（14×12×26×83）、锥柄 T 形铣刀（14×25×11×2#）、锥柄键槽铣刀（15×2×32×117）、直柄球头铣刀（R5×72）、直柄T形铣刀（20×10×12×74）、直柄立铣刀（8mm）、直柄键槽铣刀（10mm）；合计≥14把。</w:t>
      </w:r>
    </w:p>
    <w:p w14:paraId="468CA6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4.2.3孔系刀具：</w:t>
      </w:r>
    </w:p>
    <w:p w14:paraId="7B5F5A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4.2.2.1扩孔钻刀不同直径的（7-18mm），合计≥12把。</w:t>
      </w:r>
    </w:p>
    <w:p w14:paraId="4408236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4.2.2.2特殊孔加工刀具包括蜗杆钻（5.0×200mm）、镶片硬质合金铰刀（15mm）、锥柄圆锥粗铰刀（直径12mm×25刃长）、镶片硬质合金锥柄钻（20MM）、整体结构镗刀（D20）、花键拉刀1、双刃机夹可微调镗刀（RBH32-42 粗镗头+BT40）、浮动式镗刀（45-50,AC型）、花键拉刀2、公制M8丝锥（M8*1.25）、英制管螺纹1/4丝锥（G1/4直管）、A 型中心钻（3.0MMA型-柄10）、B型中心钻（3.5mmB型柄10）、平键拉刀、开孔器（14mm）、锪钻（M6）；合计≥16 把。</w:t>
      </w:r>
    </w:p>
    <w:p w14:paraId="4F9AAD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4.2.2.3直柄麻花钻不同直径的（3mm-14mm）；合计≥12 把。</w:t>
      </w:r>
    </w:p>
    <w:p w14:paraId="4D7AC1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4.2.2.4直柄铰刀不同直径的（3mm-12mm、14mm、18mm）；合计≥12 把。</w:t>
      </w:r>
    </w:p>
    <w:p w14:paraId="7322F1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4.2.2.5锥柄麻花钻不同直径的（8mm-19mm）；合计≥12 把。</w:t>
      </w:r>
    </w:p>
    <w:p w14:paraId="179383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4.2.2.6锥柄铰刀不同直径的（13mm-24mm）；合计≥12 把。</w:t>
      </w:r>
    </w:p>
    <w:p w14:paraId="607105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4.2.2.7群钻系列包括多顶角钻头（18mm）、基本型钻头（18mm）、薄板钻头（18mm）、毛坯孔扩孔钻头（18mm）、无横刃钻头（18mm）、橡胶钻头（18mm）、铸铁钻头（18mm）、不对称顶角分屑钻头（18mm）、不锈钢钻头（18mm）、复合型钻头（18mm）、、铝合金钻头（18mm）、钛合金钻头（18mm）；合计≥12 把。</w:t>
      </w:r>
    </w:p>
    <w:p w14:paraId="0F7D4C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4.2.2.8可调铰刀不同直径的（6.0-6.5、6.5-7.0、7.0-7.75、7.75-8.5、8.5-9.25、9.25-10、10-10.75、10.75-11.75、11.75-12.75、12.75-13.75、13.75-15.25、15.25-17，单位：mm）；合计≥12 把。</w:t>
      </w:r>
    </w:p>
    <w:p w14:paraId="7AEFE6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以上刀具均为生产用的实物刀具，标明各类型刀具名称，配相应的加工设备图片，整体布置在展架上，方便学生认知了解。</w:t>
      </w:r>
    </w:p>
    <w:p w14:paraId="15E852C1">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▲4.2.4左手焊接车刀配有加工工件，材料为不锈钢。</w:t>
      </w:r>
      <w:r>
        <w:rPr>
          <w:rFonts w:hint="eastAsia" w:ascii="仿宋" w:hAnsi="仿宋" w:eastAsia="仿宋" w:cs="仿宋"/>
          <w:b/>
          <w:bCs/>
          <w:color w:val="auto"/>
          <w:sz w:val="24"/>
          <w:szCs w:val="24"/>
          <w:highlight w:val="none"/>
        </w:rPr>
        <w:t>（投标时提供包含左手焊接车刀加工工件的全貌图片）</w:t>
      </w:r>
    </w:p>
    <w:p w14:paraId="2027997A">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4.2.5可转位车刀配有加工工件，材料为不锈钢。</w:t>
      </w:r>
      <w:r>
        <w:rPr>
          <w:rFonts w:hint="eastAsia" w:ascii="仿宋" w:hAnsi="仿宋" w:eastAsia="仿宋" w:cs="仿宋"/>
          <w:b/>
          <w:bCs/>
          <w:color w:val="auto"/>
          <w:sz w:val="24"/>
          <w:szCs w:val="24"/>
          <w:highlight w:val="none"/>
        </w:rPr>
        <w:t>（投标时需提供包含可转位车刀加工工件的全貌图片）</w:t>
      </w:r>
    </w:p>
    <w:p w14:paraId="5C8DE7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4.3配套虚拟仿真软件要求：</w:t>
      </w:r>
    </w:p>
    <w:p w14:paraId="69377EB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4.3.1根据实物装置建立实际的三维模型，主要包括实训台、机械装调对象包括机械传动机构、多级变速箱、二维工作台、间歇回转工作台、冲床机构、送料机构。</w:t>
      </w:r>
      <w:r>
        <w:rPr>
          <w:rFonts w:hint="eastAsia" w:ascii="仿宋" w:hAnsi="仿宋" w:eastAsia="仿宋" w:cs="仿宋"/>
          <w:b/>
          <w:bCs/>
          <w:color w:val="auto"/>
          <w:sz w:val="24"/>
          <w:szCs w:val="24"/>
          <w:highlight w:val="none"/>
        </w:rPr>
        <w:t>（投标时提供符合参数要求的软件功能截屏、或技术白皮书等证明文件）</w:t>
      </w:r>
    </w:p>
    <w:p w14:paraId="28D09B53">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4.3.2提供机械系统的运行与调整、离合器机构的装配与调试、送料机构的装配与调试、变速箱的装配与调试4个实训项目。</w:t>
      </w:r>
      <w:r>
        <w:rPr>
          <w:rFonts w:hint="eastAsia" w:ascii="仿宋" w:hAnsi="仿宋" w:eastAsia="仿宋" w:cs="仿宋"/>
          <w:b/>
          <w:bCs/>
          <w:color w:val="auto"/>
          <w:sz w:val="24"/>
          <w:szCs w:val="24"/>
          <w:highlight w:val="none"/>
        </w:rPr>
        <w:t>（投标时提供符合参数要求的软件功能截屏、或技术白皮书等证明文件）</w:t>
      </w:r>
    </w:p>
    <w:p w14:paraId="7D61CDC4">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▲4.3.3软件功能包括实验内容、实验目的、实验工具、实验流程、装配任务、零件清单、查看图纸、实验材料8个主功能。</w:t>
      </w:r>
      <w:r>
        <w:rPr>
          <w:rFonts w:hint="eastAsia" w:ascii="仿宋" w:hAnsi="仿宋" w:eastAsia="仿宋" w:cs="仿宋"/>
          <w:b/>
          <w:bCs/>
          <w:color w:val="auto"/>
          <w:sz w:val="24"/>
          <w:szCs w:val="24"/>
          <w:highlight w:val="none"/>
        </w:rPr>
        <w:t>（投标时提供符合参数要求的软件功能截屏、或技术白皮书等证明文件）</w:t>
      </w:r>
    </w:p>
    <w:p w14:paraId="593689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4.3.4根据实际硬件装置建模的装置三维虚拟模型，在虚拟的场景中，可实现零件名称拾取、360°旋转、模型缩放交互功能。</w:t>
      </w:r>
    </w:p>
    <w:p w14:paraId="4026D99A">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4.3.5实验装配包括演示模式和自主模式演示组装模式。演示模式下，用动画效果按照标准的组装步骤，演示给定的一系列零件组装成指定机构。自主模式下，学生自主在在台架上组成相应的装置，选择工具按照组装步骤对机构进行组装，在组装过程中，系统会根据标准的组成流程对学员的操作进行指导和评定，对其中学员错误的组成操作进行报警和提示；组装完成后，会显示考核成绩、记录错误的操作步骤，点击确认提交按钮，可提交考核成绩。</w:t>
      </w:r>
      <w:r>
        <w:rPr>
          <w:rFonts w:hint="eastAsia" w:ascii="仿宋" w:hAnsi="仿宋" w:eastAsia="仿宋" w:cs="仿宋"/>
          <w:b/>
          <w:bCs/>
          <w:color w:val="auto"/>
          <w:sz w:val="24"/>
          <w:szCs w:val="24"/>
          <w:highlight w:val="none"/>
        </w:rPr>
        <w:t>（投标时提供符合参数要求的软件功能截屏、或技术白皮书等证明文件）</w:t>
      </w:r>
    </w:p>
    <w:p w14:paraId="1DDA82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4.3.6零件库：建立了零件的三维模型，可对零件模型进行旋转、缩放交互操作，可查看零件的介绍内容。</w:t>
      </w:r>
    </w:p>
    <w:p w14:paraId="591A38A2">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▲4.3.7零件库包含冲床机构零件8个、机械传动机构零件5个、多级变速箱零件5个、齿轮减速箱零件8个、二维工作台零件6个、间歇回转工作台零件8个、牙嵌式离合机零件6个、送料机零件3个。</w:t>
      </w:r>
      <w:r>
        <w:rPr>
          <w:rFonts w:hint="eastAsia" w:ascii="仿宋" w:hAnsi="仿宋" w:eastAsia="仿宋" w:cs="仿宋"/>
          <w:b/>
          <w:bCs/>
          <w:color w:val="auto"/>
          <w:sz w:val="24"/>
          <w:szCs w:val="24"/>
          <w:highlight w:val="none"/>
        </w:rPr>
        <w:t>（投标时提供符合参数要求的软件功能截屏、或技术白皮书等证明文件）</w:t>
      </w:r>
    </w:p>
    <w:p w14:paraId="1CF8DD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4.3.8调整功能：装配中有需要调整的零部件，可以点击调整按钮查看相应的调整方法。</w:t>
      </w:r>
    </w:p>
    <w:p w14:paraId="03552619">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5、刀具演示模型*1：</w:t>
      </w:r>
    </w:p>
    <w:p w14:paraId="7EC1EC0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5.1功能特点：</w:t>
      </w:r>
    </w:p>
    <w:p w14:paraId="00D2109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5.1.1采用亚克力材料，按教学要求划线，根据实物按比例制作放大；</w:t>
      </w:r>
    </w:p>
    <w:p w14:paraId="6875D3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5.2刀具明细：</w:t>
      </w:r>
    </w:p>
    <w:p w14:paraId="2F6D2C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5.2.1车刀主剖面标注坐标系及几何角度；</w:t>
      </w:r>
    </w:p>
    <w:p w14:paraId="7D42F4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5.2.2车刀法剖面系标注的刀具角度；</w:t>
      </w:r>
    </w:p>
    <w:p w14:paraId="360DF0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5.2.3车刀工作坐标系平面；</w:t>
      </w:r>
    </w:p>
    <w:p w14:paraId="24D96D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5.2.4基本群钻刃形与几何参数；</w:t>
      </w:r>
    </w:p>
    <w:p w14:paraId="387569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5.2.5车刀前后刀面正交剖面系及其标法的刀具角度；</w:t>
      </w:r>
    </w:p>
    <w:p w14:paraId="0D81610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5.2.6车刀合力及其分力、直角的自由切例角、非自由切削；</w:t>
      </w:r>
    </w:p>
    <w:p w14:paraId="1FB56DA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5.2.7麻花钻的坐标系平面与测量平面主剖面系坐标平面；</w:t>
      </w:r>
    </w:p>
    <w:p w14:paraId="204DA7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5.2.8微调镗刀的结构；</w:t>
      </w:r>
    </w:p>
    <w:p w14:paraId="1C85EEB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5.2.9铣刀的标注坐标系圆柱铣刀；</w:t>
      </w:r>
    </w:p>
    <w:p w14:paraId="5723D1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5.2.10铣刀的标注坐标系面铣刀；</w:t>
      </w:r>
    </w:p>
    <w:p w14:paraId="2BC6F2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5.2.11面铣刀的几何角度圆柱铣刀；</w:t>
      </w:r>
    </w:p>
    <w:p w14:paraId="19E145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5.2.12面铣刀的几何角度面铣刀。</w:t>
      </w:r>
    </w:p>
    <w:p w14:paraId="0A11B3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5.3配套虚拟资源：</w:t>
      </w:r>
    </w:p>
    <w:p w14:paraId="5C03D6C9">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▲5.3.1切削部分组成要素：需包括前面、后面、副后面、主切削刃、副切削刃介绍，可3D场景互动，对应位置红色显示。</w:t>
      </w:r>
      <w:r>
        <w:rPr>
          <w:rFonts w:hint="eastAsia" w:ascii="仿宋" w:hAnsi="仿宋" w:eastAsia="仿宋" w:cs="仿宋"/>
          <w:b/>
          <w:bCs/>
          <w:color w:val="auto"/>
          <w:sz w:val="24"/>
          <w:szCs w:val="24"/>
          <w:highlight w:val="none"/>
        </w:rPr>
        <w:t>（投标时提供符合参数要求的软件功能截屏、或技术白皮书等证明文件）</w:t>
      </w:r>
    </w:p>
    <w:p w14:paraId="28835327">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▲5.3.2刀具角度参考系：需包括基平面、切削平面、主剖面、法剖面、进给剖面、切深剖面介绍，可3D场景互动，对应位置红色显示。</w:t>
      </w:r>
      <w:r>
        <w:rPr>
          <w:rFonts w:hint="eastAsia" w:ascii="仿宋" w:hAnsi="仿宋" w:eastAsia="仿宋" w:cs="仿宋"/>
          <w:b/>
          <w:bCs/>
          <w:color w:val="auto"/>
          <w:sz w:val="24"/>
          <w:szCs w:val="24"/>
          <w:highlight w:val="none"/>
        </w:rPr>
        <w:t>（投标时提供符合参数要求的软件功能截屏、或技术白皮书等证明文件）</w:t>
      </w:r>
    </w:p>
    <w:p w14:paraId="0846486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▲5.3.3加工应用：需包括车外圆面、车端面、车倒角、车退刀槽、滚花、车成型面，点击相应工序名称，可放大缩小不同角度3D互动观看工序过程。</w:t>
      </w:r>
      <w:r>
        <w:rPr>
          <w:rFonts w:hint="eastAsia" w:ascii="仿宋" w:hAnsi="仿宋" w:eastAsia="仿宋" w:cs="仿宋"/>
          <w:b/>
          <w:bCs/>
          <w:color w:val="auto"/>
          <w:sz w:val="24"/>
          <w:szCs w:val="24"/>
          <w:highlight w:val="none"/>
        </w:rPr>
        <w:t>（投标需提供以上软件功能截图).</w:t>
      </w:r>
    </w:p>
    <w:p w14:paraId="22490B5C">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6、车刀量角仪*20：</w:t>
      </w:r>
    </w:p>
    <w:p w14:paraId="297358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6.1功能特点：</w:t>
      </w:r>
    </w:p>
    <w:p w14:paraId="0E91D3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6.1.1车刀量角仪由底盘、工作台、大小指针、大小刻度盘、立柱、滑棒等20几个零件组成。</w:t>
      </w:r>
    </w:p>
    <w:p w14:paraId="1D4C89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6.1.2每台车刀角度测量仪配备测量用钢制车刀 4把（45度外圆刀，螺纹车刀；90 度外圆刀；切断刀）</w:t>
      </w:r>
    </w:p>
    <w:p w14:paraId="327232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6.1.3车刀材质：45#钢制。</w:t>
      </w:r>
    </w:p>
    <w:p w14:paraId="70D9E0E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6.1.4测量范围：前角测量范围（0-45 度）、后角测量范围（0-30 度）、刃倾角测量范围（0-45 度）、主/副偏角测量范围（0-45 度）。</w:t>
      </w:r>
    </w:p>
    <w:p w14:paraId="15ECAA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6.1.5使用说明与实验指导书1本及其使用教学视频1套。</w:t>
      </w:r>
    </w:p>
    <w:p w14:paraId="11D0C415">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7、自动化夹具综合实训装置*2：</w:t>
      </w:r>
    </w:p>
    <w:p w14:paraId="3B5C7F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7.1实验项目：</w:t>
      </w:r>
    </w:p>
    <w:p w14:paraId="584B04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7.1.1 六点定位原理及常用定位元件实验（六点定位装置）；</w:t>
      </w:r>
    </w:p>
    <w:p w14:paraId="015E88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7.1.2 手动夹具装夹实验（螺旋、偏心轮夹具）；</w:t>
      </w:r>
    </w:p>
    <w:p w14:paraId="3D54632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7.1.3液压夹具装夹及控制实验（斜楔、铰链、联动夹具）：</w:t>
      </w:r>
    </w:p>
    <w:p w14:paraId="2724E3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7.1.4 PLC顺序控制程序设计与调试实验；</w:t>
      </w:r>
    </w:p>
    <w:p w14:paraId="2F168D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7.1.5 PLC编程软件的学习与使用实验；</w:t>
      </w:r>
    </w:p>
    <w:p w14:paraId="0325E41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7.2、主要技术参数：</w:t>
      </w:r>
    </w:p>
    <w:p w14:paraId="36BA1B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7.2.1液压泵站：变量电机泵组，电机≥0.75KW，电源AC380V/50HZ；油泵为限压式变量叶片泵，最高压力≥7MPa，流量≥10L/min。</w:t>
      </w:r>
    </w:p>
    <w:p w14:paraId="678AE1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7.2.2油箱：容积40L，装有液位计、空气过滤器、吸油过滤器、放油口等液压辅件，32#抗磨液压油。</w:t>
      </w:r>
    </w:p>
    <w:p w14:paraId="69C5FD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7.2.3配有PLC及7寸液晶触摸屏进行操控</w:t>
      </w:r>
    </w:p>
    <w:p w14:paraId="46DFD28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7.2.4主体柜架为铝合金型材加钣金，操作面板为铝合金T型槽。</w:t>
      </w:r>
    </w:p>
    <w:p w14:paraId="21E796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7.2.5实验台外形尺寸≥1500×800×750mm。</w:t>
      </w:r>
    </w:p>
    <w:p w14:paraId="7B1061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7.3配套虚拟软件：</w:t>
      </w:r>
    </w:p>
    <w:p w14:paraId="50FECA22">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▲7.3.1创意实训模块场景具备添加、联机、运行、帮助、 保存、导入、隐藏、显示功能。</w:t>
      </w:r>
      <w:r>
        <w:rPr>
          <w:rFonts w:hint="eastAsia" w:ascii="仿宋" w:hAnsi="仿宋" w:eastAsia="仿宋" w:cs="仿宋"/>
          <w:b/>
          <w:bCs/>
          <w:color w:val="auto"/>
          <w:sz w:val="24"/>
          <w:szCs w:val="24"/>
          <w:highlight w:val="none"/>
        </w:rPr>
        <w:t>（投标时提供符合参数要求的软件功能截图、或技术白皮书等证明文件）</w:t>
      </w:r>
    </w:p>
    <w:p w14:paraId="3D6FBF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7.3.2三维元件库（软件）主要包括中间继电器、交流接触器、交流电机、伺服电机、动态扭矩传感器、小型断路器、拉绳位移传感器、时间继电器、步进电机、气动开关阀、涡轮流量计、液压开关阀、热电偶、热继电器、电磁流量计、磁致伸缩位移传感器、转换开关、阻旋式、雷达料位计、静态扭矩传感器。</w:t>
      </w:r>
      <w:r>
        <w:rPr>
          <w:rFonts w:hint="eastAsia" w:ascii="仿宋" w:hAnsi="仿宋" w:eastAsia="仿宋" w:cs="仿宋"/>
          <w:b/>
          <w:bCs/>
          <w:color w:val="auto"/>
          <w:sz w:val="24"/>
          <w:szCs w:val="24"/>
          <w:highlight w:val="none"/>
        </w:rPr>
        <w:t>（投标时提供符合参数要求的软件功能截图、或技术白皮书等证明文件）</w:t>
      </w:r>
    </w:p>
    <w:p w14:paraId="6BE091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7.3.3实训场景中的物体具备物理模型，能够反映物体的运动状态，搭建的时候能够进行干涉检测，可以在三维场景中移动零件的位置。实训中的传送带类零件，能够调整传送带的速度及转向（无范围要求）。实训场景搭建之后，能够配置传感器和执行器与 PLC 的连接关系，对于传感器和执行器，可以设置高电 平有效还是低电平有效。每个控制对象的 IO 点都可以单独设定。</w:t>
      </w:r>
    </w:p>
    <w:p w14:paraId="0C71389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7.3.4可实现自动考核：该模式中自动执行 PLC 程序，并对程序进行检测，检测完毕后进行自动打分。</w:t>
      </w:r>
    </w:p>
    <w:p w14:paraId="299EDE3D">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7.3.5创意实训模块具有零件库，其中发/接收器≥2 种、货物≥18 种、重型传送设备≥7 种、轻型传送设备≥3 种、传感器≥2 种、 安全设备≥8 种；在场景中可实现零件的删除、升降、旋转等操作。</w:t>
      </w:r>
      <w:r>
        <w:rPr>
          <w:rFonts w:hint="eastAsia" w:ascii="仿宋" w:hAnsi="仿宋" w:eastAsia="仿宋" w:cs="仿宋"/>
          <w:b/>
          <w:bCs/>
          <w:color w:val="auto"/>
          <w:sz w:val="24"/>
          <w:szCs w:val="24"/>
          <w:highlight w:val="none"/>
        </w:rPr>
        <w:t>（投标时提供符合参数要求的软件功能截图、或技术白皮书等证明文件）</w:t>
      </w:r>
    </w:p>
    <w:p w14:paraId="5A922D4A">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7.3.6编程实训模块主要由典型的 PLC 实训项目组成，分为初级实训和中级实训两个类别。初级实训数量不少于 16 个，包括电动机启停控制、电动机正反转控制、电动机的星三角启动控制、音乐喷泉、七段数码管文档、天塔之光、交通信号灯、电梯控制、水塔水位自动控制、多种液体混合、四节传送带、自动送料装车系统、机械手模拟动作、装配流水线、邮件分练机、立体仓库训练系统。中级实训数量不少于 5 个，包括 PID 控制-比例闻控制、PID 控制-温度控制、PID 控制-液位控制、通信控制、双层电梯控制及其虚拟场景。</w:t>
      </w:r>
      <w:r>
        <w:rPr>
          <w:rFonts w:hint="eastAsia" w:ascii="仿宋" w:hAnsi="仿宋" w:eastAsia="仿宋" w:cs="仿宋"/>
          <w:b/>
          <w:bCs/>
          <w:color w:val="auto"/>
          <w:sz w:val="24"/>
          <w:szCs w:val="24"/>
          <w:highlight w:val="none"/>
        </w:rPr>
        <w:t>（投标时提供符合参数要求的软件功能截图、或技术白皮书等证明文件）</w:t>
      </w:r>
    </w:p>
    <w:p w14:paraId="4406893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7.3.7展示典型实训项目-PID 控制-比例阀控制：实训场景中包括虚拟操作车间、控制柜、液压油源、比例阀、位移传感器、液压缸等内容；通信设置中选择相应 PLC，下载程序后，设置一组 PID 参数，在虚拟场景中启动油源，设置目标位置，查看其阶跃响应曲线。 然后设置另一组 PID 参数，查看其阶跃响应曲线，对比得出合理的PID 参数。</w:t>
      </w:r>
      <w:r>
        <w:rPr>
          <w:rFonts w:hint="eastAsia" w:ascii="仿宋" w:hAnsi="仿宋" w:eastAsia="仿宋" w:cs="仿宋"/>
          <w:b/>
          <w:bCs/>
          <w:color w:val="auto"/>
          <w:sz w:val="24"/>
          <w:szCs w:val="24"/>
          <w:highlight w:val="none"/>
        </w:rPr>
        <w:t>（投标时提供符合参数要求的软件功能截图、或技术白皮书等证明文件）</w:t>
      </w:r>
    </w:p>
    <w:p w14:paraId="655BE4EF">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▲7.3.8中标单位签订合同前，采购人有权要求核心技术指标实测及系统功能到用户指定地点进行验证。</w:t>
      </w:r>
      <w:r>
        <w:rPr>
          <w:rFonts w:hint="eastAsia" w:ascii="仿宋" w:hAnsi="仿宋" w:eastAsia="仿宋" w:cs="仿宋"/>
          <w:b/>
          <w:bCs/>
          <w:color w:val="auto"/>
          <w:sz w:val="24"/>
          <w:szCs w:val="24"/>
          <w:highlight w:val="none"/>
        </w:rPr>
        <w:t>（投标文件中须提供承诺函，格式自拟）。</w:t>
      </w:r>
    </w:p>
    <w:p w14:paraId="0EC7D02D">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8、《零件尺寸测量与检验》组合实训装置*15：</w:t>
      </w:r>
    </w:p>
    <w:p w14:paraId="484462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8.1实验项目：</w:t>
      </w:r>
    </w:p>
    <w:p w14:paraId="43463B3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8.1.1基本尺寸的测量与检验：</w:t>
      </w:r>
    </w:p>
    <w:p w14:paraId="40B7CA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8.1.1.1长度尺寸的测量与检验；</w:t>
      </w:r>
    </w:p>
    <w:p w14:paraId="41BF31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8.1.1.2外圆尺寸的测量与检验；</w:t>
      </w:r>
    </w:p>
    <w:p w14:paraId="1ADB5A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8.1.1.3内圆尺寸的测量与检验。</w:t>
      </w:r>
    </w:p>
    <w:p w14:paraId="1279788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8.1.2配合尺寸的测量与检验：</w:t>
      </w:r>
    </w:p>
    <w:p w14:paraId="1E17FEA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8.1.2.1轴与孔配合尺寸的测量与检验；</w:t>
      </w:r>
    </w:p>
    <w:p w14:paraId="6CD228F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8.1.2.2滚动轴承配合尺寸的测量与检验。</w:t>
      </w:r>
    </w:p>
    <w:p w14:paraId="776D31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8.1.3普通螺纹尺寸的测量与检验：</w:t>
      </w:r>
    </w:p>
    <w:p w14:paraId="2F7328F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8.1.3.1螺纹样板测量螺距；</w:t>
      </w:r>
    </w:p>
    <w:p w14:paraId="195EF2D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8.1.3.2外螺纹中径尺寸的测量与检验；</w:t>
      </w:r>
    </w:p>
    <w:p w14:paraId="252ED7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8.1.3.3 螺纹环规和塞规检验内、外螺纹。</w:t>
      </w:r>
    </w:p>
    <w:p w14:paraId="2BD7AA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8.1.4键与花键尺寸的测量与检验：</w:t>
      </w:r>
    </w:p>
    <w:p w14:paraId="1B4380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8.1.4.1单键尺寸的测量与检验；</w:t>
      </w:r>
    </w:p>
    <w:p w14:paraId="562DC03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8.1.4.2花键尺寸的测量与检验。</w:t>
      </w:r>
    </w:p>
    <w:p w14:paraId="41A0C16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8.1.5齿轮尺寸的测量与检验：</w:t>
      </w:r>
    </w:p>
    <w:p w14:paraId="35039B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8.1.5.1齿轮齿厚偏差的测量与检验；</w:t>
      </w:r>
    </w:p>
    <w:p w14:paraId="5CF03A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8.1.5.2公法线长度偏差的测量与检验。</w:t>
      </w:r>
    </w:p>
    <w:p w14:paraId="25C5BD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8.2主要技术参数：</w:t>
      </w:r>
    </w:p>
    <w:p w14:paraId="38EE9A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8.2.1便携式手提箱，外框为铝合金，外形尺寸400×300×70mm，内装精密测量量具，检验零件；</w:t>
      </w:r>
    </w:p>
    <w:p w14:paraId="2487C6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8.2.2精密测量量具包括：游标卡尺、外径千分尺、内径百分表、螺纹千分尺、公法线千分尺齿厚卡尺、螺纹环规、螺纹塞规、螺纹样板规等各1件/套；</w:t>
      </w:r>
    </w:p>
    <w:p w14:paraId="1DCA580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8.2.3检验零件检验零件均采用优质碳素结构钢45号钢，包括：测量块、测量轴、测量轴套、测量轴承、测量平键、测量外花键、测量内花键、测量螺纹轴、测量齿轮各1件；</w:t>
      </w:r>
    </w:p>
    <w:p w14:paraId="45B885D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8.3配套零件测量资源：</w:t>
      </w:r>
    </w:p>
    <w:p w14:paraId="3005B956">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8.3.1动画展示齿轮精度设计实例过程，给出减速器直齿圆柱齿轮的模数、齿形角、大小齿轮齿数、齿宽孔径、转速，轴承中间距离、齿轮材料、箱体材料去设计小齿轮精度。先通过确定齿轮进度等级范围、结合小齿轮速度给出齿轮具体精度，确定图纸上的精度表示法。确定单个齿轮检验项目及其允许值：通过确定分度圆直径，查询国标获取单个齿轮极限偏差、齿距累计总偏差、齿廓总偏差、螺旋线总偏差、径向跳动公；确定齿轮副精度：算出中心距获得极限偏差，根据轴线平面内的平行度偏差和垂直平面内的平行度偏差获得2个轴线平行度公差；确定侧隙和齿厚偏差：确定最小间隙，算出齿厚上偏差，通过国标获得齿厚下偏差等级，算出下偏差，算出平均长度极限偏差，经换算获得公法线平均长度极限偏差；确定齿坯公差等级，计算齿顶圆直径偏差，计算基准面形位公差，获得端面圆跳动公差和顶圆径向跳动公差，并将其公差标记在图纸上；计算齿坯表面粗糙度：先获得齿面、齿坯内孔表面、端面、顶圆，给出其余加工面的Ra，在图纸上标记各个粗糙度；列出技术参数。</w:t>
      </w:r>
      <w:r>
        <w:rPr>
          <w:rFonts w:hint="eastAsia" w:ascii="仿宋" w:hAnsi="仿宋" w:eastAsia="仿宋" w:cs="仿宋"/>
          <w:b/>
          <w:bCs/>
          <w:color w:val="auto"/>
          <w:sz w:val="24"/>
          <w:szCs w:val="24"/>
          <w:highlight w:val="none"/>
        </w:rPr>
        <w:t>（投标时提供符合参数要求的软件功能截图、或技术白皮书等证明文件）</w:t>
      </w:r>
    </w:p>
    <w:p w14:paraId="7C88F46E">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9、《形位公差测量与检验》组合实训装置*15：</w:t>
      </w:r>
    </w:p>
    <w:p w14:paraId="71CF18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9.1实训项目：</w:t>
      </w:r>
    </w:p>
    <w:p w14:paraId="5AC972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9.1.1零件形状误差的测量与检验：</w:t>
      </w:r>
    </w:p>
    <w:p w14:paraId="353FDB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9.1.1.1直线度测量与检验；</w:t>
      </w:r>
    </w:p>
    <w:p w14:paraId="1714310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9.1.1.2平面度测量与检验；</w:t>
      </w:r>
    </w:p>
    <w:p w14:paraId="4B52FD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9.1.1.3圆度测量与检验；</w:t>
      </w:r>
    </w:p>
    <w:p w14:paraId="545C2D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9.1.1.4圆柱度测量与检验。</w:t>
      </w:r>
    </w:p>
    <w:p w14:paraId="3655FE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9.1.2零件位置误差的测量：</w:t>
      </w:r>
    </w:p>
    <w:p w14:paraId="5972B1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9.1.2.1平行度测量与检验；</w:t>
      </w:r>
    </w:p>
    <w:p w14:paraId="32AF79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9.1.2.2垂直度测量与检验；</w:t>
      </w:r>
    </w:p>
    <w:p w14:paraId="0FB06D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9.1.2.3 同轴度测量与检验；</w:t>
      </w:r>
    </w:p>
    <w:p w14:paraId="15F452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9.1.2.4圆柱跳动测量与检验；  </w:t>
      </w:r>
    </w:p>
    <w:p w14:paraId="67C5920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9.1.2.5端面跳动测量与检验；  </w:t>
      </w:r>
    </w:p>
    <w:p w14:paraId="3552FA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9.1.2.6对称度测量与检验。</w:t>
      </w:r>
    </w:p>
    <w:p w14:paraId="3EC96F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9.1.3齿轮形位误差的测量与检验：</w:t>
      </w:r>
    </w:p>
    <w:p w14:paraId="6A92032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9.1.3.1齿圈径向跳动测量与检验；</w:t>
      </w:r>
    </w:p>
    <w:p w14:paraId="50E8109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9.1.3.2齿轮齿向误差测量与检验。</w:t>
      </w:r>
    </w:p>
    <w:p w14:paraId="0E82D4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9.2主要技术参数：</w:t>
      </w:r>
    </w:p>
    <w:p w14:paraId="095218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9.2.1便携式手提箱，外框为铝合金，外形尺寸≥400×300×70mm，内装精密测量量具，检验零件；</w:t>
      </w:r>
    </w:p>
    <w:p w14:paraId="7230826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9.2.2精密测量量具包括：跳动测量仪≥1套（测量范围：ø80×120mm，测量精度：0.01mm，可微调，微调范围：0-10mm）包括百分表、杠杆百分表、V型架；测微组合仪1套（测微仪、百分表）；</w:t>
      </w:r>
    </w:p>
    <w:p w14:paraId="3A803F6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9.2.3检验零件包括：齿轮、齿轮轴、销钉、光轴、平面板、顶轴、对称件、阶梯轴，检验零件均采用优质碳素结构钢45号钢。</w:t>
      </w:r>
    </w:p>
    <w:p w14:paraId="423072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9.3配套形位公差虚拟软件：</w:t>
      </w:r>
    </w:p>
    <w:p w14:paraId="242B1E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9.3.1提供形位公差的公差带，跳动误差的评定，公差带定义、标注和解释，有关“要素”的术语，形位误差对零件使用的影响，形状误差评定原则—最小条件，形位公差特征项目及符号，形位误差的产生，形位公差的判断准则，形位公差的标注方法，定位定向误差的评定，形位误差的检测原则12项虚拟仿真知识。</w:t>
      </w:r>
    </w:p>
    <w:p w14:paraId="5BEED59A">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虚拟3D交互展示可任意地旋转缩放，方便查看各细节内容。支持线性动态调节公差要素，直观展示公差公差带范围相关结果。</w:t>
      </w:r>
      <w:r>
        <w:rPr>
          <w:rFonts w:hint="eastAsia" w:ascii="仿宋" w:hAnsi="仿宋" w:eastAsia="仿宋" w:cs="仿宋"/>
          <w:b/>
          <w:bCs/>
          <w:color w:val="auto"/>
          <w:sz w:val="24"/>
          <w:szCs w:val="24"/>
          <w:highlight w:val="none"/>
        </w:rPr>
        <w:t>（投标时提供符合参数要求的软件功能截图、或技术白皮书等证明文件）</w:t>
      </w:r>
    </w:p>
    <w:p w14:paraId="555BC9ED">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10、《表面粗糙度对比与检验》组合实训装置*15：</w:t>
      </w:r>
    </w:p>
    <w:p w14:paraId="1BB443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10.1实训内容：</w:t>
      </w:r>
    </w:p>
    <w:p w14:paraId="07D5AD0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10.1.1外圆车削表面粗糙度对比检验；</w:t>
      </w:r>
    </w:p>
    <w:p w14:paraId="23185A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10.1.2端铣表面粗糙度对比检验；</w:t>
      </w:r>
    </w:p>
    <w:p w14:paraId="0ADB6D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10.1.3刨削表面粗糙度对比检验；</w:t>
      </w:r>
    </w:p>
    <w:p w14:paraId="27055A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10.1.4平面磨削表面粗糙度对比检验；</w:t>
      </w:r>
    </w:p>
    <w:p w14:paraId="719330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10.2主要技术参数：</w:t>
      </w:r>
    </w:p>
    <w:p w14:paraId="21A4C0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10.2.1便携式手提箱，外框为铝合金，外形尺寸400×300×70mm，内装精密测量量具，检验零件；用于表面粗糙对比检验；</w:t>
      </w:r>
    </w:p>
    <w:p w14:paraId="439541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10.2.2平面刨削、平面铣削、外圆车削表面粗糙度对比样块：每套（粗糙度 ：0.8、1.6、3.2、6.3数量各一）；</w:t>
      </w:r>
    </w:p>
    <w:p w14:paraId="6032D1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10.2.3外圆磨削、平面磨削表面粗糙度对比样块：每套（粗糙度 ：0.1、0.2、0.4、0.8数量各一）；</w:t>
      </w:r>
    </w:p>
    <w:p w14:paraId="743A5381">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11、机械制造工程学创意设计智慧展示平台*1：</w:t>
      </w:r>
    </w:p>
    <w:p w14:paraId="694F20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11.1产品技术规格： </w:t>
      </w:r>
    </w:p>
    <w:p w14:paraId="137767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11.1.1全套陈列柜由不少于20个单体陈列柜组成，陈列柜体外形尺≥1200×450×1900mm；</w:t>
      </w:r>
    </w:p>
    <w:p w14:paraId="46D8880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11.1.2柜体采用厚度≥1.2mm冷轧钢板喷塑制作；柜内陈列面板为实木夹层板；</w:t>
      </w:r>
    </w:p>
    <w:p w14:paraId="30C432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11.1.3柜顶部横罩板印有陈列柜名称，方便识别；</w:t>
      </w:r>
    </w:p>
    <w:p w14:paraId="1E72BE0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11.1.4柜顶部罩板内装有讲解用扬声器和照明日光灯，日光灯内隐式设计；下部设有柜箱，方便存放单个模型、实验箱及相关实验文档；柜背设有对开门，有利维护设备和方便维修；柜底装有万向轮，方便移动。</w:t>
      </w:r>
    </w:p>
    <w:p w14:paraId="5845E81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11.1.5所有模型对应教材分柜（章）布局，用陈列柜柜名大标牌示出。</w:t>
      </w:r>
    </w:p>
    <w:p w14:paraId="225414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11.1.6根据零件性质特点（传动类零件、连接类零件或支承类零件）分别选择优质铝合金和工程塑料精工制作模型。</w:t>
      </w:r>
    </w:p>
    <w:p w14:paraId="4D5E48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11.1.7语音控制系统：设有遥控和手控两种独立操作，可实现遥控、手控该柜全部模型电机同时转动。按模型电机编号从头到尾自动顺播，点播柜内某一模型播音，并可实现有声和静音等功能。</w:t>
      </w:r>
    </w:p>
    <w:p w14:paraId="5BC26F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11.1.8配玻璃日光灯管。</w:t>
      </w:r>
    </w:p>
    <w:p w14:paraId="2317A6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11.2展示内容：</w:t>
      </w:r>
    </w:p>
    <w:p w14:paraId="25476B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11.2.1铁碳合金相图及晶体结构：铁碳合金相图；晶体结构模型。</w:t>
      </w:r>
    </w:p>
    <w:p w14:paraId="1D7860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11.2.2钢的热处理：钢的热处理方法；典型零件的热处理在加工工艺过程中的安排；钢的热处理金相图。</w:t>
      </w:r>
    </w:p>
    <w:p w14:paraId="09EA78E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11.2.3金属材料的应用：图片及金属实物。</w:t>
      </w:r>
    </w:p>
    <w:p w14:paraId="3C99DDB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11.2.4砂型铸造生产过程：冲天炉模型；砂型铸造特点图；铸造缺陷实物；铸件结构工艺性。</w:t>
      </w:r>
    </w:p>
    <w:p w14:paraId="524E45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11.2.5自由锻造和模锻：空气锤模型；模锻模型；弯曲连杆锻造过程模型；自由锻结构工艺性；自由锻造图片。</w:t>
      </w:r>
    </w:p>
    <w:p w14:paraId="5A2A0D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11.2.6挤压及冲压工艺：冲压及挤压工艺图片；冲压设备模型；典型冲压零件；典型挤压零件。</w:t>
      </w:r>
    </w:p>
    <w:p w14:paraId="7C76EC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11.2.7焊接基础知识及常用焊接方法：焊接应力与变形；典型焊接结构；焊接特点图；电阻焊分类；常见焊接缺陷。</w:t>
      </w:r>
    </w:p>
    <w:p w14:paraId="5A6ADF4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11.2.8金属切削加工的基础知识及刀具：各种常见切削加工刀具；整体式车刀及种类；车刀面模型；切削加工特点图。</w:t>
      </w:r>
    </w:p>
    <w:p w14:paraId="7F9305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11.2.9车削加工：车床类型图；车床模型；6136传动系统图；车床的主要工作。</w:t>
      </w:r>
    </w:p>
    <w:p w14:paraId="17FEF71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11.2.10钻削及镗削加工：钻床及钻削工艺特点图；钻床的主要工作；镗床设备模型；镗床主要工作图；镗床镗孔方式。</w:t>
      </w:r>
    </w:p>
    <w:p w14:paraId="79FDF4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11.2.11刨削加工、插削与拉削加工：刨、拉、插的工艺特点及适用范围；刨床模型；拉床模型；插床模型；</w:t>
      </w:r>
    </w:p>
    <w:p w14:paraId="098BFB8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刨削的主要应用。</w:t>
      </w:r>
    </w:p>
    <w:p w14:paraId="1F409C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11.2.12 铣削加工：铣床类型图；铣床模型；铣削特点图；铣床的主要工作。</w:t>
      </w:r>
    </w:p>
    <w:p w14:paraId="29C3D8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11.2.13磨削加工与超精加工：磨床类型图；磨床模型；外圆磨床图；磨削方式。</w:t>
      </w:r>
    </w:p>
    <w:p w14:paraId="7FEEBC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11.2.14齿轮加工：齿轮加工类型图；齿轮加工机械模型；齿轮加工过程。</w:t>
      </w:r>
    </w:p>
    <w:p w14:paraId="104424E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11.2.15机械零件的结构工艺性及机床夹具：零件结构工艺性；零件结构工艺性图；机床夹具。</w:t>
      </w:r>
    </w:p>
    <w:p w14:paraId="5C7C8C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11.2.16机械加工工艺过程的基础知识：机械加工工艺过程组成；传动轴的工艺路线；工序1－4；工序5-9。</w:t>
      </w:r>
    </w:p>
    <w:p w14:paraId="5A41BA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11.2.17电火花加工：电火花成形加工机床（模型）；电火花线切割加工机床（模型）；电火花加工成形零件；电火花加工机床类型图。</w:t>
      </w:r>
    </w:p>
    <w:p w14:paraId="7BBC6E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11.2.18特种加工：快速成形制造；特种加工制造技术设备。</w:t>
      </w:r>
    </w:p>
    <w:p w14:paraId="185C41B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11.2.19反求工程：反求工程的基本步骤；反求对象参数采集的基本方法及测量设备；反求产品。</w:t>
      </w:r>
    </w:p>
    <w:p w14:paraId="3466BB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11.2.20数字化制造技术：数字化制造技术主要内容；数字化制造技术快速成型零件；数字化制造技术设备图。</w:t>
      </w:r>
    </w:p>
    <w:p w14:paraId="59FBFE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11.3机械制造实训平台AI智能体：</w:t>
      </w:r>
    </w:p>
    <w:p w14:paraId="014D50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11.3.1机械制造实训平台AI智能体包括机械制造实验课程知识库，支持上传图片、音频、视频及模型文件等多种素材，并提供资源的添加与删除功能。资源以列表形式展示，包含文件名称、介绍、标签、上传日期及大小等信息，方便快速浏览与管理。</w:t>
      </w:r>
    </w:p>
    <w:p w14:paraId="5153575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11.3.2支持对知识库的资源进行编辑或删除，支持人工为资源添加多个标签，便于后续在智能体中实现精准检索与引用，支持按资源名称快速检索查询。</w:t>
      </w:r>
    </w:p>
    <w:p w14:paraId="398354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11.3.3知识库包含车床，铣床，钻床，磨床，镗床，数控加工中心等加工机床3D模型资源。包括车外圆面、车端面、加工细长轴、车倒角、车退刀槽、车成型面、车螺纹等常见加工资源。包括运动控制、示教编程、坐标系统、定位误差补偿、轨迹优化等机器人基础知识。</w:t>
      </w:r>
    </w:p>
    <w:p w14:paraId="058ABC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11.3.4支持对智能体的基础配置，可设置名称、描述、AI模型、开场白、提示词。支持设置历史聊天记录条数，开启多轮对话功能。</w:t>
      </w:r>
    </w:p>
    <w:p w14:paraId="7841AD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11.3.5智能体客户端集成智能体问答交互窗口，支持用户随时通过自然语言（文本/语音）调取资源进行展示。用户发出指令后，能在当前操作界面中实时加载并展示对应的三维模型、图片、语音或视频。用户可对三维模型进行旋转、缩放等交互操作，对图片可进行展示，对语音和视频可进行播放及拖动进度条操作。用户在实训过程中可通过自然语言（文本/语音）与智能体问答窗口进行交互，在交互界面实时显示对话内容及智能体的响应状态。支持在同一个任务中进行多轮上下文关联对话。</w:t>
      </w:r>
    </w:p>
    <w:p w14:paraId="0E0010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11.3.6当用户提出“下一步做什么”、“应该怎么做”等操作指引类问题时，系统须能在问答窗口输出标准的操作指引等回复。</w:t>
      </w:r>
    </w:p>
    <w:p w14:paraId="2C7AADB4">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11.3.7智能体具备“实验指导”、“演示接管”“虚拟训练与考核”等功能。当用户发出“展示实验操作步骤”指令时，智能体会自动展示机械制造实验手册或步骤；当用户发出“演示一遍”等指令时，智能体可展示相关实验的三维虚拟仿真演示。三维虚拟仿真演示内容支持自动演示及自主操作，并支持考核模式。考核模式下，模拟完成操作过程，可在成绩管理后台查看实验中的得分情况，包括课程名称、实验名称、实验类型、开始时间、结束时间、实验时长、最终成绩等。</w:t>
      </w:r>
      <w:r>
        <w:rPr>
          <w:rFonts w:hint="eastAsia" w:ascii="仿宋" w:hAnsi="仿宋" w:eastAsia="仿宋" w:cs="仿宋"/>
          <w:b/>
          <w:bCs/>
          <w:color w:val="auto"/>
          <w:sz w:val="24"/>
          <w:szCs w:val="24"/>
          <w:highlight w:val="none"/>
        </w:rPr>
        <w:t>（投标时提供以夹具虚拟仿真拆装实训为例的功能截图证明材料）</w:t>
      </w:r>
    </w:p>
    <w:p w14:paraId="0F05429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11.3.8支持根据用户在实操考核中出现的薄弱环节，能动态生成针对性的理论测试题（包括选择题、判断题、简答题），进行二次强化考核。</w:t>
      </w:r>
    </w:p>
    <w:p w14:paraId="39A721EF">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11.3.9智能体支持完整案例展示：当用户发出“展示机械制造典型案例”指令时，展示三维虚拟加工车间，车间配置立式铣床、卧式铣床、钻床、镗床、磨床及配套辅助设施，支持学生通过交互式漫游在虚拟车间内自主观察设备布局，完整呈现箱体零件从铸造毛坯至成品的机械加工工艺过程,包含工序分解,按工艺流程动态展示各工序加工状态；装夹与定位,模拟夹具选型、工件定位及装夹操作；对刀与加工,复现刀具对刀规程及功能加工面成形过程；全工艺覆盖,涵盖毛坯铸造→热处理→表面处理（喷漆）→镗/铣/磨/钻加工→钳工精整全流程。</w:t>
      </w:r>
      <w:bookmarkStart w:id="129" w:name="OLE_LINK14"/>
      <w:r>
        <w:rPr>
          <w:rFonts w:hint="eastAsia" w:ascii="仿宋" w:hAnsi="仿宋" w:eastAsia="仿宋" w:cs="仿宋"/>
          <w:b/>
          <w:bCs/>
          <w:color w:val="auto"/>
          <w:sz w:val="24"/>
          <w:szCs w:val="24"/>
          <w:highlight w:val="none"/>
        </w:rPr>
        <w:t>（投标时提供符合参数要求的具有检测资质的第三方检测机构出具的检测报告扫描件，或产品说明书、或其他软件功能证明文件）</w:t>
      </w:r>
      <w:bookmarkEnd w:id="129"/>
    </w:p>
    <w:p w14:paraId="665FB9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
        </w:rPr>
        <w:t>11.3.10投标人须承诺：所投产品各项核心技术指标、重要技术指标均满足招标文件要求，响应内容真实有效。如存在弄虚作假或不实承诺，采购人有权取消其中标资格并依法追究责任。</w:t>
      </w:r>
      <w:r>
        <w:rPr>
          <w:rFonts w:hint="eastAsia" w:ascii="仿宋" w:hAnsi="仿宋" w:eastAsia="仿宋" w:cs="仿宋"/>
          <w:bCs/>
          <w:color w:val="auto"/>
          <w:sz w:val="24"/>
          <w:szCs w:val="24"/>
          <w:highlight w:val="none"/>
        </w:rPr>
        <w:br w:type="page"/>
      </w:r>
    </w:p>
    <w:p w14:paraId="7EEA2DEE">
      <w:pPr>
        <w:tabs>
          <w:tab w:val="center" w:pos="4832"/>
          <w:tab w:val="left" w:pos="7140"/>
        </w:tabs>
        <w:spacing w:line="360" w:lineRule="auto"/>
        <w:jc w:val="center"/>
        <w:outlineLvl w:val="1"/>
        <w:rPr>
          <w:rFonts w:ascii="仿宋" w:hAnsi="仿宋" w:eastAsia="仿宋" w:cs="仿宋"/>
          <w:b/>
          <w:bCs/>
          <w:color w:val="auto"/>
          <w:sz w:val="24"/>
          <w:szCs w:val="24"/>
          <w:highlight w:val="none"/>
        </w:rPr>
      </w:pPr>
      <w:bookmarkStart w:id="130" w:name="OLE_LINK25"/>
      <w:r>
        <w:rPr>
          <w:rFonts w:hint="eastAsia" w:ascii="仿宋" w:hAnsi="仿宋" w:eastAsia="仿宋" w:cs="仿宋"/>
          <w:b/>
          <w:bCs/>
          <w:color w:val="auto"/>
          <w:sz w:val="24"/>
          <w:szCs w:val="24"/>
          <w:highlight w:val="none"/>
        </w:rPr>
        <w:t>标的八：</w:t>
      </w:r>
      <w:r>
        <w:rPr>
          <w:rFonts w:hint="eastAsia" w:ascii="仿宋" w:hAnsi="仿宋" w:eastAsia="仿宋" w:cs="仿宋"/>
          <w:b/>
          <w:color w:val="auto"/>
          <w:sz w:val="24"/>
          <w:szCs w:val="24"/>
          <w:highlight w:val="none"/>
        </w:rPr>
        <w:t>激光</w:t>
      </w:r>
      <w:r>
        <w:rPr>
          <w:rFonts w:hint="eastAsia" w:ascii="仿宋" w:hAnsi="仿宋" w:eastAsia="仿宋" w:cs="仿宋"/>
          <w:b/>
          <w:bCs/>
          <w:color w:val="auto"/>
          <w:sz w:val="24"/>
          <w:szCs w:val="24"/>
          <w:highlight w:val="none"/>
        </w:rPr>
        <w:t>辅助多元成像仪</w:t>
      </w:r>
    </w:p>
    <w:p w14:paraId="49EBDF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1工作条件</w:t>
      </w:r>
    </w:p>
    <w:p w14:paraId="5769BF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1.1仪器工作环境温湿度：0-50°C，10-90%RH；</w:t>
      </w:r>
    </w:p>
    <w:p w14:paraId="6CDF163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1.2供电需求：220伏。</w:t>
      </w:r>
    </w:p>
    <w:p w14:paraId="58992CE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2主要技术指标</w:t>
      </w:r>
    </w:p>
    <w:p w14:paraId="7DB202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2.1激光器</w:t>
      </w:r>
    </w:p>
    <w:p w14:paraId="29B0E02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2.1.1信号波长（nm）：532nm</w:t>
      </w:r>
    </w:p>
    <w:p w14:paraId="627D15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2.1.2工作模式|调Q：电光调制（EOM）</w:t>
      </w:r>
    </w:p>
    <w:p w14:paraId="10DBDD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2.1.3单脉冲能量（mJ）最高23mJ</w:t>
      </w:r>
    </w:p>
    <w:p w14:paraId="5E4186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2.1.4脉冲持续时间（ns）＜8</w:t>
      </w:r>
    </w:p>
    <w:p w14:paraId="743EE7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2.1.5重复频率（Hz）：10</w:t>
      </w:r>
    </w:p>
    <w:p w14:paraId="2A51C7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2.1.6光束发散角（全角，mrad）5-30</w:t>
      </w:r>
    </w:p>
    <w:p w14:paraId="4D7F781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2.1.7光束直径（mm）：约7</w:t>
      </w:r>
    </w:p>
    <w:p w14:paraId="1206F9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2.1.8预热时间（分钟）：＜15|</w:t>
      </w:r>
    </w:p>
    <w:p w14:paraId="7A57B7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2.1.9工作温度（℃）:15-35</w:t>
      </w:r>
    </w:p>
    <w:p w14:paraId="350996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2.1.10|电源:交流220V</w:t>
      </w:r>
    </w:p>
    <w:p w14:paraId="09477746">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2.1.11</w:t>
      </w:r>
      <w:r>
        <w:rPr>
          <w:rFonts w:hint="eastAsia" w:ascii="仿宋" w:hAnsi="仿宋" w:eastAsia="仿宋" w:cs="仿宋"/>
          <w:bCs/>
          <w:color w:val="auto"/>
          <w:sz w:val="24"/>
          <w:szCs w:val="24"/>
          <w:highlight w:val="none"/>
        </w:rPr>
        <w:t>预期寿命（脉冲数）</w:t>
      </w:r>
      <w:r>
        <w:rPr>
          <w:rFonts w:ascii="仿宋" w:hAnsi="仿宋" w:eastAsia="仿宋" w:cs="仿宋"/>
          <w:bCs/>
          <w:color w:val="auto"/>
          <w:sz w:val="24"/>
          <w:szCs w:val="24"/>
          <w:highlight w:val="none"/>
        </w:rPr>
        <w:t>:10</w:t>
      </w:r>
      <w:r>
        <w:rPr>
          <w:rFonts w:ascii="Cambria Math" w:hAnsi="Cambria Math" w:eastAsia="仿宋" w:cs="Cambria Math"/>
          <w:bCs/>
          <w:color w:val="auto"/>
          <w:sz w:val="24"/>
          <w:szCs w:val="24"/>
          <w:highlight w:val="none"/>
        </w:rPr>
        <w:t>⁷</w:t>
      </w:r>
      <w:r>
        <w:rPr>
          <w:rFonts w:ascii="仿宋" w:hAnsi="仿宋" w:eastAsia="仿宋" w:cs="仿宋"/>
          <w:bCs/>
          <w:color w:val="auto"/>
          <w:sz w:val="24"/>
          <w:szCs w:val="24"/>
          <w:highlight w:val="none"/>
        </w:rPr>
        <w:t>-10</w:t>
      </w:r>
      <w:r>
        <w:rPr>
          <w:rFonts w:ascii="Cambria Math" w:hAnsi="Cambria Math" w:eastAsia="仿宋" w:cs="Cambria Math"/>
          <w:bCs/>
          <w:color w:val="auto"/>
          <w:sz w:val="24"/>
          <w:szCs w:val="24"/>
          <w:highlight w:val="none"/>
        </w:rPr>
        <w:t>⁸</w:t>
      </w:r>
    </w:p>
    <w:p w14:paraId="74AD75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2.2紫外光源</w:t>
      </w:r>
    </w:p>
    <w:p w14:paraId="53B4E7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2.2.1光谱范围：160～400 nm；</w:t>
      </w:r>
    </w:p>
    <w:p w14:paraId="5E9147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2.2.2光源：30W×4稳定输出氙灯光源直接照射物体表面；</w:t>
      </w:r>
    </w:p>
    <w:p w14:paraId="5A67B5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2.2.3嵌入式滤光片：隔光波段80～800 nm，内嵌式C口镜头设计；</w:t>
      </w:r>
    </w:p>
    <w:p w14:paraId="63D78C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2.2.4寿命：≥1000 h</w:t>
      </w:r>
    </w:p>
    <w:p w14:paraId="52482B8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2.3便携式红外吸收光源机</w:t>
      </w:r>
    </w:p>
    <w:p w14:paraId="68D18E2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2.3.1光谱范围:400~1700 nm</w:t>
      </w:r>
    </w:p>
    <w:p w14:paraId="278E44E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2.3.2光源类型:宽波段镀银反射</w:t>
      </w:r>
    </w:p>
    <w:p w14:paraId="2D30BC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2.3.3光源光功率≥150W</w:t>
      </w:r>
    </w:p>
    <w:p w14:paraId="4E3F2D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2.4紫外成像仪</w:t>
      </w:r>
    </w:p>
    <w:p w14:paraId="347885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▲2.4.1光谱响应范围：200-1000nm</w:t>
      </w:r>
    </w:p>
    <w:p w14:paraId="4A65A3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▲2.4.2峰值量子效率：≥95%</w:t>
      </w:r>
    </w:p>
    <w:p w14:paraId="61500A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2.4.3色彩：黑白</w:t>
      </w:r>
    </w:p>
    <w:p w14:paraId="31CD0C8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2.4.4对角线尺寸：≥18.8 mm</w:t>
      </w:r>
    </w:p>
    <w:p w14:paraId="7FEF08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2.4.5有效面积：≥13.3 mm(H)x 13.3 mm</w:t>
      </w:r>
    </w:p>
    <w:p w14:paraId="2ED506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2.4.6分辨率：≥2048(H)x 2048(V)</w:t>
      </w:r>
    </w:p>
    <w:p w14:paraId="72F4059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2.4.7像素尺寸：≥6.5μm x 6.5μm</w:t>
      </w:r>
    </w:p>
    <w:p w14:paraId="381412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2.4.8满阱容量：＞37 ke-（典型值）</w:t>
      </w:r>
    </w:p>
    <w:p w14:paraId="1FA29B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2.4.9动态范围：</w:t>
      </w:r>
    </w:p>
    <w:p w14:paraId="369E1B9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12bit固件：＞88 dB（典型值）</w:t>
      </w:r>
    </w:p>
    <w:p w14:paraId="517345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2.4.10USB 3.0接口：43 fps</w:t>
      </w:r>
    </w:p>
    <w:p w14:paraId="120D84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2.4.11读出噪声：</w:t>
      </w:r>
    </w:p>
    <w:p w14:paraId="68D095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CMS模式：＜1.1 e-</w:t>
      </w:r>
    </w:p>
    <w:p w14:paraId="060F2E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HDR模式：＜1.6e-</w:t>
      </w:r>
    </w:p>
    <w:p w14:paraId="7BB3B0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2.4.12快门类型：卷帘，全局重置</w:t>
      </w:r>
    </w:p>
    <w:p w14:paraId="58BAA8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2.4.13曝光时间：6.6μs~10 s</w:t>
      </w:r>
    </w:p>
    <w:p w14:paraId="627F80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2.4.14暗信号不均匀性：＜0.2e-</w:t>
      </w:r>
    </w:p>
    <w:p w14:paraId="3F5E093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2.4.15光响应不均匀性：＜0.3e-</w:t>
      </w:r>
    </w:p>
    <w:p w14:paraId="2E16E1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2.4.16制冷方式：制冷</w:t>
      </w:r>
    </w:p>
    <w:p w14:paraId="70C5ED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2.4.17最大制冷温差：风冷温差＞35℃</w:t>
      </w:r>
    </w:p>
    <w:p w14:paraId="49DE19C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2.4.18暗电流：＜0.9 e-/pixel/s@-10℃</w:t>
      </w:r>
    </w:p>
    <w:p w14:paraId="7FC81FE6">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2.4.19</w:t>
      </w:r>
    </w:p>
    <w:p w14:paraId="21A688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1.Binning：2 x 2,4 x 4</w:t>
      </w:r>
    </w:p>
    <w:p w14:paraId="72C7BE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2.感兴趣区（ROI）：支持</w:t>
      </w:r>
    </w:p>
    <w:p w14:paraId="45AEB0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3.时间戳精度：1μs</w:t>
      </w:r>
    </w:p>
    <w:p w14:paraId="1280F6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4.触发模式：硬件、软件</w:t>
      </w:r>
    </w:p>
    <w:p w14:paraId="12A9EC3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5.外触发输出：曝光开始，全局，读出结束，高电平，低电平，触发准备</w:t>
      </w:r>
    </w:p>
    <w:p w14:paraId="14F6E0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6.触发接口：SMA</w:t>
      </w:r>
    </w:p>
    <w:p w14:paraId="7EBB10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2.4.20位深：11bit、12 bit、16 bit</w:t>
      </w:r>
    </w:p>
    <w:p w14:paraId="7B8317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2.4.21光学接口：C-mount</w:t>
      </w:r>
    </w:p>
    <w:p w14:paraId="3EE611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2.4.22电源：12 V/8 A</w:t>
      </w:r>
    </w:p>
    <w:p w14:paraId="2D5E24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2.4.2.3功耗：45 W</w:t>
      </w:r>
    </w:p>
    <w:p w14:paraId="340B6D6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2.4.24相机尺寸：＜88 mm x 88 mm x 130 mm</w:t>
      </w:r>
    </w:p>
    <w:p w14:paraId="07B132B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2.4.25重量：＜1000 g</w:t>
      </w:r>
    </w:p>
    <w:p w14:paraId="528E0F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2.4.2.6 SDK：支持C、C++、C#、Python</w:t>
      </w:r>
    </w:p>
    <w:p w14:paraId="0F3BF1B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2.4.27操作系统：Windows、Linux</w:t>
      </w:r>
    </w:p>
    <w:p w14:paraId="7160D43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2.4.28操作环境：温度：0~40℃湿度：10~85%</w:t>
      </w:r>
    </w:p>
    <w:p w14:paraId="2E71EA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2.5制冷型红外光谱成像仪</w:t>
      </w:r>
    </w:p>
    <w:p w14:paraId="04020D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▲2.5.1光谱响应范围：900-1700nm</w:t>
      </w:r>
    </w:p>
    <w:p w14:paraId="77C41D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2.5.2像元尺寸：15μm x 15μm</w:t>
      </w:r>
    </w:p>
    <w:p w14:paraId="1DBF9C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2.5.3光谱分辨率:≤8nm;</w:t>
      </w:r>
    </w:p>
    <w:p w14:paraId="126C7B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2.5.4光谱通道数: ≥509</w:t>
      </w:r>
    </w:p>
    <w:p w14:paraId="0EE94E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2.5.5空间通道数: ≥640</w:t>
      </w:r>
    </w:p>
    <w:p w14:paraId="344E11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2.5.6 F数：≥2.4；</w:t>
      </w:r>
    </w:p>
    <w:p w14:paraId="66A66F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▲2.5.7狭缝长度：≥13mm;</w:t>
      </w:r>
    </w:p>
    <w:p w14:paraId="019A09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▲2.5.8狭缝宽度:≥30μm；</w:t>
      </w:r>
    </w:p>
    <w:p w14:paraId="7F3FDF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2.5.9 ADC：14-bit</w:t>
      </w:r>
    </w:p>
    <w:p w14:paraId="311228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2.5.10帧速：125fps</w:t>
      </w:r>
    </w:p>
    <w:p w14:paraId="7C60F0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2.5.11 QE（量子效率）：≥75%@1350nm</w:t>
      </w:r>
    </w:p>
    <w:p w14:paraId="16AE46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2.5.12动态范围70.59dB(LG)，67.96dB(MG)，47.98dB(HG)</w:t>
      </w:r>
    </w:p>
    <w:p w14:paraId="5C2FB0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2.5.13暗电流：30fA/0.1V&amp;18℃</w:t>
      </w:r>
    </w:p>
    <w:p w14:paraId="36503E3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2.5.14曝光时间范围：25μs-5s</w:t>
      </w:r>
    </w:p>
    <w:p w14:paraId="48C469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2.5.15快门模式：全局快门</w:t>
      </w:r>
    </w:p>
    <w:p w14:paraId="7B17AE0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2.5.16数据接口：GigE</w:t>
      </w:r>
    </w:p>
    <w:p w14:paraId="42E480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2.5.17制冷参数：制冷温差：低于室温40摄氏度</w:t>
      </w:r>
    </w:p>
    <w:p w14:paraId="1EEAD9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2.5.18供电方式：DC12V供电</w:t>
      </w:r>
    </w:p>
    <w:p w14:paraId="4FE687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2.5.19温度：工作温度-30-60℃，储藏温度-40-85℃</w:t>
      </w:r>
    </w:p>
    <w:p w14:paraId="45DB14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2.5.20湿度：20%-80%，无冷凝</w:t>
      </w:r>
    </w:p>
    <w:p w14:paraId="4A55943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2.5.21镜头接口：C接口</w:t>
      </w:r>
    </w:p>
    <w:p w14:paraId="34ECB96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2.5.22软件：（1）.数据预处理功能：具有文件管理、图层管理、伪彩色显示、DN值及光谱曲线显示、数据立方体裁剪拼接、数据翻转与旋转、暗背景扣除、图像去噪、数据校正、数据降维、波段运算、目标监督分类功能；具有高光谱图像整编功能，包括数据格式转换、数据存储及类别管理、数据信息标注、数据关联功能；</w:t>
      </w:r>
    </w:p>
    <w:p w14:paraId="6D0E57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（2）.软件系统带有丰富的图层管理功能，可轻松实现图层顺序调整，透明度调节，图层融合、图层渲染等功能、图层数据导出。软件系统带有多视图可视化功能，可实现多视图数据展示和对比等功能。</w:t>
      </w:r>
    </w:p>
    <w:p w14:paraId="5B51BF4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内置算法与自定义运算功能：内置多种数据校正算法，包括均匀性校正、SG平滑、MSC校止、SNV变换方法等；内置多种数据降维算法，包括PCA、MNF等方法；内置监督分类算法，可通过SAM算法进行目标分类；软件系统带有自定义波段运算功能，可实现常规数学运算，对数运算、指数运算、三角函数、反三角函数运算。</w:t>
      </w:r>
    </w:p>
    <w:p w14:paraId="4E4D28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（4）.颜色和色差算法：软件支持光谱数据到X,Y,Z空间转换，支持高光谱数据到L,a,b值转换和ΔE的计算。</w:t>
      </w:r>
    </w:p>
    <w:p w14:paraId="10A817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（5）.深度学习算法：软件提供至少2种深度学习算法，具有分类任务和回归任务模型的推理能力。</w:t>
      </w:r>
    </w:p>
    <w:p w14:paraId="5C2E53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二次开发支持：具有可视化界面，开放算法导入接口，适配基于Python、Matlab等常用编程语言开发算法源码。软件系统带有可编程终端，用户可自行进行算法程序编写，完成更为复杂的任务或功能。软件系统支持用户灵活调用第三方dll库实现功能拓展。</w:t>
      </w:r>
    </w:p>
    <w:p w14:paraId="2FD46C2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（7）.多种数据格式支持：软件集成多种数据格式读写能力，支持tif、bil、bsq、bip、GeoTIFF、raw等数据处理能力，用户可直接调用该接口操作数据。</w:t>
      </w:r>
    </w:p>
    <w:p w14:paraId="2C5618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（8）.自定义UI:软件内置可交互式2D、3D数据处理引擎，用户可以通过创建自定义UI来使用该模块。用户创建可交互式自定义UI，风格、样式可以根据需求自主设计，用于交互数据处理及结果可视化。</w:t>
      </w:r>
    </w:p>
    <w:p w14:paraId="550C9B3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2.6显微成像仪</w:t>
      </w:r>
    </w:p>
    <w:p w14:paraId="571B4446">
      <w:pPr>
        <w:spacing w:line="360" w:lineRule="auto"/>
        <w:rPr>
          <w:rFonts w:ascii="仿宋" w:hAnsi="仿宋" w:eastAsia="仿宋" w:cs="仿宋"/>
          <w:bCs/>
          <w:color w:val="auto"/>
          <w:sz w:val="24"/>
          <w:szCs w:val="24"/>
          <w:highlight w:val="none"/>
        </w:rPr>
      </w:pPr>
    </w:p>
    <w:p w14:paraId="32449A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整体光路可抓取光谱范围: 400~1000 nm </w:t>
      </w:r>
    </w:p>
    <w:p w14:paraId="5394AFB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反射式光路荧光、吸收两用</w:t>
      </w:r>
    </w:p>
    <w:p w14:paraId="1771A6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透射式光路吸收单用</w:t>
      </w:r>
    </w:p>
    <w:p w14:paraId="30467F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光学接口: 标准双光C接口</w:t>
      </w:r>
    </w:p>
    <w:p w14:paraId="7F7E9A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手动可调光源强度卤素灯主机光功率：150W</w:t>
      </w:r>
    </w:p>
    <w:p w14:paraId="442B50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荧光专用紫外荧光光源光功率：</w:t>
      </w:r>
    </w:p>
    <w:p w14:paraId="0C6C3D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双光路传感器光学系统</w:t>
      </w:r>
    </w:p>
    <w:p w14:paraId="7C9B13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三维高精度样品台：</w:t>
      </w:r>
    </w:p>
    <w:p w14:paraId="662831B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水平双轴移动范围：114 mmX74 mm</w:t>
      </w:r>
    </w:p>
    <w:p w14:paraId="6B2AE7D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转换器： A型手动转换器</w:t>
      </w:r>
    </w:p>
    <w:p w14:paraId="47727B9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10X半复消色差生物物镜：400-1000nm</w:t>
      </w:r>
    </w:p>
    <w:p w14:paraId="736D40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50X复消色差偏生物镜：400-1000nm</w:t>
      </w:r>
    </w:p>
    <w:p w14:paraId="65763F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100X复消色差金像物镜：400-1000nm</w:t>
      </w:r>
    </w:p>
    <w:p w14:paraId="22678A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聚光镜：手动摆出式聚光镜NA 0.9/ 0.25</w:t>
      </w:r>
    </w:p>
    <w:p w14:paraId="71F8490C">
      <w:pPr>
        <w:spacing w:line="360" w:lineRule="auto"/>
        <w:rPr>
          <w:rFonts w:ascii="仿宋" w:hAnsi="仿宋" w:eastAsia="仿宋" w:cs="仿宋"/>
          <w:bCs/>
          <w:color w:val="auto"/>
          <w:sz w:val="24"/>
          <w:szCs w:val="24"/>
          <w:highlight w:val="none"/>
        </w:rPr>
      </w:pPr>
    </w:p>
    <w:p w14:paraId="287BFA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配置清单</w:t>
      </w:r>
    </w:p>
    <w:p w14:paraId="210A24A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研究级倒立式荧光显微镜×1</w:t>
      </w:r>
    </w:p>
    <w:p w14:paraId="2B75D0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/10×/50×/100×复消色差物镜×1套</w:t>
      </w:r>
    </w:p>
    <w:p w14:paraId="3329D8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高性能双光源×1套</w:t>
      </w:r>
    </w:p>
    <w:p w14:paraId="4F29E5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专业分析软件×1</w:t>
      </w:r>
    </w:p>
    <w:p w14:paraId="551053F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标准定标套件×1</w:t>
      </w:r>
    </w:p>
    <w:p w14:paraId="62143D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质保2年</w:t>
      </w:r>
    </w:p>
    <w:p w14:paraId="63341A5C">
      <w:pPr>
        <w:spacing w:line="360" w:lineRule="auto"/>
        <w:rPr>
          <w:rFonts w:ascii="仿宋" w:hAnsi="仿宋" w:eastAsia="仿宋" w:cs="仿宋"/>
          <w:bCs/>
          <w:color w:val="auto"/>
          <w:sz w:val="24"/>
          <w:szCs w:val="24"/>
          <w:highlight w:val="none"/>
        </w:rPr>
      </w:pPr>
    </w:p>
    <w:p w14:paraId="2B1EAD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2.7在线检测平台</w:t>
      </w:r>
    </w:p>
    <w:p w14:paraId="4C0F48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▲传送带（皮带宽度：100cm;圆弧内径：80cm;直线传送长度：100cm;最大速度：1500cm/min;电机功率：2000W）；</w:t>
      </w:r>
    </w:p>
    <w:p w14:paraId="4E25FC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算力系统：（CPU：主频≥2.6 GHz，8核16线程；算力：不低于560TOPS；存储：2T固态）；</w:t>
      </w:r>
    </w:p>
    <w:p w14:paraId="6EC56E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操作（屏幕：触控显示屏）</w:t>
      </w:r>
    </w:p>
    <w:p w14:paraId="321D0C11">
      <w:pPr>
        <w:spacing w:line="360" w:lineRule="auto"/>
        <w:rPr>
          <w:rFonts w:ascii="仿宋" w:hAnsi="仿宋" w:eastAsia="仿宋" w:cs="仿宋"/>
          <w:bCs/>
          <w:color w:val="auto"/>
          <w:sz w:val="24"/>
          <w:szCs w:val="24"/>
          <w:highlight w:val="none"/>
        </w:rPr>
      </w:pPr>
    </w:p>
    <w:p w14:paraId="7A4A0151">
      <w:pPr>
        <w:spacing w:line="360" w:lineRule="auto"/>
        <w:rPr>
          <w:rFonts w:ascii="仿宋" w:hAnsi="仿宋" w:eastAsia="仿宋" w:cs="仿宋"/>
          <w:bCs/>
          <w:color w:val="auto"/>
          <w:sz w:val="24"/>
          <w:szCs w:val="24"/>
          <w:highlight w:val="none"/>
        </w:rPr>
      </w:pPr>
    </w:p>
    <w:p w14:paraId="6B5A0B30">
      <w:pPr>
        <w:spacing w:line="360" w:lineRule="auto"/>
        <w:rPr>
          <w:rFonts w:ascii="仿宋" w:hAnsi="仿宋" w:eastAsia="仿宋" w:cs="仿宋"/>
          <w:bCs/>
          <w:color w:val="auto"/>
          <w:sz w:val="24"/>
          <w:szCs w:val="24"/>
          <w:highlight w:val="none"/>
        </w:rPr>
      </w:pPr>
    </w:p>
    <w:p w14:paraId="30C2963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bookmarkEnd w:id="130"/>
    <w:p w14:paraId="3C6D8AEF">
      <w:pPr>
        <w:tabs>
          <w:tab w:val="center" w:pos="4832"/>
          <w:tab w:val="left" w:pos="7140"/>
        </w:tabs>
        <w:spacing w:line="360" w:lineRule="auto"/>
        <w:jc w:val="center"/>
        <w:outlineLvl w:val="1"/>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标的九：</w:t>
      </w:r>
      <w:r>
        <w:rPr>
          <w:rFonts w:hint="eastAsia" w:ascii="仿宋" w:hAnsi="仿宋" w:eastAsia="仿宋" w:cs="仿宋"/>
          <w:b/>
          <w:color w:val="auto"/>
          <w:sz w:val="24"/>
          <w:szCs w:val="24"/>
          <w:highlight w:val="none"/>
        </w:rPr>
        <w:t>可编程控制器</w:t>
      </w:r>
      <w:r>
        <w:rPr>
          <w:rFonts w:hint="eastAsia" w:ascii="仿宋" w:hAnsi="仿宋" w:eastAsia="仿宋" w:cs="仿宋"/>
          <w:b/>
          <w:bCs/>
          <w:color w:val="auto"/>
          <w:sz w:val="24"/>
          <w:szCs w:val="24"/>
          <w:highlight w:val="none"/>
        </w:rPr>
        <w:t>实训装置</w:t>
      </w:r>
    </w:p>
    <w:p w14:paraId="150D49BF">
      <w:pPr>
        <w:spacing w:line="360" w:lineRule="auto"/>
        <w:rPr>
          <w:rFonts w:ascii="仿宋" w:hAnsi="仿宋" w:eastAsia="仿宋" w:cs="仿宋"/>
          <w:bCs/>
          <w:color w:val="auto"/>
          <w:sz w:val="24"/>
          <w:szCs w:val="24"/>
          <w:highlight w:val="none"/>
        </w:rPr>
      </w:pPr>
      <w:bookmarkStart w:id="131" w:name="_Toc70078255"/>
      <w:bookmarkStart w:id="132" w:name="_Toc70078568"/>
      <w:bookmarkStart w:id="133" w:name="_Toc88047476"/>
      <w:r>
        <w:rPr>
          <w:rFonts w:hint="eastAsia" w:ascii="仿宋" w:hAnsi="仿宋" w:eastAsia="仿宋" w:cs="仿宋"/>
          <w:bCs/>
          <w:color w:val="auto"/>
          <w:sz w:val="24"/>
          <w:szCs w:val="24"/>
          <w:highlight w:val="none"/>
        </w:rPr>
        <w:t>可编程控制器实训室装置包括网络型可编程控制器综合实训装置2套（每套8个工位），工具柜2个工位。</w:t>
      </w:r>
    </w:p>
    <w:bookmarkEnd w:id="131"/>
    <w:bookmarkEnd w:id="132"/>
    <w:bookmarkEnd w:id="133"/>
    <w:p w14:paraId="6C3347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一、网络型可编程控制器综合实训装置</w:t>
      </w:r>
    </w:p>
    <w:p w14:paraId="49F1AE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1、技术性能</w:t>
      </w:r>
    </w:p>
    <w:p w14:paraId="54EC21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1.1输入电源:三相四线（或三相五线）～380V±10% 50Hz</w:t>
      </w:r>
    </w:p>
    <w:p w14:paraId="10FB90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1.2工作环境:温度-10℃～+40℃  相对湿度＜85%(25℃)  海拔＜4000m</w:t>
      </w:r>
    </w:p>
    <w:p w14:paraId="4F26E7A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1.3装置容量:＜0.5kVA</w:t>
      </w:r>
    </w:p>
    <w:p w14:paraId="6E6C4C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1.4重量:100kg</w:t>
      </w:r>
    </w:p>
    <w:p w14:paraId="673114B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1.5外形尺寸:1330mm×750mm×1520mm</w:t>
      </w:r>
    </w:p>
    <w:p w14:paraId="624738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1.6安全保护:具有漏电压、漏电流保护装置，安全符合国家标准</w:t>
      </w:r>
    </w:p>
    <w:p w14:paraId="195F21B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2、实训装置的基本配置及功能</w:t>
      </w:r>
    </w:p>
    <w:p w14:paraId="7E29193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实训装置由控制屏、实训桌、主机实训组件、PLC模块、触摸屏模块、实训模块（含丰富的工业现场设备模拟实训对象）、变频器模块、编程器等组成。</w:t>
      </w:r>
    </w:p>
    <w:p w14:paraId="39F19F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2.1型材实训台</w:t>
      </w:r>
    </w:p>
    <w:p w14:paraId="27A432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2.1.1实训台架采用经过氧化处理，尺寸≥80mm×80mm的铝合金型材作为桌腿。桌腿通过连接器与铝型材框架相连，用于安装桌面板，电源控制屏的左右两侧应分别装有一个两插插座，将外部电源进线端装在电源控制屏的左侧（采用航空插连接结构）；</w:t>
      </w:r>
    </w:p>
    <w:p w14:paraId="100661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2.1.2实训屏上部采用五根型材组成通用实训模块固定结构，模块采用标准化结构，可根据实训内容的需要调换实训模块；存储柜用于存放工具材料及模块；</w:t>
      </w:r>
    </w:p>
    <w:p w14:paraId="4B00ADB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2.1.3实训桌桌面采用厚度≥25mm铁木色三聚氰胺板封边制作。实训储物柜钣金工艺，结构牢固，采用标准结构和抽屉式，左侧设有3层抽屉，用于存放工具以及实训资料；右侧采用双拉门式设计，门板中间为半透明有机玻璃结构，方便观察柜内物品，柜内隔板活动可调。实训储物柜的位置可根据需要灵活调整，储物柜的体积为长1090mm×宽500mm×高600mm（±2%）；</w:t>
      </w:r>
    </w:p>
    <w:p w14:paraId="5FA96E6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2.2控制屏配置</w:t>
      </w:r>
    </w:p>
    <w:p w14:paraId="1D7C613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2.2.1交流电源控制单元</w:t>
      </w:r>
    </w:p>
    <w:p w14:paraId="4D87C5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交流电源控制单元；三相四线380V交流电源经空气开关后给装置供电，本装置应设有供电和通电指示，设有带灯保险丝保护，启停开关控制、同时具有漏电告警指示及告警复位，且具有急停开关。提供三相四线380V、单相220V电源各一组（插座），提供2组三插2</w:t>
      </w:r>
      <w:r>
        <w:rPr>
          <w:rFonts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0V</w:t>
      </w:r>
      <w:r>
        <w:rPr>
          <w:rFonts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AC插座，由启停开关控制输出并设有保险丝保护；配有定时器兼报警记录仪：定时器兼报警记录仪平时作时钟使用，具有设定时间、定时报警、切断电源等功能；还可自动记录由于接线或操作错误所造成的过流告警次数。配有网络交换机。</w:t>
      </w:r>
    </w:p>
    <w:p w14:paraId="54F2E64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2.2.2数字量显示及控制单元</w:t>
      </w:r>
    </w:p>
    <w:p w14:paraId="1F59D80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提供6路φ16 LED指示灯、提供3路点动按钮（黄绿红）、提供3路二位旋钮开关、提供5路直流24V转换继电器。</w:t>
      </w:r>
    </w:p>
    <w:p w14:paraId="03C302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2.2.3．模拟量给定及指示单元</w:t>
      </w:r>
    </w:p>
    <w:p w14:paraId="5DFEB0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提供1路DC 0～10V可调输出、1路DC 4～20mA可调输出；可作为PLC模拟量实训给定值及其它控制信号使用。</w:t>
      </w:r>
    </w:p>
    <w:p w14:paraId="39312D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提供1只直流电压表（量程0～200V）、1只直流电流表（量程0～200mA），用于指示各种模拟量信号。</w:t>
      </w:r>
    </w:p>
    <w:p w14:paraId="0464AC4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2.2.4．主机实训单元</w:t>
      </w:r>
    </w:p>
    <w:p w14:paraId="41D9F24F">
      <w:pPr>
        <w:spacing w:line="360" w:lineRule="auto"/>
        <w:rPr>
          <w:rFonts w:ascii="仿宋" w:hAnsi="仿宋" w:eastAsia="仿宋" w:cs="仿宋"/>
          <w:bCs/>
          <w:color w:val="auto"/>
          <w:sz w:val="24"/>
          <w:szCs w:val="24"/>
          <w:highlight w:val="none"/>
        </w:rPr>
      </w:pPr>
      <w:bookmarkStart w:id="134" w:name="OLE_LINK39"/>
      <w:bookmarkStart w:id="135" w:name="OLE_LINK23"/>
      <w:r>
        <w:rPr>
          <w:rFonts w:hint="eastAsia" w:ascii="仿宋" w:hAnsi="仿宋" w:eastAsia="仿宋" w:cs="仿宋"/>
          <w:bCs/>
          <w:color w:val="auto"/>
          <w:sz w:val="24"/>
          <w:szCs w:val="24"/>
          <w:highlight w:val="none"/>
        </w:rPr>
        <w:t>该设备具备标准工业以太网接口，支持主流实时通信协议、集成丰富的通用工艺控制功能，涵盖逻辑控制、运动控制、过程调节等多类基础与进阶控制能力，拥有高度灵活的扩展架构，支持通过模块化设计扩展I/O接口、通信端口及专用功能模块，可根据不同应用场景的个性化需求。</w:t>
      </w:r>
    </w:p>
    <w:bookmarkEnd w:id="134"/>
    <w:p w14:paraId="68C4B7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DC主机，集成数字量I/O（14路直流数字量输入/10路数字量输出/集成模拟量2路输入）、以太网通信口；模拟量输出模块1路模拟量输出,集成数字量I/O（8路数字量输入/8路继电器输出）,配套编程电缆。工业以太网通信。</w:t>
      </w:r>
    </w:p>
    <w:bookmarkEnd w:id="135"/>
    <w:p w14:paraId="1C796D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2.2.5．HMI人机界面单元</w:t>
      </w:r>
    </w:p>
    <w:p w14:paraId="7A4268DB">
      <w:pPr>
        <w:spacing w:line="360" w:lineRule="auto"/>
        <w:rPr>
          <w:rFonts w:ascii="仿宋" w:hAnsi="仿宋" w:eastAsia="仿宋" w:cs="仿宋"/>
          <w:bCs/>
          <w:color w:val="auto"/>
          <w:sz w:val="24"/>
          <w:szCs w:val="24"/>
          <w:highlight w:val="none"/>
        </w:rPr>
      </w:pPr>
      <w:bookmarkStart w:id="136" w:name="OLE_LINK40"/>
      <w:r>
        <w:rPr>
          <w:rFonts w:hint="eastAsia" w:ascii="仿宋" w:hAnsi="仿宋" w:eastAsia="仿宋" w:cs="仿宋"/>
          <w:bCs/>
          <w:color w:val="auto"/>
          <w:sz w:val="24"/>
          <w:szCs w:val="24"/>
          <w:highlight w:val="none"/>
        </w:rPr>
        <w:t>硬件配置：HMI人机界面采用彩色触摸屏。采用高分辨率屏幕,支持26.2K数字真彩显示，不低于128M内存，不低于128M存储空间；</w:t>
      </w:r>
    </w:p>
    <w:p w14:paraId="57A3CC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环境适应性：抗干扰性能达工业Ⅲ级标准，适应复杂工业现场环境；采用长寿命背光设计，降低后期维护成本；</w:t>
      </w:r>
    </w:p>
    <w:p w14:paraId="144B54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通信接口：支持10M/100M自适应以太网、RS232/RS485串口、USB2.0主口及USB2.0从口等多种通信方式，所有通信接口均转接至设备面板，便于用户插拔线缆；</w:t>
      </w:r>
    </w:p>
    <w:p w14:paraId="26D0A6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控制功能：配备独立电源开关，可直接控制触摸屏电源通断。L</w:t>
      </w:r>
    </w:p>
    <w:bookmarkEnd w:id="136"/>
    <w:p w14:paraId="564AD6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2.2.6．变频器单元</w:t>
      </w:r>
    </w:p>
    <w:p w14:paraId="61027C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装置采用高性能变频器，配置独立控制单元与功率单元，采用单相</w:t>
      </w:r>
      <w:r>
        <w:rPr>
          <w:rFonts w:ascii="仿宋" w:hAnsi="仿宋" w:eastAsia="仿宋" w:cs="仿宋"/>
          <w:bCs/>
          <w:color w:val="auto"/>
          <w:sz w:val="24"/>
          <w:szCs w:val="24"/>
          <w:highlight w:val="none"/>
        </w:rPr>
        <w:t>220V</w:t>
      </w:r>
      <w:r>
        <w:rPr>
          <w:rFonts w:hint="eastAsia" w:ascii="仿宋" w:hAnsi="仿宋" w:eastAsia="仿宋" w:cs="仿宋"/>
          <w:bCs/>
          <w:color w:val="auto"/>
          <w:sz w:val="24"/>
          <w:szCs w:val="24"/>
          <w:highlight w:val="none"/>
        </w:rPr>
        <w:t>交流供电，输出功率不低于</w:t>
      </w:r>
      <w:r>
        <w:rPr>
          <w:rFonts w:ascii="仿宋" w:hAnsi="仿宋" w:eastAsia="仿宋" w:cs="仿宋"/>
          <w:bCs/>
          <w:color w:val="auto"/>
          <w:sz w:val="24"/>
          <w:szCs w:val="24"/>
          <w:highlight w:val="none"/>
        </w:rPr>
        <w:t>0.55kW</w:t>
      </w:r>
      <w:r>
        <w:rPr>
          <w:rFonts w:hint="eastAsia" w:ascii="仿宋" w:hAnsi="仿宋" w:eastAsia="仿宋" w:cs="仿宋"/>
          <w:bCs/>
          <w:color w:val="auto"/>
          <w:sz w:val="24"/>
          <w:szCs w:val="24"/>
          <w:highlight w:val="none"/>
        </w:rPr>
        <w:t>。集成</w:t>
      </w: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标准工业以太网通信接口</w:t>
      </w: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，支持主流实时工业通信协议，配置基础操作面板，满足本地参数设置与运行状态查看需求。</w:t>
      </w:r>
    </w:p>
    <w:p w14:paraId="6186004F">
      <w:pPr>
        <w:spacing w:line="360" w:lineRule="auto"/>
        <w:rPr>
          <w:rFonts w:ascii="仿宋" w:hAnsi="仿宋" w:eastAsia="仿宋" w:cs="仿宋"/>
          <w:bCs/>
          <w:color w:val="auto"/>
          <w:sz w:val="24"/>
          <w:szCs w:val="24"/>
          <w:highlight w:val="none"/>
        </w:rPr>
      </w:pPr>
    </w:p>
    <w:p w14:paraId="682AA33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备多种工作模式，涵盖线性V/F控制、转矩控制、网络远程控制等，可适配不同负载特性与控制场景需求。扩展接口丰富，配置不少于6路数字量输入、2路继电器输出，不少于2路模拟量输入、2路模拟量输出，支持与各类传感器、执行器及上位控制系统对接。</w:t>
      </w:r>
    </w:p>
    <w:p w14:paraId="478AC3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拥有完善的保护机制，包含过电压保护、欠电压保护、变频器及电机过热保护、接地故障保护、短路保护等多重防护功能，有效保障设备在复杂工况下的稳定运行，降低故障风险。</w:t>
      </w:r>
    </w:p>
    <w:p w14:paraId="75A145D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2.2.7．编程器</w:t>
      </w:r>
    </w:p>
    <w:p w14:paraId="6D01E6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是一种进行程序编写、调试、维护和监控的专用工业设备。该设备主要由高性能工业级主板、专用通信接口（如MPI、PROFIBUS-DP、以太网接口）、集成式工程组态软件以及高防护等级的坚固外壳组成。</w:t>
      </w:r>
    </w:p>
    <w:p w14:paraId="3F0570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2.2.8．三相鼠笼异步电机：WDJ26 交流380V/△</w:t>
      </w:r>
    </w:p>
    <w:p w14:paraId="5074645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2.2.9．实训导线</w:t>
      </w:r>
    </w:p>
    <w:p w14:paraId="2792BC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根据不同实训项目的特点，配备两种不同规格的实训连接线，强弱电均采用高可靠护套结构手枪插连接线（不存在任何触电的可能），里面采用无氧铜抽丝而成头发丝般细的多股线，达到超软目的，外包丁晴聚氯乙烯绝缘层，具有柔软、耐压高、强度大、防硬化、韧性好等优点，插头采用实芯铜质件外套铍轻铜弹片，接触安全可靠；两种导线都只能配合相应内孔的插座，不能混插，大大提高了实训的安全及合理性。</w:t>
      </w:r>
    </w:p>
    <w:p w14:paraId="382632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2.2.10．实训挂箱</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
        <w:gridCol w:w="1879"/>
        <w:gridCol w:w="6864"/>
      </w:tblGrid>
      <w:tr w14:paraId="480A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4575988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0" w:type="auto"/>
            <w:tcBorders>
              <w:top w:val="single" w:color="auto" w:sz="4" w:space="0"/>
              <w:left w:val="single" w:color="auto" w:sz="4" w:space="0"/>
              <w:bottom w:val="single" w:color="auto" w:sz="4" w:space="0"/>
              <w:right w:val="single" w:color="auto" w:sz="4" w:space="0"/>
            </w:tcBorders>
            <w:vAlign w:val="center"/>
          </w:tcPr>
          <w:p w14:paraId="739575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控制对象实训模块</w:t>
            </w:r>
          </w:p>
        </w:tc>
        <w:tc>
          <w:tcPr>
            <w:tcW w:w="0" w:type="auto"/>
            <w:tcBorders>
              <w:top w:val="single" w:color="auto" w:sz="4" w:space="0"/>
              <w:left w:val="single" w:color="auto" w:sz="4" w:space="0"/>
              <w:bottom w:val="single" w:color="auto" w:sz="4" w:space="0"/>
              <w:right w:val="single" w:color="auto" w:sz="4" w:space="0"/>
            </w:tcBorders>
            <w:vAlign w:val="center"/>
          </w:tcPr>
          <w:p w14:paraId="778645B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实训教学目标</w:t>
            </w:r>
          </w:p>
        </w:tc>
      </w:tr>
      <w:tr w14:paraId="2F47C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6C7FA2C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0" w:type="auto"/>
            <w:tcBorders>
              <w:top w:val="single" w:color="auto" w:sz="4" w:space="0"/>
              <w:left w:val="single" w:color="auto" w:sz="4" w:space="0"/>
              <w:bottom w:val="single" w:color="auto" w:sz="4" w:space="0"/>
              <w:right w:val="single" w:color="auto" w:sz="4" w:space="0"/>
            </w:tcBorders>
            <w:vAlign w:val="center"/>
          </w:tcPr>
          <w:p w14:paraId="767BAF7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装配流水线/十字路口交通灯</w:t>
            </w:r>
          </w:p>
        </w:tc>
        <w:tc>
          <w:tcPr>
            <w:tcW w:w="0" w:type="auto"/>
            <w:tcBorders>
              <w:top w:val="single" w:color="auto" w:sz="4" w:space="0"/>
              <w:left w:val="single" w:color="auto" w:sz="4" w:space="0"/>
              <w:bottom w:val="single" w:color="auto" w:sz="4" w:space="0"/>
              <w:right w:val="single" w:color="auto" w:sz="4" w:space="0"/>
            </w:tcBorders>
            <w:vAlign w:val="center"/>
          </w:tcPr>
          <w:p w14:paraId="787EB7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通过对“生产流水线”顺序加工过程及十字路口交通灯路况信号的控制，掌握顺序控制指令的编写方法。</w:t>
            </w:r>
          </w:p>
        </w:tc>
      </w:tr>
      <w:tr w14:paraId="28D68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00D606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0" w:type="auto"/>
            <w:tcBorders>
              <w:top w:val="single" w:color="auto" w:sz="4" w:space="0"/>
              <w:left w:val="single" w:color="auto" w:sz="4" w:space="0"/>
              <w:bottom w:val="single" w:color="auto" w:sz="4" w:space="0"/>
              <w:right w:val="single" w:color="auto" w:sz="4" w:space="0"/>
            </w:tcBorders>
            <w:vAlign w:val="center"/>
          </w:tcPr>
          <w:p w14:paraId="0B420AC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水塔水位/天塔之光</w:t>
            </w:r>
          </w:p>
        </w:tc>
        <w:tc>
          <w:tcPr>
            <w:tcW w:w="0" w:type="auto"/>
            <w:tcBorders>
              <w:top w:val="single" w:color="auto" w:sz="4" w:space="0"/>
              <w:left w:val="single" w:color="auto" w:sz="4" w:space="0"/>
              <w:bottom w:val="single" w:color="auto" w:sz="4" w:space="0"/>
              <w:right w:val="single" w:color="auto" w:sz="4" w:space="0"/>
            </w:tcBorders>
            <w:vAlign w:val="center"/>
          </w:tcPr>
          <w:p w14:paraId="6AF04B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通过对“水塔水位”和“储水池水位”变化过程的判断，了解简单逻辑控制指令的编写方法。通过对天塔之光闪亮过程的移位控制，掌握移位寄存器指令的编写方法。</w:t>
            </w:r>
          </w:p>
        </w:tc>
      </w:tr>
      <w:tr w14:paraId="2DE32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0619B15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0" w:type="auto"/>
            <w:tcBorders>
              <w:top w:val="single" w:color="auto" w:sz="4" w:space="0"/>
              <w:left w:val="single" w:color="auto" w:sz="4" w:space="0"/>
              <w:bottom w:val="single" w:color="auto" w:sz="4" w:space="0"/>
              <w:right w:val="single" w:color="auto" w:sz="4" w:space="0"/>
            </w:tcBorders>
            <w:vAlign w:val="center"/>
          </w:tcPr>
          <w:p w14:paraId="43B585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自动送料装车/四节传送带</w:t>
            </w:r>
          </w:p>
        </w:tc>
        <w:tc>
          <w:tcPr>
            <w:tcW w:w="0" w:type="auto"/>
            <w:tcBorders>
              <w:top w:val="single" w:color="auto" w:sz="4" w:space="0"/>
              <w:left w:val="single" w:color="auto" w:sz="4" w:space="0"/>
              <w:bottom w:val="single" w:color="auto" w:sz="4" w:space="0"/>
              <w:right w:val="single" w:color="auto" w:sz="4" w:space="0"/>
            </w:tcBorders>
            <w:vAlign w:val="center"/>
          </w:tcPr>
          <w:p w14:paraId="1264BD6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通过对传送带启停、传送状态的控制和对货物在自动送料装车系统中流向、流量的控制，掌握较复杂逻辑控制指令的编写方法。</w:t>
            </w:r>
          </w:p>
        </w:tc>
      </w:tr>
      <w:tr w14:paraId="2BBDC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5E9FA1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0" w:type="auto"/>
            <w:tcBorders>
              <w:top w:val="single" w:color="auto" w:sz="4" w:space="0"/>
              <w:left w:val="single" w:color="auto" w:sz="4" w:space="0"/>
              <w:bottom w:val="single" w:color="auto" w:sz="4" w:space="0"/>
              <w:right w:val="single" w:color="auto" w:sz="4" w:space="0"/>
            </w:tcBorders>
            <w:vAlign w:val="center"/>
          </w:tcPr>
          <w:p w14:paraId="233ABC6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多种液体混合装置</w:t>
            </w:r>
          </w:p>
        </w:tc>
        <w:tc>
          <w:tcPr>
            <w:tcW w:w="0" w:type="auto"/>
            <w:tcBorders>
              <w:top w:val="single" w:color="auto" w:sz="4" w:space="0"/>
              <w:left w:val="single" w:color="auto" w:sz="4" w:space="0"/>
              <w:bottom w:val="single" w:color="auto" w:sz="4" w:space="0"/>
              <w:right w:val="single" w:color="auto" w:sz="4" w:space="0"/>
            </w:tcBorders>
            <w:vAlign w:val="center"/>
          </w:tcPr>
          <w:p w14:paraId="0F29CB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通过对“液体混合装置”中不同液体比例及液体混合时搅拌时间的控制，掌握条件判断指令及各种不同类型的定时器指令的编写方法</w:t>
            </w:r>
          </w:p>
        </w:tc>
      </w:tr>
      <w:tr w14:paraId="3B58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7E6FD4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0" w:type="auto"/>
            <w:tcBorders>
              <w:top w:val="single" w:color="auto" w:sz="4" w:space="0"/>
              <w:left w:val="single" w:color="auto" w:sz="4" w:space="0"/>
              <w:bottom w:val="single" w:color="auto" w:sz="4" w:space="0"/>
              <w:right w:val="single" w:color="auto" w:sz="4" w:space="0"/>
            </w:tcBorders>
            <w:vAlign w:val="center"/>
          </w:tcPr>
          <w:p w14:paraId="704FE9F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自动洗衣机/电镀生产线</w:t>
            </w:r>
          </w:p>
        </w:tc>
        <w:tc>
          <w:tcPr>
            <w:tcW w:w="0" w:type="auto"/>
            <w:tcBorders>
              <w:top w:val="single" w:color="auto" w:sz="4" w:space="0"/>
              <w:left w:val="single" w:color="auto" w:sz="4" w:space="0"/>
              <w:bottom w:val="single" w:color="auto" w:sz="4" w:space="0"/>
              <w:right w:val="single" w:color="auto" w:sz="4" w:space="0"/>
            </w:tcBorders>
            <w:vAlign w:val="center"/>
          </w:tcPr>
          <w:p w14:paraId="0D5E2C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通过对洗衣机进出水时间、洗涤流程及电镀生产线中物块侵入不同溶液的时间、方式、先后顺序的控制，掌握多点PLC控制系统的综合应用能力。</w:t>
            </w:r>
          </w:p>
        </w:tc>
      </w:tr>
      <w:tr w14:paraId="42C85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42AF50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0" w:type="auto"/>
            <w:tcBorders>
              <w:top w:val="single" w:color="auto" w:sz="4" w:space="0"/>
              <w:left w:val="single" w:color="auto" w:sz="4" w:space="0"/>
              <w:bottom w:val="single" w:color="auto" w:sz="4" w:space="0"/>
              <w:right w:val="single" w:color="auto" w:sz="4" w:space="0"/>
            </w:tcBorders>
            <w:vAlign w:val="center"/>
          </w:tcPr>
          <w:p w14:paraId="1711B65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空气压缩机控制</w:t>
            </w:r>
          </w:p>
        </w:tc>
        <w:tc>
          <w:tcPr>
            <w:tcW w:w="0" w:type="auto"/>
            <w:tcBorders>
              <w:top w:val="single" w:color="auto" w:sz="4" w:space="0"/>
              <w:left w:val="single" w:color="auto" w:sz="4" w:space="0"/>
              <w:bottom w:val="single" w:color="auto" w:sz="4" w:space="0"/>
              <w:right w:val="single" w:color="auto" w:sz="4" w:space="0"/>
            </w:tcBorders>
            <w:vAlign w:val="center"/>
          </w:tcPr>
          <w:p w14:paraId="406448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通过工业现场空气压缩机器的控制，使学员掌握空压机系统的PLC控制方式。</w:t>
            </w:r>
          </w:p>
        </w:tc>
      </w:tr>
      <w:tr w14:paraId="159F4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695C80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p>
        </w:tc>
        <w:tc>
          <w:tcPr>
            <w:tcW w:w="0" w:type="auto"/>
            <w:tcBorders>
              <w:top w:val="single" w:color="auto" w:sz="4" w:space="0"/>
              <w:left w:val="single" w:color="auto" w:sz="4" w:space="0"/>
              <w:bottom w:val="single" w:color="auto" w:sz="4" w:space="0"/>
              <w:right w:val="single" w:color="auto" w:sz="4" w:space="0"/>
            </w:tcBorders>
            <w:vAlign w:val="center"/>
          </w:tcPr>
          <w:p w14:paraId="6843A3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淡水过滤器控制</w:t>
            </w:r>
          </w:p>
        </w:tc>
        <w:tc>
          <w:tcPr>
            <w:tcW w:w="0" w:type="auto"/>
            <w:tcBorders>
              <w:top w:val="single" w:color="auto" w:sz="4" w:space="0"/>
              <w:left w:val="single" w:color="auto" w:sz="4" w:space="0"/>
              <w:bottom w:val="single" w:color="auto" w:sz="4" w:space="0"/>
              <w:right w:val="single" w:color="auto" w:sz="4" w:space="0"/>
            </w:tcBorders>
            <w:vAlign w:val="center"/>
          </w:tcPr>
          <w:p w14:paraId="0CEF6A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通过油气田现场淡水过滤器的控制，使学员掌握水处理系统的PLC控制工艺、程序分析、故障处理等知识。</w:t>
            </w:r>
          </w:p>
        </w:tc>
      </w:tr>
      <w:tr w14:paraId="50C1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734F08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0" w:type="auto"/>
            <w:tcBorders>
              <w:top w:val="single" w:color="auto" w:sz="4" w:space="0"/>
              <w:left w:val="single" w:color="auto" w:sz="4" w:space="0"/>
              <w:bottom w:val="single" w:color="auto" w:sz="4" w:space="0"/>
              <w:right w:val="single" w:color="auto" w:sz="4" w:space="0"/>
            </w:tcBorders>
            <w:vAlign w:val="center"/>
          </w:tcPr>
          <w:p w14:paraId="0A349F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直流电机控制/温度控制(模拟量控制)</w:t>
            </w:r>
          </w:p>
        </w:tc>
        <w:tc>
          <w:tcPr>
            <w:tcW w:w="0" w:type="auto"/>
            <w:tcBorders>
              <w:top w:val="single" w:color="auto" w:sz="4" w:space="0"/>
              <w:left w:val="single" w:color="auto" w:sz="4" w:space="0"/>
              <w:bottom w:val="single" w:color="auto" w:sz="4" w:space="0"/>
              <w:right w:val="single" w:color="auto" w:sz="4" w:space="0"/>
            </w:tcBorders>
            <w:vAlign w:val="center"/>
          </w:tcPr>
          <w:p w14:paraId="281AD74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通过对直流电机系统中脉冲信号采集、转速控制(电压量)及温度控制系统中的温度参数的控制，掌握高速计数器指令、模拟量处理指令、PID指令的使用。</w:t>
            </w:r>
          </w:p>
        </w:tc>
      </w:tr>
    </w:tbl>
    <w:p w14:paraId="1EF8623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2.2.11.实物对象：小车运动控制系统实训模型</w:t>
      </w:r>
    </w:p>
    <w:p w14:paraId="7D8F2CFC">
      <w:pPr>
        <w:spacing w:line="360" w:lineRule="auto"/>
        <w:rPr>
          <w:rFonts w:ascii="仿宋" w:hAnsi="仿宋" w:eastAsia="仿宋" w:cs="仿宋"/>
          <w:bCs/>
          <w:color w:val="auto"/>
          <w:sz w:val="24"/>
          <w:szCs w:val="24"/>
          <w:highlight w:val="none"/>
        </w:rPr>
      </w:pPr>
      <w:bookmarkStart w:id="137" w:name="OLE_LINK41"/>
      <w:r>
        <w:rPr>
          <w:rFonts w:hint="eastAsia" w:ascii="仿宋" w:hAnsi="仿宋" w:eastAsia="仿宋" w:cs="仿宋"/>
          <w:bCs/>
          <w:color w:val="auto"/>
          <w:sz w:val="24"/>
          <w:szCs w:val="24"/>
          <w:highlight w:val="none"/>
        </w:rPr>
        <w:t>组成</w:t>
      </w: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：运动小车、同步带轮传动机构、</w:t>
      </w:r>
      <w:r>
        <w:rPr>
          <w:rFonts w:ascii="仿宋" w:hAnsi="仿宋" w:eastAsia="仿宋" w:cs="仿宋"/>
          <w:bCs/>
          <w:color w:val="auto"/>
          <w:sz w:val="24"/>
          <w:szCs w:val="24"/>
          <w:highlight w:val="none"/>
        </w:rPr>
        <w:t>24V/50W</w:t>
      </w:r>
      <w:r>
        <w:rPr>
          <w:rFonts w:hint="eastAsia" w:ascii="仿宋" w:hAnsi="仿宋" w:eastAsia="仿宋" w:cs="仿宋"/>
          <w:bCs/>
          <w:color w:val="auto"/>
          <w:sz w:val="24"/>
          <w:szCs w:val="24"/>
          <w:highlight w:val="none"/>
        </w:rPr>
        <w:t>直流减速电机及驱动器、光电</w:t>
      </w:r>
      <w:r>
        <w:rPr>
          <w:rFonts w:ascii="仿宋" w:hAnsi="仿宋" w:eastAsia="仿宋" w:cs="仿宋"/>
          <w:bCs/>
          <w:color w:val="auto"/>
          <w:sz w:val="24"/>
          <w:szCs w:val="24"/>
          <w:highlight w:val="none"/>
        </w:rPr>
        <w:t>/</w:t>
      </w:r>
      <w:r>
        <w:rPr>
          <w:rFonts w:hint="eastAsia" w:ascii="仿宋" w:hAnsi="仿宋" w:eastAsia="仿宋" w:cs="仿宋"/>
          <w:bCs/>
          <w:color w:val="auto"/>
          <w:sz w:val="24"/>
          <w:szCs w:val="24"/>
          <w:highlight w:val="none"/>
        </w:rPr>
        <w:t>电感式</w:t>
      </w:r>
      <w:r>
        <w:rPr>
          <w:rFonts w:ascii="仿宋" w:hAnsi="仿宋" w:eastAsia="仿宋" w:cs="仿宋"/>
          <w:bCs/>
          <w:color w:val="auto"/>
          <w:sz w:val="24"/>
          <w:szCs w:val="24"/>
          <w:highlight w:val="none"/>
        </w:rPr>
        <w:t>/</w:t>
      </w:r>
      <w:r>
        <w:rPr>
          <w:rFonts w:hint="eastAsia" w:ascii="仿宋" w:hAnsi="仿宋" w:eastAsia="仿宋" w:cs="仿宋"/>
          <w:bCs/>
          <w:color w:val="auto"/>
          <w:sz w:val="24"/>
          <w:szCs w:val="24"/>
          <w:highlight w:val="none"/>
        </w:rPr>
        <w:t>电容式传感器、</w:t>
      </w:r>
      <w:r>
        <w:rPr>
          <w:rFonts w:ascii="仿宋" w:hAnsi="仿宋" w:eastAsia="仿宋" w:cs="仿宋"/>
          <w:bCs/>
          <w:color w:val="auto"/>
          <w:sz w:val="24"/>
          <w:szCs w:val="24"/>
          <w:highlight w:val="none"/>
        </w:rPr>
        <w:t>IP65</w:t>
      </w:r>
      <w:r>
        <w:rPr>
          <w:rFonts w:hint="eastAsia" w:ascii="仿宋" w:hAnsi="仿宋" w:eastAsia="仿宋" w:cs="仿宋"/>
          <w:bCs/>
          <w:color w:val="auto"/>
          <w:sz w:val="24"/>
          <w:szCs w:val="24"/>
          <w:highlight w:val="none"/>
        </w:rPr>
        <w:t>双触点行程开关。</w:t>
      </w:r>
    </w:p>
    <w:p w14:paraId="49810D2A">
      <w:pPr>
        <w:spacing w:line="360" w:lineRule="auto"/>
        <w:rPr>
          <w:rFonts w:ascii="仿宋" w:hAnsi="仿宋" w:eastAsia="仿宋" w:cs="仿宋"/>
          <w:bCs/>
          <w:color w:val="auto"/>
          <w:sz w:val="24"/>
          <w:szCs w:val="24"/>
          <w:highlight w:val="none"/>
        </w:rPr>
      </w:pP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性能</w:t>
      </w: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：传动效率≥</w:t>
      </w:r>
      <w:r>
        <w:rPr>
          <w:rFonts w:ascii="仿宋" w:hAnsi="仿宋" w:eastAsia="仿宋" w:cs="仿宋"/>
          <w:bCs/>
          <w:color w:val="auto"/>
          <w:sz w:val="24"/>
          <w:szCs w:val="24"/>
          <w:highlight w:val="none"/>
        </w:rPr>
        <w:t>90%</w:t>
      </w:r>
      <w:r>
        <w:rPr>
          <w:rFonts w:hint="eastAsia" w:ascii="仿宋" w:hAnsi="仿宋" w:eastAsia="仿宋" w:cs="仿宋"/>
          <w:bCs/>
          <w:color w:val="auto"/>
          <w:sz w:val="24"/>
          <w:szCs w:val="24"/>
          <w:highlight w:val="none"/>
        </w:rPr>
        <w:t>；光电传感器响应≤</w:t>
      </w:r>
      <w:r>
        <w:rPr>
          <w:rFonts w:ascii="仿宋" w:hAnsi="仿宋" w:eastAsia="仿宋" w:cs="仿宋"/>
          <w:bCs/>
          <w:color w:val="auto"/>
          <w:sz w:val="24"/>
          <w:szCs w:val="24"/>
          <w:highlight w:val="none"/>
        </w:rPr>
        <w:t>1ms</w:t>
      </w:r>
      <w:r>
        <w:rPr>
          <w:rFonts w:hint="eastAsia" w:ascii="仿宋" w:hAnsi="仿宋" w:eastAsia="仿宋" w:cs="仿宋"/>
          <w:bCs/>
          <w:color w:val="auto"/>
          <w:sz w:val="24"/>
          <w:szCs w:val="24"/>
          <w:highlight w:val="none"/>
        </w:rPr>
        <w:t>、检测距</w:t>
      </w:r>
      <w:r>
        <w:rPr>
          <w:rFonts w:ascii="仿宋" w:hAnsi="仿宋" w:eastAsia="仿宋" w:cs="仿宋"/>
          <w:bCs/>
          <w:color w:val="auto"/>
          <w:sz w:val="24"/>
          <w:szCs w:val="24"/>
          <w:highlight w:val="none"/>
        </w:rPr>
        <w:t>0-10cm</w:t>
      </w:r>
      <w:r>
        <w:rPr>
          <w:rFonts w:hint="eastAsia" w:ascii="仿宋" w:hAnsi="仿宋" w:eastAsia="仿宋" w:cs="仿宋"/>
          <w:bCs/>
          <w:color w:val="auto"/>
          <w:sz w:val="24"/>
          <w:szCs w:val="24"/>
          <w:highlight w:val="none"/>
        </w:rPr>
        <w:t>，电感式检测距</w:t>
      </w:r>
      <w:r>
        <w:rPr>
          <w:rFonts w:ascii="仿宋" w:hAnsi="仿宋" w:eastAsia="仿宋" w:cs="仿宋"/>
          <w:bCs/>
          <w:color w:val="auto"/>
          <w:sz w:val="24"/>
          <w:szCs w:val="24"/>
          <w:highlight w:val="none"/>
        </w:rPr>
        <w:t>5mm</w:t>
      </w:r>
      <w:r>
        <w:rPr>
          <w:rFonts w:hint="eastAsia" w:ascii="仿宋" w:hAnsi="仿宋" w:eastAsia="仿宋" w:cs="仿宋"/>
          <w:bCs/>
          <w:color w:val="auto"/>
          <w:sz w:val="24"/>
          <w:szCs w:val="24"/>
          <w:highlight w:val="none"/>
        </w:rPr>
        <w:t>，行程</w:t>
      </w:r>
      <w:r>
        <w:rPr>
          <w:rFonts w:ascii="仿宋" w:hAnsi="仿宋" w:eastAsia="仿宋" w:cs="仿宋"/>
          <w:bCs/>
          <w:color w:val="auto"/>
          <w:sz w:val="24"/>
          <w:szCs w:val="24"/>
          <w:highlight w:val="none"/>
        </w:rPr>
        <w:t>0.6</w:t>
      </w:r>
      <w:r>
        <w:rPr>
          <w:rFonts w:hint="eastAsia" w:ascii="仿宋" w:hAnsi="仿宋" w:eastAsia="仿宋" w:cs="仿宋"/>
          <w:bCs/>
          <w:color w:val="auto"/>
          <w:sz w:val="24"/>
          <w:szCs w:val="24"/>
          <w:highlight w:val="none"/>
        </w:rPr>
        <w:t>米。</w:t>
      </w:r>
    </w:p>
    <w:p w14:paraId="3879AF65">
      <w:pPr>
        <w:spacing w:line="360" w:lineRule="auto"/>
        <w:rPr>
          <w:rFonts w:ascii="仿宋" w:hAnsi="仿宋" w:eastAsia="仿宋" w:cs="仿宋"/>
          <w:bCs/>
          <w:color w:val="auto"/>
          <w:sz w:val="24"/>
          <w:szCs w:val="24"/>
          <w:highlight w:val="none"/>
        </w:rPr>
      </w:pP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功能</w:t>
      </w: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：支持</w:t>
      </w:r>
      <w:r>
        <w:rPr>
          <w:rFonts w:ascii="仿宋" w:hAnsi="仿宋" w:eastAsia="仿宋" w:cs="仿宋"/>
          <w:bCs/>
          <w:color w:val="auto"/>
          <w:sz w:val="24"/>
          <w:szCs w:val="24"/>
          <w:highlight w:val="none"/>
        </w:rPr>
        <w:t>PLC</w:t>
      </w:r>
      <w:r>
        <w:rPr>
          <w:rFonts w:hint="eastAsia" w:ascii="仿宋" w:hAnsi="仿宋" w:eastAsia="仿宋" w:cs="仿宋"/>
          <w:bCs/>
          <w:color w:val="auto"/>
          <w:sz w:val="24"/>
          <w:szCs w:val="24"/>
          <w:highlight w:val="none"/>
        </w:rPr>
        <w:t>编程，实现传动、定向、定位、报警、点动、位置显示等控制，精确定位。</w:t>
      </w:r>
    </w:p>
    <w:p w14:paraId="3AC3EA6A">
      <w:pPr>
        <w:spacing w:line="360" w:lineRule="auto"/>
        <w:rPr>
          <w:rFonts w:ascii="仿宋" w:hAnsi="仿宋" w:eastAsia="仿宋" w:cs="仿宋"/>
          <w:bCs/>
          <w:color w:val="auto"/>
          <w:sz w:val="24"/>
          <w:szCs w:val="24"/>
          <w:highlight w:val="none"/>
        </w:rPr>
      </w:pP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适配</w:t>
      </w:r>
      <w:r>
        <w:rPr>
          <w:rFonts w:hint="eastAsia" w:ascii="MS Gothic" w:hAnsi="MS Gothic" w:eastAsia="MS Gothic" w:cs="MS Gothic"/>
          <w:bCs/>
          <w:color w:val="auto"/>
          <w:sz w:val="24"/>
          <w:szCs w:val="24"/>
          <w:highlight w:val="none"/>
        </w:rPr>
        <w:t>‌</w:t>
      </w:r>
      <w:r>
        <w:rPr>
          <w:rFonts w:hint="eastAsia" w:ascii="仿宋" w:hAnsi="仿宋" w:eastAsia="仿宋" w:cs="仿宋"/>
          <w:bCs/>
          <w:color w:val="auto"/>
          <w:sz w:val="24"/>
          <w:szCs w:val="24"/>
          <w:highlight w:val="none"/>
        </w:rPr>
        <w:t>：兼容主流</w:t>
      </w:r>
      <w:r>
        <w:rPr>
          <w:rFonts w:ascii="仿宋" w:hAnsi="仿宋" w:eastAsia="仿宋" w:cs="仿宋"/>
          <w:bCs/>
          <w:color w:val="auto"/>
          <w:sz w:val="24"/>
          <w:szCs w:val="24"/>
          <w:highlight w:val="none"/>
        </w:rPr>
        <w:t>PLC</w:t>
      </w:r>
      <w:r>
        <w:rPr>
          <w:rFonts w:hint="eastAsia" w:ascii="仿宋" w:hAnsi="仿宋" w:eastAsia="仿宋" w:cs="仿宋"/>
          <w:bCs/>
          <w:color w:val="auto"/>
          <w:sz w:val="24"/>
          <w:szCs w:val="24"/>
          <w:highlight w:val="none"/>
        </w:rPr>
        <w:t>，满足院校</w:t>
      </w:r>
      <w:r>
        <w:rPr>
          <w:rFonts w:ascii="仿宋" w:hAnsi="仿宋" w:eastAsia="仿宋" w:cs="仿宋"/>
          <w:bCs/>
          <w:color w:val="auto"/>
          <w:sz w:val="24"/>
          <w:szCs w:val="24"/>
          <w:highlight w:val="none"/>
        </w:rPr>
        <w:t>PLC</w:t>
      </w:r>
      <w:r>
        <w:rPr>
          <w:rFonts w:hint="eastAsia" w:ascii="仿宋" w:hAnsi="仿宋" w:eastAsia="仿宋" w:cs="仿宋"/>
          <w:bCs/>
          <w:color w:val="auto"/>
          <w:sz w:val="24"/>
          <w:szCs w:val="24"/>
          <w:highlight w:val="none"/>
        </w:rPr>
        <w:t>教学、实训需求。</w:t>
      </w:r>
    </w:p>
    <w:bookmarkEnd w:id="137"/>
    <w:p w14:paraId="454FD84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2.2.12.实物对象：智能温室控制实训模型(模拟量实物)</w:t>
      </w:r>
    </w:p>
    <w:p w14:paraId="62C6E2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智能温室控制实训模型主要由温度设定、风机变速、光照控制和上位机软件控制等几部分组成。温度的控制过程是将温度检测传感器采集的内、外部环境温度与设定温度值进行比较，PLC模拟量模块根据温差值输出模拟量来控制加热器电压从而控制加热的快慢，根据温差值给出风机相应信号来切换风机的高速、低速、停止三种运行模式。光照控制是根据温差值及内外光照信号来控制遮阳网的动作。整个实训过程既可以通过上位机软件进行控制和实时监控又可进行手动控制。能开展对智能温室的维护、设备操作及控制等技能训练，适合各院校《可编程控制器技术》、《PLC及其应用》等课程的实训教学。</w:t>
      </w:r>
    </w:p>
    <w:p w14:paraId="64B2EB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3、实训软件</w:t>
      </w:r>
    </w:p>
    <w:p w14:paraId="70FE26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3.1.PLC技术AR仿真实训教学APP软件</w:t>
      </w:r>
    </w:p>
    <w:p w14:paraId="65341C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软件具有实时交互性，在手机上打开本软件，将摄像头对准到特定物体上（图片/实物），然后增强现实系统可以在它上面展示出以下功能：PLC技术实训装置的动画演示、可编程控制器的介绍、变频器的介绍、工业触摸屏的介绍、PLC控制LED仿真实训、PLC控制继电接触电路仿真实训、PLC控制变频调速仿真实训。为了增强实训效果及确保软件产品的性能可靠性，投标时要提供省级及以上部门出具的软件测评报告及软件产品评估证书扫描件。软件内置AI智能语音助手，点击相应位置，自动语音讲解其功能。</w:t>
      </w:r>
    </w:p>
    <w:p w14:paraId="22F113C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3.2.PLC 3D仿真实训软件</w:t>
      </w:r>
    </w:p>
    <w:p w14:paraId="3FB281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本软件可作为PLC编程相关系列教学辅助类软件。</w:t>
      </w:r>
      <w:r>
        <w:rPr>
          <w:rFonts w:hint="eastAsia" w:ascii="仿宋" w:hAnsi="仿宋" w:eastAsia="仿宋" w:cs="仿宋"/>
          <w:b/>
          <w:bCs/>
          <w:color w:val="auto"/>
          <w:sz w:val="24"/>
          <w:szCs w:val="24"/>
          <w:highlight w:val="none"/>
        </w:rPr>
        <w:t>（投标时需提供软件功能界面截图）（为增强实训效果及确保软件产品的性能可靠性，投标时提供符合国家标准的鉴定机构出具的测试报告，原件备查）</w:t>
      </w:r>
      <w:r>
        <w:rPr>
          <w:rFonts w:hint="eastAsia" w:ascii="仿宋" w:hAnsi="仿宋" w:eastAsia="仿宋" w:cs="仿宋"/>
          <w:bCs/>
          <w:color w:val="auto"/>
          <w:sz w:val="24"/>
          <w:szCs w:val="24"/>
          <w:highlight w:val="none"/>
        </w:rPr>
        <w:t>。软件在电脑屏幕上构建了3D虚拟环境，实现自动封盖、自动装箱、物料分拣、码垛堆积、自动仓储、运料小车、电镀生产线、多种液体混合、自动混合生产线、水塔水位控制、机械手控制、自动送料装车等二十五个实训项目，全面展现各种复杂的工艺流程。利用采集卡采集PLC的输入输出信号，通过计算机串口实现PLC与计算机的通讯，从而控制软件中的3D模型的动作，使得虚拟仿真技术实时展现PLC的运行状态，也使得学生非常容易理解对每一种控制单元的工作过程和原理。本软件适用于电气运行与控制、电气技术应用等专业以及非机电类专业的《可编程控制器技术》、《电器及PLC控制技术》、《PLC及其应用》等课程的实训教学。</w:t>
      </w:r>
    </w:p>
    <w:p w14:paraId="30F56FD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3.3.多种电机在环实时仿真实验系统</w:t>
      </w:r>
    </w:p>
    <w:p w14:paraId="46587D35">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软件实验的电机类型包含最常见的几类电机：直流电机、异步电机、同步电机和变压器、开关磁阻电机、直线电机、双馈电机，对于电机运用等效电路的方式给出了工作特性曲线和机械特性曲线。对每一种电机均给出了电气和机械参数，便于学生理解和参考。学生可以通过选择对应的电机与运行方式获得电机的转速、转矩、电流等信息，十分便捷。暂停/停止后会自动显示游标，挪动游标可以在右侧获取当前点的值，有助于后续的计算与分析。</w:t>
      </w:r>
      <w:r>
        <w:rPr>
          <w:rFonts w:hint="eastAsia" w:ascii="仿宋" w:hAnsi="仿宋" w:eastAsia="仿宋" w:cs="仿宋"/>
          <w:b/>
          <w:bCs/>
          <w:color w:val="auto"/>
          <w:sz w:val="24"/>
          <w:szCs w:val="24"/>
          <w:highlight w:val="none"/>
        </w:rPr>
        <w:t>（为增强实训效果及确保软件产品的性能可靠性，投标时提供符合国家标准的检测结构出具的软件测评报告及软件产品评估证书扫描件。）</w:t>
      </w:r>
    </w:p>
    <w:p w14:paraId="7026A5D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3.3.1工作特性和机械特性实验</w:t>
      </w:r>
    </w:p>
    <w:p w14:paraId="0DE87D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直流电机：根据励磁绕组的连接方式不同，可选择串励、并励和他励这三种电机。通过改变绕组两端电压、电枢回路串入电阻、励磁回路串入电阻这三种方式，选择电磁转矩、转速、效率、电枢电流和电磁功率等参数，可以画出固有机械特性和人为机械特性，其中电磁转矩改为输出功率可画出电机的工作特性曲线。</w:t>
      </w:r>
    </w:p>
    <w:p w14:paraId="628AF9E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异步电机：从异步电机的调速入手，有改变定子绕组电压调速、转子回路串电阻调速和变频调速，其参数可以人为设置，可以方便的看到不同调速方式及输入参数情况下电机的调速机械特性。</w:t>
      </w:r>
    </w:p>
    <w:p w14:paraId="09A55E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3.3.2起动、调速、制动实验</w:t>
      </w:r>
    </w:p>
    <w:p w14:paraId="4FCFE9B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进入后在上方可以看到电机的一些关键铭牌参数，有助于学生有大致判断。从电机的电路上，可以看到电机主要参数，很好地模拟了实验，让学生能够明白输入的参数会影响哪些参数变化。可以选择查看哪些变量，例如：定子绕组电压、电机转速、转矩等，不需要像实际实验中单独测量转速和电流等参数也可以清楚的看到需要的变量。</w:t>
      </w:r>
    </w:p>
    <w:p w14:paraId="23C210A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转矩：负载转矩有四种类型，分别为位能型负载、摩擦型负载、平方转矩负载（模拟风机、水泵）和恒功率负载，与额定转矩下的比值作为输入，能让学生更好地了解轻载、中载和重载情况下电机的运行。</w:t>
      </w:r>
    </w:p>
    <w:p w14:paraId="0494CE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起动：根据不同的电机，起动方式会略微有所不同，例如：Δ形连接的异步电机就有Y-Δ起动，可以根据显示的起动方式（如：定子绕组降电压起动）及输入所需的参数来模拟实际中不同的起动方式。</w:t>
      </w:r>
    </w:p>
    <w:p w14:paraId="1441EE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调速：调速过程根据电机的特点，包含了各类电机主要的一些调速方式，仿真实验接近实际，工作特性展示的是稳态特性，而运行实验的调速很好的向学生展现了电机调速的暂态特性。</w:t>
      </w:r>
    </w:p>
    <w:p w14:paraId="32A9E3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制动：实际运行中可能需要使电机快速停下，这就需要采取合理的制动方式。学生可以选择制动方式看到实际电机的运行情况，将起动、调速与制动放在同一人机界面中，可以很好地模拟出完整的实验流程。</w:t>
      </w:r>
    </w:p>
    <w:p w14:paraId="0D3E282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3.3.3性能指标</w:t>
      </w:r>
    </w:p>
    <w:p w14:paraId="08C4EA1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1)直流电机不少于23组数据模型；</w:t>
      </w:r>
    </w:p>
    <w:p w14:paraId="5E9133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2)异步电机不少于20组数据模型；</w:t>
      </w:r>
    </w:p>
    <w:p w14:paraId="6DD2EE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3)同步电机不少于6组数据模型；</w:t>
      </w:r>
    </w:p>
    <w:p w14:paraId="2BBEB4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4)变压器不少于6组数据模型；</w:t>
      </w:r>
    </w:p>
    <w:p w14:paraId="3D799D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5)开关磁阻电机不少于3组数据模型；</w:t>
      </w:r>
    </w:p>
    <w:p w14:paraId="6B3C43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6)直线电机不少于3组数据模型；</w:t>
      </w:r>
    </w:p>
    <w:p w14:paraId="53F5DA0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7)双馈电机不少于3组数据模型；</w:t>
      </w:r>
    </w:p>
    <w:p w14:paraId="0484EB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8)直流电机数据模型覆盖串励、并励、他励三种电机类型；</w:t>
      </w:r>
    </w:p>
    <w:p w14:paraId="0732762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9)异步电机数据模型覆盖星型、三角两种接法；</w:t>
      </w:r>
    </w:p>
    <w:p w14:paraId="2A34DB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10)直流电机、异步电机特性实验能动态描绘电机工作特性、固有机械特性、人为机械特性曲线；</w:t>
      </w:r>
    </w:p>
    <w:p w14:paraId="140908C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11)变压器特性实验能动态描绘变压器外特性和效率曲线；</w:t>
      </w:r>
    </w:p>
    <w:p w14:paraId="024925B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12)开关磁阻电机支持CCC、APC、PWM三种控制方式；</w:t>
      </w:r>
    </w:p>
    <w:p w14:paraId="2651F3A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13)直流电机、异步电机能完成电机起动、调速、制动实验；</w:t>
      </w:r>
    </w:p>
    <w:p w14:paraId="654DA4F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14)直流电机、异步电机、同步电机运行实验中可选择负载类型不少于3种；</w:t>
      </w:r>
    </w:p>
    <w:p w14:paraId="07DC7A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15)直流电机、异步电机起动实验中，支持不少于3种起动方式；</w:t>
      </w:r>
    </w:p>
    <w:p w14:paraId="48AD42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16)直流电机、异步电机调速实验中，支持不少于3种调速方式；</w:t>
      </w:r>
    </w:p>
    <w:p w14:paraId="32CC9F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17)直流电机、异步电机制动实验中，支持不少于3种制动方式；</w:t>
      </w:r>
    </w:p>
    <w:p w14:paraId="5ABC552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18)等效框图与实验曲线在同一显示界面中，并支持在等效框图中直接调整实验电路参数。</w:t>
      </w:r>
    </w:p>
    <w:p w14:paraId="465322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3.4.停电应急处置模拟演练系统软件</w:t>
      </w:r>
    </w:p>
    <w:p w14:paraId="4C0BD1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本软件采用3D技术仿真技术，界面生动美观、易学易用，可以提高教师教学和学生学习的兴趣。</w:t>
      </w:r>
      <w:r>
        <w:rPr>
          <w:rFonts w:hint="eastAsia" w:ascii="仿宋" w:hAnsi="仿宋" w:eastAsia="仿宋" w:cs="仿宋"/>
          <w:b/>
          <w:bCs/>
          <w:color w:val="auto"/>
          <w:sz w:val="24"/>
          <w:szCs w:val="24"/>
          <w:highlight w:val="none"/>
        </w:rPr>
        <w:t>（为增强实训效果及确保软件产品的性能可靠性，投标时提供符合国家标准的检测结构出具的软件测评报告及软件产品评估证书扫描件。）</w:t>
      </w:r>
      <w:r>
        <w:rPr>
          <w:rFonts w:hint="eastAsia" w:ascii="仿宋" w:hAnsi="仿宋" w:eastAsia="仿宋" w:cs="仿宋"/>
          <w:bCs/>
          <w:color w:val="auto"/>
          <w:sz w:val="24"/>
          <w:szCs w:val="24"/>
          <w:highlight w:val="none"/>
        </w:rPr>
        <w:t>软件可实现以下功能：</w:t>
      </w:r>
    </w:p>
    <w:p w14:paraId="04BA3B2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3.4.1直观显示操作前后设备的状态；</w:t>
      </w:r>
    </w:p>
    <w:p w14:paraId="064C659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3.4.2模拟操作完毕后，图形还原到操作前状态；</w:t>
      </w:r>
    </w:p>
    <w:p w14:paraId="7193CB3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3.4.3可以设置故障，用户选择需要操练的科目（不同的故障）；</w:t>
      </w:r>
    </w:p>
    <w:p w14:paraId="5A30A64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3.4.4可以模拟应急操作，用户在图形界面上进行故障处理（模拟操作），如果操作错误，系统自动提示正误；</w:t>
      </w:r>
    </w:p>
    <w:p w14:paraId="2421F4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3.4.5系统自动生成预案，预设一些故障类型和应急处理操作步骤，在演练结束后输出正确的应急处置操作步骤（操作票）根据用户选择的故障类型，系统自动生成应急处置操作步骤（操作票）；</w:t>
      </w:r>
    </w:p>
    <w:p w14:paraId="7F174B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3.4.6智能开票，给正常运行时的操作任务自动开票；</w:t>
      </w:r>
    </w:p>
    <w:p w14:paraId="6F82487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3.4.7人工开票，用户可以手动开票；</w:t>
      </w:r>
    </w:p>
    <w:p w14:paraId="2F333AD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3.4.8操作票维护，操作票预览及保存及打印。</w:t>
      </w:r>
    </w:p>
    <w:p w14:paraId="2056AA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3.5.罐装生产线虚拟车间仿真教学软件</w:t>
      </w:r>
    </w:p>
    <w:p w14:paraId="1BF4F1A1">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本软件采用3D（三维）技术，通过对真实完整的饮料罐装生产线进行建模，包含了空瓶清洗、空瓶检测、饮料灌装、瓶体封盖、成品检测、瓶体贴标、成品入库单元七个仿真实训系统。其中每个虚拟场景单元均可以单独进行操作和控制，完整展示了饮料灌装生产线的实际工艺流程和整体布局。软件系统设有3种视角方式进行，分别为角色视角，全景视角、漫游视角，可以在饮料罐装生产线中自由穿梭，同时进行虚拟控制，除此之外还可以进行地图导航，任务模式等方式配合工程实践项目。</w:t>
      </w:r>
      <w:r>
        <w:rPr>
          <w:rFonts w:hint="eastAsia" w:ascii="仿宋" w:hAnsi="仿宋" w:eastAsia="仿宋" w:cs="仿宋"/>
          <w:b/>
          <w:bCs/>
          <w:color w:val="auto"/>
          <w:sz w:val="24"/>
          <w:szCs w:val="24"/>
          <w:highlight w:val="none"/>
        </w:rPr>
        <w:t>（为增强实验效果及确保软件产品的性能可靠性，投标时提供符合国家标准的检测结构出具的软件测评报告及软件产品评估证书扫描件。）</w:t>
      </w:r>
    </w:p>
    <w:p w14:paraId="30A569D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3.6.三维工业自动化设计软件</w:t>
      </w:r>
    </w:p>
    <w:p w14:paraId="36C00B59">
      <w:pPr>
        <w:spacing w:line="360" w:lineRule="auto"/>
        <w:rPr>
          <w:rFonts w:ascii="仿宋" w:hAnsi="仿宋" w:eastAsia="仿宋" w:cs="仿宋"/>
          <w:b/>
          <w:bCs/>
          <w:color w:val="auto"/>
          <w:sz w:val="24"/>
          <w:szCs w:val="24"/>
          <w:highlight w:val="none"/>
        </w:rPr>
      </w:pPr>
      <w:bookmarkStart w:id="138" w:name="OLE_LINK42"/>
      <w:r>
        <w:rPr>
          <w:rFonts w:hint="eastAsia" w:ascii="仿宋" w:hAnsi="仿宋" w:eastAsia="仿宋" w:cs="仿宋"/>
          <w:bCs/>
          <w:color w:val="auto"/>
          <w:sz w:val="24"/>
          <w:szCs w:val="24"/>
          <w:highlight w:val="none"/>
        </w:rPr>
        <w:t>工业级正版三维一体化设计软件，面向工业和教育等多个领域，基于强大的智能参数建模技术，让复杂设计过程简单化，可快速重用历史数据及应对设计变更。从概念设计到产品制造，提供真正的3D模型设计、先进的钣金设计、完整的2D+3D一体化设计等全面效率工具，同时在一个软件上集成了PLC 3D仿真功能、电机仿真功能，突出在工业自动化集成领域的三维设计能力。该软件具有入门容易、兼容全面、软硬结合、易学易用等优势，已成功应用于机械、电子、航空、汽车、仪器仪表、模具、造船、消费品等行业，也非常适用于院校相关课程的教学</w:t>
      </w:r>
      <w:bookmarkEnd w:id="138"/>
      <w:r>
        <w:rPr>
          <w:rFonts w:hint="eastAsia" w:ascii="仿宋" w:hAnsi="仿宋" w:eastAsia="仿宋" w:cs="仿宋"/>
          <w:b/>
          <w:bCs/>
          <w:color w:val="auto"/>
          <w:sz w:val="24"/>
          <w:szCs w:val="24"/>
          <w:highlight w:val="none"/>
        </w:rPr>
        <w:t>（为了增强实训效果及确保软件产品的性能可靠性，投标时要提供</w:t>
      </w:r>
      <w:bookmarkStart w:id="139" w:name="_Hlk228382001"/>
      <w:r>
        <w:rPr>
          <w:rFonts w:hint="eastAsia" w:ascii="仿宋" w:hAnsi="仿宋" w:eastAsia="仿宋" w:cs="仿宋"/>
          <w:b/>
          <w:bCs/>
          <w:color w:val="auto"/>
          <w:sz w:val="24"/>
          <w:szCs w:val="24"/>
          <w:highlight w:val="none"/>
        </w:rPr>
        <w:t>符合国家标准的检测结构出具的软件测评报告</w:t>
      </w:r>
      <w:bookmarkEnd w:id="139"/>
      <w:r>
        <w:rPr>
          <w:rFonts w:hint="eastAsia" w:ascii="仿宋" w:hAnsi="仿宋" w:eastAsia="仿宋" w:cs="仿宋"/>
          <w:b/>
          <w:bCs/>
          <w:color w:val="auto"/>
          <w:sz w:val="24"/>
          <w:szCs w:val="24"/>
          <w:highlight w:val="none"/>
        </w:rPr>
        <w:t>及软件产品评估证书扫描件。）</w:t>
      </w:r>
    </w:p>
    <w:p w14:paraId="5C9F15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3.6.1强大的兼容性和扩展性</w:t>
      </w:r>
    </w:p>
    <w:p w14:paraId="7464CF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软件应支持主流三维 CAD 原生格式及通用中间格式（如 STEP、IGES 等）的数据导入；应支持导出设计、工艺、制造等环节所需的二维工程图及三维模型数据。</w:t>
      </w:r>
    </w:p>
    <w:p w14:paraId="21AC34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应具备与主流产品生命周期管理（PLM）/产品数据管理（PDM）系统集成的能力或标准接口，支撑三维数据在产品全生命周期中的应用。</w:t>
      </w:r>
    </w:p>
    <w:p w14:paraId="083D27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3.6.2智能参数建模技术</w:t>
      </w:r>
    </w:p>
    <w:p w14:paraId="3AF0F1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智能参数建模技术可更快、更轻松地创建和编辑3D模型。完美融合直接建模的速度和简便性、及参数化设计的灵活性和可控性。还可像处理本机文件一样处理多CAD数据，无缝衔接整个生态链。</w:t>
      </w:r>
    </w:p>
    <w:p w14:paraId="3A0C56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3.6.3同步建模技术</w:t>
      </w:r>
    </w:p>
    <w:p w14:paraId="12FBA6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同步建模技术无需刻意去创建草图，系统会自动捕捉草图平面。整个操作过程，可以在全三维环境下完成，也可以切换到二维平面视图；能够基于无历史树的特征，根据几何规则就能编辑修改模型，即使用变量化方式进行产品设计。</w:t>
      </w:r>
    </w:p>
    <w:p w14:paraId="732454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3.6.4直观的用户界面和主流的操作习惯</w:t>
      </w:r>
    </w:p>
    <w:p w14:paraId="6077E1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基于Windows操作环境开发，高效的人机交互界面设计，与国际主流3D软件一致的操作习惯；融合国内用户的设计需求，更贴合用户，快速上手，保障工作的延续性。</w:t>
      </w:r>
    </w:p>
    <w:p w14:paraId="7B1117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3.6.5完整的2D+3D一体化</w:t>
      </w:r>
    </w:p>
    <w:p w14:paraId="7CA1B5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基于3D模型快速生成符合国标的2D工程图，快速完善图纸信息；3D数据的变更直接关联到工程图，数据无误更高效；数据无缝导出至AutoCAD进一步应用，从设计到制造的业务流程，Solid Design软件提供2D+3D一体化解决方案。</w:t>
      </w:r>
    </w:p>
    <w:p w14:paraId="6B7DFF3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3.6.6集成PLC 3D仿真功能</w:t>
      </w:r>
    </w:p>
    <w:p w14:paraId="78CAE18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软件中构建了3D虚拟环境，实现自动封盖、自动装箱、温度压力控制、码垛堆积、加工中心刀库、电镀生产线、多种液体混合、自动混合生产线、水塔水位控制、机械手控制、机器人自动扫雷等二十五个实训项目，全面展现各种复杂的工艺流程。支持利用采集卡采集PLC的输入输出信号，实现PLC与计算机的通讯，从而控制软件中的3D模型的动作，使得虚拟仿真技术实时展现PLC的运行状态，也使得学生非常容易理解对每一种控制单元的工作过程和原理。</w:t>
      </w:r>
    </w:p>
    <w:p w14:paraId="2A6165F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3.6.7集成电机仿真功能</w:t>
      </w:r>
    </w:p>
    <w:p w14:paraId="601CFA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indows系列操作系统下运行；通信协议：TCP/IP协议；开发语言：C++；支持离线仿真；以状态方程形式对电机建模，支持自定义电机，并包含不少于20台直流电机和20台异步电机型号供用户选择；实验项目：直流电机（结构展示、拆卸演示、装配演示、模拟装配、零部件展示、机械特性实验、启动实验、调速实验、制动实验）；异步电机（结构展示、拆卸演示、装配演示、模拟装配、零部件展示、机械特性实验、启动实验、调速实验、制动实验）；可以演示异步电机在启动过程中，定子与转子电流的瞬时变化，以及由它们建立的两个旋转磁势变化；可以演示出异步电机对称运行时的圆形磁场。实验对比：提供同类型电机，多项实验数据多维实验。</w:t>
      </w:r>
    </w:p>
    <w:p w14:paraId="2A21F2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3.6.8功能特点</w:t>
      </w:r>
    </w:p>
    <w:p w14:paraId="5F6299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1）装配体设计</w:t>
      </w:r>
    </w:p>
    <w:p w14:paraId="798651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支持自底向上或自顶向下的装配体建模方式，可快速检测修复零部件之间的冲突问题，直观的装配体还可用于实时的方案沟通。</w:t>
      </w:r>
    </w:p>
    <w:p w14:paraId="1D72F19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2）工程图创建</w:t>
      </w:r>
    </w:p>
    <w:p w14:paraId="281AA4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根据3D模型自动创建并更新工程图，快速创建标准视图和派生视图，提供尺寸控制和添加注释等工具，可以快速创建包含全部细节的工程图。</w:t>
      </w:r>
    </w:p>
    <w:p w14:paraId="69FEBF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3）钣金设计及优化</w:t>
      </w:r>
    </w:p>
    <w:p w14:paraId="62552B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除了基本的折弯和冲孔，还具有特定于钣金的特征，比如浮凸、浅凹、绘图切割、焊珠、轮廓弯边、直弯和蚀刻。还可用于分析、NC编程等集成应用。</w:t>
      </w:r>
    </w:p>
    <w:p w14:paraId="4FE9497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4）曲面设计及评估</w:t>
      </w:r>
    </w:p>
    <w:p w14:paraId="17A0B7E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有限元分析优化，降低样机和物理测试的成本。用分析结果驱动产品设计。将分析融入设计。实现多种场景模拟，多种方案评估，使设计质量更可靠，降低研发成本，提高研发效率。Solid Design可创建高品质的曲面，并可通过精确的参数控制从而获得理想的曲率，通过条纹等工具实时评估曲面效果。</w:t>
      </w:r>
    </w:p>
    <w:p w14:paraId="69FBF2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5）结构仿真分析</w:t>
      </w:r>
    </w:p>
    <w:p w14:paraId="50C16D3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Solid Design内置的有限元分析(FEA)工具，设计工程师可以在3D环境中通过数字方式验证零件设计，缩短产品开发周期。</w:t>
      </w:r>
    </w:p>
    <w:p w14:paraId="4C9DD4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6）动画仿真</w:t>
      </w:r>
    </w:p>
    <w:p w14:paraId="23A44C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模拟零部件的运动过程，并可输出动画视频。</w:t>
      </w:r>
    </w:p>
    <w:p w14:paraId="55042AB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7）MBD基于模型的定义</w:t>
      </w:r>
    </w:p>
    <w:p w14:paraId="4D7248B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数字化沟通加快从设计到制造的过程。在3D模型中直接赋予产品制造信息，生成易于传播的3D PDF ，通过直观的可交互文档查看制造数据，查看时可进行多角度的旋转、缩放等操作。</w:t>
      </w:r>
    </w:p>
    <w:p w14:paraId="64305D1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二、工具柜</w:t>
      </w:r>
    </w:p>
    <w:p w14:paraId="62A405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1．外形尺寸：长×宽×高=910mm×410mm×1850mm。</w:t>
      </w:r>
    </w:p>
    <w:p w14:paraId="66CB62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2．采用1.1mm厚的优质冷轧钢板焊接组装而成，储存空间宽敞，坚固耐用。</w:t>
      </w:r>
    </w:p>
    <w:p w14:paraId="4394B5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3．表面全自动脱脂、双面静电喷塑处理，防锈性能好，环保健康。</w:t>
      </w:r>
    </w:p>
    <w:p w14:paraId="4BC1D6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4．柜体采用平光亚光带雪花深咖啡色喷塑，门板采用平光亮光乳白色喷塑，配色新颖档次高。</w:t>
      </w:r>
    </w:p>
    <w:p w14:paraId="02AEBC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5．十八门独立空间设计，配403镀铬小圆锁、百叶窗孔和标示卡槽，功能齐全，安全系数高。</w:t>
      </w:r>
    </w:p>
    <w:p w14:paraId="1D23D4A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6．为了确保质量及环保要求，投标时提供符合国家标准的检测机构出具的检测(验)报告，检测(验)内容须包括但不限于金属喷漆(塑)涂层冲击强度（冲击高度400mm），金属电镀层抗盐雾试验（试验时间 ≥18h），拉手耐久性试验（试验时间 ≥40000次）。</w:t>
      </w:r>
    </w:p>
    <w:p w14:paraId="35B1283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r>
        <w:rPr>
          <w:rFonts w:hint="eastAsia" w:ascii="仿宋" w:hAnsi="仿宋" w:eastAsia="仿宋" w:cs="仿宋"/>
          <w:bCs/>
          <w:color w:val="auto"/>
          <w:sz w:val="24"/>
          <w:szCs w:val="24"/>
          <w:highlight w:val="none"/>
          <w:lang w:eastAsia="zh"/>
        </w:rPr>
        <w:t>铝合金内挖拉手：基材采用不低于 6063-T5 性能的铝合金（或同等材质），一体式内挖成型，不允许焊接或拼接；壁厚 ≥ 1.5 mm（受力部位 ≥ 2.0 mm），内挖深度 20 mm ± 1 mm，开口圆角半径 R3 ~ R5；表面处理为阳极氧化，膜厚 ≥ 10 μm；力学性能：抗拉强度 ≥ 180 MPa，规定非比例延伸强度 ≥ 160 MPa；耐中性盐雾试验 ≥ 48 h，无腐蚀斑点；外观无毛刺、锐边、划伤，色泽均匀，手握舒适。所有指标按 GB/T 5237（或等效标准）执行，投标方需提供材质证明及关键尺寸检测报告。</w:t>
      </w:r>
      <w:r>
        <w:rPr>
          <w:rFonts w:hint="eastAsia" w:ascii="仿宋" w:hAnsi="仿宋" w:eastAsia="仿宋" w:cs="仿宋"/>
          <w:bCs/>
          <w:color w:val="auto"/>
          <w:sz w:val="24"/>
          <w:szCs w:val="24"/>
          <w:highlight w:val="none"/>
        </w:rPr>
        <w:br w:type="page"/>
      </w:r>
    </w:p>
    <w:p w14:paraId="4FC342F0">
      <w:pPr>
        <w:tabs>
          <w:tab w:val="center" w:pos="4832"/>
          <w:tab w:val="left" w:pos="7140"/>
        </w:tabs>
        <w:spacing w:line="360" w:lineRule="auto"/>
        <w:jc w:val="center"/>
        <w:outlineLvl w:val="1"/>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标的十：金属超高速激光加工平台</w:t>
      </w:r>
    </w:p>
    <w:p w14:paraId="7F57C8B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一、激光器</w:t>
      </w:r>
    </w:p>
    <w:p w14:paraId="42E89D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★激光额定输出功率：≥10000W</w:t>
      </w:r>
    </w:p>
    <w:p w14:paraId="4EDDB01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功率可调范围：10-100%连续可调</w:t>
      </w:r>
    </w:p>
    <w:p w14:paraId="5BB3294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★输出功率稳定性：≤3%</w:t>
      </w:r>
    </w:p>
    <w:p w14:paraId="31DC8A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波长1080±10 nm</w:t>
      </w:r>
    </w:p>
    <w:p w14:paraId="25E546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光纤长度≥10 m</w:t>
      </w:r>
    </w:p>
    <w:p w14:paraId="6C3164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二、熔覆头</w:t>
      </w:r>
    </w:p>
    <w:p w14:paraId="64641AA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★多束光路设计</w:t>
      </w:r>
      <w:r>
        <w:rPr>
          <w:rFonts w:hint="eastAsia" w:ascii="仿宋" w:hAnsi="仿宋" w:eastAsia="仿宋" w:cs="仿宋"/>
          <w:bCs/>
          <w:color w:val="auto"/>
          <w:sz w:val="24"/>
          <w:szCs w:val="24"/>
          <w:highlight w:val="none"/>
          <w:lang w:eastAsia="zh"/>
        </w:rPr>
        <w:t>，光路数≥4</w:t>
      </w:r>
      <w:r>
        <w:rPr>
          <w:rFonts w:hint="eastAsia" w:ascii="仿宋" w:hAnsi="仿宋" w:eastAsia="仿宋" w:cs="仿宋"/>
          <w:bCs/>
          <w:color w:val="auto"/>
          <w:sz w:val="24"/>
          <w:szCs w:val="24"/>
          <w:highlight w:val="none"/>
        </w:rPr>
        <w:t>束，中心送粉</w:t>
      </w:r>
    </w:p>
    <w:p w14:paraId="20EDB4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★接口：QBH或QCS</w:t>
      </w:r>
    </w:p>
    <w:p w14:paraId="377714E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光斑形式：圆形光斑</w:t>
      </w:r>
    </w:p>
    <w:p w14:paraId="0E054AA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光斑大小：直径5 mm</w:t>
      </w:r>
    </w:p>
    <w:p w14:paraId="2D082BE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可承受功率：20000W</w:t>
      </w:r>
    </w:p>
    <w:p w14:paraId="47B4208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三、水冷机</w:t>
      </w:r>
    </w:p>
    <w:p w14:paraId="04DCA65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选用市场通用品牌</w:t>
      </w:r>
    </w:p>
    <w:p w14:paraId="5E0FEB8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水箱容量：≥75L</w:t>
      </w:r>
    </w:p>
    <w:p w14:paraId="77E046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★温控精度：≤±1℃</w:t>
      </w:r>
    </w:p>
    <w:p w14:paraId="4A3A9D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具有高效环保、双温双控、流量与超温报警等功能</w:t>
      </w:r>
    </w:p>
    <w:p w14:paraId="733C141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四、送粉器</w:t>
      </w:r>
    </w:p>
    <w:p w14:paraId="60FD78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送粉方式：气动式送粉</w:t>
      </w:r>
    </w:p>
    <w:p w14:paraId="2CBE41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粉筒容积≥4.5L，透明粉筒设计</w:t>
      </w:r>
    </w:p>
    <w:p w14:paraId="6F560D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适用粉末粒度15-100um</w:t>
      </w:r>
    </w:p>
    <w:p w14:paraId="2998F9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★送粉重复精度：≤±1%</w:t>
      </w:r>
    </w:p>
    <w:p w14:paraId="7C4A74C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设有气体流量监测装置，可实时调节气流量大小。</w:t>
      </w:r>
    </w:p>
    <w:p w14:paraId="276842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五、稳压器</w:t>
      </w:r>
    </w:p>
    <w:p w14:paraId="0E9714E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★额定容量≥120KVA</w:t>
      </w:r>
    </w:p>
    <w:p w14:paraId="1EE1DF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★稳压精度≤±4%</w:t>
      </w:r>
    </w:p>
    <w:p w14:paraId="1103E67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工作环境：-5℃—40℃</w:t>
      </w:r>
    </w:p>
    <w:p w14:paraId="28D1788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具有慢启动、过压、过流保护等功能</w:t>
      </w:r>
    </w:p>
    <w:p w14:paraId="1D586C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六、控制系统</w:t>
      </w:r>
    </w:p>
    <w:p w14:paraId="5A7E04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采用PLC编程控制系统</w:t>
      </w:r>
    </w:p>
    <w:p w14:paraId="08C886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集成控制激光器、冷水机、送粉器等，易操作维护，人机对话界面友好</w:t>
      </w:r>
    </w:p>
    <w:p w14:paraId="6980C9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★激光器功率、送粉速度等参数可在熔覆过程实时调整</w:t>
      </w:r>
    </w:p>
    <w:p w14:paraId="1E8EA45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配备触摸屏，具备一键启停功能</w:t>
      </w:r>
    </w:p>
    <w:p w14:paraId="69E2713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具备故障诊断功能：故障发生时显示报警信息</w:t>
      </w:r>
    </w:p>
    <w:p w14:paraId="1E5676B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七、机械臂</w:t>
      </w:r>
    </w:p>
    <w:p w14:paraId="4DD4DA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★六轴机械臂</w:t>
      </w:r>
    </w:p>
    <w:p w14:paraId="481C2B2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★额定负载≥70kg</w:t>
      </w:r>
    </w:p>
    <w:p w14:paraId="32BD081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臂展≥210</w:t>
      </w:r>
      <w:r>
        <w:rPr>
          <w:rFonts w:ascii="仿宋" w:hAnsi="仿宋" w:eastAsia="仿宋" w:cs="仿宋"/>
          <w:bCs/>
          <w:color w:val="auto"/>
          <w:sz w:val="24"/>
          <w:szCs w:val="24"/>
          <w:highlight w:val="none"/>
        </w:rPr>
        <w:t>0</w:t>
      </w:r>
      <w:r>
        <w:rPr>
          <w:rFonts w:hint="eastAsia" w:ascii="仿宋" w:hAnsi="仿宋" w:eastAsia="仿宋" w:cs="仿宋"/>
          <w:bCs/>
          <w:color w:val="auto"/>
          <w:sz w:val="24"/>
          <w:szCs w:val="24"/>
          <w:highlight w:val="none"/>
        </w:rPr>
        <w:t>mm</w:t>
      </w:r>
    </w:p>
    <w:p w14:paraId="78FC0D1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精度≤±0.05mm</w:t>
      </w:r>
    </w:p>
    <w:p w14:paraId="37300DB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八、机床</w:t>
      </w:r>
    </w:p>
    <w:p w14:paraId="41F4F96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 ★机床主轴变位机驱动，变位机驱动座采用两轴设计，一个翻转轴，一个旋转轴。卡盘≥500mm</w:t>
      </w:r>
    </w:p>
    <w:p w14:paraId="2CC05A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 翻转轴处于水平位置时，承重≥400kg</w:t>
      </w:r>
    </w:p>
    <w:p w14:paraId="7F735A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★翻转轴翻转到90°位置时，卡盘与尾顶配合，可加工长度≥3米，承重≥1t。</w:t>
      </w:r>
    </w:p>
    <w:p w14:paraId="4F78723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 旋转轴速度0-35rpm</w:t>
      </w:r>
    </w:p>
    <w:p w14:paraId="130449C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可与机器人联动控制</w:t>
      </w:r>
    </w:p>
    <w:p w14:paraId="5AFC11A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九、性能测试模块</w:t>
      </w:r>
    </w:p>
    <w:p w14:paraId="048FF7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1.★设备摩擦运动形式：旋转摩擦、往复摩擦，且切换时不带电机，无插头快速切换</w:t>
      </w:r>
    </w:p>
    <w:p w14:paraId="6ACECD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2.砝码加载，法向载荷≥20N，摩擦力≥20N</w:t>
      </w:r>
    </w:p>
    <w:p w14:paraId="18F00D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3.摩擦力传感器：高精度应力应变一维力传感器，精度≤0.02%FS，分辨率≤1mN</w:t>
      </w:r>
    </w:p>
    <w:p w14:paraId="1FB1554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4.★摩擦力实时采样频率≥1000 S/s</w:t>
      </w:r>
    </w:p>
    <w:p w14:paraId="490A66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5.力臂通过摆动机构实现初始力的清零和衡定力的维持</w:t>
      </w:r>
    </w:p>
    <w:p w14:paraId="352684E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6.力臂需通过凸轮机构快速调节水平</w:t>
      </w:r>
    </w:p>
    <w:p w14:paraId="4B44EA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7.旋转模块：伺服电机闭环驱动，转速≥1000 rpm，摩擦半径≥35 mm</w:t>
      </w:r>
    </w:p>
    <w:p w14:paraId="4E7A15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8.摩擦半径由传感器自动测量，分辨率≤0.1 mm</w:t>
      </w:r>
    </w:p>
    <w:p w14:paraId="790A64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9.★往复模块：最大往复频率≥10 Hz，最大往复行程≥40 mm</w:t>
      </w:r>
    </w:p>
    <w:p w14:paraId="093ABE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10.由传感器自动识别运动模块</w:t>
      </w:r>
    </w:p>
    <w:p w14:paraId="5B89A0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11.过载保护：具有最大摩擦力保护功能，当超过设定阈值后自动停止</w:t>
      </w:r>
    </w:p>
    <w:p w14:paraId="01B4F8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12.★外接传感器接口数量≥5个，包含温度、接触电阻、湿度3个专用接口和至少2个通用传感器接口</w:t>
      </w:r>
    </w:p>
    <w:p w14:paraId="2EEF5C3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13.温度传感器：-100-400 ℃，精度≤0.1℃</w:t>
      </w:r>
    </w:p>
    <w:p w14:paraId="236743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14.接触电阻传感器 0-1000 Ω，精度≤0.1Ω</w:t>
      </w:r>
    </w:p>
    <w:p w14:paraId="1AE5FF7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15.湿度传感器：0-100%RH，精度≤0.1%RH</w:t>
      </w:r>
    </w:p>
    <w:p w14:paraId="189751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16.透明环境罩，具备气路快速接口，可通气体进行不同气体下的摩擦</w:t>
      </w:r>
    </w:p>
    <w:p w14:paraId="5FADEB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17.配备液体环境槽，能进行液体腐蚀环境中的摩擦</w:t>
      </w:r>
    </w:p>
    <w:p w14:paraId="5BA2DB4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18.配备摩擦腐蚀电化学模块，能进行摩擦腐蚀测试</w:t>
      </w:r>
    </w:p>
    <w:p w14:paraId="4A4A2A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19.★配备可拆卸高温加热模块，能进行最高800℃高温摩擦磨损测试，升温速度≥200℃/min，外壳采用风冷，非水冷，温控器在设备内部，通过软件进行温度设置</w:t>
      </w:r>
    </w:p>
    <w:p w14:paraId="04A5384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测试软件：具备实时显示摩擦系数、摩擦力、温度、接触电阻、湿度等曲线，可对曲线进行平滑处理，可按要求导出txt、Excel等多种格式数据，生成word图文报告，可计算最大赫兹接触应力和磨损率，可对温度、湿度等模块进行参数控制</w:t>
      </w:r>
    </w:p>
    <w:p w14:paraId="75A7FB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21.配置的仪器操作终端，不低于此配置（CPU</w:t>
      </w:r>
      <w:bookmarkStart w:id="140" w:name="OLE_LINK43"/>
      <w:r>
        <w:rPr>
          <w:rFonts w:hint="eastAsia" w:ascii="仿宋" w:hAnsi="仿宋" w:eastAsia="仿宋" w:cs="仿宋"/>
          <w:bCs/>
          <w:color w:val="auto"/>
          <w:sz w:val="24"/>
          <w:szCs w:val="24"/>
          <w:highlight w:val="none"/>
        </w:rPr>
        <w:t xml:space="preserve"> i3</w:t>
      </w:r>
      <w:r>
        <w:rPr>
          <w:rFonts w:ascii="仿宋" w:hAnsi="仿宋" w:eastAsia="仿宋" w:cs="仿宋"/>
          <w:bCs/>
          <w:color w:val="auto"/>
          <w:sz w:val="24"/>
          <w:szCs w:val="24"/>
          <w:highlight w:val="none"/>
        </w:rPr>
        <w:t xml:space="preserve"> 14</w:t>
      </w:r>
      <w:r>
        <w:rPr>
          <w:rFonts w:hint="eastAsia" w:ascii="仿宋" w:hAnsi="仿宋" w:eastAsia="仿宋" w:cs="仿宋"/>
          <w:bCs/>
          <w:color w:val="auto"/>
          <w:sz w:val="24"/>
          <w:szCs w:val="24"/>
          <w:highlight w:val="none"/>
        </w:rPr>
        <w:t>代,不低于4核心8线程设计，基础频率不低于3</w:t>
      </w:r>
      <w:r>
        <w:rPr>
          <w:rFonts w:ascii="仿宋" w:hAnsi="仿宋" w:eastAsia="仿宋" w:cs="仿宋"/>
          <w:bCs/>
          <w:color w:val="auto"/>
          <w:sz w:val="24"/>
          <w:szCs w:val="24"/>
          <w:highlight w:val="none"/>
        </w:rPr>
        <w:t>.5GHz</w:t>
      </w:r>
      <w:bookmarkEnd w:id="140"/>
      <w:r>
        <w:rPr>
          <w:rFonts w:hint="eastAsia" w:ascii="仿宋" w:hAnsi="仿宋" w:eastAsia="仿宋" w:cs="仿宋"/>
          <w:bCs/>
          <w:color w:val="auto"/>
          <w:sz w:val="24"/>
          <w:szCs w:val="24"/>
          <w:highlight w:val="none"/>
        </w:rPr>
        <w:t>，仪器显示终端</w:t>
      </w:r>
      <w:bookmarkStart w:id="141" w:name="OLE_LINK3"/>
      <w:r>
        <w:rPr>
          <w:rFonts w:hint="eastAsia" w:ascii="仿宋" w:hAnsi="仿宋" w:eastAsia="仿宋" w:cs="仿宋"/>
          <w:bCs/>
          <w:color w:val="auto"/>
          <w:sz w:val="24"/>
          <w:szCs w:val="24"/>
          <w:highlight w:val="none"/>
        </w:rPr>
        <w:t>≥</w:t>
      </w:r>
      <w:bookmarkEnd w:id="141"/>
      <w:r>
        <w:rPr>
          <w:rFonts w:hint="eastAsia" w:ascii="仿宋" w:hAnsi="仿宋" w:eastAsia="仿宋" w:cs="仿宋"/>
          <w:bCs/>
          <w:color w:val="auto"/>
          <w:sz w:val="24"/>
          <w:szCs w:val="24"/>
          <w:highlight w:val="none"/>
        </w:rPr>
        <w:t>23.8寸，内存≥16G，硬盘≥512G SSD），不能采用工控机进行替代。</w:t>
      </w:r>
    </w:p>
    <w:p w14:paraId="61D56DD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十、随机附件</w:t>
      </w:r>
    </w:p>
    <w:p w14:paraId="3E0C02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1.实验工作台、工具柜、五金工具、除尘系统、真空烘干箱、粉末球磨机、随机耗材等。</w:t>
      </w:r>
    </w:p>
    <w:p w14:paraId="1B0893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1B23A487">
      <w:pPr>
        <w:tabs>
          <w:tab w:val="center" w:pos="4832"/>
          <w:tab w:val="left" w:pos="7140"/>
        </w:tabs>
        <w:spacing w:line="360" w:lineRule="auto"/>
        <w:jc w:val="center"/>
        <w:outlineLvl w:val="1"/>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标的十一：3D线扫描激光成像仪</w:t>
      </w:r>
    </w:p>
    <w:p w14:paraId="37F8AD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一.工作条件：</w:t>
      </w:r>
    </w:p>
    <w:p w14:paraId="2586FB4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 仪器工作环境温湿度：0-50°C，10-90% RH；</w:t>
      </w:r>
    </w:p>
    <w:p w14:paraId="08A92D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 供电需求：220伏。</w:t>
      </w:r>
    </w:p>
    <w:p w14:paraId="278985E4">
      <w:pPr>
        <w:spacing w:line="360" w:lineRule="auto"/>
        <w:rPr>
          <w:rFonts w:ascii="仿宋" w:hAnsi="仿宋" w:eastAsia="仿宋" w:cs="仿宋"/>
          <w:bCs/>
          <w:color w:val="auto"/>
          <w:sz w:val="24"/>
          <w:szCs w:val="24"/>
          <w:highlight w:val="none"/>
        </w:rPr>
      </w:pPr>
    </w:p>
    <w:p w14:paraId="37AAFFD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二.技术指标</w:t>
      </w:r>
    </w:p>
    <w:p w14:paraId="473264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2.1室内单株作物三维高精度成像系统</w:t>
      </w:r>
    </w:p>
    <w:p w14:paraId="5CC3CF63">
      <w:pPr>
        <w:spacing w:line="360" w:lineRule="auto"/>
        <w:rPr>
          <w:rFonts w:ascii="仿宋" w:hAnsi="仿宋" w:eastAsia="仿宋" w:cs="仿宋"/>
          <w:bCs/>
          <w:color w:val="auto"/>
          <w:sz w:val="24"/>
          <w:szCs w:val="24"/>
          <w:highlight w:val="none"/>
        </w:rPr>
      </w:pPr>
    </w:p>
    <w:p w14:paraId="20F0BB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2.1.1激光雷达：</w:t>
      </w:r>
    </w:p>
    <w:p w14:paraId="21DAAE2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（1）▲探测量程 ：≥300m @10%反射率 </w:t>
      </w:r>
    </w:p>
    <w:p w14:paraId="2F5B8B3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（2）最小量程 :≤1.2m </w:t>
      </w:r>
    </w:p>
    <w:p w14:paraId="01DDF27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（3）视场角 (H×V)：ROI 区域 ≥ 120°×8.6° </w:t>
      </w:r>
    </w:p>
    <w:p w14:paraId="50216A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（4）非ROI区域 ≥120°×25.6°</w:t>
      </w:r>
    </w:p>
    <w:p w14:paraId="76FF98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（5）角分辨率 (H×V) ：≥0.1°×0.22° </w:t>
      </w:r>
    </w:p>
    <w:p w14:paraId="3B8463B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（6）▲测距精度 ：≤3cm@1σ  </w:t>
      </w:r>
    </w:p>
    <w:p w14:paraId="153C38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（7）点频：768K points/s（无 ROI）、1.02M points/s（有 ROI）  </w:t>
      </w:r>
    </w:p>
    <w:p w14:paraId="4603112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（8）帧率 ：10Hz</w:t>
      </w:r>
    </w:p>
    <w:p w14:paraId="447A44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（9）回波模式 ：单回波 &amp; 双回波 </w:t>
      </w:r>
    </w:p>
    <w:p w14:paraId="4D4EB1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（10）▲等效线数 ：128 线/256线</w:t>
      </w:r>
    </w:p>
    <w:p w14:paraId="7D4116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（11）防护等级：IP67</w:t>
      </w:r>
    </w:p>
    <w:p w14:paraId="5FA4F91C">
      <w:pPr>
        <w:spacing w:line="360" w:lineRule="auto"/>
        <w:rPr>
          <w:rFonts w:ascii="仿宋" w:hAnsi="仿宋" w:eastAsia="仿宋" w:cs="仿宋"/>
          <w:bCs/>
          <w:color w:val="auto"/>
          <w:sz w:val="24"/>
          <w:szCs w:val="24"/>
          <w:highlight w:val="none"/>
        </w:rPr>
      </w:pPr>
    </w:p>
    <w:p w14:paraId="444F05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2.1.2 iToF深度相机</w:t>
      </w:r>
    </w:p>
    <w:p w14:paraId="2DB6AB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（1）产品类型：ToF 深度相机</w:t>
      </w:r>
    </w:p>
    <w:p w14:paraId="5992D08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▲ToF 分辨率：≥640×480@30FPS</w:t>
      </w:r>
    </w:p>
    <w:p w14:paraId="168699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▲RGB 分辨率：≥1600×1200@30FPS</w:t>
      </w:r>
    </w:p>
    <w:p w14:paraId="5EE49FC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▲测距范围：0.3m–4.5m</w:t>
      </w:r>
    </w:p>
    <w:p w14:paraId="0D221CB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深度精度：＜2%（受反射率影响）</w:t>
      </w:r>
    </w:p>
    <w:p w14:paraId="363D2CF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视场角：水平 70°，垂直 50°（ToF/RGB 一致）</w:t>
      </w:r>
    </w:p>
    <w:p w14:paraId="08F453D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▲激光类型：940nm VCSEL，2×10W，Class 1 人眼安全</w:t>
      </w:r>
    </w:p>
    <w:p w14:paraId="740E3CF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输出格式：16bit 深度 + 8bit IR+JPEG (RGB)</w:t>
      </w:r>
    </w:p>
    <w:p w14:paraId="5BC8619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防护等级：IP42</w:t>
      </w:r>
    </w:p>
    <w:p w14:paraId="24D8E8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重量：256g</w:t>
      </w:r>
    </w:p>
    <w:p w14:paraId="7E3FA68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尺寸：125mm×50mm×34.5mm</w:t>
      </w:r>
    </w:p>
    <w:p w14:paraId="78B890C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（2）电气与供电</w:t>
      </w:r>
    </w:p>
    <w:p w14:paraId="01605B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供电方式：仅 DC 12–24V（不支持 PoE）</w:t>
      </w:r>
    </w:p>
    <w:p w14:paraId="45B222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推荐电压：11–26V；绝对最大：11–28V</w:t>
      </w:r>
    </w:p>
    <w:p w14:paraId="1295EEF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功耗（12V 输入）：</w:t>
      </w:r>
    </w:p>
    <w:p w14:paraId="7447A16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工作模式：平均 470mA，最大 640mA</w:t>
      </w:r>
    </w:p>
    <w:p w14:paraId="4A46EE2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广播模式：平均 190mA，最大 200mA</w:t>
      </w:r>
    </w:p>
    <w:p w14:paraId="1AF3BC0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数字 I/O（外触发）：3.3–24V</w:t>
      </w:r>
    </w:p>
    <w:p w14:paraId="0360ADD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通讯接口：千兆以太网（RJ45）+M8 A 型多功能接口</w:t>
      </w:r>
    </w:p>
    <w:p w14:paraId="3037F61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（3）环境参数</w:t>
      </w:r>
    </w:p>
    <w:p w14:paraId="5071455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工作温度：-20℃～+50℃</w:t>
      </w:r>
    </w:p>
    <w:p w14:paraId="69F40E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存储温度：-30℃～+70℃</w:t>
      </w:r>
    </w:p>
    <w:p w14:paraId="4D1067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工作 / 存储湿度：20%–80%RH</w:t>
      </w:r>
    </w:p>
    <w:p w14:paraId="366948C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散热：被动散热，无风扇</w:t>
      </w:r>
    </w:p>
    <w:p w14:paraId="2766408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（4）接口与功能</w:t>
      </w:r>
    </w:p>
    <w:p w14:paraId="1D31214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▲接口：千兆以太网 (RJ45) + M8 A 型 6 芯航插</w:t>
      </w:r>
    </w:p>
    <w:p w14:paraId="2D6BD72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触发：硬触发 / 软触发</w:t>
      </w:r>
    </w:p>
    <w:p w14:paraId="054B6C7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曝光：手动曝光，30fps 最大 5500μs</w:t>
      </w:r>
    </w:p>
    <w:p w14:paraId="1EB708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滤波：FillHole、空间滤波、时间滤波、飞点滤波、置信度滤波</w:t>
      </w:r>
    </w:p>
    <w:p w14:paraId="3BCFE6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功能：IR 图输出、RGBD 双向对齐</w:t>
      </w:r>
    </w:p>
    <w:p w14:paraId="3618CD5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系统支持：Windows/Linux/Arm Linux，C/C++/Python/C#/ROS1/ROS2</w:t>
      </w:r>
    </w:p>
    <w:p w14:paraId="7D96A3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默认 IP：192.168.1.101</w:t>
      </w:r>
    </w:p>
    <w:p w14:paraId="1A9E30C0">
      <w:pPr>
        <w:spacing w:line="360" w:lineRule="auto"/>
        <w:rPr>
          <w:rFonts w:ascii="仿宋" w:hAnsi="仿宋" w:eastAsia="仿宋" w:cs="仿宋"/>
          <w:bCs/>
          <w:color w:val="auto"/>
          <w:sz w:val="24"/>
          <w:szCs w:val="24"/>
          <w:highlight w:val="none"/>
        </w:rPr>
      </w:pPr>
    </w:p>
    <w:p w14:paraId="1CF1306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2.1.3  4K全局快门RGB相机  4台</w:t>
      </w:r>
    </w:p>
    <w:p w14:paraId="7F9A13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（1）分辨率：≥5328(H) × 4608(V)</w:t>
      </w:r>
    </w:p>
    <w:p w14:paraId="5A12AE5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（2）传感器： Global shutter CMOS</w:t>
      </w:r>
    </w:p>
    <w:p w14:paraId="61B5BA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（3）靶面尺寸：1.2"</w:t>
      </w:r>
    </w:p>
    <w:p w14:paraId="4C922C0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（4）像元尺寸：2.74μm × 2.74μm</w:t>
      </w:r>
    </w:p>
    <w:p w14:paraId="23BCDDD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（5）帧率：12 fps</w:t>
      </w:r>
    </w:p>
    <w:p w14:paraId="7BE75DD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（6）像素深度：8 bit，12 bit</w:t>
      </w:r>
    </w:p>
    <w:p w14:paraId="4733AB8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（7）信噪比：40.19 dB</w:t>
      </w:r>
    </w:p>
    <w:p w14:paraId="0E97B3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（8）增益：0dB ~ 16dB</w:t>
      </w:r>
    </w:p>
    <w:p w14:paraId="71BEE77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（9）数据接口：2.5GigE</w:t>
      </w:r>
    </w:p>
    <w:p w14:paraId="6758F3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（10）工作温度 0℃~+50℃</w:t>
      </w:r>
    </w:p>
    <w:p w14:paraId="66DC7E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（11）储存温度 - 20℃~+70℃</w:t>
      </w:r>
    </w:p>
    <w:p w14:paraId="3A95638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（12）工作湿度 10%~80%，环境适应性强</w:t>
      </w:r>
    </w:p>
    <w:p w14:paraId="3BBB823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（13）镜头接口：C 接口</w:t>
      </w:r>
    </w:p>
    <w:p w14:paraId="2A309B9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（14）机械尺寸：≤29 (W)×29 (H)×50.6 (L) mm</w:t>
      </w:r>
    </w:p>
    <w:p w14:paraId="0F6D44D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（15）重量：≤69g</w:t>
      </w:r>
    </w:p>
    <w:p w14:paraId="7F64A33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2.1.4定制在线检测平台</w:t>
      </w:r>
    </w:p>
    <w:p w14:paraId="6516914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传送带（皮带宽度：100cm;圆弧内径：80cm;直线传送长度：100cm;最大速度：1500cm/min;电机功率：2000W）；</w:t>
      </w:r>
    </w:p>
    <w:p w14:paraId="0F56696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算力系统：（CPU：主频≥2.6 GHz，8核16线程；内存：32G；算力：不低于560TOPS；存储：2T固态）；</w:t>
      </w:r>
    </w:p>
    <w:p w14:paraId="3DA4FC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操作（屏幕：触控显示屏）</w:t>
      </w:r>
    </w:p>
    <w:p w14:paraId="19D9CC7D">
      <w:pPr>
        <w:spacing w:line="360" w:lineRule="auto"/>
        <w:rPr>
          <w:rFonts w:ascii="仿宋" w:hAnsi="仿宋" w:eastAsia="仿宋" w:cs="仿宋"/>
          <w:bCs/>
          <w:color w:val="auto"/>
          <w:sz w:val="24"/>
          <w:szCs w:val="24"/>
          <w:highlight w:val="none"/>
        </w:rPr>
      </w:pPr>
    </w:p>
    <w:p w14:paraId="75788F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2.1.5标准化成像暗舱+均匀光源系统</w:t>
      </w:r>
    </w:p>
    <w:p w14:paraId="6D6AFE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-光源：配套4K相机使用4组光源</w:t>
      </w:r>
    </w:p>
    <w:p w14:paraId="0BF24A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-亮度可调，无反光、无阴影</w:t>
      </w:r>
    </w:p>
    <w:p w14:paraId="6D2D09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-遮光、防尘、防外界光干扰</w:t>
      </w:r>
    </w:p>
    <w:p w14:paraId="7BE67D28">
      <w:pPr>
        <w:spacing w:line="360" w:lineRule="auto"/>
        <w:rPr>
          <w:rFonts w:ascii="仿宋" w:hAnsi="仿宋" w:eastAsia="仿宋" w:cs="仿宋"/>
          <w:bCs/>
          <w:color w:val="auto"/>
          <w:sz w:val="24"/>
          <w:szCs w:val="24"/>
          <w:highlight w:val="none"/>
        </w:rPr>
      </w:pPr>
    </w:p>
    <w:p w14:paraId="0A1B80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2.1.6表型分析计算工作站</w:t>
      </w:r>
    </w:p>
    <w:p w14:paraId="58458DC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-CPU：核心数≥24核，线程数≥32线程，最大睿频频率≥5.5 GHz，三级缓存≥30MB</w:t>
      </w:r>
    </w:p>
    <w:p w14:paraId="316C09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-内存：不低于64GB DDR5</w:t>
      </w:r>
    </w:p>
    <w:p w14:paraId="3CEE312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-硬盘：不低于4TB SSD</w:t>
      </w:r>
    </w:p>
    <w:p w14:paraId="506A5F6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-显卡：显存容量不低于24GB，性能满足大规模点云处理和AI模型训练需求</w:t>
      </w:r>
    </w:p>
    <w:p w14:paraId="6F7AA4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-系统：Windows 11+Linux双系统</w:t>
      </w:r>
    </w:p>
    <w:p w14:paraId="1CCE1D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-用途：点云配准、三维重建、AI表型提取</w:t>
      </w:r>
    </w:p>
    <w:p w14:paraId="3A6DFE2D">
      <w:pPr>
        <w:spacing w:line="360" w:lineRule="auto"/>
        <w:rPr>
          <w:rFonts w:ascii="仿宋" w:hAnsi="仿宋" w:eastAsia="仿宋" w:cs="仿宋"/>
          <w:bCs/>
          <w:color w:val="auto"/>
          <w:sz w:val="24"/>
          <w:szCs w:val="24"/>
          <w:highlight w:val="none"/>
        </w:rPr>
      </w:pPr>
    </w:p>
    <w:p w14:paraId="44C2FA79">
      <w:pPr>
        <w:spacing w:line="360" w:lineRule="auto"/>
        <w:rPr>
          <w:rFonts w:ascii="仿宋" w:hAnsi="仿宋" w:eastAsia="仿宋" w:cs="仿宋"/>
          <w:bCs/>
          <w:color w:val="auto"/>
          <w:sz w:val="24"/>
          <w:szCs w:val="24"/>
          <w:highlight w:val="none"/>
        </w:rPr>
      </w:pPr>
    </w:p>
    <w:p w14:paraId="5825F5B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2.1.7线性电动滑轨系统</w:t>
      </w:r>
    </w:p>
    <w:p w14:paraId="2F76BD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-有效行程：1500mm</w:t>
      </w:r>
    </w:p>
    <w:p w14:paraId="762244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-重复定位精度：±0.1mm</w:t>
      </w:r>
    </w:p>
    <w:p w14:paraId="692BA63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-速度可调：0–200mm/s</w:t>
      </w:r>
    </w:p>
    <w:p w14:paraId="29D853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-同步触发相机/雷达</w:t>
      </w:r>
    </w:p>
    <w:p w14:paraId="77BD780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-用途：小区作物群体横向全覆盖扫描</w:t>
      </w:r>
    </w:p>
    <w:p w14:paraId="3BE2AC2C">
      <w:pPr>
        <w:spacing w:line="360" w:lineRule="auto"/>
        <w:rPr>
          <w:rFonts w:ascii="仿宋" w:hAnsi="仿宋" w:eastAsia="仿宋" w:cs="仿宋"/>
          <w:bCs/>
          <w:color w:val="auto"/>
          <w:sz w:val="24"/>
          <w:szCs w:val="24"/>
          <w:highlight w:val="none"/>
        </w:rPr>
      </w:pPr>
    </w:p>
    <w:p w14:paraId="30AA6C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2.1.8同步控制与采集模块</w:t>
      </w:r>
    </w:p>
    <w:p w14:paraId="1D7CC31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-多设备外触发同步</w:t>
      </w:r>
    </w:p>
    <w:p w14:paraId="465E97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-支持时间戳精度1μs</w:t>
      </w:r>
    </w:p>
    <w:p w14:paraId="28AFC77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-多路GPIO隔离I/O</w:t>
      </w:r>
    </w:p>
    <w:p w14:paraId="5E906CBC">
      <w:pPr>
        <w:spacing w:line="360" w:lineRule="auto"/>
        <w:rPr>
          <w:rFonts w:ascii="仿宋" w:hAnsi="仿宋" w:eastAsia="仿宋" w:cs="仿宋"/>
          <w:bCs/>
          <w:color w:val="auto"/>
          <w:sz w:val="24"/>
          <w:szCs w:val="24"/>
          <w:highlight w:val="none"/>
        </w:rPr>
      </w:pPr>
    </w:p>
    <w:p w14:paraId="30EC9D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2.2室外果树三维结构重建系统（可移动、野外可用）</w:t>
      </w:r>
    </w:p>
    <w:p w14:paraId="485DA8E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2.2.1便携式一体化高精度3D扫描仪</w:t>
      </w:r>
    </w:p>
    <w:p w14:paraId="7BA1D8A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1.系统技术参数</w:t>
      </w:r>
    </w:p>
    <w:p w14:paraId="66C1BD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 扫描方式：多线激光移动拍照式，手持或机械移动装夹扫描</w:t>
      </w:r>
    </w:p>
    <w:p w14:paraId="0D5F0D5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 扫描精度：最高0.02mm，最高0.01mm（精细模式）</w:t>
      </w:r>
    </w:p>
    <w:p w14:paraId="07B88AE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 体积精度:  不低于0.015mm+0.03 mm/m（标准模式）；0.015mm+0.02 mm/m（摄影</w:t>
      </w:r>
    </w:p>
    <w:p w14:paraId="5CEF4A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测量模式）</w:t>
      </w:r>
    </w:p>
    <w:p w14:paraId="1696A51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 空间点距：0.01mm~10mm可调</w:t>
      </w:r>
    </w:p>
    <w:p w14:paraId="0AA054F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 扫描速度：不低于5,700,000点/秒</w:t>
      </w:r>
    </w:p>
    <w:p w14:paraId="3067589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 扫描范围：静态扫描幅面不小于700mm*600mm </w:t>
      </w:r>
    </w:p>
    <w:p w14:paraId="0E20581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 光源：蓝色线激光，二级人眼安全，输入功率60W，波长450nm。</w:t>
      </w:r>
    </w:p>
    <w:p w14:paraId="394BEFC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 光源形式：50束交叉激光线，7束平行激光线，1束单独工作激光线。</w:t>
      </w:r>
    </w:p>
    <w:p w14:paraId="614918A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 摄影测量：内置双工业相机同步拍摄，无需在被测物上粘贴编码标志贴，配置两根碳纤维材质标尺。 </w:t>
      </w:r>
    </w:p>
    <w:p w14:paraId="0C33015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1.10 无线传输：采用嵌入式边缘计算模块，且使用移动电源供电，扫描过程中无需连接电脑&amp;电源线，面对复杂测量环境能够行动自如，且有线/无线连接可自由切换。</w:t>
      </w:r>
    </w:p>
    <w:p w14:paraId="61D3F28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1.11 实时网格：扫描过程中可实时生成三角网格面，无需通过生成三维点云，再封装处理为三角网格面。</w:t>
      </w:r>
    </w:p>
    <w:p w14:paraId="1363C2E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1.12工程对齐：多个扫描工程可在扫描软件中根据模型特征或标志点进行一键对齐。</w:t>
      </w:r>
    </w:p>
    <w:p w14:paraId="2D51BE8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▲1.13质量色谱：扫描过程中软件通过彩色色谱对点云边缘数据质量实时评价，提醒工作人员对漏扫区域增补。</w:t>
      </w:r>
    </w:p>
    <w:p w14:paraId="75879E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1.14模型修复：对扫描数据可进行交互式数据修复功能，如手动单孔补洞，平滑，锐化，</w:t>
      </w:r>
    </w:p>
    <w:p w14:paraId="08110B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也可自动修复。兼容第三方STL数据导入编辑修复功能，可生成封闭网格数据直接可用于3D打印使用。</w:t>
      </w:r>
    </w:p>
    <w:p w14:paraId="1185BDA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1.15模型编辑：可对扫描后的3D模型进行编辑操作，如简化，光顺，数据修补，坐标摆正。</w:t>
      </w:r>
    </w:p>
    <w:p w14:paraId="6CA104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1.16模型交互：支持将扫描的3D扫描的模型一键分享至数据交互云平台。通过局域网实现多人多部门协同作业。</w:t>
      </w:r>
    </w:p>
    <w:p w14:paraId="60B1357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1.17数据测量：扫描软件中实现点到点，点到面，面到面直线距离测量，可一键分析扫描模型的表面积，体积，并可以一键导出测量分析数据。</w:t>
      </w:r>
    </w:p>
    <w:p w14:paraId="4D196E4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▲1.18二次开发功能：提供SDK开发功能，支持外部软件控制，可实现设置亮度/采样频率远端调整、新建与保存工程、自动化标定、自动化测量、结果自动输出等功能</w:t>
      </w:r>
    </w:p>
    <w:p w14:paraId="091BF4F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1.19 计量检测模块：搭载通过德国物理研究院PTB测量精度双重认证的工业计量三维检测模块，能够进行3D比较，尺寸测量并输出检测报告。计量模块和三维扫描系统为国产品牌且为同一厂家。</w:t>
      </w:r>
    </w:p>
    <w:p w14:paraId="72746E82">
      <w:pPr>
        <w:spacing w:line="360" w:lineRule="auto"/>
        <w:rPr>
          <w:rFonts w:ascii="仿宋" w:hAnsi="仿宋" w:eastAsia="仿宋" w:cs="仿宋"/>
          <w:bCs/>
          <w:color w:val="auto"/>
          <w:sz w:val="24"/>
          <w:szCs w:val="24"/>
          <w:highlight w:val="none"/>
        </w:rPr>
      </w:pPr>
    </w:p>
    <w:p w14:paraId="180149F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2.2.2远距离dToF深度相机（室外强光专用）</w:t>
      </w:r>
    </w:p>
    <w:p w14:paraId="2DF111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-类型：直接飞行时间dToF</w:t>
      </w:r>
    </w:p>
    <w:p w14:paraId="70DE2D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传感器类型：DepthSense</w:t>
      </w:r>
    </w:p>
    <w:p w14:paraId="35656A5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快门类型：全局快门（Global Shutter）</w:t>
      </w:r>
    </w:p>
    <w:p w14:paraId="704DDC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分辨率：≥640 × 480（0.3 MP）</w:t>
      </w:r>
    </w:p>
    <w:p w14:paraId="749F17B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像素尺寸：10 µm × 10 µm</w:t>
      </w:r>
    </w:p>
    <w:p w14:paraId="6B25E9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视场角（FOV）：≥69° × 51°</w:t>
      </w:r>
    </w:p>
    <w:p w14:paraId="335B1CC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测距与性能</w:t>
      </w:r>
    </w:p>
    <w:p w14:paraId="1FE9FEB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工作距离：0.3 m ～ 8.3 m</w:t>
      </w:r>
    </w:p>
    <w:p w14:paraId="62A315B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工作模式：</w:t>
      </w:r>
    </w:p>
    <w:p w14:paraId="2BED190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标准模式：6 种（1.25 m ～ 8.3 m）</w:t>
      </w:r>
    </w:p>
    <w:p w14:paraId="663BF6E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高速模式：3 种（0.625 m / 1.25 m / 2.5 m）</w:t>
      </w:r>
    </w:p>
    <w:p w14:paraId="37D5E88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测量Accuracy（典型）：</w:t>
      </w:r>
    </w:p>
    <w:p w14:paraId="64BFA18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1.25 m：±4 mm</w:t>
      </w:r>
    </w:p>
    <w:p w14:paraId="52AB25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 m：±10 mm</w:t>
      </w:r>
    </w:p>
    <w:p w14:paraId="5DB6F93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 m：±4 mm+0.1% 深度</w:t>
      </w:r>
    </w:p>
    <w:p w14:paraId="63D438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8.3 m：±4 mm+0.2% 深度</w:t>
      </w:r>
    </w:p>
    <w:p w14:paraId="763D748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帧率普通模式：30 FPS</w:t>
      </w:r>
    </w:p>
    <w:p w14:paraId="45BBC10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HDR 模式：10 FPS（标准 HDR）</w:t>
      </w:r>
    </w:p>
    <w:p w14:paraId="641AA7C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高速模式：最高 103 FPS</w:t>
      </w:r>
    </w:p>
    <w:p w14:paraId="4DD2504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HDR 与低噪声模式</w:t>
      </w:r>
    </w:p>
    <w:p w14:paraId="5C62275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支持多档 HDR 曝光融合</w:t>
      </w:r>
    </w:p>
    <w:p w14:paraId="0E8C187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帧率可至 0.88 FPS到10fps（高动态低噪声）</w:t>
      </w:r>
    </w:p>
    <w:p w14:paraId="1FBA3CC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激光与照明</w:t>
      </w:r>
    </w:p>
    <w:p w14:paraId="279EFF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光源：4 × VCSEL 激光二极管</w:t>
      </w:r>
    </w:p>
    <w:p w14:paraId="6AD7137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波长：850 nm</w:t>
      </w:r>
    </w:p>
    <w:p w14:paraId="2BF2206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安全等级：Class 1</w:t>
      </w:r>
    </w:p>
    <w:p w14:paraId="3BC480E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接口与电气参数</w:t>
      </w:r>
    </w:p>
    <w:p w14:paraId="161AEFC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数据接口：</w:t>
      </w:r>
    </w:p>
    <w:p w14:paraId="5A7CD7F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1000BASE-T GigE Vision</w:t>
      </w:r>
    </w:p>
    <w:p w14:paraId="5C6FC36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M12 X-coded 接口</w:t>
      </w:r>
    </w:p>
    <w:p w14:paraId="0AE26A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GPIO：8-pin M8 接口</w:t>
      </w:r>
    </w:p>
    <w:p w14:paraId="49EAB72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光耦隔离 I/O：1 输入 + 1 输出</w:t>
      </w:r>
    </w:p>
    <w:p w14:paraId="1448582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非隔离 I/O：2 路双向</w:t>
      </w:r>
    </w:p>
    <w:p w14:paraId="000828E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同步方式：软件触发，硬件触发，PTP（IEEE 1588）</w:t>
      </w:r>
    </w:p>
    <w:p w14:paraId="789D972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供电方式：PoE+（IEEE 802.3at）或 GPIO 18–24 V</w:t>
      </w:r>
    </w:p>
    <w:p w14:paraId="6E9F852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功耗：平均 &lt; 12 W，峰值 &lt; 30 W</w:t>
      </w:r>
    </w:p>
    <w:p w14:paraId="0FD21955">
      <w:pPr>
        <w:spacing w:line="360" w:lineRule="auto"/>
        <w:rPr>
          <w:rFonts w:ascii="仿宋" w:hAnsi="仿宋" w:eastAsia="仿宋" w:cs="仿宋"/>
          <w:bCs/>
          <w:color w:val="auto"/>
          <w:sz w:val="24"/>
          <w:szCs w:val="24"/>
          <w:highlight w:val="none"/>
        </w:rPr>
      </w:pPr>
    </w:p>
    <w:p w14:paraId="43964BF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 iToF深度相机</w:t>
      </w:r>
    </w:p>
    <w:p w14:paraId="2ACEBF8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（1）产品类型：ToF 深度相机</w:t>
      </w:r>
    </w:p>
    <w:p w14:paraId="389E36C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▲ToF 分辨率：≥640×480@30FPS</w:t>
      </w:r>
    </w:p>
    <w:p w14:paraId="312F01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▲RGB 分辨率：≥1600×1200@30FPS</w:t>
      </w:r>
    </w:p>
    <w:p w14:paraId="14ACB4A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▲测距范围：0.3m–4.5m</w:t>
      </w:r>
    </w:p>
    <w:p w14:paraId="7C4C092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深度精度：＜2%（受反射率影响）</w:t>
      </w:r>
    </w:p>
    <w:p w14:paraId="3803179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视场角：水平 70°，垂直 50°（ToF/RGB 一致）</w:t>
      </w:r>
    </w:p>
    <w:p w14:paraId="0764B6A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▲激光类型：940nm VCSEL，2×10W，Class 1 人眼安全</w:t>
      </w:r>
    </w:p>
    <w:p w14:paraId="6B903B9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输出格式：16bit 深度 + 8bit IR+JPEG (RGB)</w:t>
      </w:r>
    </w:p>
    <w:p w14:paraId="29E925F6">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防护等级：IP42</w:t>
      </w:r>
    </w:p>
    <w:p w14:paraId="3ED32B9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重量：256g</w:t>
      </w:r>
    </w:p>
    <w:p w14:paraId="20E263B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尺寸：125mm×50mm×34.5mm</w:t>
      </w:r>
    </w:p>
    <w:p w14:paraId="55879CC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（2）电气与供电</w:t>
      </w:r>
    </w:p>
    <w:p w14:paraId="45C9695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供电方式：仅 DC 12–24V（不支持 PoE）</w:t>
      </w:r>
    </w:p>
    <w:p w14:paraId="353596E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推荐电压：11–26V；绝对最大：11–28V</w:t>
      </w:r>
    </w:p>
    <w:p w14:paraId="6877B74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功耗（12V 输入）：</w:t>
      </w:r>
    </w:p>
    <w:p w14:paraId="54DC86E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工作模式：平均 470mA，最大 640mA</w:t>
      </w:r>
    </w:p>
    <w:p w14:paraId="32A76E9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广播模式：平均 190mA，最大 200mA</w:t>
      </w:r>
    </w:p>
    <w:p w14:paraId="1E4466B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数字 I/O（外触发）：3.3–24V</w:t>
      </w:r>
    </w:p>
    <w:p w14:paraId="6CC4B4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通讯接口：千兆以太网（RJ45）+M8 A 型多功能接口</w:t>
      </w:r>
    </w:p>
    <w:p w14:paraId="3A332B6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（3）环境参数</w:t>
      </w:r>
    </w:p>
    <w:p w14:paraId="4990625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工作温度：-20℃～+50℃</w:t>
      </w:r>
    </w:p>
    <w:p w14:paraId="4723F10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存储温度：-30℃～+70℃</w:t>
      </w:r>
    </w:p>
    <w:p w14:paraId="210DB79E">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工作 / 存储湿度：20%–80%RH</w:t>
      </w:r>
    </w:p>
    <w:p w14:paraId="54EBF8D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散热：被动散热，无风扇</w:t>
      </w:r>
    </w:p>
    <w:p w14:paraId="071D916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（4）接口与功能</w:t>
      </w:r>
    </w:p>
    <w:p w14:paraId="096E0DD0">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▲接口：千兆以太网 (RJ45) + M8 A 型 6 芯航插</w:t>
      </w:r>
    </w:p>
    <w:p w14:paraId="0164CF9C">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触发：硬触发 / 软触发</w:t>
      </w:r>
    </w:p>
    <w:p w14:paraId="64EBF26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曝光：手动曝光，30fps 最大 5500μs</w:t>
      </w:r>
    </w:p>
    <w:p w14:paraId="677552A1">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滤波：FillHole、空间滤波、时间滤波、飞点滤波、置信度滤波</w:t>
      </w:r>
    </w:p>
    <w:p w14:paraId="5A9C6C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功能：IR 图输出、RGBD 双向对齐</w:t>
      </w:r>
    </w:p>
    <w:p w14:paraId="1F5EA31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系统支持：Windows/Linux/Arm Linux，C/C++/Python/C#/ROS1/ROS2</w:t>
      </w:r>
    </w:p>
    <w:p w14:paraId="282CF8E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默认 IP：192.168.1.101</w:t>
      </w:r>
    </w:p>
    <w:p w14:paraId="25C87121">
      <w:pPr>
        <w:spacing w:line="360" w:lineRule="auto"/>
        <w:rPr>
          <w:rFonts w:ascii="仿宋" w:hAnsi="仿宋" w:eastAsia="仿宋" w:cs="仿宋"/>
          <w:bCs/>
          <w:color w:val="auto"/>
          <w:sz w:val="24"/>
          <w:szCs w:val="24"/>
          <w:highlight w:val="none"/>
        </w:rPr>
      </w:pPr>
    </w:p>
    <w:p w14:paraId="06537A59">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2.2.4机载雷达</w:t>
      </w:r>
    </w:p>
    <w:p w14:paraId="148905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（激光：1535nm人眼安全</w:t>
      </w:r>
    </w:p>
    <w:p w14:paraId="080689C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测程：950m（10%反射率）、2000m（80%）</w:t>
      </w:r>
    </w:p>
    <w:p w14:paraId="3F11B99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点频：10万–200万点/秒（可调）</w:t>
      </w:r>
    </w:p>
    <w:p w14:paraId="570A190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回波：最大16回波（超强穿透）</w:t>
      </w:r>
    </w:p>
    <w:p w14:paraId="2267639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发散角：0.25m rad</w:t>
      </w:r>
    </w:p>
    <w:p w14:paraId="75B21E9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RGB：双1亿像素4/3 CMOS</w:t>
      </w:r>
    </w:p>
    <w:p w14:paraId="6C0FA17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精度：300m航高→高程3cm、平面7.5cm（RMSE）</w:t>
      </w:r>
    </w:p>
    <w:p w14:paraId="16027E0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重量：≈1.2kg</w:t>
      </w:r>
    </w:p>
    <w:p w14:paraId="1262CFD7">
      <w:pPr>
        <w:spacing w:line="360" w:lineRule="auto"/>
        <w:rPr>
          <w:rFonts w:ascii="仿宋" w:hAnsi="仿宋" w:eastAsia="仿宋" w:cs="仿宋"/>
          <w:bCs/>
          <w:color w:val="auto"/>
          <w:sz w:val="24"/>
          <w:szCs w:val="24"/>
          <w:highlight w:val="none"/>
        </w:rPr>
      </w:pPr>
    </w:p>
    <w:p w14:paraId="386432A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三、辅助配件与集成</w:t>
      </w:r>
    </w:p>
    <w:p w14:paraId="3A0995C7">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-工业相机支架、云台、固定夹具</w:t>
      </w:r>
    </w:p>
    <w:p w14:paraId="3C4F444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-标定板（几何标定+光谱标定）</w:t>
      </w:r>
    </w:p>
    <w:p w14:paraId="3A55952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-同步线缆、触发线、防水接头</w:t>
      </w:r>
    </w:p>
    <w:p w14:paraId="5D3F12E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-系统集成、安装调试、2年质保</w:t>
      </w:r>
    </w:p>
    <w:p w14:paraId="3B59EC8A">
      <w:pPr>
        <w:rPr>
          <w:rFonts w:ascii="仿宋" w:hAnsi="仿宋" w:eastAsia="仿宋" w:cs="仿宋"/>
          <w:bCs/>
          <w:color w:val="auto"/>
          <w:sz w:val="24"/>
          <w:szCs w:val="24"/>
          <w:highlight w:val="none"/>
        </w:rPr>
      </w:pPr>
    </w:p>
    <w:p w14:paraId="6FA5B1D5">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13B66A39">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5815BA7D">
      <w:pPr>
        <w:spacing w:line="440" w:lineRule="exact"/>
        <w:jc w:val="center"/>
        <w:outlineLvl w:val="0"/>
        <w:rPr>
          <w:rFonts w:ascii="仿宋" w:hAnsi="仿宋" w:eastAsia="仿宋" w:cs="仿宋"/>
          <w:b/>
          <w:color w:val="auto"/>
          <w:sz w:val="24"/>
          <w:szCs w:val="24"/>
          <w:highlight w:val="none"/>
        </w:rPr>
      </w:pPr>
      <w:bookmarkStart w:id="142" w:name="_Toc6645"/>
      <w:r>
        <w:rPr>
          <w:rFonts w:hint="eastAsia" w:ascii="仿宋" w:hAnsi="仿宋" w:eastAsia="仿宋" w:cs="仿宋"/>
          <w:b/>
          <w:color w:val="auto"/>
          <w:sz w:val="24"/>
          <w:szCs w:val="24"/>
          <w:highlight w:val="none"/>
        </w:rPr>
        <w:t>第五章 投标文件格式</w:t>
      </w:r>
      <w:bookmarkEnd w:id="96"/>
      <w:bookmarkEnd w:id="97"/>
      <w:bookmarkEnd w:id="142"/>
    </w:p>
    <w:p w14:paraId="54A02693">
      <w:pPr>
        <w:rPr>
          <w:rFonts w:ascii="仿宋" w:hAnsi="仿宋" w:eastAsia="仿宋" w:cs="仿宋"/>
          <w:b/>
          <w:color w:val="auto"/>
          <w:sz w:val="24"/>
          <w:szCs w:val="24"/>
          <w:highlight w:val="none"/>
        </w:rPr>
      </w:pPr>
    </w:p>
    <w:p w14:paraId="1EF4B517">
      <w:pPr>
        <w:rPr>
          <w:rFonts w:ascii="仿宋" w:hAnsi="仿宋" w:eastAsia="仿宋" w:cs="仿宋"/>
          <w:color w:val="auto"/>
          <w:sz w:val="24"/>
          <w:szCs w:val="24"/>
          <w:highlight w:val="none"/>
          <w:u w:val="single"/>
        </w:rPr>
      </w:pPr>
    </w:p>
    <w:p w14:paraId="2CD3E51C">
      <w:pPr>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投标文件封面示例</w:t>
      </w:r>
    </w:p>
    <w:p w14:paraId="58092E06">
      <w:pPr>
        <w:spacing w:line="480" w:lineRule="auto"/>
        <w:jc w:val="center"/>
        <w:rPr>
          <w:rFonts w:ascii="仿宋" w:hAnsi="仿宋" w:eastAsia="仿宋" w:cs="仿宋"/>
          <w:b/>
          <w:bCs/>
          <w:color w:val="auto"/>
          <w:sz w:val="24"/>
          <w:szCs w:val="24"/>
          <w:highlight w:val="none"/>
          <w:u w:val="single"/>
        </w:rPr>
      </w:pPr>
    </w:p>
    <w:p w14:paraId="733787A0">
      <w:pPr>
        <w:pStyle w:val="36"/>
        <w:ind w:firstLine="210"/>
        <w:rPr>
          <w:rFonts w:ascii="仿宋" w:hAnsi="仿宋" w:eastAsia="仿宋" w:cs="仿宋"/>
          <w:color w:val="auto"/>
          <w:highlight w:val="none"/>
        </w:rPr>
      </w:pPr>
    </w:p>
    <w:p w14:paraId="345AF119">
      <w:pPr>
        <w:spacing w:line="480" w:lineRule="auto"/>
        <w:jc w:val="center"/>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（项目名称）</w:t>
      </w:r>
    </w:p>
    <w:p w14:paraId="1FE01C2F">
      <w:pPr>
        <w:spacing w:line="480" w:lineRule="auto"/>
        <w:jc w:val="center"/>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（项目编号）</w:t>
      </w:r>
    </w:p>
    <w:p w14:paraId="73A5F137">
      <w:pPr>
        <w:spacing w:line="300" w:lineRule="exact"/>
        <w:jc w:val="center"/>
        <w:rPr>
          <w:rFonts w:ascii="仿宋" w:hAnsi="仿宋" w:eastAsia="仿宋" w:cs="仿宋"/>
          <w:b/>
          <w:bCs/>
          <w:color w:val="auto"/>
          <w:sz w:val="24"/>
          <w:szCs w:val="24"/>
          <w:highlight w:val="none"/>
        </w:rPr>
      </w:pPr>
    </w:p>
    <w:p w14:paraId="4023C963">
      <w:pPr>
        <w:spacing w:line="300" w:lineRule="exact"/>
        <w:jc w:val="center"/>
        <w:rPr>
          <w:rFonts w:ascii="仿宋" w:hAnsi="仿宋" w:eastAsia="仿宋" w:cs="仿宋"/>
          <w:b/>
          <w:bCs/>
          <w:color w:val="auto"/>
          <w:sz w:val="24"/>
          <w:szCs w:val="24"/>
          <w:highlight w:val="none"/>
        </w:rPr>
      </w:pPr>
    </w:p>
    <w:p w14:paraId="37F19EED">
      <w:pPr>
        <w:spacing w:line="30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w:t>
      </w:r>
    </w:p>
    <w:p w14:paraId="4B6ABA45">
      <w:pPr>
        <w:spacing w:line="720" w:lineRule="auto"/>
        <w:rPr>
          <w:rFonts w:ascii="仿宋" w:hAnsi="仿宋" w:eastAsia="仿宋" w:cs="仿宋"/>
          <w:color w:val="auto"/>
          <w:sz w:val="24"/>
          <w:szCs w:val="24"/>
          <w:highlight w:val="none"/>
        </w:rPr>
      </w:pPr>
    </w:p>
    <w:p w14:paraId="5878D08B">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投标人：（盖章）</w:t>
      </w:r>
    </w:p>
    <w:p w14:paraId="2DE5386B">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sz w:val="24"/>
          <w:szCs w:val="24"/>
          <w:highlight w:val="none"/>
        </w:rPr>
        <w:t>）</w:t>
      </w:r>
    </w:p>
    <w:p w14:paraId="4DB22521">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p w14:paraId="46474F09">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p w14:paraId="38AFE343">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4EAE56C2">
      <w:pPr>
        <w:spacing w:line="72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11432D04">
      <w:pPr>
        <w:spacing w:line="720" w:lineRule="auto"/>
        <w:rPr>
          <w:rFonts w:ascii="仿宋" w:hAnsi="仿宋" w:eastAsia="仿宋" w:cs="仿宋"/>
          <w:color w:val="auto"/>
          <w:sz w:val="24"/>
          <w:szCs w:val="24"/>
          <w:highlight w:val="none"/>
        </w:rPr>
      </w:pPr>
    </w:p>
    <w:p w14:paraId="5922B271">
      <w:pPr>
        <w:spacing w:line="720" w:lineRule="auto"/>
        <w:ind w:firstLine="2" w:firstLineChars="1"/>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2324778A">
      <w:pPr>
        <w:tabs>
          <w:tab w:val="center" w:pos="4832"/>
          <w:tab w:val="left" w:pos="7140"/>
        </w:tabs>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143" w:name="_Toc130252613"/>
      <w:r>
        <w:rPr>
          <w:rFonts w:hint="eastAsia" w:ascii="仿宋" w:hAnsi="仿宋" w:eastAsia="仿宋" w:cs="仿宋"/>
          <w:b/>
          <w:color w:val="auto"/>
          <w:sz w:val="24"/>
          <w:szCs w:val="24"/>
          <w:highlight w:val="none"/>
        </w:rPr>
        <w:t>目 录</w:t>
      </w:r>
      <w:bookmarkEnd w:id="143"/>
    </w:p>
    <w:p w14:paraId="490A9E7B">
      <w:pPr>
        <w:spacing w:line="280" w:lineRule="exact"/>
        <w:ind w:firstLine="240" w:firstLineChars="100"/>
        <w:rPr>
          <w:rFonts w:ascii="仿宋" w:hAnsi="仿宋" w:eastAsia="仿宋" w:cs="仿宋"/>
          <w:bCs/>
          <w:color w:val="auto"/>
          <w:sz w:val="24"/>
          <w:szCs w:val="24"/>
          <w:highlight w:val="none"/>
        </w:rPr>
      </w:pPr>
    </w:p>
    <w:p w14:paraId="48BE0BE6">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一、开标一览表</w:t>
      </w:r>
    </w:p>
    <w:p w14:paraId="238369F9">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二、投标函</w:t>
      </w:r>
    </w:p>
    <w:p w14:paraId="18600142">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三、投标价格明细表</w:t>
      </w:r>
    </w:p>
    <w:p w14:paraId="2BB8D728">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四、中小企业投标价格统计表</w:t>
      </w:r>
    </w:p>
    <w:p w14:paraId="3F300EB5">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五、商务条款偏离表</w:t>
      </w:r>
    </w:p>
    <w:p w14:paraId="7095FC2D">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六、技术条款偏离表</w:t>
      </w:r>
    </w:p>
    <w:p w14:paraId="5DEA04E5">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七、法定代表人身份证明书</w:t>
      </w:r>
    </w:p>
    <w:p w14:paraId="2C14FB64">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八、法定代表人授权委托书</w:t>
      </w:r>
    </w:p>
    <w:p w14:paraId="4A3D015C">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九、投标人资格条件证明材料</w:t>
      </w:r>
    </w:p>
    <w:p w14:paraId="4685FE2F">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十、投标人近年类似项目情况表</w:t>
      </w:r>
    </w:p>
    <w:p w14:paraId="07B85F69">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十一、售后服务承诺书</w:t>
      </w:r>
    </w:p>
    <w:p w14:paraId="74659466">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十二、技术方案</w:t>
      </w:r>
    </w:p>
    <w:p w14:paraId="00FE9B2E">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十三、保证金缴纳证明材料</w:t>
      </w:r>
    </w:p>
    <w:p w14:paraId="6750EF12">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十四、其它需要提交的资料</w:t>
      </w:r>
    </w:p>
    <w:p w14:paraId="11F2E8F1">
      <w:pPr>
        <w:spacing w:line="360" w:lineRule="auto"/>
        <w:rPr>
          <w:rFonts w:hint="eastAsia" w:ascii="仿宋" w:hAnsi="仿宋" w:eastAsia="仿宋" w:cs="仿宋"/>
          <w:bCs/>
          <w:color w:val="auto"/>
          <w:sz w:val="24"/>
          <w:szCs w:val="24"/>
          <w:highlight w:val="none"/>
        </w:rPr>
      </w:pPr>
    </w:p>
    <w:p w14:paraId="77C395F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注：为了便于查找，请按上述顺序编制投标文件内容，并在目录中标明每项内容的起始页码。</w:t>
      </w:r>
    </w:p>
    <w:p w14:paraId="255CD25D">
      <w:pPr>
        <w:tabs>
          <w:tab w:val="center" w:pos="4832"/>
          <w:tab w:val="left" w:pos="7140"/>
        </w:tabs>
        <w:jc w:val="center"/>
        <w:outlineLvl w:val="1"/>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144" w:name="_Toc24099"/>
      <w:bookmarkStart w:id="145" w:name="_Toc9432"/>
      <w:bookmarkStart w:id="146" w:name="_Toc6644"/>
      <w:r>
        <w:rPr>
          <w:rFonts w:hint="eastAsia" w:ascii="仿宋" w:hAnsi="仿宋" w:eastAsia="仿宋" w:cs="仿宋"/>
          <w:b/>
          <w:color w:val="auto"/>
          <w:sz w:val="24"/>
          <w:szCs w:val="24"/>
          <w:highlight w:val="none"/>
        </w:rPr>
        <w:t>一、开标一览表</w:t>
      </w:r>
      <w:bookmarkEnd w:id="144"/>
      <w:bookmarkEnd w:id="145"/>
      <w:bookmarkEnd w:id="146"/>
    </w:p>
    <w:p w14:paraId="74FF0516">
      <w:pPr>
        <w:rPr>
          <w:rFonts w:ascii="仿宋" w:hAnsi="仿宋" w:eastAsia="仿宋" w:cs="仿宋"/>
          <w:color w:val="auto"/>
          <w:highlight w:val="none"/>
        </w:rPr>
      </w:pPr>
    </w:p>
    <w:p w14:paraId="76730BE2">
      <w:pPr>
        <w:rPr>
          <w:rFonts w:ascii="仿宋" w:hAnsi="仿宋" w:eastAsia="仿宋" w:cs="仿宋"/>
          <w:color w:val="auto"/>
          <w:highlight w:val="none"/>
        </w:rPr>
      </w:pPr>
    </w:p>
    <w:tbl>
      <w:tblPr>
        <w:tblStyle w:val="38"/>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6249"/>
      </w:tblGrid>
      <w:tr w14:paraId="0398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369BD6B6">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p>
        </w:tc>
        <w:tc>
          <w:tcPr>
            <w:tcW w:w="3499" w:type="pct"/>
            <w:tcBorders>
              <w:left w:val="single" w:color="auto" w:sz="4" w:space="0"/>
            </w:tcBorders>
            <w:vAlign w:val="center"/>
          </w:tcPr>
          <w:p w14:paraId="1388D677">
            <w:pPr>
              <w:spacing w:line="360" w:lineRule="auto"/>
              <w:ind w:right="-670"/>
              <w:rPr>
                <w:rFonts w:ascii="仿宋" w:hAnsi="仿宋" w:eastAsia="仿宋" w:cs="仿宋"/>
                <w:bCs/>
                <w:color w:val="auto"/>
                <w:sz w:val="24"/>
                <w:szCs w:val="24"/>
                <w:highlight w:val="none"/>
              </w:rPr>
            </w:pPr>
          </w:p>
        </w:tc>
      </w:tr>
      <w:tr w14:paraId="3EAA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0772562D">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p>
        </w:tc>
        <w:tc>
          <w:tcPr>
            <w:tcW w:w="3499" w:type="pct"/>
            <w:tcBorders>
              <w:left w:val="single" w:color="auto" w:sz="4" w:space="0"/>
            </w:tcBorders>
            <w:vAlign w:val="center"/>
          </w:tcPr>
          <w:p w14:paraId="4860A51C">
            <w:pPr>
              <w:spacing w:line="360" w:lineRule="auto"/>
              <w:ind w:right="-670"/>
              <w:rPr>
                <w:rFonts w:ascii="仿宋" w:hAnsi="仿宋" w:eastAsia="仿宋" w:cs="仿宋"/>
                <w:bCs/>
                <w:color w:val="auto"/>
                <w:sz w:val="24"/>
                <w:szCs w:val="24"/>
                <w:highlight w:val="none"/>
              </w:rPr>
            </w:pPr>
          </w:p>
        </w:tc>
      </w:tr>
      <w:tr w14:paraId="0348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exact"/>
        </w:trPr>
        <w:tc>
          <w:tcPr>
            <w:tcW w:w="1500" w:type="pct"/>
            <w:tcBorders>
              <w:top w:val="single" w:color="auto" w:sz="4" w:space="0"/>
              <w:left w:val="single" w:color="auto" w:sz="4" w:space="0"/>
              <w:bottom w:val="single" w:color="auto" w:sz="4" w:space="0"/>
              <w:right w:val="single" w:color="auto" w:sz="4" w:space="0"/>
            </w:tcBorders>
            <w:vAlign w:val="center"/>
          </w:tcPr>
          <w:p w14:paraId="3FA53A2D">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投标价格</w:t>
            </w:r>
          </w:p>
        </w:tc>
        <w:tc>
          <w:tcPr>
            <w:tcW w:w="3499" w:type="pct"/>
            <w:tcBorders>
              <w:left w:val="single" w:color="auto" w:sz="4" w:space="0"/>
            </w:tcBorders>
            <w:vAlign w:val="center"/>
          </w:tcPr>
          <w:p w14:paraId="40B5B5BA">
            <w:pPr>
              <w:spacing w:line="360" w:lineRule="auto"/>
              <w:ind w:right="-67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w:t>
            </w:r>
          </w:p>
          <w:p w14:paraId="16097132">
            <w:pPr>
              <w:pStyle w:val="37"/>
              <w:ind w:left="0" w:leftChars="0" w:firstLine="0" w:firstLineChars="0"/>
              <w:rPr>
                <w:rFonts w:ascii="仿宋" w:hAnsi="仿宋" w:eastAsia="仿宋" w:cs="仿宋"/>
                <w:color w:val="auto"/>
                <w:highlight w:val="non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w:t>
            </w:r>
          </w:p>
        </w:tc>
      </w:tr>
      <w:tr w14:paraId="18AA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exact"/>
        </w:trPr>
        <w:tc>
          <w:tcPr>
            <w:tcW w:w="1500" w:type="pct"/>
            <w:tcBorders>
              <w:top w:val="single" w:color="auto" w:sz="4" w:space="0"/>
              <w:left w:val="single" w:color="auto" w:sz="4" w:space="0"/>
              <w:bottom w:val="single" w:color="auto" w:sz="4" w:space="0"/>
              <w:right w:val="single" w:color="auto" w:sz="4" w:space="0"/>
            </w:tcBorders>
            <w:vAlign w:val="center"/>
          </w:tcPr>
          <w:p w14:paraId="08274DC4">
            <w:pPr>
              <w:snapToGrid w:val="0"/>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vAlign w:val="center"/>
          </w:tcPr>
          <w:p w14:paraId="66DF1EB6">
            <w:pPr>
              <w:snapToGrid w:val="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自合同签订之日起在指定时间内送达采购人指定地点并安装调试完毕。详见</w:t>
            </w:r>
            <w:r>
              <w:rPr>
                <w:rFonts w:hint="eastAsia" w:ascii="仿宋" w:hAnsi="仿宋" w:eastAsia="仿宋" w:cs="仿宋"/>
                <w:bCs/>
                <w:color w:val="auto"/>
                <w:sz w:val="24"/>
                <w:szCs w:val="24"/>
                <w:highlight w:val="none"/>
                <w:lang w:val="en-US" w:eastAsia="zh-CN"/>
              </w:rPr>
              <w:t>招标文件</w:t>
            </w:r>
            <w:r>
              <w:rPr>
                <w:rFonts w:hint="eastAsia" w:ascii="仿宋" w:hAnsi="仿宋" w:eastAsia="仿宋" w:cs="仿宋"/>
                <w:bCs/>
                <w:color w:val="auto"/>
                <w:sz w:val="24"/>
                <w:szCs w:val="24"/>
                <w:highlight w:val="none"/>
              </w:rPr>
              <w:t>第四章技术标准和要求中的设备清单中的合同履约期限（天）。</w:t>
            </w:r>
          </w:p>
        </w:tc>
      </w:tr>
      <w:tr w14:paraId="0535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exact"/>
        </w:trPr>
        <w:tc>
          <w:tcPr>
            <w:tcW w:w="1500" w:type="pct"/>
            <w:tcBorders>
              <w:top w:val="single" w:color="auto" w:sz="4" w:space="0"/>
              <w:left w:val="single" w:color="auto" w:sz="4" w:space="0"/>
              <w:bottom w:val="single" w:color="auto" w:sz="4" w:space="0"/>
              <w:right w:val="single" w:color="auto" w:sz="4" w:space="0"/>
            </w:tcBorders>
            <w:vAlign w:val="center"/>
          </w:tcPr>
          <w:p w14:paraId="50B55B01">
            <w:pPr>
              <w:snapToGrid w:val="0"/>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质保期</w:t>
            </w:r>
          </w:p>
        </w:tc>
        <w:tc>
          <w:tcPr>
            <w:tcW w:w="3499" w:type="pct"/>
            <w:tcBorders>
              <w:left w:val="single" w:color="auto" w:sz="4" w:space="0"/>
            </w:tcBorders>
            <w:vAlign w:val="center"/>
          </w:tcPr>
          <w:p w14:paraId="587114BF">
            <w:pPr>
              <w:snapToGrid w:val="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本项目货物质保期为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年（如与招标文件“第四章技术标准和要求”中要求不一致，以较长质保期为标准执行），自采购人及相关部门总体验收合格之日起计算。如果由于我方责任致使不能验收，此质保期相应顺延。</w:t>
            </w:r>
          </w:p>
        </w:tc>
      </w:tr>
      <w:tr w14:paraId="1CBD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7AF97C9C">
            <w:pPr>
              <w:snapToGrid w:val="0"/>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投标有效期</w:t>
            </w:r>
          </w:p>
        </w:tc>
        <w:tc>
          <w:tcPr>
            <w:tcW w:w="3499" w:type="pct"/>
            <w:tcBorders>
              <w:left w:val="single" w:color="auto" w:sz="4" w:space="0"/>
            </w:tcBorders>
            <w:vAlign w:val="center"/>
          </w:tcPr>
          <w:p w14:paraId="502E569F">
            <w:pPr>
              <w:snapToGrid w:val="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自投标截止之日90日历日</w:t>
            </w:r>
          </w:p>
        </w:tc>
      </w:tr>
      <w:tr w14:paraId="2608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3C1E4EF7">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c>
          <w:tcPr>
            <w:tcW w:w="3499" w:type="pct"/>
            <w:tcBorders>
              <w:left w:val="single" w:color="auto" w:sz="4" w:space="0"/>
            </w:tcBorders>
            <w:vAlign w:val="center"/>
          </w:tcPr>
          <w:p w14:paraId="71C82388">
            <w:pPr>
              <w:rPr>
                <w:rFonts w:ascii="仿宋" w:hAnsi="仿宋" w:eastAsia="仿宋" w:cs="仿宋"/>
                <w:bCs/>
                <w:color w:val="auto"/>
                <w:sz w:val="24"/>
                <w:szCs w:val="24"/>
                <w:highlight w:val="none"/>
              </w:rPr>
            </w:pPr>
          </w:p>
        </w:tc>
      </w:tr>
    </w:tbl>
    <w:p w14:paraId="1F294FE8">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0EEB4210">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72521DED">
      <w:pPr>
        <w:pStyle w:val="37"/>
        <w:ind w:left="420"/>
        <w:rPr>
          <w:rFonts w:ascii="仿宋" w:hAnsi="仿宋" w:eastAsia="仿宋" w:cs="仿宋"/>
          <w:color w:val="auto"/>
          <w:highlight w:val="none"/>
        </w:rPr>
      </w:pPr>
    </w:p>
    <w:p w14:paraId="5352FD31">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1C81073">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32BE8D6">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26904A83">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887453B">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4877A068">
      <w:pPr>
        <w:tabs>
          <w:tab w:val="center" w:pos="4832"/>
          <w:tab w:val="left" w:pos="7140"/>
        </w:tabs>
        <w:jc w:val="center"/>
        <w:outlineLvl w:val="1"/>
        <w:rPr>
          <w:rFonts w:ascii="仿宋" w:hAnsi="仿宋" w:eastAsia="仿宋" w:cs="仿宋"/>
          <w:b/>
          <w:color w:val="auto"/>
          <w:sz w:val="24"/>
          <w:szCs w:val="24"/>
          <w:highlight w:val="none"/>
        </w:rPr>
      </w:pPr>
      <w:bookmarkStart w:id="147" w:name="_Toc17938"/>
      <w:bookmarkStart w:id="148" w:name="_Toc13707"/>
      <w:bookmarkStart w:id="149" w:name="_Toc20988"/>
      <w:r>
        <w:rPr>
          <w:rFonts w:hint="eastAsia" w:ascii="仿宋" w:hAnsi="仿宋" w:eastAsia="仿宋" w:cs="仿宋"/>
          <w:b/>
          <w:color w:val="auto"/>
          <w:sz w:val="24"/>
          <w:szCs w:val="24"/>
          <w:highlight w:val="none"/>
        </w:rPr>
        <w:t>二、投标函</w:t>
      </w:r>
      <w:bookmarkEnd w:id="147"/>
      <w:bookmarkEnd w:id="148"/>
      <w:bookmarkEnd w:id="149"/>
    </w:p>
    <w:p w14:paraId="3051838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230CD41">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653F1B51">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107D10F">
      <w:pPr>
        <w:widowControl/>
        <w:shd w:val="clear" w:color="auto" w:fill="FFFFFF"/>
        <w:snapToGrid w:val="0"/>
        <w:spacing w:line="384" w:lineRule="auto"/>
        <w:ind w:firstLine="42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（项目名称）的招标文件，遵照《中华人民共和国政府采购法》等有关法律法规的规定，经考察现场和充分研究贵方的招标文件的全部内容后，我方郑重承诺如下：</w:t>
      </w:r>
    </w:p>
    <w:p w14:paraId="63EC1619">
      <w:pPr>
        <w:widowControl/>
        <w:shd w:val="clear" w:color="auto" w:fill="FFFFFF"/>
        <w:snapToGrid w:val="0"/>
        <w:spacing w:line="360" w:lineRule="auto"/>
        <w:ind w:firstLine="420"/>
        <w:jc w:val="left"/>
        <w:rPr>
          <w:rFonts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73189B44">
      <w:pPr>
        <w:widowControl/>
        <w:shd w:val="clear" w:color="auto" w:fill="FFFFFF"/>
        <w:snapToGrid w:val="0"/>
        <w:spacing w:line="360" w:lineRule="auto"/>
        <w:ind w:firstLine="420"/>
        <w:jc w:val="left"/>
        <w:rPr>
          <w:rFonts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120965E9">
      <w:pPr>
        <w:widowControl/>
        <w:shd w:val="clear" w:color="auto" w:fill="FFFFFF"/>
        <w:snapToGrid w:val="0"/>
        <w:spacing w:line="360" w:lineRule="auto"/>
        <w:ind w:firstLine="42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0D9745D5">
      <w:pPr>
        <w:widowControl/>
        <w:shd w:val="clear" w:color="auto" w:fill="FFFFFF"/>
        <w:snapToGrid w:val="0"/>
        <w:spacing w:line="360" w:lineRule="auto"/>
        <w:ind w:firstLine="42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4、我方所递交的投标文件及有关资料内容完整、真实和准确，且不存在投标人须知前附表规定的投标人不得存在的任何一种情形。</w:t>
      </w:r>
    </w:p>
    <w:p w14:paraId="7F5EB9F7">
      <w:pPr>
        <w:widowControl/>
        <w:shd w:val="clear" w:color="auto" w:fill="FFFFFF"/>
        <w:snapToGrid w:val="0"/>
        <w:spacing w:line="360" w:lineRule="auto"/>
        <w:ind w:firstLine="42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5、本</w:t>
      </w:r>
      <w:r>
        <w:rPr>
          <w:rFonts w:hint="eastAsia" w:ascii="仿宋" w:hAnsi="仿宋" w:eastAsia="仿宋" w:cs="仿宋"/>
          <w:color w:val="auto"/>
          <w:sz w:val="24"/>
          <w:szCs w:val="24"/>
          <w:highlight w:val="none"/>
          <w:shd w:val="clear" w:color="auto" w:fill="FFFFFF" w:themeFill="background1"/>
        </w:rPr>
        <w:t>投标文件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rPr>
        <w:t>招标文件</w:t>
      </w:r>
      <w:r>
        <w:rPr>
          <w:rFonts w:hint="eastAsia" w:ascii="仿宋" w:hAnsi="仿宋" w:eastAsia="仿宋" w:cs="仿宋"/>
          <w:color w:val="auto"/>
          <w:kern w:val="0"/>
          <w:sz w:val="24"/>
          <w:szCs w:val="24"/>
          <w:highlight w:val="none"/>
          <w:shd w:val="clear" w:color="auto" w:fill="FFFFFF" w:themeFill="background1"/>
        </w:rPr>
        <w:t>规定的投标有效期内对我方具有约束力，如果我方在投标有效期内撤销投标，其投标保证金将被贵方没收。</w:t>
      </w:r>
    </w:p>
    <w:p w14:paraId="701144C5">
      <w:pPr>
        <w:widowControl/>
        <w:shd w:val="clear" w:color="auto" w:fill="FFFFFF"/>
        <w:snapToGrid w:val="0"/>
        <w:spacing w:line="360" w:lineRule="auto"/>
        <w:ind w:firstLine="42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6、</w:t>
      </w:r>
      <w:r>
        <w:rPr>
          <w:rFonts w:hint="eastAsia" w:ascii="仿宋" w:hAnsi="仿宋" w:eastAsia="仿宋" w:cs="仿宋"/>
          <w:color w:val="auto"/>
          <w:kern w:val="0"/>
          <w:sz w:val="24"/>
          <w:szCs w:val="24"/>
          <w:highlight w:val="none"/>
        </w:rPr>
        <w:t>我方已完全理解招标文件的全部内容，并无异议。</w:t>
      </w:r>
    </w:p>
    <w:p w14:paraId="61882623">
      <w:pPr>
        <w:widowControl/>
        <w:shd w:val="clear" w:color="auto" w:fill="FFFFFF"/>
        <w:snapToGrid w:val="0"/>
        <w:spacing w:line="360" w:lineRule="auto"/>
        <w:ind w:firstLine="42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7、如我方中标，我方自愿向代理机构支付咨询费，并在合同签订后1个工作日内向采购代理机构提供采购合同原件一份用于采购资料备案工作。</w:t>
      </w:r>
    </w:p>
    <w:p w14:paraId="3F2BEE32">
      <w:pPr>
        <w:widowControl/>
        <w:shd w:val="clear" w:color="auto" w:fill="FFFFFF"/>
        <w:snapToGrid w:val="0"/>
        <w:spacing w:line="360" w:lineRule="auto"/>
        <w:ind w:firstLine="42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8、我方愿意提供贵方可能要求的与采购有关的一切数据或资料，完全理解贵方不一定接受最低投标报价的投标或收到的任何投标。</w:t>
      </w:r>
    </w:p>
    <w:p w14:paraId="135DDA12">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12839937">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D99A10E">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9C47A43">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319356EC">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C7A7BDD">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01EECF37">
      <w:pPr>
        <w:tabs>
          <w:tab w:val="center" w:pos="4832"/>
          <w:tab w:val="left" w:pos="7140"/>
        </w:tabs>
        <w:jc w:val="center"/>
        <w:outlineLvl w:val="1"/>
        <w:rPr>
          <w:rFonts w:ascii="仿宋" w:hAnsi="仿宋" w:eastAsia="仿宋" w:cs="仿宋"/>
          <w:b/>
          <w:color w:val="auto"/>
          <w:sz w:val="24"/>
          <w:szCs w:val="24"/>
          <w:highlight w:val="none"/>
        </w:rPr>
        <w:sectPr>
          <w:headerReference r:id="rId7" w:type="default"/>
          <w:footerReference r:id="rId8" w:type="default"/>
          <w:pgSz w:w="11906" w:h="16838"/>
          <w:pgMar w:top="1134" w:right="1418" w:bottom="1134" w:left="1418" w:header="851" w:footer="992" w:gutter="0"/>
          <w:cols w:space="425" w:num="1"/>
          <w:docGrid w:linePitch="312" w:charSpace="0"/>
        </w:sectPr>
      </w:pPr>
      <w:bookmarkStart w:id="150" w:name="_Toc4866"/>
      <w:bookmarkStart w:id="151" w:name="_Toc109941765"/>
      <w:bookmarkStart w:id="152" w:name="_Toc130252615"/>
      <w:bookmarkStart w:id="153" w:name="_Toc109921158"/>
      <w:bookmarkStart w:id="154" w:name="_Toc110707965"/>
    </w:p>
    <w:p w14:paraId="41902342">
      <w:pPr>
        <w:tabs>
          <w:tab w:val="center" w:pos="4832"/>
          <w:tab w:val="left" w:pos="7140"/>
        </w:tabs>
        <w:jc w:val="center"/>
        <w:outlineLvl w:val="1"/>
        <w:rPr>
          <w:rFonts w:ascii="仿宋" w:hAnsi="仿宋" w:eastAsia="仿宋" w:cs="仿宋"/>
          <w:color w:val="auto"/>
          <w:sz w:val="24"/>
          <w:szCs w:val="24"/>
          <w:highlight w:val="none"/>
        </w:rPr>
      </w:pPr>
      <w:bookmarkStart w:id="155" w:name="_Toc25815"/>
      <w:r>
        <w:rPr>
          <w:rFonts w:hint="eastAsia" w:ascii="仿宋" w:hAnsi="仿宋" w:eastAsia="仿宋" w:cs="仿宋"/>
          <w:b/>
          <w:color w:val="auto"/>
          <w:sz w:val="24"/>
          <w:szCs w:val="24"/>
          <w:highlight w:val="none"/>
        </w:rPr>
        <w:t>三、投标价格明细表</w:t>
      </w:r>
      <w:bookmarkEnd w:id="150"/>
      <w:bookmarkEnd w:id="151"/>
      <w:bookmarkEnd w:id="152"/>
      <w:bookmarkEnd w:id="153"/>
      <w:bookmarkEnd w:id="154"/>
      <w:bookmarkEnd w:id="155"/>
    </w:p>
    <w:p w14:paraId="651EB485">
      <w:pPr>
        <w:spacing w:line="360" w:lineRule="auto"/>
        <w:jc w:val="left"/>
        <w:rPr>
          <w:rFonts w:ascii="仿宋" w:hAnsi="仿宋" w:eastAsia="仿宋" w:cs="仿宋"/>
          <w:color w:val="auto"/>
          <w:sz w:val="24"/>
          <w:szCs w:val="24"/>
          <w:highlight w:val="none"/>
        </w:rPr>
      </w:pPr>
    </w:p>
    <w:tbl>
      <w:tblPr>
        <w:tblStyle w:val="38"/>
        <w:tblW w:w="45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054"/>
        <w:gridCol w:w="847"/>
        <w:gridCol w:w="835"/>
        <w:gridCol w:w="732"/>
        <w:gridCol w:w="732"/>
        <w:gridCol w:w="736"/>
        <w:gridCol w:w="1175"/>
        <w:gridCol w:w="939"/>
        <w:gridCol w:w="761"/>
      </w:tblGrid>
      <w:tr w14:paraId="1DDD5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51A5703F">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序号</w:t>
            </w:r>
          </w:p>
        </w:tc>
        <w:tc>
          <w:tcPr>
            <w:tcW w:w="619" w:type="pct"/>
            <w:vAlign w:val="center"/>
          </w:tcPr>
          <w:p w14:paraId="52D0067D">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标的名称</w:t>
            </w:r>
          </w:p>
        </w:tc>
        <w:tc>
          <w:tcPr>
            <w:tcW w:w="497" w:type="pct"/>
            <w:vAlign w:val="center"/>
          </w:tcPr>
          <w:p w14:paraId="1195CEF1">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规格型号</w:t>
            </w:r>
          </w:p>
        </w:tc>
        <w:tc>
          <w:tcPr>
            <w:tcW w:w="490" w:type="pct"/>
            <w:vAlign w:val="center"/>
          </w:tcPr>
          <w:p w14:paraId="3B30ABBF">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品牌</w:t>
            </w:r>
          </w:p>
        </w:tc>
        <w:tc>
          <w:tcPr>
            <w:tcW w:w="430" w:type="pct"/>
            <w:vAlign w:val="center"/>
          </w:tcPr>
          <w:p w14:paraId="5539A111">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制造商</w:t>
            </w:r>
          </w:p>
        </w:tc>
        <w:tc>
          <w:tcPr>
            <w:tcW w:w="430" w:type="pct"/>
            <w:vAlign w:val="center"/>
          </w:tcPr>
          <w:p w14:paraId="1EE4EB7C">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单位</w:t>
            </w:r>
          </w:p>
        </w:tc>
        <w:tc>
          <w:tcPr>
            <w:tcW w:w="432" w:type="pct"/>
            <w:vAlign w:val="center"/>
          </w:tcPr>
          <w:p w14:paraId="4F2AB383">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数量</w:t>
            </w:r>
          </w:p>
        </w:tc>
        <w:tc>
          <w:tcPr>
            <w:tcW w:w="688" w:type="pct"/>
            <w:vAlign w:val="center"/>
          </w:tcPr>
          <w:p w14:paraId="34357CA9">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单价（</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551" w:type="pct"/>
            <w:vAlign w:val="center"/>
          </w:tcPr>
          <w:p w14:paraId="02FC3198">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小计（</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447" w:type="pct"/>
            <w:vAlign w:val="center"/>
          </w:tcPr>
          <w:p w14:paraId="53D49823">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r>
      <w:tr w14:paraId="255B8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5022D557">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619" w:type="pct"/>
            <w:vAlign w:val="center"/>
          </w:tcPr>
          <w:p w14:paraId="635F5587">
            <w:pPr>
              <w:jc w:val="center"/>
              <w:rPr>
                <w:rFonts w:ascii="仿宋" w:hAnsi="仿宋" w:eastAsia="仿宋" w:cs="仿宋"/>
                <w:bCs/>
                <w:color w:val="auto"/>
                <w:szCs w:val="21"/>
                <w:highlight w:val="none"/>
              </w:rPr>
            </w:pPr>
          </w:p>
        </w:tc>
        <w:tc>
          <w:tcPr>
            <w:tcW w:w="497" w:type="pct"/>
            <w:vAlign w:val="center"/>
          </w:tcPr>
          <w:p w14:paraId="5B60FD99">
            <w:pPr>
              <w:jc w:val="center"/>
              <w:rPr>
                <w:rFonts w:ascii="仿宋" w:hAnsi="仿宋" w:eastAsia="仿宋" w:cs="仿宋"/>
                <w:bCs/>
                <w:color w:val="auto"/>
                <w:szCs w:val="21"/>
                <w:highlight w:val="none"/>
              </w:rPr>
            </w:pPr>
          </w:p>
        </w:tc>
        <w:tc>
          <w:tcPr>
            <w:tcW w:w="490" w:type="pct"/>
            <w:vAlign w:val="center"/>
          </w:tcPr>
          <w:p w14:paraId="32EDC374">
            <w:pPr>
              <w:jc w:val="center"/>
              <w:rPr>
                <w:rFonts w:ascii="仿宋" w:hAnsi="仿宋" w:eastAsia="仿宋" w:cs="仿宋"/>
                <w:bCs/>
                <w:color w:val="auto"/>
                <w:szCs w:val="21"/>
                <w:highlight w:val="none"/>
              </w:rPr>
            </w:pPr>
          </w:p>
        </w:tc>
        <w:tc>
          <w:tcPr>
            <w:tcW w:w="430" w:type="pct"/>
            <w:vAlign w:val="center"/>
          </w:tcPr>
          <w:p w14:paraId="6670100E">
            <w:pPr>
              <w:jc w:val="center"/>
              <w:rPr>
                <w:rFonts w:ascii="仿宋" w:hAnsi="仿宋" w:eastAsia="仿宋" w:cs="仿宋"/>
                <w:bCs/>
                <w:color w:val="auto"/>
                <w:szCs w:val="21"/>
                <w:highlight w:val="none"/>
              </w:rPr>
            </w:pPr>
          </w:p>
        </w:tc>
        <w:tc>
          <w:tcPr>
            <w:tcW w:w="430" w:type="pct"/>
            <w:vAlign w:val="center"/>
          </w:tcPr>
          <w:p w14:paraId="7424DDE5">
            <w:pPr>
              <w:jc w:val="center"/>
              <w:rPr>
                <w:rFonts w:ascii="仿宋" w:hAnsi="仿宋" w:eastAsia="仿宋" w:cs="仿宋"/>
                <w:bCs/>
                <w:color w:val="auto"/>
                <w:szCs w:val="21"/>
                <w:highlight w:val="none"/>
              </w:rPr>
            </w:pPr>
          </w:p>
        </w:tc>
        <w:tc>
          <w:tcPr>
            <w:tcW w:w="432" w:type="pct"/>
            <w:vAlign w:val="center"/>
          </w:tcPr>
          <w:p w14:paraId="4561A136">
            <w:pPr>
              <w:jc w:val="center"/>
              <w:rPr>
                <w:rFonts w:ascii="仿宋" w:hAnsi="仿宋" w:eastAsia="仿宋" w:cs="仿宋"/>
                <w:bCs/>
                <w:color w:val="auto"/>
                <w:szCs w:val="21"/>
                <w:highlight w:val="none"/>
              </w:rPr>
            </w:pPr>
          </w:p>
        </w:tc>
        <w:tc>
          <w:tcPr>
            <w:tcW w:w="688" w:type="pct"/>
            <w:vAlign w:val="center"/>
          </w:tcPr>
          <w:p w14:paraId="4D727ABE">
            <w:pPr>
              <w:jc w:val="center"/>
              <w:rPr>
                <w:rFonts w:ascii="仿宋" w:hAnsi="仿宋" w:eastAsia="仿宋" w:cs="仿宋"/>
                <w:bCs/>
                <w:color w:val="auto"/>
                <w:szCs w:val="21"/>
                <w:highlight w:val="none"/>
              </w:rPr>
            </w:pPr>
          </w:p>
        </w:tc>
        <w:tc>
          <w:tcPr>
            <w:tcW w:w="551" w:type="pct"/>
            <w:vAlign w:val="center"/>
          </w:tcPr>
          <w:p w14:paraId="3BDBBAF8">
            <w:pPr>
              <w:jc w:val="center"/>
              <w:rPr>
                <w:rFonts w:ascii="仿宋" w:hAnsi="仿宋" w:eastAsia="仿宋" w:cs="仿宋"/>
                <w:bCs/>
                <w:color w:val="auto"/>
                <w:szCs w:val="21"/>
                <w:highlight w:val="none"/>
              </w:rPr>
            </w:pPr>
          </w:p>
        </w:tc>
        <w:tc>
          <w:tcPr>
            <w:tcW w:w="447" w:type="pct"/>
            <w:vAlign w:val="center"/>
          </w:tcPr>
          <w:p w14:paraId="63072D23">
            <w:pPr>
              <w:jc w:val="center"/>
              <w:rPr>
                <w:rFonts w:ascii="仿宋" w:hAnsi="仿宋" w:eastAsia="仿宋" w:cs="仿宋"/>
                <w:bCs/>
                <w:color w:val="auto"/>
                <w:szCs w:val="21"/>
                <w:highlight w:val="none"/>
              </w:rPr>
            </w:pPr>
          </w:p>
        </w:tc>
      </w:tr>
      <w:tr w14:paraId="54057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4372FFFA">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619" w:type="pct"/>
            <w:vAlign w:val="center"/>
          </w:tcPr>
          <w:p w14:paraId="2DD2FB01">
            <w:pPr>
              <w:jc w:val="center"/>
              <w:rPr>
                <w:rFonts w:ascii="仿宋" w:hAnsi="仿宋" w:eastAsia="仿宋" w:cs="仿宋"/>
                <w:bCs/>
                <w:color w:val="auto"/>
                <w:szCs w:val="21"/>
                <w:highlight w:val="none"/>
              </w:rPr>
            </w:pPr>
          </w:p>
        </w:tc>
        <w:tc>
          <w:tcPr>
            <w:tcW w:w="497" w:type="pct"/>
            <w:vAlign w:val="center"/>
          </w:tcPr>
          <w:p w14:paraId="11F41F65">
            <w:pPr>
              <w:jc w:val="center"/>
              <w:rPr>
                <w:rFonts w:ascii="仿宋" w:hAnsi="仿宋" w:eastAsia="仿宋" w:cs="仿宋"/>
                <w:bCs/>
                <w:color w:val="auto"/>
                <w:szCs w:val="21"/>
                <w:highlight w:val="none"/>
              </w:rPr>
            </w:pPr>
          </w:p>
        </w:tc>
        <w:tc>
          <w:tcPr>
            <w:tcW w:w="490" w:type="pct"/>
            <w:vAlign w:val="center"/>
          </w:tcPr>
          <w:p w14:paraId="5D652AD9">
            <w:pPr>
              <w:jc w:val="center"/>
              <w:rPr>
                <w:rFonts w:ascii="仿宋" w:hAnsi="仿宋" w:eastAsia="仿宋" w:cs="仿宋"/>
                <w:bCs/>
                <w:color w:val="auto"/>
                <w:szCs w:val="21"/>
                <w:highlight w:val="none"/>
              </w:rPr>
            </w:pPr>
          </w:p>
        </w:tc>
        <w:tc>
          <w:tcPr>
            <w:tcW w:w="430" w:type="pct"/>
            <w:vAlign w:val="center"/>
          </w:tcPr>
          <w:p w14:paraId="0D29B9C7">
            <w:pPr>
              <w:jc w:val="center"/>
              <w:rPr>
                <w:rFonts w:ascii="仿宋" w:hAnsi="仿宋" w:eastAsia="仿宋" w:cs="仿宋"/>
                <w:bCs/>
                <w:color w:val="auto"/>
                <w:szCs w:val="21"/>
                <w:highlight w:val="none"/>
              </w:rPr>
            </w:pPr>
          </w:p>
        </w:tc>
        <w:tc>
          <w:tcPr>
            <w:tcW w:w="430" w:type="pct"/>
            <w:vAlign w:val="center"/>
          </w:tcPr>
          <w:p w14:paraId="14C8ACD6">
            <w:pPr>
              <w:jc w:val="center"/>
              <w:rPr>
                <w:rFonts w:ascii="仿宋" w:hAnsi="仿宋" w:eastAsia="仿宋" w:cs="仿宋"/>
                <w:bCs/>
                <w:color w:val="auto"/>
                <w:szCs w:val="21"/>
                <w:highlight w:val="none"/>
              </w:rPr>
            </w:pPr>
          </w:p>
        </w:tc>
        <w:tc>
          <w:tcPr>
            <w:tcW w:w="432" w:type="pct"/>
            <w:vAlign w:val="center"/>
          </w:tcPr>
          <w:p w14:paraId="719B414A">
            <w:pPr>
              <w:jc w:val="center"/>
              <w:rPr>
                <w:rFonts w:ascii="仿宋" w:hAnsi="仿宋" w:eastAsia="仿宋" w:cs="仿宋"/>
                <w:bCs/>
                <w:color w:val="auto"/>
                <w:szCs w:val="21"/>
                <w:highlight w:val="none"/>
              </w:rPr>
            </w:pPr>
          </w:p>
        </w:tc>
        <w:tc>
          <w:tcPr>
            <w:tcW w:w="688" w:type="pct"/>
            <w:vAlign w:val="center"/>
          </w:tcPr>
          <w:p w14:paraId="6C24B2E2">
            <w:pPr>
              <w:jc w:val="center"/>
              <w:rPr>
                <w:rFonts w:ascii="仿宋" w:hAnsi="仿宋" w:eastAsia="仿宋" w:cs="仿宋"/>
                <w:bCs/>
                <w:color w:val="auto"/>
                <w:szCs w:val="21"/>
                <w:highlight w:val="none"/>
              </w:rPr>
            </w:pPr>
          </w:p>
        </w:tc>
        <w:tc>
          <w:tcPr>
            <w:tcW w:w="551" w:type="pct"/>
            <w:vAlign w:val="center"/>
          </w:tcPr>
          <w:p w14:paraId="56EF83CF">
            <w:pPr>
              <w:jc w:val="center"/>
              <w:rPr>
                <w:rFonts w:ascii="仿宋" w:hAnsi="仿宋" w:eastAsia="仿宋" w:cs="仿宋"/>
                <w:bCs/>
                <w:color w:val="auto"/>
                <w:szCs w:val="21"/>
                <w:highlight w:val="none"/>
              </w:rPr>
            </w:pPr>
          </w:p>
        </w:tc>
        <w:tc>
          <w:tcPr>
            <w:tcW w:w="447" w:type="pct"/>
            <w:vAlign w:val="center"/>
          </w:tcPr>
          <w:p w14:paraId="4F3C368C">
            <w:pPr>
              <w:jc w:val="center"/>
              <w:rPr>
                <w:rFonts w:ascii="仿宋" w:hAnsi="仿宋" w:eastAsia="仿宋" w:cs="仿宋"/>
                <w:bCs/>
                <w:color w:val="auto"/>
                <w:szCs w:val="21"/>
                <w:highlight w:val="none"/>
              </w:rPr>
            </w:pPr>
          </w:p>
        </w:tc>
      </w:tr>
      <w:tr w14:paraId="7F624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7013CE70">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3</w:t>
            </w:r>
          </w:p>
        </w:tc>
        <w:tc>
          <w:tcPr>
            <w:tcW w:w="619" w:type="pct"/>
            <w:vAlign w:val="center"/>
          </w:tcPr>
          <w:p w14:paraId="42E39633">
            <w:pPr>
              <w:jc w:val="center"/>
              <w:rPr>
                <w:rFonts w:ascii="仿宋" w:hAnsi="仿宋" w:eastAsia="仿宋" w:cs="仿宋"/>
                <w:bCs/>
                <w:color w:val="auto"/>
                <w:szCs w:val="21"/>
                <w:highlight w:val="none"/>
              </w:rPr>
            </w:pPr>
          </w:p>
        </w:tc>
        <w:tc>
          <w:tcPr>
            <w:tcW w:w="497" w:type="pct"/>
            <w:vAlign w:val="center"/>
          </w:tcPr>
          <w:p w14:paraId="3005F194">
            <w:pPr>
              <w:jc w:val="center"/>
              <w:rPr>
                <w:rFonts w:ascii="仿宋" w:hAnsi="仿宋" w:eastAsia="仿宋" w:cs="仿宋"/>
                <w:bCs/>
                <w:color w:val="auto"/>
                <w:szCs w:val="21"/>
                <w:highlight w:val="none"/>
              </w:rPr>
            </w:pPr>
          </w:p>
        </w:tc>
        <w:tc>
          <w:tcPr>
            <w:tcW w:w="490" w:type="pct"/>
            <w:vAlign w:val="center"/>
          </w:tcPr>
          <w:p w14:paraId="6F118671">
            <w:pPr>
              <w:jc w:val="center"/>
              <w:rPr>
                <w:rFonts w:ascii="仿宋" w:hAnsi="仿宋" w:eastAsia="仿宋" w:cs="仿宋"/>
                <w:bCs/>
                <w:color w:val="auto"/>
                <w:szCs w:val="21"/>
                <w:highlight w:val="none"/>
              </w:rPr>
            </w:pPr>
          </w:p>
        </w:tc>
        <w:tc>
          <w:tcPr>
            <w:tcW w:w="430" w:type="pct"/>
            <w:vAlign w:val="center"/>
          </w:tcPr>
          <w:p w14:paraId="0E5F886D">
            <w:pPr>
              <w:jc w:val="center"/>
              <w:rPr>
                <w:rFonts w:ascii="仿宋" w:hAnsi="仿宋" w:eastAsia="仿宋" w:cs="仿宋"/>
                <w:bCs/>
                <w:color w:val="auto"/>
                <w:szCs w:val="21"/>
                <w:highlight w:val="none"/>
              </w:rPr>
            </w:pPr>
          </w:p>
        </w:tc>
        <w:tc>
          <w:tcPr>
            <w:tcW w:w="430" w:type="pct"/>
            <w:vAlign w:val="center"/>
          </w:tcPr>
          <w:p w14:paraId="02017C51">
            <w:pPr>
              <w:jc w:val="center"/>
              <w:rPr>
                <w:rFonts w:ascii="仿宋" w:hAnsi="仿宋" w:eastAsia="仿宋" w:cs="仿宋"/>
                <w:bCs/>
                <w:color w:val="auto"/>
                <w:szCs w:val="21"/>
                <w:highlight w:val="none"/>
              </w:rPr>
            </w:pPr>
          </w:p>
        </w:tc>
        <w:tc>
          <w:tcPr>
            <w:tcW w:w="432" w:type="pct"/>
            <w:vAlign w:val="center"/>
          </w:tcPr>
          <w:p w14:paraId="0E0AE42E">
            <w:pPr>
              <w:jc w:val="center"/>
              <w:rPr>
                <w:rFonts w:ascii="仿宋" w:hAnsi="仿宋" w:eastAsia="仿宋" w:cs="仿宋"/>
                <w:bCs/>
                <w:color w:val="auto"/>
                <w:szCs w:val="21"/>
                <w:highlight w:val="none"/>
              </w:rPr>
            </w:pPr>
          </w:p>
        </w:tc>
        <w:tc>
          <w:tcPr>
            <w:tcW w:w="688" w:type="pct"/>
            <w:vAlign w:val="center"/>
          </w:tcPr>
          <w:p w14:paraId="52E06765">
            <w:pPr>
              <w:jc w:val="center"/>
              <w:rPr>
                <w:rFonts w:ascii="仿宋" w:hAnsi="仿宋" w:eastAsia="仿宋" w:cs="仿宋"/>
                <w:bCs/>
                <w:color w:val="auto"/>
                <w:szCs w:val="21"/>
                <w:highlight w:val="none"/>
              </w:rPr>
            </w:pPr>
          </w:p>
        </w:tc>
        <w:tc>
          <w:tcPr>
            <w:tcW w:w="551" w:type="pct"/>
            <w:vAlign w:val="center"/>
          </w:tcPr>
          <w:p w14:paraId="05EB5E65">
            <w:pPr>
              <w:jc w:val="center"/>
              <w:rPr>
                <w:rFonts w:ascii="仿宋" w:hAnsi="仿宋" w:eastAsia="仿宋" w:cs="仿宋"/>
                <w:bCs/>
                <w:color w:val="auto"/>
                <w:szCs w:val="21"/>
                <w:highlight w:val="none"/>
              </w:rPr>
            </w:pPr>
          </w:p>
        </w:tc>
        <w:tc>
          <w:tcPr>
            <w:tcW w:w="447" w:type="pct"/>
            <w:vAlign w:val="center"/>
          </w:tcPr>
          <w:p w14:paraId="2001C7FF">
            <w:pPr>
              <w:jc w:val="center"/>
              <w:rPr>
                <w:rFonts w:ascii="仿宋" w:hAnsi="仿宋" w:eastAsia="仿宋" w:cs="仿宋"/>
                <w:bCs/>
                <w:color w:val="auto"/>
                <w:szCs w:val="21"/>
                <w:highlight w:val="none"/>
              </w:rPr>
            </w:pPr>
          </w:p>
        </w:tc>
      </w:tr>
      <w:tr w14:paraId="7DF25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7884E9B5">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619" w:type="pct"/>
            <w:vAlign w:val="center"/>
          </w:tcPr>
          <w:p w14:paraId="1E06CB67">
            <w:pPr>
              <w:jc w:val="center"/>
              <w:rPr>
                <w:rFonts w:ascii="仿宋" w:hAnsi="仿宋" w:eastAsia="仿宋" w:cs="仿宋"/>
                <w:bCs/>
                <w:color w:val="auto"/>
                <w:szCs w:val="21"/>
                <w:highlight w:val="none"/>
              </w:rPr>
            </w:pPr>
          </w:p>
        </w:tc>
        <w:tc>
          <w:tcPr>
            <w:tcW w:w="497" w:type="pct"/>
            <w:vAlign w:val="center"/>
          </w:tcPr>
          <w:p w14:paraId="05B5F1A2">
            <w:pPr>
              <w:jc w:val="center"/>
              <w:rPr>
                <w:rFonts w:ascii="仿宋" w:hAnsi="仿宋" w:eastAsia="仿宋" w:cs="仿宋"/>
                <w:bCs/>
                <w:color w:val="auto"/>
                <w:szCs w:val="21"/>
                <w:highlight w:val="none"/>
              </w:rPr>
            </w:pPr>
          </w:p>
        </w:tc>
        <w:tc>
          <w:tcPr>
            <w:tcW w:w="490" w:type="pct"/>
            <w:vAlign w:val="center"/>
          </w:tcPr>
          <w:p w14:paraId="300384B5">
            <w:pPr>
              <w:jc w:val="center"/>
              <w:rPr>
                <w:rFonts w:ascii="仿宋" w:hAnsi="仿宋" w:eastAsia="仿宋" w:cs="仿宋"/>
                <w:bCs/>
                <w:color w:val="auto"/>
                <w:szCs w:val="21"/>
                <w:highlight w:val="none"/>
              </w:rPr>
            </w:pPr>
          </w:p>
        </w:tc>
        <w:tc>
          <w:tcPr>
            <w:tcW w:w="430" w:type="pct"/>
            <w:vAlign w:val="center"/>
          </w:tcPr>
          <w:p w14:paraId="1206D7B8">
            <w:pPr>
              <w:jc w:val="center"/>
              <w:rPr>
                <w:rFonts w:ascii="仿宋" w:hAnsi="仿宋" w:eastAsia="仿宋" w:cs="仿宋"/>
                <w:bCs/>
                <w:color w:val="auto"/>
                <w:szCs w:val="21"/>
                <w:highlight w:val="none"/>
              </w:rPr>
            </w:pPr>
          </w:p>
        </w:tc>
        <w:tc>
          <w:tcPr>
            <w:tcW w:w="430" w:type="pct"/>
            <w:vAlign w:val="center"/>
          </w:tcPr>
          <w:p w14:paraId="2B8E57A8">
            <w:pPr>
              <w:jc w:val="center"/>
              <w:rPr>
                <w:rFonts w:ascii="仿宋" w:hAnsi="仿宋" w:eastAsia="仿宋" w:cs="仿宋"/>
                <w:bCs/>
                <w:color w:val="auto"/>
                <w:szCs w:val="21"/>
                <w:highlight w:val="none"/>
              </w:rPr>
            </w:pPr>
          </w:p>
        </w:tc>
        <w:tc>
          <w:tcPr>
            <w:tcW w:w="432" w:type="pct"/>
            <w:vAlign w:val="center"/>
          </w:tcPr>
          <w:p w14:paraId="0EC58926">
            <w:pPr>
              <w:jc w:val="center"/>
              <w:rPr>
                <w:rFonts w:ascii="仿宋" w:hAnsi="仿宋" w:eastAsia="仿宋" w:cs="仿宋"/>
                <w:bCs/>
                <w:color w:val="auto"/>
                <w:szCs w:val="21"/>
                <w:highlight w:val="none"/>
              </w:rPr>
            </w:pPr>
          </w:p>
        </w:tc>
        <w:tc>
          <w:tcPr>
            <w:tcW w:w="688" w:type="pct"/>
            <w:vAlign w:val="center"/>
          </w:tcPr>
          <w:p w14:paraId="4B2B245C">
            <w:pPr>
              <w:jc w:val="center"/>
              <w:rPr>
                <w:rFonts w:ascii="仿宋" w:hAnsi="仿宋" w:eastAsia="仿宋" w:cs="仿宋"/>
                <w:bCs/>
                <w:color w:val="auto"/>
                <w:szCs w:val="21"/>
                <w:highlight w:val="none"/>
              </w:rPr>
            </w:pPr>
          </w:p>
        </w:tc>
        <w:tc>
          <w:tcPr>
            <w:tcW w:w="551" w:type="pct"/>
            <w:vAlign w:val="center"/>
          </w:tcPr>
          <w:p w14:paraId="511EC80B">
            <w:pPr>
              <w:jc w:val="center"/>
              <w:rPr>
                <w:rFonts w:ascii="仿宋" w:hAnsi="仿宋" w:eastAsia="仿宋" w:cs="仿宋"/>
                <w:bCs/>
                <w:color w:val="auto"/>
                <w:szCs w:val="21"/>
                <w:highlight w:val="none"/>
              </w:rPr>
            </w:pPr>
          </w:p>
        </w:tc>
        <w:tc>
          <w:tcPr>
            <w:tcW w:w="447" w:type="pct"/>
            <w:vAlign w:val="center"/>
          </w:tcPr>
          <w:p w14:paraId="3BD88EFD">
            <w:pPr>
              <w:jc w:val="center"/>
              <w:rPr>
                <w:rFonts w:ascii="仿宋" w:hAnsi="仿宋" w:eastAsia="仿宋" w:cs="仿宋"/>
                <w:bCs/>
                <w:color w:val="auto"/>
                <w:szCs w:val="21"/>
                <w:highlight w:val="none"/>
              </w:rPr>
            </w:pPr>
          </w:p>
        </w:tc>
      </w:tr>
      <w:tr w14:paraId="04E2B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001" w:type="pct"/>
            <w:gridSpan w:val="8"/>
            <w:vAlign w:val="center"/>
          </w:tcPr>
          <w:p w14:paraId="54C0540D">
            <w:pPr>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合计（元）</w:t>
            </w:r>
          </w:p>
        </w:tc>
        <w:tc>
          <w:tcPr>
            <w:tcW w:w="551" w:type="pct"/>
            <w:vAlign w:val="center"/>
          </w:tcPr>
          <w:p w14:paraId="71655D26">
            <w:pPr>
              <w:jc w:val="center"/>
              <w:rPr>
                <w:rFonts w:ascii="仿宋" w:hAnsi="仿宋" w:eastAsia="仿宋" w:cs="仿宋"/>
                <w:bCs/>
                <w:color w:val="auto"/>
                <w:szCs w:val="21"/>
                <w:highlight w:val="none"/>
              </w:rPr>
            </w:pPr>
          </w:p>
        </w:tc>
        <w:tc>
          <w:tcPr>
            <w:tcW w:w="447" w:type="pct"/>
            <w:vAlign w:val="center"/>
          </w:tcPr>
          <w:p w14:paraId="74809BB7">
            <w:pPr>
              <w:jc w:val="center"/>
              <w:rPr>
                <w:rFonts w:ascii="仿宋" w:hAnsi="仿宋" w:eastAsia="仿宋" w:cs="仿宋"/>
                <w:bCs/>
                <w:color w:val="auto"/>
                <w:szCs w:val="21"/>
                <w:highlight w:val="none"/>
              </w:rPr>
            </w:pPr>
          </w:p>
        </w:tc>
      </w:tr>
    </w:tbl>
    <w:p w14:paraId="30BFBAD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466F7843">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1、投标人应按照第四章“技术标准和要求”内容填写标的名称和数量等信息，现有内容为示例。</w:t>
      </w:r>
    </w:p>
    <w:p w14:paraId="3D6577FC">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2、投标价格应包括投标人履行本项目合同（如果成交）所必须的所有成本费用和成交投标人应承担的一切费用。未列和没有填写的项目费用，采购人将视为已包括在投标价格中</w:t>
      </w:r>
    </w:p>
    <w:p w14:paraId="78B8C99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41BD91D">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1B650D39">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0EB8F576">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8AD7AB8">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6249D04A">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30F0C2F0">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44C892DB">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4D0351B6">
      <w:pPr>
        <w:tabs>
          <w:tab w:val="center" w:pos="4832"/>
          <w:tab w:val="left" w:pos="7140"/>
        </w:tabs>
        <w:jc w:val="center"/>
        <w:outlineLvl w:val="1"/>
        <w:rPr>
          <w:rFonts w:hint="eastAsia" w:ascii="仿宋" w:hAnsi="仿宋" w:eastAsia="仿宋" w:cs="仿宋"/>
          <w:b/>
          <w:color w:val="auto"/>
          <w:sz w:val="24"/>
          <w:szCs w:val="24"/>
          <w:highlight w:val="none"/>
          <w:lang w:eastAsia="zh-CN"/>
        </w:rPr>
      </w:pPr>
      <w:bookmarkStart w:id="156" w:name="_Toc130252616"/>
      <w:bookmarkStart w:id="157" w:name="_Toc109941766"/>
      <w:bookmarkStart w:id="158" w:name="_Toc109921159"/>
      <w:bookmarkStart w:id="159" w:name="_Toc110707966"/>
      <w:bookmarkStart w:id="160" w:name="_Toc10734"/>
      <w:bookmarkStart w:id="161" w:name="_Toc4702"/>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w:t>
      </w:r>
      <w:bookmarkEnd w:id="156"/>
      <w:bookmarkEnd w:id="157"/>
      <w:bookmarkEnd w:id="158"/>
      <w:bookmarkEnd w:id="159"/>
      <w:bookmarkEnd w:id="160"/>
      <w:r>
        <w:rPr>
          <w:rFonts w:hint="eastAsia" w:ascii="仿宋" w:hAnsi="仿宋" w:eastAsia="仿宋" w:cs="仿宋"/>
          <w:b/>
          <w:color w:val="auto"/>
          <w:sz w:val="24"/>
          <w:szCs w:val="24"/>
          <w:highlight w:val="none"/>
          <w:lang w:eastAsia="zh-CN"/>
        </w:rPr>
        <w:t>中小企业投标价格统计表</w:t>
      </w:r>
      <w:bookmarkEnd w:id="161"/>
    </w:p>
    <w:p w14:paraId="44004CAE">
      <w:pPr>
        <w:spacing w:line="360" w:lineRule="auto"/>
        <w:ind w:left="8040" w:hanging="8040" w:hangingChars="33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单位：元</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2"/>
        <w:gridCol w:w="1298"/>
        <w:gridCol w:w="1445"/>
        <w:gridCol w:w="2153"/>
        <w:gridCol w:w="1292"/>
        <w:gridCol w:w="2256"/>
      </w:tblGrid>
      <w:tr w14:paraId="5C0A0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842" w:type="dxa"/>
            <w:vAlign w:val="center"/>
          </w:tcPr>
          <w:p w14:paraId="1CCB3B74">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1298" w:type="dxa"/>
            <w:vAlign w:val="center"/>
          </w:tcPr>
          <w:p w14:paraId="4A3DD42F">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Cs w:val="21"/>
                <w:highlight w:val="none"/>
              </w:rPr>
              <w:t>标的</w:t>
            </w:r>
            <w:r>
              <w:rPr>
                <w:rFonts w:hint="eastAsia" w:ascii="仿宋" w:hAnsi="仿宋" w:eastAsia="仿宋" w:cs="仿宋"/>
                <w:bCs/>
                <w:color w:val="auto"/>
                <w:sz w:val="24"/>
                <w:szCs w:val="24"/>
                <w:highlight w:val="none"/>
              </w:rPr>
              <w:t>名称</w:t>
            </w:r>
          </w:p>
        </w:tc>
        <w:tc>
          <w:tcPr>
            <w:tcW w:w="1445" w:type="dxa"/>
            <w:vAlign w:val="center"/>
          </w:tcPr>
          <w:p w14:paraId="0D5520E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w:t>
            </w:r>
          </w:p>
        </w:tc>
        <w:tc>
          <w:tcPr>
            <w:tcW w:w="2153" w:type="dxa"/>
            <w:vAlign w:val="center"/>
          </w:tcPr>
          <w:p w14:paraId="06349DEC">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制造商企业规模</w:t>
            </w:r>
          </w:p>
        </w:tc>
        <w:tc>
          <w:tcPr>
            <w:tcW w:w="1292" w:type="dxa"/>
            <w:vAlign w:val="center"/>
          </w:tcPr>
          <w:p w14:paraId="3DDBD30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Cs w:val="21"/>
                <w:highlight w:val="none"/>
              </w:rPr>
              <w:t>小计（</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2256" w:type="dxa"/>
            <w:vAlign w:val="center"/>
          </w:tcPr>
          <w:p w14:paraId="37ED0EF8">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r>
      <w:tr w14:paraId="39FD7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4967E75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1298" w:type="dxa"/>
            <w:vAlign w:val="center"/>
          </w:tcPr>
          <w:p w14:paraId="6931667B">
            <w:pPr>
              <w:jc w:val="center"/>
              <w:rPr>
                <w:rFonts w:hint="eastAsia" w:ascii="仿宋" w:hAnsi="仿宋" w:eastAsia="仿宋" w:cs="仿宋"/>
                <w:bCs/>
                <w:color w:val="auto"/>
                <w:sz w:val="24"/>
                <w:szCs w:val="24"/>
                <w:highlight w:val="none"/>
              </w:rPr>
            </w:pPr>
          </w:p>
        </w:tc>
        <w:tc>
          <w:tcPr>
            <w:tcW w:w="1445" w:type="dxa"/>
            <w:vAlign w:val="center"/>
          </w:tcPr>
          <w:p w14:paraId="06F652FE">
            <w:pPr>
              <w:jc w:val="center"/>
              <w:rPr>
                <w:rFonts w:hint="eastAsia" w:ascii="仿宋" w:hAnsi="仿宋" w:eastAsia="仿宋" w:cs="仿宋"/>
                <w:bCs/>
                <w:color w:val="auto"/>
                <w:sz w:val="24"/>
                <w:szCs w:val="24"/>
                <w:highlight w:val="none"/>
              </w:rPr>
            </w:pPr>
          </w:p>
        </w:tc>
        <w:tc>
          <w:tcPr>
            <w:tcW w:w="2153" w:type="dxa"/>
            <w:vAlign w:val="center"/>
          </w:tcPr>
          <w:p w14:paraId="2AE10C00">
            <w:pPr>
              <w:jc w:val="center"/>
              <w:rPr>
                <w:rFonts w:hint="eastAsia" w:ascii="仿宋" w:hAnsi="仿宋" w:eastAsia="仿宋" w:cs="仿宋"/>
                <w:bCs/>
                <w:color w:val="auto"/>
                <w:sz w:val="24"/>
                <w:szCs w:val="24"/>
                <w:highlight w:val="none"/>
              </w:rPr>
            </w:pPr>
          </w:p>
        </w:tc>
        <w:tc>
          <w:tcPr>
            <w:tcW w:w="1292" w:type="dxa"/>
            <w:vAlign w:val="center"/>
          </w:tcPr>
          <w:p w14:paraId="0DC14F34">
            <w:pPr>
              <w:jc w:val="center"/>
              <w:rPr>
                <w:rFonts w:hint="eastAsia" w:ascii="仿宋" w:hAnsi="仿宋" w:eastAsia="仿宋" w:cs="仿宋"/>
                <w:bCs/>
                <w:color w:val="auto"/>
                <w:sz w:val="24"/>
                <w:szCs w:val="24"/>
                <w:highlight w:val="none"/>
              </w:rPr>
            </w:pPr>
          </w:p>
        </w:tc>
        <w:tc>
          <w:tcPr>
            <w:tcW w:w="2256" w:type="dxa"/>
            <w:vAlign w:val="center"/>
          </w:tcPr>
          <w:p w14:paraId="6C6880C5">
            <w:pPr>
              <w:jc w:val="center"/>
              <w:rPr>
                <w:rFonts w:hint="eastAsia" w:ascii="仿宋" w:hAnsi="仿宋" w:eastAsia="仿宋" w:cs="仿宋"/>
                <w:bCs/>
                <w:color w:val="auto"/>
                <w:sz w:val="24"/>
                <w:szCs w:val="24"/>
                <w:highlight w:val="none"/>
              </w:rPr>
            </w:pPr>
          </w:p>
        </w:tc>
      </w:tr>
      <w:tr w14:paraId="3BD1E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2A45135C">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1298" w:type="dxa"/>
            <w:vAlign w:val="center"/>
          </w:tcPr>
          <w:p w14:paraId="36FEE2E2">
            <w:pPr>
              <w:jc w:val="center"/>
              <w:rPr>
                <w:rFonts w:hint="eastAsia" w:ascii="仿宋" w:hAnsi="仿宋" w:eastAsia="仿宋" w:cs="仿宋"/>
                <w:bCs/>
                <w:color w:val="auto"/>
                <w:sz w:val="24"/>
                <w:szCs w:val="24"/>
                <w:highlight w:val="none"/>
              </w:rPr>
            </w:pPr>
          </w:p>
        </w:tc>
        <w:tc>
          <w:tcPr>
            <w:tcW w:w="1445" w:type="dxa"/>
            <w:vAlign w:val="center"/>
          </w:tcPr>
          <w:p w14:paraId="14F6ABF7">
            <w:pPr>
              <w:jc w:val="center"/>
              <w:rPr>
                <w:rFonts w:hint="eastAsia" w:ascii="仿宋" w:hAnsi="仿宋" w:eastAsia="仿宋" w:cs="仿宋"/>
                <w:bCs/>
                <w:color w:val="auto"/>
                <w:sz w:val="24"/>
                <w:szCs w:val="24"/>
                <w:highlight w:val="none"/>
              </w:rPr>
            </w:pPr>
          </w:p>
        </w:tc>
        <w:tc>
          <w:tcPr>
            <w:tcW w:w="2153" w:type="dxa"/>
            <w:vAlign w:val="center"/>
          </w:tcPr>
          <w:p w14:paraId="64A6C57A">
            <w:pPr>
              <w:jc w:val="center"/>
              <w:rPr>
                <w:rFonts w:hint="eastAsia" w:ascii="仿宋" w:hAnsi="仿宋" w:eastAsia="仿宋" w:cs="仿宋"/>
                <w:bCs/>
                <w:color w:val="auto"/>
                <w:sz w:val="24"/>
                <w:szCs w:val="24"/>
                <w:highlight w:val="none"/>
              </w:rPr>
            </w:pPr>
          </w:p>
        </w:tc>
        <w:tc>
          <w:tcPr>
            <w:tcW w:w="1292" w:type="dxa"/>
            <w:vAlign w:val="center"/>
          </w:tcPr>
          <w:p w14:paraId="7D16DD02">
            <w:pPr>
              <w:jc w:val="center"/>
              <w:rPr>
                <w:rFonts w:hint="eastAsia" w:ascii="仿宋" w:hAnsi="仿宋" w:eastAsia="仿宋" w:cs="仿宋"/>
                <w:bCs/>
                <w:color w:val="auto"/>
                <w:sz w:val="24"/>
                <w:szCs w:val="24"/>
                <w:highlight w:val="none"/>
              </w:rPr>
            </w:pPr>
          </w:p>
        </w:tc>
        <w:tc>
          <w:tcPr>
            <w:tcW w:w="2256" w:type="dxa"/>
            <w:vAlign w:val="center"/>
          </w:tcPr>
          <w:p w14:paraId="56190495">
            <w:pPr>
              <w:jc w:val="center"/>
              <w:rPr>
                <w:rFonts w:hint="eastAsia" w:ascii="仿宋" w:hAnsi="仿宋" w:eastAsia="仿宋" w:cs="仿宋"/>
                <w:bCs/>
                <w:color w:val="auto"/>
                <w:sz w:val="24"/>
                <w:szCs w:val="24"/>
                <w:highlight w:val="none"/>
              </w:rPr>
            </w:pPr>
          </w:p>
        </w:tc>
      </w:tr>
      <w:tr w14:paraId="506C6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2F68966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1298" w:type="dxa"/>
            <w:vAlign w:val="center"/>
          </w:tcPr>
          <w:p w14:paraId="56DCE2D0">
            <w:pPr>
              <w:jc w:val="center"/>
              <w:rPr>
                <w:rFonts w:hint="eastAsia" w:ascii="仿宋" w:hAnsi="仿宋" w:eastAsia="仿宋" w:cs="仿宋"/>
                <w:bCs/>
                <w:color w:val="auto"/>
                <w:sz w:val="24"/>
                <w:szCs w:val="24"/>
                <w:highlight w:val="none"/>
              </w:rPr>
            </w:pPr>
          </w:p>
        </w:tc>
        <w:tc>
          <w:tcPr>
            <w:tcW w:w="1445" w:type="dxa"/>
            <w:vAlign w:val="center"/>
          </w:tcPr>
          <w:p w14:paraId="64AA41C2">
            <w:pPr>
              <w:jc w:val="center"/>
              <w:rPr>
                <w:rFonts w:hint="eastAsia" w:ascii="仿宋" w:hAnsi="仿宋" w:eastAsia="仿宋" w:cs="仿宋"/>
                <w:bCs/>
                <w:color w:val="auto"/>
                <w:sz w:val="24"/>
                <w:szCs w:val="24"/>
                <w:highlight w:val="none"/>
              </w:rPr>
            </w:pPr>
          </w:p>
        </w:tc>
        <w:tc>
          <w:tcPr>
            <w:tcW w:w="2153" w:type="dxa"/>
            <w:vAlign w:val="center"/>
          </w:tcPr>
          <w:p w14:paraId="3DDB7466">
            <w:pPr>
              <w:jc w:val="center"/>
              <w:rPr>
                <w:rFonts w:hint="eastAsia" w:ascii="仿宋" w:hAnsi="仿宋" w:eastAsia="仿宋" w:cs="仿宋"/>
                <w:bCs/>
                <w:color w:val="auto"/>
                <w:sz w:val="24"/>
                <w:szCs w:val="24"/>
                <w:highlight w:val="none"/>
              </w:rPr>
            </w:pPr>
          </w:p>
        </w:tc>
        <w:tc>
          <w:tcPr>
            <w:tcW w:w="1292" w:type="dxa"/>
            <w:vAlign w:val="center"/>
          </w:tcPr>
          <w:p w14:paraId="6E2E164B">
            <w:pPr>
              <w:jc w:val="center"/>
              <w:rPr>
                <w:rFonts w:hint="eastAsia" w:ascii="仿宋" w:hAnsi="仿宋" w:eastAsia="仿宋" w:cs="仿宋"/>
                <w:bCs/>
                <w:color w:val="auto"/>
                <w:sz w:val="24"/>
                <w:szCs w:val="24"/>
                <w:highlight w:val="none"/>
              </w:rPr>
            </w:pPr>
          </w:p>
        </w:tc>
        <w:tc>
          <w:tcPr>
            <w:tcW w:w="2256" w:type="dxa"/>
            <w:vAlign w:val="center"/>
          </w:tcPr>
          <w:p w14:paraId="5D150C9F">
            <w:pPr>
              <w:jc w:val="center"/>
              <w:rPr>
                <w:rFonts w:hint="eastAsia" w:ascii="仿宋" w:hAnsi="仿宋" w:eastAsia="仿宋" w:cs="仿宋"/>
                <w:bCs/>
                <w:color w:val="auto"/>
                <w:sz w:val="24"/>
                <w:szCs w:val="24"/>
                <w:highlight w:val="none"/>
              </w:rPr>
            </w:pPr>
          </w:p>
        </w:tc>
      </w:tr>
      <w:tr w14:paraId="25DE0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3D72B2FA">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1298" w:type="dxa"/>
            <w:vAlign w:val="center"/>
          </w:tcPr>
          <w:p w14:paraId="1E84DC04">
            <w:pPr>
              <w:jc w:val="center"/>
              <w:rPr>
                <w:rFonts w:hint="eastAsia" w:ascii="仿宋" w:hAnsi="仿宋" w:eastAsia="仿宋" w:cs="仿宋"/>
                <w:bCs/>
                <w:color w:val="auto"/>
                <w:sz w:val="24"/>
                <w:szCs w:val="24"/>
                <w:highlight w:val="none"/>
              </w:rPr>
            </w:pPr>
          </w:p>
        </w:tc>
        <w:tc>
          <w:tcPr>
            <w:tcW w:w="1445" w:type="dxa"/>
            <w:vAlign w:val="center"/>
          </w:tcPr>
          <w:p w14:paraId="6E5FC34D">
            <w:pPr>
              <w:jc w:val="center"/>
              <w:rPr>
                <w:rFonts w:hint="eastAsia" w:ascii="仿宋" w:hAnsi="仿宋" w:eastAsia="仿宋" w:cs="仿宋"/>
                <w:bCs/>
                <w:color w:val="auto"/>
                <w:sz w:val="24"/>
                <w:szCs w:val="24"/>
                <w:highlight w:val="none"/>
              </w:rPr>
            </w:pPr>
          </w:p>
        </w:tc>
        <w:tc>
          <w:tcPr>
            <w:tcW w:w="2153" w:type="dxa"/>
            <w:vAlign w:val="center"/>
          </w:tcPr>
          <w:p w14:paraId="6BC992E7">
            <w:pPr>
              <w:jc w:val="center"/>
              <w:rPr>
                <w:rFonts w:hint="eastAsia" w:ascii="仿宋" w:hAnsi="仿宋" w:eastAsia="仿宋" w:cs="仿宋"/>
                <w:bCs/>
                <w:color w:val="auto"/>
                <w:sz w:val="24"/>
                <w:szCs w:val="24"/>
                <w:highlight w:val="none"/>
              </w:rPr>
            </w:pPr>
          </w:p>
        </w:tc>
        <w:tc>
          <w:tcPr>
            <w:tcW w:w="1292" w:type="dxa"/>
            <w:vAlign w:val="center"/>
          </w:tcPr>
          <w:p w14:paraId="5BF94EE0">
            <w:pPr>
              <w:jc w:val="center"/>
              <w:rPr>
                <w:rFonts w:hint="eastAsia" w:ascii="仿宋" w:hAnsi="仿宋" w:eastAsia="仿宋" w:cs="仿宋"/>
                <w:bCs/>
                <w:color w:val="auto"/>
                <w:sz w:val="24"/>
                <w:szCs w:val="24"/>
                <w:highlight w:val="none"/>
              </w:rPr>
            </w:pPr>
          </w:p>
        </w:tc>
        <w:tc>
          <w:tcPr>
            <w:tcW w:w="2256" w:type="dxa"/>
            <w:vAlign w:val="center"/>
          </w:tcPr>
          <w:p w14:paraId="6955EC63">
            <w:pPr>
              <w:jc w:val="center"/>
              <w:rPr>
                <w:rFonts w:hint="eastAsia" w:ascii="仿宋" w:hAnsi="仿宋" w:eastAsia="仿宋" w:cs="仿宋"/>
                <w:bCs/>
                <w:color w:val="auto"/>
                <w:sz w:val="24"/>
                <w:szCs w:val="24"/>
                <w:highlight w:val="none"/>
              </w:rPr>
            </w:pPr>
          </w:p>
        </w:tc>
      </w:tr>
      <w:tr w14:paraId="59688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3B8EE27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1298" w:type="dxa"/>
            <w:vAlign w:val="center"/>
          </w:tcPr>
          <w:p w14:paraId="622C7B21">
            <w:pPr>
              <w:jc w:val="center"/>
              <w:rPr>
                <w:rFonts w:hint="eastAsia" w:ascii="仿宋" w:hAnsi="仿宋" w:eastAsia="仿宋" w:cs="仿宋"/>
                <w:bCs/>
                <w:color w:val="auto"/>
                <w:sz w:val="24"/>
                <w:szCs w:val="24"/>
                <w:highlight w:val="none"/>
              </w:rPr>
            </w:pPr>
          </w:p>
        </w:tc>
        <w:tc>
          <w:tcPr>
            <w:tcW w:w="1445" w:type="dxa"/>
            <w:vAlign w:val="center"/>
          </w:tcPr>
          <w:p w14:paraId="06D4EFA2">
            <w:pPr>
              <w:jc w:val="center"/>
              <w:rPr>
                <w:rFonts w:hint="eastAsia" w:ascii="仿宋" w:hAnsi="仿宋" w:eastAsia="仿宋" w:cs="仿宋"/>
                <w:bCs/>
                <w:color w:val="auto"/>
                <w:sz w:val="24"/>
                <w:szCs w:val="24"/>
                <w:highlight w:val="none"/>
              </w:rPr>
            </w:pPr>
          </w:p>
        </w:tc>
        <w:tc>
          <w:tcPr>
            <w:tcW w:w="2153" w:type="dxa"/>
            <w:vAlign w:val="center"/>
          </w:tcPr>
          <w:p w14:paraId="7EE946AC">
            <w:pPr>
              <w:jc w:val="center"/>
              <w:rPr>
                <w:rFonts w:hint="eastAsia" w:ascii="仿宋" w:hAnsi="仿宋" w:eastAsia="仿宋" w:cs="仿宋"/>
                <w:bCs/>
                <w:color w:val="auto"/>
                <w:sz w:val="24"/>
                <w:szCs w:val="24"/>
                <w:highlight w:val="none"/>
              </w:rPr>
            </w:pPr>
          </w:p>
        </w:tc>
        <w:tc>
          <w:tcPr>
            <w:tcW w:w="1292" w:type="dxa"/>
            <w:vAlign w:val="center"/>
          </w:tcPr>
          <w:p w14:paraId="06D4049C">
            <w:pPr>
              <w:jc w:val="center"/>
              <w:rPr>
                <w:rFonts w:hint="eastAsia" w:ascii="仿宋" w:hAnsi="仿宋" w:eastAsia="仿宋" w:cs="仿宋"/>
                <w:bCs/>
                <w:color w:val="auto"/>
                <w:sz w:val="24"/>
                <w:szCs w:val="24"/>
                <w:highlight w:val="none"/>
              </w:rPr>
            </w:pPr>
          </w:p>
        </w:tc>
        <w:tc>
          <w:tcPr>
            <w:tcW w:w="2256" w:type="dxa"/>
            <w:vAlign w:val="center"/>
          </w:tcPr>
          <w:p w14:paraId="0A8AFD3C">
            <w:pPr>
              <w:jc w:val="center"/>
              <w:rPr>
                <w:rFonts w:hint="eastAsia" w:ascii="仿宋" w:hAnsi="仿宋" w:eastAsia="仿宋" w:cs="仿宋"/>
                <w:bCs/>
                <w:color w:val="auto"/>
                <w:sz w:val="24"/>
                <w:szCs w:val="24"/>
                <w:highlight w:val="none"/>
              </w:rPr>
            </w:pPr>
          </w:p>
        </w:tc>
      </w:tr>
      <w:tr w14:paraId="4DE78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5118F6AA">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tc>
        <w:tc>
          <w:tcPr>
            <w:tcW w:w="1298" w:type="dxa"/>
            <w:vAlign w:val="center"/>
          </w:tcPr>
          <w:p w14:paraId="364F9793">
            <w:pPr>
              <w:jc w:val="center"/>
              <w:rPr>
                <w:rFonts w:hint="eastAsia" w:ascii="仿宋" w:hAnsi="仿宋" w:eastAsia="仿宋" w:cs="仿宋"/>
                <w:bCs/>
                <w:color w:val="auto"/>
                <w:sz w:val="24"/>
                <w:szCs w:val="24"/>
                <w:highlight w:val="none"/>
              </w:rPr>
            </w:pPr>
          </w:p>
        </w:tc>
        <w:tc>
          <w:tcPr>
            <w:tcW w:w="1445" w:type="dxa"/>
            <w:vAlign w:val="center"/>
          </w:tcPr>
          <w:p w14:paraId="7CBB0CB9">
            <w:pPr>
              <w:jc w:val="center"/>
              <w:rPr>
                <w:rFonts w:hint="eastAsia" w:ascii="仿宋" w:hAnsi="仿宋" w:eastAsia="仿宋" w:cs="仿宋"/>
                <w:bCs/>
                <w:color w:val="auto"/>
                <w:sz w:val="24"/>
                <w:szCs w:val="24"/>
                <w:highlight w:val="none"/>
              </w:rPr>
            </w:pPr>
          </w:p>
        </w:tc>
        <w:tc>
          <w:tcPr>
            <w:tcW w:w="2153" w:type="dxa"/>
            <w:vAlign w:val="center"/>
          </w:tcPr>
          <w:p w14:paraId="3CFE5412">
            <w:pPr>
              <w:jc w:val="center"/>
              <w:rPr>
                <w:rFonts w:hint="eastAsia" w:ascii="仿宋" w:hAnsi="仿宋" w:eastAsia="仿宋" w:cs="仿宋"/>
                <w:bCs/>
                <w:color w:val="auto"/>
                <w:sz w:val="24"/>
                <w:szCs w:val="24"/>
                <w:highlight w:val="none"/>
              </w:rPr>
            </w:pPr>
          </w:p>
        </w:tc>
        <w:tc>
          <w:tcPr>
            <w:tcW w:w="1292" w:type="dxa"/>
            <w:vAlign w:val="center"/>
          </w:tcPr>
          <w:p w14:paraId="3182CC21">
            <w:pPr>
              <w:jc w:val="center"/>
              <w:rPr>
                <w:rFonts w:hint="eastAsia" w:ascii="仿宋" w:hAnsi="仿宋" w:eastAsia="仿宋" w:cs="仿宋"/>
                <w:bCs/>
                <w:color w:val="auto"/>
                <w:sz w:val="24"/>
                <w:szCs w:val="24"/>
                <w:highlight w:val="none"/>
              </w:rPr>
            </w:pPr>
          </w:p>
        </w:tc>
        <w:tc>
          <w:tcPr>
            <w:tcW w:w="2256" w:type="dxa"/>
            <w:vAlign w:val="center"/>
          </w:tcPr>
          <w:p w14:paraId="069D9473">
            <w:pPr>
              <w:jc w:val="center"/>
              <w:rPr>
                <w:rFonts w:hint="eastAsia" w:ascii="仿宋" w:hAnsi="仿宋" w:eastAsia="仿宋" w:cs="仿宋"/>
                <w:bCs/>
                <w:color w:val="auto"/>
                <w:sz w:val="24"/>
                <w:szCs w:val="24"/>
                <w:highlight w:val="none"/>
              </w:rPr>
            </w:pPr>
          </w:p>
        </w:tc>
      </w:tr>
      <w:tr w14:paraId="799B2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5738" w:type="dxa"/>
            <w:gridSpan w:val="4"/>
            <w:vAlign w:val="center"/>
          </w:tcPr>
          <w:p w14:paraId="34109176">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①制造商（大型企业）投标价格小计</w:t>
            </w:r>
          </w:p>
        </w:tc>
        <w:tc>
          <w:tcPr>
            <w:tcW w:w="1292" w:type="dxa"/>
            <w:vAlign w:val="center"/>
          </w:tcPr>
          <w:p w14:paraId="4D882429">
            <w:pPr>
              <w:jc w:val="center"/>
              <w:rPr>
                <w:rFonts w:hint="eastAsia" w:ascii="仿宋" w:hAnsi="仿宋" w:eastAsia="仿宋" w:cs="仿宋"/>
                <w:bCs/>
                <w:color w:val="auto"/>
                <w:sz w:val="24"/>
                <w:szCs w:val="24"/>
                <w:highlight w:val="none"/>
              </w:rPr>
            </w:pPr>
          </w:p>
        </w:tc>
        <w:tc>
          <w:tcPr>
            <w:tcW w:w="2256" w:type="dxa"/>
            <w:vAlign w:val="center"/>
          </w:tcPr>
          <w:p w14:paraId="2A8EDCD7">
            <w:pPr>
              <w:numPr>
                <w:ilvl w:val="0"/>
                <w:numId w:val="0"/>
              </w:numPr>
              <w:jc w:val="both"/>
              <w:rPr>
                <w:rFonts w:hint="eastAsia" w:ascii="仿宋" w:hAnsi="仿宋" w:eastAsia="仿宋" w:cs="仿宋"/>
                <w:bCs/>
                <w:color w:val="auto"/>
                <w:sz w:val="24"/>
                <w:szCs w:val="24"/>
                <w:highlight w:val="none"/>
                <w:lang w:val="en-US" w:eastAsia="zh-CN"/>
              </w:rPr>
            </w:pPr>
          </w:p>
        </w:tc>
      </w:tr>
      <w:tr w14:paraId="23002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5738" w:type="dxa"/>
            <w:gridSpan w:val="4"/>
            <w:vAlign w:val="center"/>
          </w:tcPr>
          <w:p w14:paraId="5E7737F4">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②制造商（中型企业）投标价格小计</w:t>
            </w:r>
          </w:p>
        </w:tc>
        <w:tc>
          <w:tcPr>
            <w:tcW w:w="1292" w:type="dxa"/>
            <w:vAlign w:val="center"/>
          </w:tcPr>
          <w:p w14:paraId="09C96B03">
            <w:pPr>
              <w:jc w:val="center"/>
              <w:rPr>
                <w:rFonts w:hint="eastAsia" w:ascii="仿宋" w:hAnsi="仿宋" w:eastAsia="仿宋" w:cs="仿宋"/>
                <w:bCs/>
                <w:color w:val="auto"/>
                <w:sz w:val="24"/>
                <w:szCs w:val="24"/>
                <w:highlight w:val="none"/>
              </w:rPr>
            </w:pPr>
          </w:p>
        </w:tc>
        <w:tc>
          <w:tcPr>
            <w:tcW w:w="2256" w:type="dxa"/>
            <w:vAlign w:val="center"/>
          </w:tcPr>
          <w:p w14:paraId="65450320">
            <w:pPr>
              <w:jc w:val="center"/>
              <w:rPr>
                <w:rFonts w:hint="eastAsia" w:ascii="仿宋" w:hAnsi="仿宋" w:eastAsia="仿宋" w:cs="仿宋"/>
                <w:bCs/>
                <w:color w:val="auto"/>
                <w:sz w:val="24"/>
                <w:szCs w:val="24"/>
                <w:highlight w:val="none"/>
              </w:rPr>
            </w:pPr>
          </w:p>
        </w:tc>
      </w:tr>
      <w:tr w14:paraId="2B9A3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5738" w:type="dxa"/>
            <w:gridSpan w:val="4"/>
            <w:vAlign w:val="center"/>
          </w:tcPr>
          <w:p w14:paraId="41D32F8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③制造商（小型企业）投标价格小计</w:t>
            </w:r>
          </w:p>
        </w:tc>
        <w:tc>
          <w:tcPr>
            <w:tcW w:w="1292" w:type="dxa"/>
            <w:vAlign w:val="center"/>
          </w:tcPr>
          <w:p w14:paraId="146401F2">
            <w:pPr>
              <w:jc w:val="center"/>
              <w:rPr>
                <w:rFonts w:hint="eastAsia" w:ascii="仿宋" w:hAnsi="仿宋" w:eastAsia="仿宋" w:cs="仿宋"/>
                <w:bCs/>
                <w:color w:val="auto"/>
                <w:sz w:val="24"/>
                <w:szCs w:val="24"/>
                <w:highlight w:val="none"/>
              </w:rPr>
            </w:pPr>
          </w:p>
        </w:tc>
        <w:tc>
          <w:tcPr>
            <w:tcW w:w="2256" w:type="dxa"/>
            <w:vAlign w:val="center"/>
          </w:tcPr>
          <w:p w14:paraId="64392A9E">
            <w:pPr>
              <w:jc w:val="center"/>
              <w:rPr>
                <w:rFonts w:hint="eastAsia" w:ascii="仿宋" w:hAnsi="仿宋" w:eastAsia="仿宋" w:cs="仿宋"/>
                <w:bCs/>
                <w:color w:val="auto"/>
                <w:sz w:val="24"/>
                <w:szCs w:val="24"/>
                <w:highlight w:val="none"/>
              </w:rPr>
            </w:pPr>
          </w:p>
        </w:tc>
      </w:tr>
      <w:tr w14:paraId="72CD3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5738" w:type="dxa"/>
            <w:gridSpan w:val="4"/>
            <w:vAlign w:val="center"/>
          </w:tcPr>
          <w:p w14:paraId="0C3E70A9">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④制造商（微型企业）投标价格小计</w:t>
            </w:r>
          </w:p>
        </w:tc>
        <w:tc>
          <w:tcPr>
            <w:tcW w:w="1292" w:type="dxa"/>
            <w:vAlign w:val="center"/>
          </w:tcPr>
          <w:p w14:paraId="0E0CCDEF">
            <w:pPr>
              <w:jc w:val="center"/>
              <w:rPr>
                <w:rFonts w:hint="eastAsia" w:ascii="仿宋" w:hAnsi="仿宋" w:eastAsia="仿宋" w:cs="仿宋"/>
                <w:bCs/>
                <w:color w:val="auto"/>
                <w:sz w:val="24"/>
                <w:szCs w:val="24"/>
                <w:highlight w:val="none"/>
              </w:rPr>
            </w:pPr>
          </w:p>
        </w:tc>
        <w:tc>
          <w:tcPr>
            <w:tcW w:w="2256" w:type="dxa"/>
            <w:vAlign w:val="center"/>
          </w:tcPr>
          <w:p w14:paraId="5AF49D97">
            <w:pPr>
              <w:jc w:val="center"/>
              <w:rPr>
                <w:rFonts w:hint="eastAsia" w:ascii="仿宋" w:hAnsi="仿宋" w:eastAsia="仿宋" w:cs="仿宋"/>
                <w:bCs/>
                <w:color w:val="auto"/>
                <w:sz w:val="24"/>
                <w:szCs w:val="24"/>
                <w:highlight w:val="none"/>
              </w:rPr>
            </w:pPr>
          </w:p>
        </w:tc>
      </w:tr>
      <w:tr w14:paraId="20813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5738" w:type="dxa"/>
            <w:gridSpan w:val="4"/>
            <w:vAlign w:val="center"/>
          </w:tcPr>
          <w:p w14:paraId="4F8DDBA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合计（①+②+③+④）</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3548" w:type="dxa"/>
            <w:gridSpan w:val="2"/>
            <w:vAlign w:val="center"/>
          </w:tcPr>
          <w:p w14:paraId="38D4D3DC">
            <w:pPr>
              <w:jc w:val="center"/>
              <w:rPr>
                <w:rFonts w:hint="eastAsia" w:ascii="仿宋" w:hAnsi="仿宋" w:eastAsia="仿宋" w:cs="仿宋"/>
                <w:bCs/>
                <w:color w:val="auto"/>
                <w:sz w:val="24"/>
                <w:szCs w:val="24"/>
                <w:highlight w:val="none"/>
              </w:rPr>
            </w:pPr>
          </w:p>
        </w:tc>
      </w:tr>
      <w:tr w14:paraId="1A4F2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2" w:hRule="atLeast"/>
          <w:jc w:val="center"/>
        </w:trPr>
        <w:tc>
          <w:tcPr>
            <w:tcW w:w="9286" w:type="dxa"/>
            <w:gridSpan w:val="6"/>
            <w:vAlign w:val="center"/>
          </w:tcPr>
          <w:p w14:paraId="765DB371">
            <w:pPr>
              <w:numPr>
                <w:ilvl w:val="0"/>
                <w:numId w:val="2"/>
              </w:num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w:t>
            </w:r>
            <w:r>
              <w:rPr>
                <w:rFonts w:hint="eastAsia" w:ascii="仿宋" w:hAnsi="仿宋" w:eastAsia="仿宋" w:cs="仿宋"/>
                <w:bCs/>
                <w:color w:val="auto"/>
                <w:sz w:val="24"/>
                <w:szCs w:val="24"/>
                <w:highlight w:val="none"/>
                <w:lang w:val="en-US" w:eastAsia="zh-CN"/>
              </w:rPr>
              <w:t>中</w:t>
            </w:r>
            <w:r>
              <w:rPr>
                <w:rFonts w:hint="eastAsia" w:ascii="仿宋" w:hAnsi="仿宋" w:eastAsia="仿宋" w:cs="仿宋"/>
                <w:bCs/>
                <w:color w:val="auto"/>
                <w:sz w:val="24"/>
                <w:szCs w:val="24"/>
                <w:highlight w:val="none"/>
              </w:rPr>
              <w:t>小企业）投标价格占总投标价格</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%（②</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③+④/（①+②+③+④））</w:t>
            </w:r>
          </w:p>
          <w:p w14:paraId="3C2D1C8B">
            <w:pPr>
              <w:numPr>
                <w:ilvl w:val="0"/>
                <w:numId w:val="0"/>
              </w:numPr>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制造商（小微企业）投标价格占总投标价格</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%（③+④/（①+②+③+④））</w:t>
            </w:r>
          </w:p>
        </w:tc>
      </w:tr>
    </w:tbl>
    <w:p w14:paraId="463E72C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25E14D15">
      <w:pPr>
        <w:widowControl w:val="0"/>
        <w:numPr>
          <w:ilvl w:val="0"/>
          <w:numId w:val="0"/>
        </w:numPr>
        <w:spacing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kern w:val="2"/>
          <w:sz w:val="24"/>
          <w:szCs w:val="24"/>
          <w:highlight w:val="none"/>
          <w:lang w:val="en-US" w:eastAsia="zh-CN" w:bidi="ar-SA"/>
        </w:rPr>
        <w:t>1、</w:t>
      </w:r>
      <w:r>
        <w:rPr>
          <w:rFonts w:hint="eastAsia" w:ascii="仿宋" w:hAnsi="仿宋" w:eastAsia="仿宋" w:cs="仿宋"/>
          <w:bCs/>
          <w:color w:val="auto"/>
          <w:sz w:val="24"/>
          <w:szCs w:val="24"/>
          <w:highlight w:val="none"/>
        </w:rPr>
        <w:t>中小企业，是指在中华人民共和国境内依法设立，依据国务院批准的中小企业划分标准确定的中型企业、小型企业和微型企业。</w:t>
      </w:r>
    </w:p>
    <w:p w14:paraId="5D7017BD">
      <w:pPr>
        <w:numPr>
          <w:ilvl w:val="0"/>
          <w:numId w:val="0"/>
        </w:numPr>
        <w:spacing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kern w:val="2"/>
          <w:sz w:val="24"/>
          <w:szCs w:val="24"/>
          <w:highlight w:val="none"/>
          <w:lang w:val="en-US" w:eastAsia="zh-CN" w:bidi="ar-SA"/>
        </w:rPr>
        <w:t>2、</w:t>
      </w:r>
      <w:r>
        <w:rPr>
          <w:rFonts w:hint="eastAsia" w:ascii="仿宋" w:hAnsi="仿宋" w:eastAsia="仿宋" w:cs="仿宋"/>
          <w:color w:val="auto"/>
          <w:sz w:val="24"/>
          <w:szCs w:val="24"/>
          <w:highlight w:val="none"/>
        </w:rPr>
        <w:t>制造商企业规模分为：</w:t>
      </w:r>
      <w:r>
        <w:rPr>
          <w:rFonts w:hint="eastAsia" w:ascii="仿宋" w:hAnsi="仿宋" w:eastAsia="仿宋" w:cs="仿宋"/>
          <w:bCs/>
          <w:color w:val="auto"/>
          <w:sz w:val="24"/>
          <w:szCs w:val="24"/>
          <w:highlight w:val="none"/>
        </w:rPr>
        <w:t>大型企业、中型企业、小型企业和微型企业</w:t>
      </w:r>
      <w:r>
        <w:rPr>
          <w:rFonts w:hint="eastAsia" w:ascii="仿宋" w:hAnsi="仿宋" w:eastAsia="仿宋" w:cs="仿宋"/>
          <w:bCs/>
          <w:color w:val="auto"/>
          <w:sz w:val="24"/>
          <w:szCs w:val="24"/>
          <w:highlight w:val="none"/>
          <w:lang w:eastAsia="zh-CN"/>
        </w:rPr>
        <w:t>。</w:t>
      </w:r>
    </w:p>
    <w:p w14:paraId="255A8EF1">
      <w:pPr>
        <w:numPr>
          <w:ilvl w:val="0"/>
          <w:numId w:val="0"/>
        </w:num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3、</w:t>
      </w:r>
      <w:r>
        <w:rPr>
          <w:rFonts w:hint="eastAsia" w:ascii="仿宋" w:hAnsi="仿宋" w:eastAsia="仿宋" w:cs="仿宋"/>
          <w:color w:val="auto"/>
          <w:spacing w:val="6"/>
          <w:sz w:val="24"/>
          <w:szCs w:val="24"/>
          <w:highlight w:val="none"/>
          <w:lang w:val="en-US" w:eastAsia="zh-CN"/>
        </w:rPr>
        <w:t>标的所属行业（</w:t>
      </w:r>
      <w:r>
        <w:rPr>
          <w:rFonts w:hint="eastAsia" w:ascii="仿宋" w:hAnsi="仿宋" w:eastAsia="仿宋" w:cs="仿宋"/>
          <w:color w:val="auto"/>
          <w:spacing w:val="6"/>
          <w:sz w:val="24"/>
          <w:szCs w:val="24"/>
          <w:highlight w:val="none"/>
        </w:rPr>
        <w:t>工业</w:t>
      </w:r>
      <w:r>
        <w:rPr>
          <w:rFonts w:hint="eastAsia" w:ascii="仿宋" w:hAnsi="仿宋" w:eastAsia="仿宋" w:cs="仿宋"/>
          <w:color w:val="auto"/>
          <w:spacing w:val="6"/>
          <w:sz w:val="24"/>
          <w:szCs w:val="24"/>
          <w:highlight w:val="none"/>
          <w:lang w:val="en-US" w:eastAsia="zh-CN"/>
        </w:rPr>
        <w:t>）的中小企业判断标准为：</w:t>
      </w:r>
      <w:r>
        <w:rPr>
          <w:rFonts w:hint="eastAsia" w:ascii="仿宋" w:hAnsi="仿宋" w:eastAsia="仿宋" w:cs="仿宋"/>
          <w:color w:val="auto"/>
          <w:spacing w:val="6"/>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EF66F08">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、残疾人福利性单位和监狱企业视同小型、微型企业。</w:t>
      </w:r>
    </w:p>
    <w:p w14:paraId="61142302">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标的</w:t>
      </w:r>
      <w:r>
        <w:rPr>
          <w:rFonts w:hint="eastAsia" w:ascii="仿宋" w:hAnsi="仿宋" w:eastAsia="仿宋" w:cs="仿宋"/>
          <w:color w:val="auto"/>
          <w:sz w:val="24"/>
          <w:szCs w:val="24"/>
          <w:highlight w:val="none"/>
        </w:rPr>
        <w:t>名称必须与投标价格明细表中一致。</w:t>
      </w:r>
    </w:p>
    <w:p w14:paraId="1CE2B33B">
      <w:pPr>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6、我公司声明上述内容全部真实有效。</w:t>
      </w:r>
    </w:p>
    <w:p w14:paraId="0AB3B94F">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BE2A796">
      <w:pPr>
        <w:rPr>
          <w:color w:val="auto"/>
          <w:highlight w:val="none"/>
        </w:rPr>
      </w:pPr>
    </w:p>
    <w:p w14:paraId="6E1E631D">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300847AA">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2E0EAD43">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p>
    <w:p w14:paraId="5DB6AB95">
      <w:pPr>
        <w:rPr>
          <w:rFonts w:ascii="仿宋" w:hAnsi="仿宋" w:eastAsia="仿宋" w:cs="仿宋"/>
          <w:b/>
          <w:color w:val="auto"/>
          <w:sz w:val="24"/>
          <w:szCs w:val="24"/>
          <w:highlight w:val="none"/>
        </w:rPr>
        <w:sectPr>
          <w:pgSz w:w="11906" w:h="16838"/>
          <w:pgMar w:top="1134" w:right="1417" w:bottom="1134" w:left="1417" w:header="851" w:footer="992" w:gutter="0"/>
          <w:cols w:space="0" w:num="1"/>
          <w:docGrid w:linePitch="312" w:charSpace="0"/>
        </w:sectPr>
      </w:pPr>
      <w:bookmarkStart w:id="162" w:name="_Toc110707968"/>
      <w:bookmarkStart w:id="163" w:name="_Toc130252618"/>
      <w:bookmarkStart w:id="164" w:name="_Toc109921161"/>
      <w:bookmarkStart w:id="165" w:name="_Toc109941768"/>
      <w:bookmarkStart w:id="166" w:name="_Toc27046"/>
      <w:bookmarkStart w:id="167" w:name="_Toc30686"/>
      <w:bookmarkStart w:id="168" w:name="_Toc17089"/>
    </w:p>
    <w:p w14:paraId="43E14CAB">
      <w:pPr>
        <w:tabs>
          <w:tab w:val="center" w:pos="4832"/>
          <w:tab w:val="left" w:pos="7140"/>
        </w:tabs>
        <w:jc w:val="center"/>
        <w:outlineLvl w:val="1"/>
        <w:rPr>
          <w:rFonts w:ascii="仿宋" w:hAnsi="仿宋" w:eastAsia="仿宋" w:cs="仿宋"/>
          <w:b/>
          <w:color w:val="auto"/>
          <w:sz w:val="24"/>
          <w:szCs w:val="24"/>
          <w:highlight w:val="none"/>
        </w:rPr>
      </w:pPr>
      <w:bookmarkStart w:id="169" w:name="_Toc30902"/>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、商务条款偏离表</w:t>
      </w:r>
      <w:bookmarkEnd w:id="162"/>
      <w:bookmarkEnd w:id="163"/>
      <w:bookmarkEnd w:id="164"/>
      <w:bookmarkEnd w:id="165"/>
      <w:bookmarkEnd w:id="166"/>
      <w:bookmarkEnd w:id="167"/>
      <w:bookmarkEnd w:id="168"/>
      <w:bookmarkEnd w:id="169"/>
    </w:p>
    <w:p w14:paraId="35471849">
      <w:pPr>
        <w:rPr>
          <w:rFonts w:ascii="仿宋" w:hAnsi="仿宋" w:eastAsia="仿宋" w:cs="仿宋"/>
          <w:color w:val="auto"/>
          <w:highlight w:val="none"/>
        </w:rPr>
      </w:pPr>
    </w:p>
    <w:tbl>
      <w:tblPr>
        <w:tblStyle w:val="3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79F31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037B6C09">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30EC3BA2">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71B88FB0">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招标文件的商务条款</w:t>
            </w:r>
          </w:p>
        </w:tc>
        <w:tc>
          <w:tcPr>
            <w:tcW w:w="2126" w:type="dxa"/>
            <w:vAlign w:val="center"/>
          </w:tcPr>
          <w:p w14:paraId="506D4AF9">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投标文件的商务条款</w:t>
            </w:r>
          </w:p>
        </w:tc>
        <w:tc>
          <w:tcPr>
            <w:tcW w:w="1985" w:type="dxa"/>
            <w:vAlign w:val="center"/>
          </w:tcPr>
          <w:p w14:paraId="0BE20C00">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44F51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CFEA8FB">
            <w:pPr>
              <w:jc w:val="center"/>
              <w:rPr>
                <w:rFonts w:ascii="仿宋" w:hAnsi="仿宋" w:eastAsia="仿宋" w:cs="仿宋"/>
                <w:b/>
                <w:bCs/>
                <w:color w:val="auto"/>
                <w:sz w:val="24"/>
                <w:szCs w:val="24"/>
                <w:highlight w:val="none"/>
              </w:rPr>
            </w:pPr>
          </w:p>
        </w:tc>
        <w:tc>
          <w:tcPr>
            <w:tcW w:w="2070" w:type="dxa"/>
          </w:tcPr>
          <w:p w14:paraId="50A59859">
            <w:pPr>
              <w:jc w:val="center"/>
              <w:rPr>
                <w:rFonts w:ascii="仿宋" w:hAnsi="仿宋" w:eastAsia="仿宋" w:cs="仿宋"/>
                <w:b/>
                <w:bCs/>
                <w:color w:val="auto"/>
                <w:sz w:val="24"/>
                <w:szCs w:val="24"/>
                <w:highlight w:val="none"/>
              </w:rPr>
            </w:pPr>
          </w:p>
        </w:tc>
        <w:tc>
          <w:tcPr>
            <w:tcW w:w="2052" w:type="dxa"/>
          </w:tcPr>
          <w:p w14:paraId="7BD26F36">
            <w:pPr>
              <w:jc w:val="center"/>
              <w:rPr>
                <w:rFonts w:ascii="仿宋" w:hAnsi="仿宋" w:eastAsia="仿宋" w:cs="仿宋"/>
                <w:b/>
                <w:bCs/>
                <w:color w:val="auto"/>
                <w:sz w:val="24"/>
                <w:szCs w:val="24"/>
                <w:highlight w:val="none"/>
              </w:rPr>
            </w:pPr>
          </w:p>
        </w:tc>
        <w:tc>
          <w:tcPr>
            <w:tcW w:w="2126" w:type="dxa"/>
          </w:tcPr>
          <w:p w14:paraId="53016580">
            <w:pPr>
              <w:jc w:val="center"/>
              <w:rPr>
                <w:rFonts w:ascii="仿宋" w:hAnsi="仿宋" w:eastAsia="仿宋" w:cs="仿宋"/>
                <w:b/>
                <w:bCs/>
                <w:color w:val="auto"/>
                <w:sz w:val="24"/>
                <w:szCs w:val="24"/>
                <w:highlight w:val="none"/>
              </w:rPr>
            </w:pPr>
          </w:p>
        </w:tc>
        <w:tc>
          <w:tcPr>
            <w:tcW w:w="1985" w:type="dxa"/>
          </w:tcPr>
          <w:p w14:paraId="779FB524">
            <w:pPr>
              <w:jc w:val="center"/>
              <w:rPr>
                <w:rFonts w:ascii="仿宋" w:hAnsi="仿宋" w:eastAsia="仿宋" w:cs="仿宋"/>
                <w:b/>
                <w:bCs/>
                <w:color w:val="auto"/>
                <w:sz w:val="24"/>
                <w:szCs w:val="24"/>
                <w:highlight w:val="none"/>
              </w:rPr>
            </w:pPr>
          </w:p>
        </w:tc>
      </w:tr>
      <w:tr w14:paraId="341AE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09942375">
            <w:pPr>
              <w:jc w:val="center"/>
              <w:rPr>
                <w:rFonts w:ascii="仿宋" w:hAnsi="仿宋" w:eastAsia="仿宋" w:cs="仿宋"/>
                <w:b/>
                <w:bCs/>
                <w:color w:val="auto"/>
                <w:sz w:val="24"/>
                <w:szCs w:val="24"/>
                <w:highlight w:val="none"/>
              </w:rPr>
            </w:pPr>
          </w:p>
        </w:tc>
        <w:tc>
          <w:tcPr>
            <w:tcW w:w="2070" w:type="dxa"/>
          </w:tcPr>
          <w:p w14:paraId="132106B0">
            <w:pPr>
              <w:jc w:val="center"/>
              <w:rPr>
                <w:rFonts w:ascii="仿宋" w:hAnsi="仿宋" w:eastAsia="仿宋" w:cs="仿宋"/>
                <w:b/>
                <w:bCs/>
                <w:color w:val="auto"/>
                <w:sz w:val="24"/>
                <w:szCs w:val="24"/>
                <w:highlight w:val="none"/>
              </w:rPr>
            </w:pPr>
          </w:p>
        </w:tc>
        <w:tc>
          <w:tcPr>
            <w:tcW w:w="2052" w:type="dxa"/>
          </w:tcPr>
          <w:p w14:paraId="750A56D7">
            <w:pPr>
              <w:jc w:val="center"/>
              <w:rPr>
                <w:rFonts w:ascii="仿宋" w:hAnsi="仿宋" w:eastAsia="仿宋" w:cs="仿宋"/>
                <w:b/>
                <w:bCs/>
                <w:color w:val="auto"/>
                <w:sz w:val="24"/>
                <w:szCs w:val="24"/>
                <w:highlight w:val="none"/>
              </w:rPr>
            </w:pPr>
          </w:p>
        </w:tc>
        <w:tc>
          <w:tcPr>
            <w:tcW w:w="2126" w:type="dxa"/>
          </w:tcPr>
          <w:p w14:paraId="28B26C32">
            <w:pPr>
              <w:jc w:val="center"/>
              <w:rPr>
                <w:rFonts w:ascii="仿宋" w:hAnsi="仿宋" w:eastAsia="仿宋" w:cs="仿宋"/>
                <w:b/>
                <w:bCs/>
                <w:color w:val="auto"/>
                <w:sz w:val="24"/>
                <w:szCs w:val="24"/>
                <w:highlight w:val="none"/>
              </w:rPr>
            </w:pPr>
          </w:p>
        </w:tc>
        <w:tc>
          <w:tcPr>
            <w:tcW w:w="1985" w:type="dxa"/>
          </w:tcPr>
          <w:p w14:paraId="5FED77D4">
            <w:pPr>
              <w:jc w:val="center"/>
              <w:rPr>
                <w:rFonts w:ascii="仿宋" w:hAnsi="仿宋" w:eastAsia="仿宋" w:cs="仿宋"/>
                <w:b/>
                <w:bCs/>
                <w:color w:val="auto"/>
                <w:sz w:val="24"/>
                <w:szCs w:val="24"/>
                <w:highlight w:val="none"/>
              </w:rPr>
            </w:pPr>
          </w:p>
        </w:tc>
      </w:tr>
      <w:tr w14:paraId="77061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07F5F7C6">
            <w:pPr>
              <w:jc w:val="center"/>
              <w:rPr>
                <w:rFonts w:ascii="仿宋" w:hAnsi="仿宋" w:eastAsia="仿宋" w:cs="仿宋"/>
                <w:b/>
                <w:bCs/>
                <w:color w:val="auto"/>
                <w:sz w:val="24"/>
                <w:szCs w:val="24"/>
                <w:highlight w:val="none"/>
              </w:rPr>
            </w:pPr>
          </w:p>
        </w:tc>
        <w:tc>
          <w:tcPr>
            <w:tcW w:w="2070" w:type="dxa"/>
          </w:tcPr>
          <w:p w14:paraId="022F1B62">
            <w:pPr>
              <w:jc w:val="center"/>
              <w:rPr>
                <w:rFonts w:ascii="仿宋" w:hAnsi="仿宋" w:eastAsia="仿宋" w:cs="仿宋"/>
                <w:b/>
                <w:bCs/>
                <w:color w:val="auto"/>
                <w:sz w:val="24"/>
                <w:szCs w:val="24"/>
                <w:highlight w:val="none"/>
              </w:rPr>
            </w:pPr>
          </w:p>
        </w:tc>
        <w:tc>
          <w:tcPr>
            <w:tcW w:w="2052" w:type="dxa"/>
          </w:tcPr>
          <w:p w14:paraId="643A37C5">
            <w:pPr>
              <w:jc w:val="center"/>
              <w:rPr>
                <w:rFonts w:ascii="仿宋" w:hAnsi="仿宋" w:eastAsia="仿宋" w:cs="仿宋"/>
                <w:b/>
                <w:bCs/>
                <w:color w:val="auto"/>
                <w:sz w:val="24"/>
                <w:szCs w:val="24"/>
                <w:highlight w:val="none"/>
              </w:rPr>
            </w:pPr>
          </w:p>
        </w:tc>
        <w:tc>
          <w:tcPr>
            <w:tcW w:w="2126" w:type="dxa"/>
          </w:tcPr>
          <w:p w14:paraId="287A711D">
            <w:pPr>
              <w:jc w:val="center"/>
              <w:rPr>
                <w:rFonts w:ascii="仿宋" w:hAnsi="仿宋" w:eastAsia="仿宋" w:cs="仿宋"/>
                <w:b/>
                <w:bCs/>
                <w:color w:val="auto"/>
                <w:sz w:val="24"/>
                <w:szCs w:val="24"/>
                <w:highlight w:val="none"/>
              </w:rPr>
            </w:pPr>
          </w:p>
        </w:tc>
        <w:tc>
          <w:tcPr>
            <w:tcW w:w="1985" w:type="dxa"/>
          </w:tcPr>
          <w:p w14:paraId="7C522944">
            <w:pPr>
              <w:jc w:val="center"/>
              <w:rPr>
                <w:rFonts w:ascii="仿宋" w:hAnsi="仿宋" w:eastAsia="仿宋" w:cs="仿宋"/>
                <w:b/>
                <w:bCs/>
                <w:color w:val="auto"/>
                <w:sz w:val="24"/>
                <w:szCs w:val="24"/>
                <w:highlight w:val="none"/>
              </w:rPr>
            </w:pPr>
          </w:p>
        </w:tc>
      </w:tr>
      <w:tr w14:paraId="2AC1A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40AE2994">
            <w:pPr>
              <w:jc w:val="center"/>
              <w:rPr>
                <w:rFonts w:ascii="仿宋" w:hAnsi="仿宋" w:eastAsia="仿宋" w:cs="仿宋"/>
                <w:b/>
                <w:bCs/>
                <w:color w:val="auto"/>
                <w:sz w:val="24"/>
                <w:szCs w:val="24"/>
                <w:highlight w:val="none"/>
              </w:rPr>
            </w:pPr>
          </w:p>
        </w:tc>
        <w:tc>
          <w:tcPr>
            <w:tcW w:w="2070" w:type="dxa"/>
          </w:tcPr>
          <w:p w14:paraId="747DEC9A">
            <w:pPr>
              <w:jc w:val="center"/>
              <w:rPr>
                <w:rFonts w:ascii="仿宋" w:hAnsi="仿宋" w:eastAsia="仿宋" w:cs="仿宋"/>
                <w:b/>
                <w:bCs/>
                <w:color w:val="auto"/>
                <w:sz w:val="24"/>
                <w:szCs w:val="24"/>
                <w:highlight w:val="none"/>
              </w:rPr>
            </w:pPr>
          </w:p>
        </w:tc>
        <w:tc>
          <w:tcPr>
            <w:tcW w:w="2052" w:type="dxa"/>
          </w:tcPr>
          <w:p w14:paraId="1DEAC7FC">
            <w:pPr>
              <w:jc w:val="center"/>
              <w:rPr>
                <w:rFonts w:ascii="仿宋" w:hAnsi="仿宋" w:eastAsia="仿宋" w:cs="仿宋"/>
                <w:b/>
                <w:bCs/>
                <w:color w:val="auto"/>
                <w:sz w:val="24"/>
                <w:szCs w:val="24"/>
                <w:highlight w:val="none"/>
              </w:rPr>
            </w:pPr>
          </w:p>
        </w:tc>
        <w:tc>
          <w:tcPr>
            <w:tcW w:w="2126" w:type="dxa"/>
          </w:tcPr>
          <w:p w14:paraId="5306C1B9">
            <w:pPr>
              <w:jc w:val="center"/>
              <w:rPr>
                <w:rFonts w:ascii="仿宋" w:hAnsi="仿宋" w:eastAsia="仿宋" w:cs="仿宋"/>
                <w:b/>
                <w:bCs/>
                <w:color w:val="auto"/>
                <w:sz w:val="24"/>
                <w:szCs w:val="24"/>
                <w:highlight w:val="none"/>
              </w:rPr>
            </w:pPr>
          </w:p>
        </w:tc>
        <w:tc>
          <w:tcPr>
            <w:tcW w:w="1985" w:type="dxa"/>
          </w:tcPr>
          <w:p w14:paraId="4542B25E">
            <w:pPr>
              <w:jc w:val="center"/>
              <w:rPr>
                <w:rFonts w:ascii="仿宋" w:hAnsi="仿宋" w:eastAsia="仿宋" w:cs="仿宋"/>
                <w:b/>
                <w:bCs/>
                <w:color w:val="auto"/>
                <w:sz w:val="24"/>
                <w:szCs w:val="24"/>
                <w:highlight w:val="none"/>
              </w:rPr>
            </w:pPr>
          </w:p>
        </w:tc>
      </w:tr>
      <w:tr w14:paraId="25A52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2A474E8">
            <w:pPr>
              <w:jc w:val="center"/>
              <w:rPr>
                <w:rFonts w:ascii="仿宋" w:hAnsi="仿宋" w:eastAsia="仿宋" w:cs="仿宋"/>
                <w:b/>
                <w:bCs/>
                <w:color w:val="auto"/>
                <w:sz w:val="24"/>
                <w:szCs w:val="24"/>
                <w:highlight w:val="none"/>
              </w:rPr>
            </w:pPr>
          </w:p>
        </w:tc>
        <w:tc>
          <w:tcPr>
            <w:tcW w:w="2070" w:type="dxa"/>
          </w:tcPr>
          <w:p w14:paraId="5A25C21E">
            <w:pPr>
              <w:jc w:val="center"/>
              <w:rPr>
                <w:rFonts w:ascii="仿宋" w:hAnsi="仿宋" w:eastAsia="仿宋" w:cs="仿宋"/>
                <w:b/>
                <w:bCs/>
                <w:color w:val="auto"/>
                <w:sz w:val="24"/>
                <w:szCs w:val="24"/>
                <w:highlight w:val="none"/>
              </w:rPr>
            </w:pPr>
          </w:p>
        </w:tc>
        <w:tc>
          <w:tcPr>
            <w:tcW w:w="2052" w:type="dxa"/>
          </w:tcPr>
          <w:p w14:paraId="7594F0EE">
            <w:pPr>
              <w:jc w:val="center"/>
              <w:rPr>
                <w:rFonts w:ascii="仿宋" w:hAnsi="仿宋" w:eastAsia="仿宋" w:cs="仿宋"/>
                <w:b/>
                <w:bCs/>
                <w:color w:val="auto"/>
                <w:sz w:val="24"/>
                <w:szCs w:val="24"/>
                <w:highlight w:val="none"/>
              </w:rPr>
            </w:pPr>
          </w:p>
        </w:tc>
        <w:tc>
          <w:tcPr>
            <w:tcW w:w="2126" w:type="dxa"/>
          </w:tcPr>
          <w:p w14:paraId="6DEBDA36">
            <w:pPr>
              <w:jc w:val="center"/>
              <w:rPr>
                <w:rFonts w:ascii="仿宋" w:hAnsi="仿宋" w:eastAsia="仿宋" w:cs="仿宋"/>
                <w:b/>
                <w:bCs/>
                <w:color w:val="auto"/>
                <w:sz w:val="24"/>
                <w:szCs w:val="24"/>
                <w:highlight w:val="none"/>
              </w:rPr>
            </w:pPr>
          </w:p>
        </w:tc>
        <w:tc>
          <w:tcPr>
            <w:tcW w:w="1985" w:type="dxa"/>
          </w:tcPr>
          <w:p w14:paraId="0C1F3E49">
            <w:pPr>
              <w:jc w:val="center"/>
              <w:rPr>
                <w:rFonts w:ascii="仿宋" w:hAnsi="仿宋" w:eastAsia="仿宋" w:cs="仿宋"/>
                <w:b/>
                <w:bCs/>
                <w:color w:val="auto"/>
                <w:sz w:val="24"/>
                <w:szCs w:val="24"/>
                <w:highlight w:val="none"/>
              </w:rPr>
            </w:pPr>
          </w:p>
        </w:tc>
      </w:tr>
    </w:tbl>
    <w:p w14:paraId="4B3AB977">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注：投标人商务条款有差异的，则在此表中列明实际响应的内容提要并加以说明，以便查对。无差异说明表示完全响应。</w:t>
      </w:r>
    </w:p>
    <w:p w14:paraId="26E9E75E">
      <w:pPr>
        <w:spacing w:line="360" w:lineRule="auto"/>
        <w:jc w:val="left"/>
        <w:rPr>
          <w:rFonts w:ascii="仿宋" w:hAnsi="仿宋" w:eastAsia="仿宋" w:cs="仿宋"/>
          <w:color w:val="auto"/>
          <w:sz w:val="24"/>
          <w:szCs w:val="24"/>
          <w:highlight w:val="none"/>
        </w:rPr>
      </w:pPr>
    </w:p>
    <w:p w14:paraId="765DD284">
      <w:pPr>
        <w:spacing w:line="360" w:lineRule="auto"/>
        <w:jc w:val="left"/>
        <w:rPr>
          <w:rFonts w:ascii="仿宋" w:hAnsi="仿宋" w:eastAsia="仿宋" w:cs="仿宋"/>
          <w:color w:val="auto"/>
          <w:sz w:val="24"/>
          <w:szCs w:val="24"/>
          <w:highlight w:val="none"/>
        </w:rPr>
      </w:pPr>
    </w:p>
    <w:p w14:paraId="08621C33">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6E088F3">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5EF2A380">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1D773B72">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2304502">
      <w:pPr>
        <w:rPr>
          <w:rFonts w:ascii="仿宋" w:hAnsi="仿宋" w:eastAsia="仿宋" w:cs="仿宋"/>
          <w:color w:val="auto"/>
          <w:sz w:val="24"/>
          <w:szCs w:val="24"/>
          <w:highlight w:val="none"/>
        </w:rPr>
      </w:pPr>
      <w:r>
        <w:rPr>
          <w:rFonts w:hint="eastAsia" w:ascii="仿宋" w:hAnsi="仿宋" w:eastAsia="仿宋" w:cs="仿宋"/>
          <w:b/>
          <w:bCs/>
          <w:color w:val="auto"/>
          <w:kern w:val="36"/>
          <w:sz w:val="24"/>
          <w:szCs w:val="24"/>
          <w:highlight w:val="none"/>
        </w:rPr>
        <w:br w:type="page"/>
      </w:r>
    </w:p>
    <w:p w14:paraId="10D400DF">
      <w:pPr>
        <w:widowControl/>
        <w:jc w:val="left"/>
        <w:rPr>
          <w:rFonts w:ascii="仿宋" w:hAnsi="仿宋" w:eastAsia="仿宋" w:cs="仿宋"/>
          <w:color w:val="auto"/>
          <w:sz w:val="24"/>
          <w:szCs w:val="24"/>
          <w:highlight w:val="none"/>
        </w:rPr>
      </w:pPr>
    </w:p>
    <w:p w14:paraId="303225C2">
      <w:pPr>
        <w:tabs>
          <w:tab w:val="center" w:pos="4832"/>
          <w:tab w:val="left" w:pos="7140"/>
        </w:tabs>
        <w:jc w:val="center"/>
        <w:outlineLvl w:val="1"/>
        <w:rPr>
          <w:rFonts w:ascii="仿宋" w:hAnsi="仿宋" w:eastAsia="仿宋" w:cs="仿宋"/>
          <w:b/>
          <w:color w:val="auto"/>
          <w:sz w:val="24"/>
          <w:szCs w:val="24"/>
          <w:highlight w:val="none"/>
        </w:rPr>
      </w:pPr>
      <w:bookmarkStart w:id="170" w:name="_Toc2642"/>
      <w:bookmarkStart w:id="171" w:name="_Toc109941767"/>
      <w:bookmarkStart w:id="172" w:name="_Toc109921160"/>
      <w:bookmarkStart w:id="173" w:name="_Toc110707967"/>
      <w:bookmarkStart w:id="174" w:name="_Toc27420"/>
      <w:bookmarkStart w:id="175" w:name="_Toc130252617"/>
      <w:bookmarkStart w:id="176" w:name="_Toc6958"/>
      <w:bookmarkStart w:id="177" w:name="_Toc21848"/>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、技术条款偏离表</w:t>
      </w:r>
      <w:bookmarkEnd w:id="170"/>
      <w:bookmarkEnd w:id="171"/>
      <w:bookmarkEnd w:id="172"/>
      <w:bookmarkEnd w:id="173"/>
      <w:bookmarkEnd w:id="174"/>
      <w:bookmarkEnd w:id="175"/>
      <w:bookmarkEnd w:id="176"/>
      <w:bookmarkEnd w:id="177"/>
    </w:p>
    <w:tbl>
      <w:tblPr>
        <w:tblStyle w:val="3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01ED9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0EDF5D8B">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2A145DB6">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6A5BDC24">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招标文件的技术条款</w:t>
            </w:r>
          </w:p>
        </w:tc>
        <w:tc>
          <w:tcPr>
            <w:tcW w:w="2126" w:type="dxa"/>
            <w:vAlign w:val="center"/>
          </w:tcPr>
          <w:p w14:paraId="611946CA">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投标文件的技术条款</w:t>
            </w:r>
          </w:p>
        </w:tc>
        <w:tc>
          <w:tcPr>
            <w:tcW w:w="1985" w:type="dxa"/>
            <w:vAlign w:val="center"/>
          </w:tcPr>
          <w:p w14:paraId="21BD9AF0">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7ABC9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3C8359F">
            <w:pPr>
              <w:jc w:val="center"/>
              <w:rPr>
                <w:rFonts w:ascii="仿宋" w:hAnsi="仿宋" w:eastAsia="仿宋" w:cs="仿宋"/>
                <w:b/>
                <w:bCs/>
                <w:color w:val="auto"/>
                <w:sz w:val="24"/>
                <w:szCs w:val="24"/>
                <w:highlight w:val="none"/>
              </w:rPr>
            </w:pPr>
          </w:p>
        </w:tc>
        <w:tc>
          <w:tcPr>
            <w:tcW w:w="2070" w:type="dxa"/>
          </w:tcPr>
          <w:p w14:paraId="02BDDAD3">
            <w:pPr>
              <w:jc w:val="center"/>
              <w:rPr>
                <w:rFonts w:ascii="仿宋" w:hAnsi="仿宋" w:eastAsia="仿宋" w:cs="仿宋"/>
                <w:b/>
                <w:bCs/>
                <w:color w:val="auto"/>
                <w:sz w:val="24"/>
                <w:szCs w:val="24"/>
                <w:highlight w:val="none"/>
              </w:rPr>
            </w:pPr>
          </w:p>
        </w:tc>
        <w:tc>
          <w:tcPr>
            <w:tcW w:w="2052" w:type="dxa"/>
          </w:tcPr>
          <w:p w14:paraId="488094C3">
            <w:pPr>
              <w:jc w:val="center"/>
              <w:rPr>
                <w:rFonts w:ascii="仿宋" w:hAnsi="仿宋" w:eastAsia="仿宋" w:cs="仿宋"/>
                <w:b/>
                <w:bCs/>
                <w:color w:val="auto"/>
                <w:sz w:val="24"/>
                <w:szCs w:val="24"/>
                <w:highlight w:val="none"/>
              </w:rPr>
            </w:pPr>
          </w:p>
        </w:tc>
        <w:tc>
          <w:tcPr>
            <w:tcW w:w="2126" w:type="dxa"/>
          </w:tcPr>
          <w:p w14:paraId="07D7DAF5">
            <w:pPr>
              <w:jc w:val="center"/>
              <w:rPr>
                <w:rFonts w:ascii="仿宋" w:hAnsi="仿宋" w:eastAsia="仿宋" w:cs="仿宋"/>
                <w:b/>
                <w:bCs/>
                <w:color w:val="auto"/>
                <w:sz w:val="24"/>
                <w:szCs w:val="24"/>
                <w:highlight w:val="none"/>
              </w:rPr>
            </w:pPr>
          </w:p>
        </w:tc>
        <w:tc>
          <w:tcPr>
            <w:tcW w:w="1985" w:type="dxa"/>
          </w:tcPr>
          <w:p w14:paraId="7EF79283">
            <w:pPr>
              <w:jc w:val="center"/>
              <w:rPr>
                <w:rFonts w:ascii="仿宋" w:hAnsi="仿宋" w:eastAsia="仿宋" w:cs="仿宋"/>
                <w:b/>
                <w:bCs/>
                <w:color w:val="auto"/>
                <w:sz w:val="24"/>
                <w:szCs w:val="24"/>
                <w:highlight w:val="none"/>
              </w:rPr>
            </w:pPr>
          </w:p>
        </w:tc>
      </w:tr>
      <w:tr w14:paraId="6DEC3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30F53511">
            <w:pPr>
              <w:jc w:val="center"/>
              <w:rPr>
                <w:rFonts w:ascii="仿宋" w:hAnsi="仿宋" w:eastAsia="仿宋" w:cs="仿宋"/>
                <w:b/>
                <w:bCs/>
                <w:color w:val="auto"/>
                <w:sz w:val="24"/>
                <w:szCs w:val="24"/>
                <w:highlight w:val="none"/>
              </w:rPr>
            </w:pPr>
          </w:p>
        </w:tc>
        <w:tc>
          <w:tcPr>
            <w:tcW w:w="2070" w:type="dxa"/>
          </w:tcPr>
          <w:p w14:paraId="4A0196FB">
            <w:pPr>
              <w:jc w:val="center"/>
              <w:rPr>
                <w:rFonts w:ascii="仿宋" w:hAnsi="仿宋" w:eastAsia="仿宋" w:cs="仿宋"/>
                <w:b/>
                <w:bCs/>
                <w:color w:val="auto"/>
                <w:sz w:val="24"/>
                <w:szCs w:val="24"/>
                <w:highlight w:val="none"/>
              </w:rPr>
            </w:pPr>
          </w:p>
        </w:tc>
        <w:tc>
          <w:tcPr>
            <w:tcW w:w="2052" w:type="dxa"/>
          </w:tcPr>
          <w:p w14:paraId="3A09F1CD">
            <w:pPr>
              <w:jc w:val="center"/>
              <w:rPr>
                <w:rFonts w:ascii="仿宋" w:hAnsi="仿宋" w:eastAsia="仿宋" w:cs="仿宋"/>
                <w:b/>
                <w:bCs/>
                <w:color w:val="auto"/>
                <w:sz w:val="24"/>
                <w:szCs w:val="24"/>
                <w:highlight w:val="none"/>
              </w:rPr>
            </w:pPr>
          </w:p>
        </w:tc>
        <w:tc>
          <w:tcPr>
            <w:tcW w:w="2126" w:type="dxa"/>
          </w:tcPr>
          <w:p w14:paraId="2A8E1E6A">
            <w:pPr>
              <w:jc w:val="center"/>
              <w:rPr>
                <w:rFonts w:ascii="仿宋" w:hAnsi="仿宋" w:eastAsia="仿宋" w:cs="仿宋"/>
                <w:b/>
                <w:bCs/>
                <w:color w:val="auto"/>
                <w:sz w:val="24"/>
                <w:szCs w:val="24"/>
                <w:highlight w:val="none"/>
              </w:rPr>
            </w:pPr>
          </w:p>
        </w:tc>
        <w:tc>
          <w:tcPr>
            <w:tcW w:w="1985" w:type="dxa"/>
          </w:tcPr>
          <w:p w14:paraId="2931934A">
            <w:pPr>
              <w:jc w:val="center"/>
              <w:rPr>
                <w:rFonts w:ascii="仿宋" w:hAnsi="仿宋" w:eastAsia="仿宋" w:cs="仿宋"/>
                <w:b/>
                <w:bCs/>
                <w:color w:val="auto"/>
                <w:sz w:val="24"/>
                <w:szCs w:val="24"/>
                <w:highlight w:val="none"/>
              </w:rPr>
            </w:pPr>
          </w:p>
        </w:tc>
      </w:tr>
      <w:tr w14:paraId="0A4D3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AC695BB">
            <w:pPr>
              <w:jc w:val="center"/>
              <w:rPr>
                <w:rFonts w:ascii="仿宋" w:hAnsi="仿宋" w:eastAsia="仿宋" w:cs="仿宋"/>
                <w:b/>
                <w:bCs/>
                <w:color w:val="auto"/>
                <w:sz w:val="24"/>
                <w:szCs w:val="24"/>
                <w:highlight w:val="none"/>
              </w:rPr>
            </w:pPr>
          </w:p>
        </w:tc>
        <w:tc>
          <w:tcPr>
            <w:tcW w:w="2070" w:type="dxa"/>
          </w:tcPr>
          <w:p w14:paraId="4F6AF695">
            <w:pPr>
              <w:jc w:val="center"/>
              <w:rPr>
                <w:rFonts w:ascii="仿宋" w:hAnsi="仿宋" w:eastAsia="仿宋" w:cs="仿宋"/>
                <w:b/>
                <w:bCs/>
                <w:color w:val="auto"/>
                <w:sz w:val="24"/>
                <w:szCs w:val="24"/>
                <w:highlight w:val="none"/>
              </w:rPr>
            </w:pPr>
          </w:p>
        </w:tc>
        <w:tc>
          <w:tcPr>
            <w:tcW w:w="2052" w:type="dxa"/>
          </w:tcPr>
          <w:p w14:paraId="55828F30">
            <w:pPr>
              <w:jc w:val="center"/>
              <w:rPr>
                <w:rFonts w:ascii="仿宋" w:hAnsi="仿宋" w:eastAsia="仿宋" w:cs="仿宋"/>
                <w:b/>
                <w:bCs/>
                <w:color w:val="auto"/>
                <w:sz w:val="24"/>
                <w:szCs w:val="24"/>
                <w:highlight w:val="none"/>
              </w:rPr>
            </w:pPr>
          </w:p>
        </w:tc>
        <w:tc>
          <w:tcPr>
            <w:tcW w:w="2126" w:type="dxa"/>
          </w:tcPr>
          <w:p w14:paraId="0CBC1535">
            <w:pPr>
              <w:jc w:val="center"/>
              <w:rPr>
                <w:rFonts w:ascii="仿宋" w:hAnsi="仿宋" w:eastAsia="仿宋" w:cs="仿宋"/>
                <w:b/>
                <w:bCs/>
                <w:color w:val="auto"/>
                <w:sz w:val="24"/>
                <w:szCs w:val="24"/>
                <w:highlight w:val="none"/>
              </w:rPr>
            </w:pPr>
          </w:p>
        </w:tc>
        <w:tc>
          <w:tcPr>
            <w:tcW w:w="1985" w:type="dxa"/>
          </w:tcPr>
          <w:p w14:paraId="268653E5">
            <w:pPr>
              <w:jc w:val="center"/>
              <w:rPr>
                <w:rFonts w:ascii="仿宋" w:hAnsi="仿宋" w:eastAsia="仿宋" w:cs="仿宋"/>
                <w:b/>
                <w:bCs/>
                <w:color w:val="auto"/>
                <w:sz w:val="24"/>
                <w:szCs w:val="24"/>
                <w:highlight w:val="none"/>
              </w:rPr>
            </w:pPr>
          </w:p>
        </w:tc>
      </w:tr>
      <w:tr w14:paraId="2D8B4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4E3D8908">
            <w:pPr>
              <w:jc w:val="center"/>
              <w:rPr>
                <w:rFonts w:ascii="仿宋" w:hAnsi="仿宋" w:eastAsia="仿宋" w:cs="仿宋"/>
                <w:b/>
                <w:bCs/>
                <w:color w:val="auto"/>
                <w:sz w:val="24"/>
                <w:szCs w:val="24"/>
                <w:highlight w:val="none"/>
              </w:rPr>
            </w:pPr>
          </w:p>
        </w:tc>
        <w:tc>
          <w:tcPr>
            <w:tcW w:w="2070" w:type="dxa"/>
          </w:tcPr>
          <w:p w14:paraId="29BEE694">
            <w:pPr>
              <w:jc w:val="center"/>
              <w:rPr>
                <w:rFonts w:ascii="仿宋" w:hAnsi="仿宋" w:eastAsia="仿宋" w:cs="仿宋"/>
                <w:b/>
                <w:bCs/>
                <w:color w:val="auto"/>
                <w:sz w:val="24"/>
                <w:szCs w:val="24"/>
                <w:highlight w:val="none"/>
              </w:rPr>
            </w:pPr>
          </w:p>
        </w:tc>
        <w:tc>
          <w:tcPr>
            <w:tcW w:w="2052" w:type="dxa"/>
          </w:tcPr>
          <w:p w14:paraId="1BA07A1C">
            <w:pPr>
              <w:jc w:val="center"/>
              <w:rPr>
                <w:rFonts w:ascii="仿宋" w:hAnsi="仿宋" w:eastAsia="仿宋" w:cs="仿宋"/>
                <w:b/>
                <w:bCs/>
                <w:color w:val="auto"/>
                <w:sz w:val="24"/>
                <w:szCs w:val="24"/>
                <w:highlight w:val="none"/>
              </w:rPr>
            </w:pPr>
          </w:p>
        </w:tc>
        <w:tc>
          <w:tcPr>
            <w:tcW w:w="2126" w:type="dxa"/>
          </w:tcPr>
          <w:p w14:paraId="76793C71">
            <w:pPr>
              <w:jc w:val="center"/>
              <w:rPr>
                <w:rFonts w:ascii="仿宋" w:hAnsi="仿宋" w:eastAsia="仿宋" w:cs="仿宋"/>
                <w:b/>
                <w:bCs/>
                <w:color w:val="auto"/>
                <w:sz w:val="24"/>
                <w:szCs w:val="24"/>
                <w:highlight w:val="none"/>
              </w:rPr>
            </w:pPr>
          </w:p>
        </w:tc>
        <w:tc>
          <w:tcPr>
            <w:tcW w:w="1985" w:type="dxa"/>
          </w:tcPr>
          <w:p w14:paraId="2410A4B4">
            <w:pPr>
              <w:jc w:val="center"/>
              <w:rPr>
                <w:rFonts w:ascii="仿宋" w:hAnsi="仿宋" w:eastAsia="仿宋" w:cs="仿宋"/>
                <w:b/>
                <w:bCs/>
                <w:color w:val="auto"/>
                <w:sz w:val="24"/>
                <w:szCs w:val="24"/>
                <w:highlight w:val="none"/>
              </w:rPr>
            </w:pPr>
          </w:p>
        </w:tc>
      </w:tr>
      <w:tr w14:paraId="3753C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2F0CE8F">
            <w:pPr>
              <w:jc w:val="center"/>
              <w:rPr>
                <w:rFonts w:ascii="仿宋" w:hAnsi="仿宋" w:eastAsia="仿宋" w:cs="仿宋"/>
                <w:b/>
                <w:bCs/>
                <w:color w:val="auto"/>
                <w:sz w:val="24"/>
                <w:szCs w:val="24"/>
                <w:highlight w:val="none"/>
              </w:rPr>
            </w:pPr>
          </w:p>
        </w:tc>
        <w:tc>
          <w:tcPr>
            <w:tcW w:w="2070" w:type="dxa"/>
          </w:tcPr>
          <w:p w14:paraId="7B31329D">
            <w:pPr>
              <w:jc w:val="center"/>
              <w:rPr>
                <w:rFonts w:ascii="仿宋" w:hAnsi="仿宋" w:eastAsia="仿宋" w:cs="仿宋"/>
                <w:b/>
                <w:bCs/>
                <w:color w:val="auto"/>
                <w:sz w:val="24"/>
                <w:szCs w:val="24"/>
                <w:highlight w:val="none"/>
              </w:rPr>
            </w:pPr>
          </w:p>
        </w:tc>
        <w:tc>
          <w:tcPr>
            <w:tcW w:w="2052" w:type="dxa"/>
          </w:tcPr>
          <w:p w14:paraId="296FBC1B">
            <w:pPr>
              <w:jc w:val="center"/>
              <w:rPr>
                <w:rFonts w:ascii="仿宋" w:hAnsi="仿宋" w:eastAsia="仿宋" w:cs="仿宋"/>
                <w:b/>
                <w:bCs/>
                <w:color w:val="auto"/>
                <w:sz w:val="24"/>
                <w:szCs w:val="24"/>
                <w:highlight w:val="none"/>
              </w:rPr>
            </w:pPr>
          </w:p>
        </w:tc>
        <w:tc>
          <w:tcPr>
            <w:tcW w:w="2126" w:type="dxa"/>
          </w:tcPr>
          <w:p w14:paraId="3E901015">
            <w:pPr>
              <w:jc w:val="center"/>
              <w:rPr>
                <w:rFonts w:ascii="仿宋" w:hAnsi="仿宋" w:eastAsia="仿宋" w:cs="仿宋"/>
                <w:b/>
                <w:bCs/>
                <w:color w:val="auto"/>
                <w:sz w:val="24"/>
                <w:szCs w:val="24"/>
                <w:highlight w:val="none"/>
              </w:rPr>
            </w:pPr>
          </w:p>
        </w:tc>
        <w:tc>
          <w:tcPr>
            <w:tcW w:w="1985" w:type="dxa"/>
          </w:tcPr>
          <w:p w14:paraId="37C5B8EA">
            <w:pPr>
              <w:jc w:val="center"/>
              <w:rPr>
                <w:rFonts w:ascii="仿宋" w:hAnsi="仿宋" w:eastAsia="仿宋" w:cs="仿宋"/>
                <w:b/>
                <w:bCs/>
                <w:color w:val="auto"/>
                <w:sz w:val="24"/>
                <w:szCs w:val="24"/>
                <w:highlight w:val="none"/>
              </w:rPr>
            </w:pPr>
          </w:p>
        </w:tc>
      </w:tr>
    </w:tbl>
    <w:p w14:paraId="240D8901">
      <w:pPr>
        <w:rPr>
          <w:rFonts w:ascii="仿宋" w:hAnsi="仿宋" w:eastAsia="仿宋" w:cs="仿宋"/>
          <w:color w:val="auto"/>
          <w:highlight w:val="none"/>
        </w:rPr>
      </w:pPr>
    </w:p>
    <w:p w14:paraId="364DBBEA">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注：投标人技术条款有差异的，则在此表中列明实际响应的内容提要并加以说明，以便查对。无差异说明表示完全响应。</w:t>
      </w:r>
    </w:p>
    <w:p w14:paraId="5F2EBD99">
      <w:pPr>
        <w:spacing w:line="360" w:lineRule="auto"/>
        <w:ind w:firstLine="475" w:firstLineChars="198"/>
        <w:jc w:val="left"/>
        <w:rPr>
          <w:rFonts w:ascii="仿宋" w:hAnsi="仿宋" w:eastAsia="仿宋" w:cs="仿宋"/>
          <w:color w:val="auto"/>
          <w:sz w:val="24"/>
          <w:szCs w:val="24"/>
          <w:highlight w:val="none"/>
        </w:rPr>
      </w:pPr>
    </w:p>
    <w:p w14:paraId="1F2C7C43">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08A7DC7A">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2AC1E866">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BFD4DB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6F9C772B">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6094A448">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416F3B24">
      <w:pPr>
        <w:tabs>
          <w:tab w:val="center" w:pos="4832"/>
          <w:tab w:val="left" w:pos="7140"/>
        </w:tabs>
        <w:jc w:val="center"/>
        <w:outlineLvl w:val="1"/>
        <w:rPr>
          <w:rFonts w:ascii="仿宋" w:hAnsi="仿宋" w:eastAsia="仿宋" w:cs="仿宋"/>
          <w:b/>
          <w:color w:val="auto"/>
          <w:sz w:val="24"/>
          <w:szCs w:val="24"/>
          <w:highlight w:val="none"/>
        </w:rPr>
      </w:pPr>
      <w:r>
        <w:rPr>
          <w:rFonts w:hint="eastAsia" w:ascii="仿宋" w:hAnsi="仿宋" w:eastAsia="仿宋" w:cs="仿宋"/>
          <w:b/>
          <w:bCs/>
          <w:color w:val="auto"/>
          <w:kern w:val="36"/>
          <w:sz w:val="24"/>
          <w:szCs w:val="24"/>
          <w:highlight w:val="none"/>
        </w:rPr>
        <w:br w:type="page"/>
      </w:r>
      <w:bookmarkStart w:id="178" w:name="_Toc130252619"/>
      <w:bookmarkStart w:id="179" w:name="_Toc109921162"/>
      <w:bookmarkStart w:id="180" w:name="_Toc15137"/>
      <w:bookmarkStart w:id="181" w:name="_Toc109941769"/>
      <w:bookmarkStart w:id="182" w:name="_Toc5075"/>
      <w:bookmarkStart w:id="183" w:name="_Toc29249"/>
      <w:bookmarkStart w:id="184" w:name="_Toc110707969"/>
      <w:bookmarkStart w:id="185" w:name="_Toc25525"/>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、法定代表人身份证明书</w:t>
      </w:r>
      <w:bookmarkEnd w:id="178"/>
      <w:bookmarkEnd w:id="179"/>
      <w:bookmarkEnd w:id="180"/>
      <w:bookmarkEnd w:id="181"/>
      <w:bookmarkEnd w:id="182"/>
      <w:bookmarkEnd w:id="183"/>
      <w:bookmarkEnd w:id="184"/>
      <w:bookmarkEnd w:id="185"/>
    </w:p>
    <w:p w14:paraId="633CBDE0">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2C4D2680">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 标 人：</w:t>
      </w:r>
      <w:r>
        <w:rPr>
          <w:rFonts w:hint="eastAsia" w:ascii="仿宋" w:hAnsi="仿宋" w:eastAsia="仿宋" w:cs="仿宋"/>
          <w:color w:val="auto"/>
          <w:kern w:val="0"/>
          <w:sz w:val="24"/>
          <w:szCs w:val="24"/>
          <w:highlight w:val="none"/>
          <w:u w:val="single"/>
        </w:rPr>
        <w:t xml:space="preserve">                              </w:t>
      </w:r>
    </w:p>
    <w:p w14:paraId="26CAB419">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单位性质：</w:t>
      </w:r>
      <w:r>
        <w:rPr>
          <w:rFonts w:hint="eastAsia" w:ascii="仿宋" w:hAnsi="仿宋" w:eastAsia="仿宋" w:cs="仿宋"/>
          <w:color w:val="auto"/>
          <w:kern w:val="0"/>
          <w:sz w:val="24"/>
          <w:szCs w:val="24"/>
          <w:highlight w:val="none"/>
          <w:u w:val="single"/>
        </w:rPr>
        <w:t xml:space="preserve">                              </w:t>
      </w:r>
    </w:p>
    <w:p w14:paraId="496BF461">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u w:val="single"/>
        </w:rPr>
        <w:t xml:space="preserve">                              </w:t>
      </w:r>
    </w:p>
    <w:p w14:paraId="4D8B0A26">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日</w:t>
      </w:r>
    </w:p>
    <w:p w14:paraId="6A1136A2">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rPr>
        <w:t xml:space="preserve">                              </w:t>
      </w:r>
    </w:p>
    <w:p w14:paraId="3169D518">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420D74E">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职务：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（投标人名称）的法定代表人。</w:t>
      </w:r>
    </w:p>
    <w:p w14:paraId="3AF0A028">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3C3CE9A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07DDBF89">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附：法定代表人身份证明</w:t>
      </w:r>
    </w:p>
    <w:p w14:paraId="61099FE4">
      <w:pPr>
        <w:widowControl/>
        <w:shd w:val="clear" w:color="auto" w:fill="FFFFFF"/>
        <w:snapToGrid w:val="0"/>
        <w:spacing w:line="384" w:lineRule="auto"/>
        <w:jc w:val="left"/>
        <w:rPr>
          <w:rFonts w:ascii="仿宋" w:hAnsi="仿宋" w:eastAsia="仿宋" w:cs="仿宋"/>
          <w:color w:val="auto"/>
          <w:kern w:val="0"/>
          <w:sz w:val="24"/>
          <w:szCs w:val="24"/>
          <w:highlight w:val="none"/>
        </w:rPr>
      </w:pPr>
    </w:p>
    <w:tbl>
      <w:tblPr>
        <w:tblStyle w:val="3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66446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947E5B7">
            <w:pPr>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法定代表人身份证复印件（正面）</w:t>
            </w:r>
          </w:p>
        </w:tc>
      </w:tr>
    </w:tbl>
    <w:p w14:paraId="697A6F4A">
      <w:pPr>
        <w:rPr>
          <w:rFonts w:ascii="仿宋" w:hAnsi="仿宋" w:eastAsia="仿宋" w:cs="仿宋"/>
          <w:vanish/>
          <w:color w:val="auto"/>
          <w:highlight w:val="none"/>
        </w:rPr>
      </w:pPr>
    </w:p>
    <w:tbl>
      <w:tblPr>
        <w:tblStyle w:val="38"/>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0A157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190C5B41">
            <w:pPr>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法定代表人身份证复印件（反面）</w:t>
            </w:r>
          </w:p>
        </w:tc>
      </w:tr>
    </w:tbl>
    <w:p w14:paraId="74DA2FCB">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716875E1">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4F7F31B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5DA453B6">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042C5978">
      <w:pPr>
        <w:widowControl/>
        <w:shd w:val="clear" w:color="auto" w:fill="FFFFFF"/>
        <w:wordWrap w:val="0"/>
        <w:snapToGrid w:val="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日 </w:t>
      </w:r>
    </w:p>
    <w:p w14:paraId="3470F6BC">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6CB64F3A">
      <w:pPr>
        <w:tabs>
          <w:tab w:val="center" w:pos="4832"/>
          <w:tab w:val="left" w:pos="7140"/>
        </w:tabs>
        <w:jc w:val="center"/>
        <w:outlineLvl w:val="1"/>
        <w:rPr>
          <w:rFonts w:ascii="仿宋" w:hAnsi="仿宋" w:eastAsia="仿宋" w:cs="仿宋"/>
          <w:b/>
          <w:color w:val="auto"/>
          <w:sz w:val="24"/>
          <w:szCs w:val="24"/>
          <w:highlight w:val="none"/>
        </w:rPr>
      </w:pPr>
      <w:bookmarkStart w:id="186" w:name="_Toc27079"/>
      <w:bookmarkStart w:id="187" w:name="_Toc109941770"/>
      <w:bookmarkStart w:id="188" w:name="_Toc109921163"/>
      <w:bookmarkStart w:id="189" w:name="_Toc19364"/>
      <w:bookmarkStart w:id="190" w:name="_Toc29077"/>
      <w:bookmarkStart w:id="191" w:name="_Toc110707970"/>
      <w:bookmarkStart w:id="192" w:name="_Toc22186"/>
      <w:bookmarkStart w:id="193" w:name="_Toc130252620"/>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、法定代表人授权委托书</w:t>
      </w:r>
      <w:bookmarkEnd w:id="186"/>
      <w:bookmarkEnd w:id="187"/>
      <w:bookmarkEnd w:id="188"/>
      <w:bookmarkEnd w:id="189"/>
      <w:bookmarkEnd w:id="190"/>
      <w:bookmarkEnd w:id="191"/>
      <w:bookmarkEnd w:id="192"/>
      <w:bookmarkEnd w:id="193"/>
    </w:p>
    <w:p w14:paraId="290A6878">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0F569BF0">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（投标人名称）的法定代表人，现拟派我单位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（姓名）为我方委托代理人。委托代理人根据授权，就</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（项目名称）的投标，以本公司名义处理一切与之有关的事务，其法律后果由我方承担。</w:t>
      </w:r>
    </w:p>
    <w:p w14:paraId="08A8FF96">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代理人：</w:t>
      </w:r>
      <w:r>
        <w:rPr>
          <w:rFonts w:hint="eastAsia" w:ascii="仿宋" w:hAnsi="仿宋" w:eastAsia="仿宋" w:cs="仿宋"/>
          <w:i/>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年龄：</w:t>
      </w:r>
      <w:r>
        <w:rPr>
          <w:rFonts w:hint="eastAsia" w:ascii="仿宋" w:hAnsi="仿宋" w:eastAsia="仿宋" w:cs="仿宋"/>
          <w:color w:val="auto"/>
          <w:kern w:val="0"/>
          <w:sz w:val="24"/>
          <w:szCs w:val="24"/>
          <w:highlight w:val="none"/>
          <w:u w:val="single"/>
        </w:rPr>
        <w:t xml:space="preserve">                    </w:t>
      </w:r>
    </w:p>
    <w:p w14:paraId="5661D636">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  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部门：</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职务：</w:t>
      </w:r>
      <w:r>
        <w:rPr>
          <w:rFonts w:hint="eastAsia" w:ascii="仿宋" w:hAnsi="仿宋" w:eastAsia="仿宋" w:cs="仿宋"/>
          <w:color w:val="auto"/>
          <w:kern w:val="0"/>
          <w:sz w:val="24"/>
          <w:szCs w:val="24"/>
          <w:highlight w:val="none"/>
          <w:u w:val="single"/>
        </w:rPr>
        <w:t xml:space="preserve">                    </w:t>
      </w:r>
    </w:p>
    <w:p w14:paraId="0263C2B8">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代理人无转委权，特此申明。</w:t>
      </w:r>
    </w:p>
    <w:p w14:paraId="4831ABF0">
      <w:pPr>
        <w:widowControl/>
        <w:shd w:val="clear" w:color="auto" w:fill="FFFFFF"/>
        <w:snapToGrid w:val="0"/>
        <w:spacing w:line="384" w:lineRule="auto"/>
        <w:ind w:firstLine="480" w:firstLineChars="200"/>
        <w:jc w:val="left"/>
        <w:rPr>
          <w:rFonts w:ascii="仿宋" w:hAnsi="仿宋" w:eastAsia="仿宋" w:cs="仿宋"/>
          <w:color w:val="auto"/>
          <w:kern w:val="0"/>
          <w:sz w:val="24"/>
          <w:szCs w:val="24"/>
          <w:highlight w:val="none"/>
        </w:rPr>
      </w:pPr>
    </w:p>
    <w:p w14:paraId="349DFEA4">
      <w:pPr>
        <w:widowControl/>
        <w:shd w:val="clear" w:color="auto" w:fill="FFFFFF"/>
        <w:snapToGrid w:val="0"/>
        <w:spacing w:line="384" w:lineRule="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附：委托代理人身份证明。</w:t>
      </w:r>
    </w:p>
    <w:tbl>
      <w:tblPr>
        <w:tblStyle w:val="38"/>
        <w:tblW w:w="3969" w:type="dxa"/>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tblGrid>
      <w:tr w14:paraId="7B59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exact"/>
        </w:trPr>
        <w:tc>
          <w:tcPr>
            <w:tcW w:w="3969" w:type="dxa"/>
            <w:vAlign w:val="center"/>
          </w:tcPr>
          <w:p w14:paraId="2C3EAC00">
            <w:pPr>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委托代理人身份证复印件（正面）</w:t>
            </w:r>
          </w:p>
        </w:tc>
      </w:tr>
    </w:tbl>
    <w:p w14:paraId="2C1F77B6">
      <w:pPr>
        <w:rPr>
          <w:rFonts w:ascii="仿宋" w:hAnsi="仿宋" w:eastAsia="仿宋" w:cs="仿宋"/>
          <w:vanish/>
          <w:color w:val="auto"/>
          <w:highlight w:val="none"/>
        </w:rPr>
      </w:pPr>
    </w:p>
    <w:tbl>
      <w:tblPr>
        <w:tblStyle w:val="38"/>
        <w:tblpPr w:leftFromText="180" w:rightFromText="180" w:vertAnchor="text" w:horzAnchor="margin" w:tblpXSpec="right" w:tblpY="-2446"/>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14674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E4050C4">
            <w:pPr>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委托代理人身份证复印件（反面）</w:t>
            </w:r>
          </w:p>
        </w:tc>
      </w:tr>
    </w:tbl>
    <w:p w14:paraId="59E5971B">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57E2CECF">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3324B989">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22EE8A8C">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445E52B">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787560F5">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4A159C00">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3A0E95B9">
      <w:pPr>
        <w:rPr>
          <w:rFonts w:ascii="仿宋" w:hAnsi="仿宋" w:eastAsia="仿宋" w:cs="仿宋"/>
          <w:b/>
          <w:color w:val="auto"/>
          <w:sz w:val="24"/>
          <w:szCs w:val="24"/>
          <w:highlight w:val="none"/>
        </w:rPr>
      </w:pPr>
      <w:bookmarkStart w:id="194" w:name="_Toc109941771"/>
      <w:bookmarkStart w:id="195" w:name="_Toc110707971"/>
      <w:bookmarkStart w:id="196" w:name="_Toc109921164"/>
      <w:bookmarkStart w:id="197" w:name="_Toc25783"/>
      <w:bookmarkStart w:id="198" w:name="_Toc29422"/>
      <w:bookmarkStart w:id="199" w:name="_Toc130252621"/>
      <w:bookmarkStart w:id="200" w:name="_Toc358451723"/>
      <w:r>
        <w:rPr>
          <w:rFonts w:hint="eastAsia" w:ascii="仿宋" w:hAnsi="仿宋" w:eastAsia="仿宋" w:cs="仿宋"/>
          <w:b/>
          <w:color w:val="auto"/>
          <w:sz w:val="24"/>
          <w:szCs w:val="24"/>
          <w:highlight w:val="none"/>
        </w:rPr>
        <w:br w:type="page"/>
      </w:r>
    </w:p>
    <w:p w14:paraId="5C92BF5C">
      <w:pPr>
        <w:tabs>
          <w:tab w:val="center" w:pos="4832"/>
          <w:tab w:val="left" w:pos="7140"/>
        </w:tabs>
        <w:jc w:val="center"/>
        <w:outlineLvl w:val="1"/>
        <w:rPr>
          <w:rFonts w:ascii="仿宋" w:hAnsi="仿宋" w:eastAsia="仿宋" w:cs="仿宋"/>
          <w:b/>
          <w:color w:val="auto"/>
          <w:sz w:val="24"/>
          <w:szCs w:val="24"/>
          <w:highlight w:val="none"/>
        </w:rPr>
      </w:pPr>
      <w:bookmarkStart w:id="201" w:name="_Toc7575"/>
      <w:bookmarkStart w:id="202" w:name="_Toc5003"/>
      <w:r>
        <w:rPr>
          <w:rFonts w:hint="eastAsia" w:ascii="仿宋" w:hAnsi="仿宋" w:eastAsia="仿宋" w:cs="仿宋"/>
          <w:b/>
          <w:color w:val="auto"/>
          <w:sz w:val="24"/>
          <w:szCs w:val="24"/>
          <w:highlight w:val="none"/>
          <w:lang w:val="en-US" w:eastAsia="zh-CN"/>
        </w:rPr>
        <w:t>九</w:t>
      </w:r>
      <w:r>
        <w:rPr>
          <w:rFonts w:hint="eastAsia" w:ascii="仿宋" w:hAnsi="仿宋" w:eastAsia="仿宋" w:cs="仿宋"/>
          <w:b/>
          <w:color w:val="auto"/>
          <w:sz w:val="24"/>
          <w:szCs w:val="24"/>
          <w:highlight w:val="none"/>
        </w:rPr>
        <w:t>、</w:t>
      </w:r>
      <w:bookmarkEnd w:id="194"/>
      <w:bookmarkEnd w:id="195"/>
      <w:bookmarkEnd w:id="196"/>
      <w:r>
        <w:rPr>
          <w:rFonts w:hint="eastAsia" w:ascii="仿宋" w:hAnsi="仿宋" w:eastAsia="仿宋" w:cs="仿宋"/>
          <w:b/>
          <w:bCs/>
          <w:color w:val="auto"/>
          <w:sz w:val="24"/>
          <w:szCs w:val="24"/>
          <w:highlight w:val="none"/>
        </w:rPr>
        <w:t>投标人资格条件证明材料</w:t>
      </w:r>
      <w:bookmarkEnd w:id="197"/>
      <w:bookmarkEnd w:id="198"/>
      <w:bookmarkEnd w:id="199"/>
      <w:bookmarkEnd w:id="201"/>
      <w:bookmarkEnd w:id="202"/>
    </w:p>
    <w:p w14:paraId="04C40E82">
      <w:pPr>
        <w:rPr>
          <w:rFonts w:ascii="仿宋" w:hAnsi="仿宋" w:eastAsia="仿宋" w:cs="仿宋"/>
          <w:color w:val="auto"/>
          <w:highlight w:val="none"/>
        </w:rPr>
      </w:pPr>
    </w:p>
    <w:tbl>
      <w:tblPr>
        <w:tblStyle w:val="38"/>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4AE92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06D3BC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投标人名称</w:t>
            </w:r>
          </w:p>
        </w:tc>
        <w:tc>
          <w:tcPr>
            <w:tcW w:w="7300" w:type="dxa"/>
            <w:gridSpan w:val="3"/>
            <w:vAlign w:val="center"/>
          </w:tcPr>
          <w:p w14:paraId="299B6E74">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r>
      <w:tr w14:paraId="4B7D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DE1CADB">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0A301EA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7313F60E">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5FD362AE">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128D6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E81180B">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2984384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50701DA3">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782DDD3D">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0C23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5420AC6">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61A41F4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7051B0D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08FA79E9">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4551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979F8D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674BE9F4">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665B2907">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5241E741">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4590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514762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5D054FF1">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2FD8BCF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28D66FEE">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107A8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CE061D7">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271649D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1D1BF46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547B1251">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1D23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7D4EB2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4E4EFD68">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475C5360">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3BF7667D">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0E0A7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7866408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05C5BDAE">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2411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2CA34D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6259A4B8">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514D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06FF067">
            <w:pPr>
              <w:autoSpaceDE w:val="0"/>
              <w:autoSpaceDN w:val="0"/>
              <w:adjustRightInd w:val="0"/>
              <w:snapToGrid w:val="0"/>
              <w:spacing w:line="5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21667D88">
            <w:pPr>
              <w:autoSpaceDE w:val="0"/>
              <w:autoSpaceDN w:val="0"/>
              <w:adjustRightInd w:val="0"/>
              <w:snapToGrid w:val="0"/>
              <w:spacing w:line="520" w:lineRule="exact"/>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73EA8346">
            <w:pPr>
              <w:autoSpaceDE w:val="0"/>
              <w:autoSpaceDN w:val="0"/>
              <w:adjustRightInd w:val="0"/>
              <w:snapToGrid w:val="0"/>
              <w:spacing w:line="520" w:lineRule="exact"/>
              <w:rPr>
                <w:rFonts w:ascii="仿宋" w:hAnsi="仿宋" w:eastAsia="仿宋" w:cs="仿宋"/>
                <w:color w:val="auto"/>
                <w:kern w:val="0"/>
                <w:sz w:val="24"/>
                <w:szCs w:val="24"/>
                <w:highlight w:val="none"/>
              </w:rPr>
            </w:pPr>
          </w:p>
          <w:p w14:paraId="06BB0F77">
            <w:pPr>
              <w:autoSpaceDE w:val="0"/>
              <w:autoSpaceDN w:val="0"/>
              <w:adjustRightInd w:val="0"/>
              <w:snapToGrid w:val="0"/>
              <w:spacing w:line="520" w:lineRule="exact"/>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12DC8F5C">
      <w:pPr>
        <w:spacing w:line="360" w:lineRule="auto"/>
        <w:jc w:val="left"/>
        <w:rPr>
          <w:rFonts w:ascii="仿宋" w:hAnsi="仿宋" w:eastAsia="仿宋" w:cs="仿宋"/>
          <w:color w:val="auto"/>
          <w:sz w:val="24"/>
          <w:szCs w:val="24"/>
          <w:highlight w:val="none"/>
        </w:rPr>
      </w:pPr>
    </w:p>
    <w:p w14:paraId="3274688E">
      <w:pPr>
        <w:spacing w:line="360" w:lineRule="auto"/>
        <w:jc w:val="center"/>
        <w:outlineLvl w:val="1"/>
        <w:rPr>
          <w:rFonts w:ascii="仿宋" w:hAnsi="仿宋" w:eastAsia="仿宋" w:cs="仿宋"/>
          <w:b/>
          <w:color w:val="auto"/>
          <w:sz w:val="24"/>
          <w:szCs w:val="24"/>
          <w:highlight w:val="none"/>
        </w:rPr>
      </w:pPr>
      <w:bookmarkStart w:id="203" w:name="_Toc14695"/>
      <w:bookmarkStart w:id="204" w:name="_Toc13628"/>
      <w:bookmarkStart w:id="205" w:name="_Toc28034"/>
      <w:bookmarkStart w:id="206" w:name="_Toc4679"/>
      <w:bookmarkStart w:id="207" w:name="_Toc18158"/>
      <w:bookmarkStart w:id="208" w:name="_Toc11980"/>
      <w:bookmarkStart w:id="209" w:name="_Toc19961"/>
      <w:bookmarkStart w:id="210" w:name="_Toc113901850"/>
      <w:bookmarkStart w:id="211" w:name="_Toc130252623"/>
      <w:bookmarkStart w:id="212" w:name="_Toc31943"/>
      <w:bookmarkStart w:id="213" w:name="_Toc5144"/>
      <w:bookmarkStart w:id="214" w:name="_Toc128476879"/>
      <w:bookmarkStart w:id="215" w:name="_Toc7702"/>
      <w:bookmarkStart w:id="216" w:name="_Toc30664"/>
      <w:bookmarkStart w:id="217" w:name="_Toc141050516"/>
      <w:bookmarkStart w:id="218" w:name="_Toc24317"/>
      <w:bookmarkStart w:id="219" w:name="_Toc13140"/>
      <w:bookmarkStart w:id="220" w:name="_Toc29380"/>
      <w:bookmarkStart w:id="221" w:name="_Toc23897"/>
      <w:bookmarkStart w:id="222" w:name="_Toc643"/>
      <w:r>
        <w:rPr>
          <w:rFonts w:hint="eastAsia" w:ascii="仿宋" w:hAnsi="仿宋" w:eastAsia="仿宋" w:cs="仿宋"/>
          <w:color w:val="auto"/>
          <w:sz w:val="24"/>
          <w:szCs w:val="24"/>
          <w:highlight w:val="none"/>
        </w:rPr>
        <w:br w:type="page"/>
      </w:r>
      <w:bookmarkStart w:id="223" w:name="_Toc23206"/>
      <w:bookmarkStart w:id="224" w:name="_Toc29597"/>
      <w:bookmarkStart w:id="225" w:name="_Toc128476878"/>
      <w:bookmarkStart w:id="226" w:name="_Toc2553"/>
      <w:bookmarkStart w:id="227" w:name="_Toc15903"/>
      <w:bookmarkStart w:id="228" w:name="_Toc31890"/>
      <w:bookmarkStart w:id="229" w:name="_Toc141050515"/>
      <w:bookmarkStart w:id="230" w:name="_Toc8286"/>
      <w:bookmarkStart w:id="231" w:name="_Toc7329"/>
      <w:bookmarkStart w:id="232" w:name="_Toc113901849"/>
      <w:bookmarkStart w:id="233" w:name="_Toc27784"/>
      <w:bookmarkStart w:id="234" w:name="_Toc19012"/>
      <w:bookmarkStart w:id="235" w:name="_Toc29449"/>
      <w:bookmarkStart w:id="236" w:name="_Toc29907"/>
      <w:bookmarkStart w:id="237" w:name="_Toc5059"/>
      <w:bookmarkStart w:id="238" w:name="_Toc8046"/>
      <w:bookmarkStart w:id="239" w:name="_Toc14445"/>
      <w:bookmarkStart w:id="240" w:name="_Toc15268"/>
      <w:bookmarkStart w:id="241" w:name="_Toc130252622"/>
      <w:bookmarkStart w:id="242" w:name="_Toc56"/>
      <w:bookmarkStart w:id="243" w:name="_Toc22107"/>
      <w:bookmarkStart w:id="244" w:name="_Toc7909"/>
      <w:bookmarkStart w:id="245" w:name="_Toc26222"/>
      <w:bookmarkStart w:id="246" w:name="_Toc5302"/>
      <w:bookmarkStart w:id="247" w:name="_Toc5906"/>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.1 法人或者其他组织的营业执照等证明文件，自然人的身份证明</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36DBE8E7">
      <w:pPr>
        <w:spacing w:line="360" w:lineRule="auto"/>
        <w:rPr>
          <w:rFonts w:ascii="仿宋" w:hAnsi="仿宋" w:eastAsia="仿宋" w:cs="仿宋"/>
          <w:color w:val="auto"/>
          <w:sz w:val="24"/>
          <w:szCs w:val="24"/>
          <w:highlight w:val="none"/>
        </w:rPr>
      </w:pPr>
    </w:p>
    <w:p w14:paraId="2D82AD2D">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一、如投标人是企业（包括合伙企业)，应提供在工商部门注册的有效“企业法人营业执照”或“营业执照”;</w:t>
      </w:r>
    </w:p>
    <w:p w14:paraId="093A673A">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二、如投标人是事业单位，应提供有效的“事业单位法人证书”;</w:t>
      </w:r>
    </w:p>
    <w:p w14:paraId="2096C150">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三、如投标人是非企业专业服务机构的，应提供执业许可证等证明文件;</w:t>
      </w:r>
    </w:p>
    <w:p w14:paraId="5282D81A">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四、如投标人是个体工商户，应提供有效的“个体工商户营业执照”;</w:t>
      </w:r>
    </w:p>
    <w:p w14:paraId="00A9469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五、如投标人是自然人，应提供有效的自然人身份证明。</w:t>
      </w:r>
    </w:p>
    <w:p w14:paraId="790522CE">
      <w:pPr>
        <w:spacing w:line="360" w:lineRule="auto"/>
        <w:rPr>
          <w:rFonts w:ascii="仿宋" w:hAnsi="仿宋" w:eastAsia="仿宋" w:cs="仿宋"/>
          <w:color w:val="auto"/>
          <w:sz w:val="24"/>
          <w:szCs w:val="24"/>
          <w:highlight w:val="none"/>
        </w:rPr>
      </w:pPr>
    </w:p>
    <w:p w14:paraId="55153BE3">
      <w:pPr>
        <w:spacing w:line="360" w:lineRule="auto"/>
        <w:ind w:firstLine="480" w:firstLineChars="200"/>
        <w:rPr>
          <w:rFonts w:ascii="仿宋" w:hAnsi="仿宋" w:eastAsia="仿宋" w:cs="仿宋"/>
          <w:color w:val="auto"/>
          <w:sz w:val="24"/>
          <w:szCs w:val="24"/>
          <w:highlight w:val="none"/>
        </w:rPr>
      </w:pPr>
    </w:p>
    <w:p w14:paraId="2AA74D01">
      <w:pPr>
        <w:spacing w:line="360" w:lineRule="auto"/>
        <w:rPr>
          <w:rFonts w:ascii="仿宋" w:hAnsi="仿宋" w:eastAsia="仿宋" w:cs="仿宋"/>
          <w:color w:val="auto"/>
          <w:sz w:val="24"/>
          <w:szCs w:val="24"/>
          <w:highlight w:val="none"/>
        </w:rPr>
      </w:pPr>
    </w:p>
    <w:p w14:paraId="6F41FB86">
      <w:pPr>
        <w:widowControl/>
        <w:spacing w:line="360" w:lineRule="auto"/>
        <w:jc w:val="left"/>
        <w:rPr>
          <w:rFonts w:ascii="仿宋" w:hAnsi="仿宋" w:eastAsia="仿宋" w:cs="仿宋"/>
          <w:color w:val="auto"/>
          <w:highlight w:val="none"/>
        </w:rPr>
      </w:pPr>
      <w:r>
        <w:rPr>
          <w:rFonts w:hint="eastAsia" w:ascii="仿宋" w:hAnsi="仿宋" w:eastAsia="仿宋" w:cs="仿宋"/>
          <w:b/>
          <w:color w:val="auto"/>
          <w:sz w:val="24"/>
          <w:szCs w:val="24"/>
          <w:highlight w:val="none"/>
        </w:rPr>
        <w:br w:type="page"/>
      </w:r>
    </w:p>
    <w:p w14:paraId="515B2D8D">
      <w:pPr>
        <w:spacing w:line="360" w:lineRule="auto"/>
        <w:jc w:val="center"/>
        <w:outlineLvl w:val="1"/>
        <w:rPr>
          <w:rFonts w:ascii="仿宋" w:hAnsi="仿宋" w:eastAsia="仿宋" w:cs="仿宋"/>
          <w:b/>
          <w:color w:val="auto"/>
          <w:sz w:val="24"/>
          <w:szCs w:val="24"/>
          <w:highlight w:val="none"/>
        </w:rPr>
      </w:pPr>
      <w:bookmarkStart w:id="248" w:name="_Toc2737"/>
      <w:bookmarkStart w:id="249" w:name="_Toc7669"/>
      <w:bookmarkStart w:id="250" w:name="_Toc1284"/>
      <w:bookmarkStart w:id="251" w:name="_Toc7913"/>
      <w:bookmarkStart w:id="252" w:name="_Toc4668"/>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.2 财务状况报告，依法缴纳税收和社会保障资金的相关材料</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48"/>
      <w:bookmarkEnd w:id="249"/>
      <w:bookmarkEnd w:id="250"/>
      <w:bookmarkEnd w:id="251"/>
      <w:bookmarkEnd w:id="252"/>
    </w:p>
    <w:p w14:paraId="31EF6D63">
      <w:pPr>
        <w:spacing w:after="120" w:line="360" w:lineRule="auto"/>
        <w:rPr>
          <w:rFonts w:ascii="仿宋" w:hAnsi="仿宋" w:eastAsia="仿宋" w:cs="仿宋"/>
          <w:color w:val="auto"/>
          <w:spacing w:val="10"/>
          <w:kern w:val="0"/>
          <w:sz w:val="24"/>
          <w:szCs w:val="24"/>
          <w:highlight w:val="none"/>
        </w:rPr>
      </w:pPr>
    </w:p>
    <w:p w14:paraId="49444FC6">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一、财务状况报告（满足下述一条要求即可）：</w:t>
      </w:r>
    </w:p>
    <w:p w14:paraId="5CB52C7B">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2024年度或2025年度，包括“四表-注”，即资产负债表、利润表、现金流量表、所有者权益变动表及其附注）或银行出具的资信证明（投标文件递交截止之日前六个月内任意一个月，不限制采购人主体）。</w:t>
      </w:r>
    </w:p>
    <w:p w14:paraId="2D784473">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要求2、成立不足六个月（以投标文件递交截止之日为期限）的投标人无需提供。</w:t>
      </w:r>
    </w:p>
    <w:p w14:paraId="79E6BA7A">
      <w:pPr>
        <w:rPr>
          <w:rFonts w:ascii="仿宋" w:hAnsi="仿宋" w:eastAsia="仿宋" w:cs="仿宋"/>
          <w:color w:val="auto"/>
          <w:highlight w:val="none"/>
        </w:rPr>
      </w:pPr>
    </w:p>
    <w:p w14:paraId="238CDE32">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6E34F203">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003552BB">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w:t>
      </w:r>
      <w:r>
        <w:rPr>
          <w:rFonts w:hint="eastAsia" w:ascii="仿宋" w:hAnsi="仿宋" w:eastAsia="仿宋" w:cs="仿宋"/>
          <w:color w:val="auto"/>
          <w:szCs w:val="21"/>
          <w:highlight w:val="none"/>
          <w:shd w:val="clear" w:color="auto" w:fill="FFFFFF" w:themeFill="background1"/>
        </w:rPr>
        <w:t>，提供上述任意一种即可</w:t>
      </w:r>
      <w:r>
        <w:rPr>
          <w:rFonts w:hint="eastAsia" w:ascii="仿宋" w:hAnsi="仿宋" w:eastAsia="仿宋" w:cs="仿宋"/>
          <w:color w:val="auto"/>
          <w:spacing w:val="10"/>
          <w:szCs w:val="24"/>
          <w:highlight w:val="none"/>
          <w:shd w:val="clear" w:color="auto" w:fill="FFFFFF" w:themeFill="background1"/>
        </w:rPr>
        <w:t>）。</w:t>
      </w:r>
    </w:p>
    <w:p w14:paraId="18B38A4E">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3ACD98EC">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7C705B9F">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2.3、依法免税或不需要缴纳社会保障资金的投标人，应提供相应文件证明其依法免税或不需要缴纳社会保障资金。</w:t>
      </w:r>
    </w:p>
    <w:p w14:paraId="7D77D686">
      <w:pPr>
        <w:rPr>
          <w:rFonts w:ascii="仿宋" w:hAnsi="仿宋" w:eastAsia="仿宋" w:cs="仿宋"/>
          <w:color w:val="auto"/>
          <w:highlight w:val="none"/>
        </w:rPr>
      </w:pPr>
    </w:p>
    <w:p w14:paraId="796DC4F1">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032951E8">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6337EA99">
      <w:pPr>
        <w:pStyle w:val="12"/>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3.2、如投标人所在地有关主管部门反馈的证明材料与本文中要求不一致时，以当地要求为准，但须投标人提供文字说明。</w:t>
      </w:r>
    </w:p>
    <w:p w14:paraId="732FEE0F">
      <w:pPr>
        <w:spacing w:after="120" w:line="360" w:lineRule="auto"/>
        <w:ind w:firstLine="460" w:firstLineChars="200"/>
        <w:rPr>
          <w:rFonts w:ascii="仿宋" w:hAnsi="仿宋" w:eastAsia="仿宋" w:cs="仿宋"/>
          <w:color w:val="auto"/>
          <w:spacing w:val="10"/>
          <w:szCs w:val="24"/>
          <w:highlight w:val="none"/>
          <w:shd w:val="clear" w:color="auto" w:fill="FFFFFF" w:themeFill="background1"/>
        </w:rPr>
      </w:pPr>
    </w:p>
    <w:p w14:paraId="10CCBDAC">
      <w:pPr>
        <w:rPr>
          <w:rFonts w:ascii="仿宋" w:hAnsi="仿宋" w:eastAsia="仿宋" w:cs="仿宋"/>
          <w:b/>
          <w:color w:val="auto"/>
          <w:sz w:val="24"/>
          <w:szCs w:val="24"/>
          <w:highlight w:val="none"/>
        </w:rPr>
      </w:pPr>
      <w:bookmarkStart w:id="253" w:name="_Toc29582"/>
      <w:bookmarkStart w:id="254" w:name="_Toc6527"/>
      <w:bookmarkStart w:id="255" w:name="_Toc24817"/>
      <w:bookmarkStart w:id="256" w:name="_Toc6490"/>
      <w:bookmarkStart w:id="257" w:name="_Toc113901851"/>
      <w:bookmarkStart w:id="258" w:name="_Toc128476880"/>
      <w:bookmarkStart w:id="259" w:name="_Toc3038"/>
      <w:bookmarkStart w:id="260" w:name="_Toc141050517"/>
      <w:bookmarkStart w:id="261" w:name="_Toc8262"/>
      <w:bookmarkStart w:id="262" w:name="_Toc28756"/>
      <w:bookmarkStart w:id="263" w:name="_Toc15267"/>
      <w:bookmarkStart w:id="264" w:name="_Toc20521"/>
      <w:bookmarkStart w:id="265" w:name="_Toc22195"/>
      <w:bookmarkStart w:id="266" w:name="_Toc130252624"/>
      <w:bookmarkStart w:id="267" w:name="_Toc28397"/>
      <w:bookmarkStart w:id="268" w:name="_Toc24943"/>
      <w:bookmarkStart w:id="269" w:name="_Toc28937"/>
      <w:bookmarkStart w:id="270" w:name="_Toc111556488"/>
      <w:r>
        <w:rPr>
          <w:rFonts w:hint="eastAsia" w:ascii="仿宋" w:hAnsi="仿宋" w:eastAsia="仿宋" w:cs="仿宋"/>
          <w:b/>
          <w:color w:val="auto"/>
          <w:sz w:val="24"/>
          <w:szCs w:val="24"/>
          <w:highlight w:val="none"/>
        </w:rPr>
        <w:br w:type="page"/>
      </w:r>
    </w:p>
    <w:p w14:paraId="19952BA8">
      <w:pPr>
        <w:tabs>
          <w:tab w:val="center" w:pos="4832"/>
          <w:tab w:val="left" w:pos="7140"/>
        </w:tabs>
        <w:spacing w:line="360" w:lineRule="auto"/>
        <w:jc w:val="center"/>
        <w:outlineLvl w:val="1"/>
        <w:rPr>
          <w:rFonts w:ascii="仿宋" w:hAnsi="仿宋" w:eastAsia="仿宋" w:cs="仿宋"/>
          <w:b/>
          <w:color w:val="auto"/>
          <w:sz w:val="24"/>
          <w:szCs w:val="24"/>
          <w:highlight w:val="none"/>
        </w:rPr>
      </w:pPr>
      <w:bookmarkStart w:id="271" w:name="_Toc23779"/>
      <w:bookmarkStart w:id="272" w:name="_Toc12041"/>
      <w:bookmarkStart w:id="273" w:name="_Toc31926"/>
      <w:bookmarkStart w:id="274" w:name="_Toc13146"/>
      <w:bookmarkStart w:id="275" w:name="_Toc6917"/>
      <w:bookmarkStart w:id="276" w:name="_Toc7515"/>
      <w:bookmarkStart w:id="277" w:name="_Toc22614"/>
      <w:bookmarkStart w:id="278" w:name="_Toc23545"/>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.3 具备履行合同所必需的设备和专业技术能力的证明材料</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1"/>
      <w:bookmarkEnd w:id="272"/>
      <w:bookmarkEnd w:id="273"/>
      <w:bookmarkEnd w:id="274"/>
      <w:bookmarkEnd w:id="275"/>
      <w:bookmarkEnd w:id="276"/>
      <w:bookmarkEnd w:id="277"/>
      <w:bookmarkEnd w:id="278"/>
    </w:p>
    <w:p w14:paraId="0AB87A0A">
      <w:pPr>
        <w:spacing w:line="360" w:lineRule="auto"/>
        <w:jc w:val="center"/>
        <w:rPr>
          <w:rFonts w:ascii="仿宋" w:hAnsi="仿宋" w:eastAsia="仿宋" w:cs="仿宋"/>
          <w:b/>
          <w:color w:val="auto"/>
          <w:sz w:val="24"/>
          <w:szCs w:val="24"/>
          <w:highlight w:val="none"/>
        </w:rPr>
      </w:pPr>
    </w:p>
    <w:p w14:paraId="622E9956">
      <w:pPr>
        <w:spacing w:line="360" w:lineRule="auto"/>
        <w:jc w:val="center"/>
        <w:rPr>
          <w:rFonts w:ascii="仿宋" w:hAnsi="仿宋" w:eastAsia="仿宋" w:cs="仿宋"/>
          <w:b/>
          <w:color w:val="auto"/>
          <w:sz w:val="24"/>
          <w:szCs w:val="24"/>
          <w:highlight w:val="none"/>
        </w:rPr>
      </w:pPr>
    </w:p>
    <w:p w14:paraId="30BD71ED">
      <w:pPr>
        <w:spacing w:line="360" w:lineRule="auto"/>
        <w:jc w:val="center"/>
        <w:rPr>
          <w:rFonts w:ascii="仿宋" w:hAnsi="仿宋" w:eastAsia="仿宋" w:cs="仿宋"/>
          <w:b/>
          <w:color w:val="auto"/>
          <w:sz w:val="24"/>
          <w:szCs w:val="24"/>
          <w:highlight w:val="none"/>
        </w:rPr>
      </w:pPr>
    </w:p>
    <w:p w14:paraId="6EC86A56">
      <w:pPr>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具有履行合同所必需的设备和专业技术能力的承诺</w:t>
      </w:r>
      <w:bookmarkEnd w:id="270"/>
      <w:r>
        <w:rPr>
          <w:rFonts w:hint="eastAsia" w:ascii="仿宋" w:hAnsi="仿宋" w:eastAsia="仿宋" w:cs="仿宋"/>
          <w:b/>
          <w:color w:val="auto"/>
          <w:sz w:val="24"/>
          <w:szCs w:val="24"/>
          <w:highlight w:val="none"/>
        </w:rPr>
        <w:t>函</w:t>
      </w:r>
    </w:p>
    <w:p w14:paraId="19A44BE6">
      <w:pPr>
        <w:adjustRightInd w:val="0"/>
        <w:snapToGrid w:val="0"/>
        <w:spacing w:line="360" w:lineRule="auto"/>
        <w:ind w:firstLine="480" w:firstLineChars="200"/>
        <w:jc w:val="center"/>
        <w:rPr>
          <w:rFonts w:ascii="仿宋" w:hAnsi="仿宋" w:eastAsia="仿宋" w:cs="仿宋"/>
          <w:color w:val="auto"/>
          <w:sz w:val="24"/>
          <w:szCs w:val="24"/>
          <w:highlight w:val="none"/>
        </w:rPr>
      </w:pPr>
    </w:p>
    <w:p w14:paraId="4F006456">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5D161068">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p>
    <w:p w14:paraId="32804577">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我单位郑重承诺： </w:t>
      </w:r>
    </w:p>
    <w:p w14:paraId="7DF5BE58">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我单位具备履行</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（项目名称）合同所必需的设备和专业技术能力；</w:t>
      </w:r>
    </w:p>
    <w:p w14:paraId="5794272F">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特此承诺。 </w:t>
      </w:r>
    </w:p>
    <w:p w14:paraId="69B02198">
      <w:pPr>
        <w:autoSpaceDE w:val="0"/>
        <w:autoSpaceDN w:val="0"/>
        <w:adjustRightInd w:val="0"/>
        <w:spacing w:line="360" w:lineRule="auto"/>
        <w:jc w:val="left"/>
        <w:rPr>
          <w:rFonts w:ascii="仿宋" w:hAnsi="仿宋" w:eastAsia="仿宋" w:cs="仿宋"/>
          <w:color w:val="auto"/>
          <w:kern w:val="0"/>
          <w:sz w:val="24"/>
          <w:szCs w:val="24"/>
          <w:highlight w:val="none"/>
        </w:rPr>
      </w:pPr>
    </w:p>
    <w:p w14:paraId="2505B729">
      <w:pPr>
        <w:autoSpaceDE w:val="0"/>
        <w:autoSpaceDN w:val="0"/>
        <w:adjustRightInd w:val="0"/>
        <w:spacing w:line="360" w:lineRule="auto"/>
        <w:jc w:val="left"/>
        <w:rPr>
          <w:rFonts w:ascii="仿宋" w:hAnsi="仿宋" w:eastAsia="仿宋" w:cs="仿宋"/>
          <w:color w:val="auto"/>
          <w:kern w:val="0"/>
          <w:sz w:val="24"/>
          <w:szCs w:val="24"/>
          <w:highlight w:val="none"/>
        </w:rPr>
      </w:pPr>
    </w:p>
    <w:p w14:paraId="67506BCB">
      <w:pPr>
        <w:autoSpaceDE w:val="0"/>
        <w:autoSpaceDN w:val="0"/>
        <w:adjustRightInd w:val="0"/>
        <w:spacing w:line="360" w:lineRule="auto"/>
        <w:jc w:val="left"/>
        <w:rPr>
          <w:rFonts w:ascii="仿宋" w:hAnsi="仿宋" w:eastAsia="仿宋" w:cs="仿宋"/>
          <w:color w:val="auto"/>
          <w:kern w:val="0"/>
          <w:sz w:val="24"/>
          <w:szCs w:val="24"/>
          <w:highlight w:val="none"/>
        </w:rPr>
      </w:pPr>
    </w:p>
    <w:p w14:paraId="13444B07">
      <w:pPr>
        <w:autoSpaceDE w:val="0"/>
        <w:autoSpaceDN w:val="0"/>
        <w:adjustRightInd w:val="0"/>
        <w:spacing w:line="360" w:lineRule="auto"/>
        <w:jc w:val="left"/>
        <w:rPr>
          <w:rFonts w:ascii="仿宋" w:hAnsi="仿宋" w:eastAsia="仿宋" w:cs="仿宋"/>
          <w:color w:val="auto"/>
          <w:kern w:val="0"/>
          <w:sz w:val="24"/>
          <w:szCs w:val="24"/>
          <w:highlight w:val="none"/>
        </w:rPr>
      </w:pPr>
    </w:p>
    <w:p w14:paraId="3DFEFDD2">
      <w:pPr>
        <w:widowControl/>
        <w:shd w:val="clear" w:color="auto" w:fill="FFFFFF"/>
        <w:snapToGrid w:val="0"/>
        <w:spacing w:line="360"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7A5C368E">
      <w:pPr>
        <w:widowControl/>
        <w:shd w:val="clear" w:color="auto" w:fill="FFFFFF"/>
        <w:snapToGrid w:val="0"/>
        <w:spacing w:line="360" w:lineRule="auto"/>
        <w:jc w:val="left"/>
        <w:rPr>
          <w:rFonts w:ascii="仿宋" w:hAnsi="仿宋" w:eastAsia="仿宋" w:cs="仿宋"/>
          <w:color w:val="auto"/>
          <w:kern w:val="0"/>
          <w:sz w:val="24"/>
          <w:szCs w:val="24"/>
          <w:highlight w:val="none"/>
        </w:rPr>
      </w:pPr>
    </w:p>
    <w:p w14:paraId="3EA5DA8D">
      <w:pPr>
        <w:widowControl/>
        <w:shd w:val="clear" w:color="auto" w:fill="FFFFFF"/>
        <w:snapToGrid w:val="0"/>
        <w:spacing w:line="360" w:lineRule="auto"/>
        <w:jc w:val="left"/>
        <w:rPr>
          <w:rFonts w:ascii="仿宋" w:hAnsi="仿宋" w:eastAsia="仿宋" w:cs="仿宋"/>
          <w:color w:val="auto"/>
          <w:kern w:val="0"/>
          <w:sz w:val="24"/>
          <w:szCs w:val="24"/>
          <w:highlight w:val="none"/>
        </w:rPr>
      </w:pPr>
    </w:p>
    <w:p w14:paraId="7BBE1B86">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4732EEBF">
      <w:pPr>
        <w:adjustRightInd w:val="0"/>
        <w:snapToGrid w:val="0"/>
        <w:spacing w:line="360" w:lineRule="auto"/>
        <w:rPr>
          <w:rFonts w:ascii="仿宋" w:hAnsi="仿宋" w:eastAsia="仿宋" w:cs="仿宋"/>
          <w:bCs/>
          <w:color w:val="auto"/>
          <w:sz w:val="24"/>
          <w:szCs w:val="24"/>
          <w:highlight w:val="none"/>
        </w:rPr>
      </w:pPr>
    </w:p>
    <w:p w14:paraId="07FDF406">
      <w:pPr>
        <w:spacing w:line="360" w:lineRule="auto"/>
        <w:rPr>
          <w:rFonts w:ascii="仿宋" w:hAnsi="仿宋" w:eastAsia="仿宋" w:cs="仿宋"/>
          <w:color w:val="auto"/>
          <w:sz w:val="24"/>
          <w:szCs w:val="24"/>
          <w:highlight w:val="none"/>
        </w:rPr>
      </w:pPr>
    </w:p>
    <w:p w14:paraId="34874D77">
      <w:pPr>
        <w:spacing w:line="360" w:lineRule="auto"/>
        <w:rPr>
          <w:rFonts w:ascii="仿宋" w:hAnsi="仿宋" w:eastAsia="仿宋" w:cs="仿宋"/>
          <w:color w:val="auto"/>
          <w:sz w:val="24"/>
          <w:szCs w:val="24"/>
          <w:highlight w:val="none"/>
        </w:rPr>
      </w:pPr>
    </w:p>
    <w:p w14:paraId="45B3AC6A">
      <w:pPr>
        <w:spacing w:line="360" w:lineRule="auto"/>
        <w:rPr>
          <w:rFonts w:ascii="仿宋" w:hAnsi="仿宋" w:eastAsia="仿宋" w:cs="仿宋"/>
          <w:color w:val="auto"/>
          <w:sz w:val="24"/>
          <w:szCs w:val="24"/>
          <w:highlight w:val="none"/>
        </w:rPr>
      </w:pPr>
    </w:p>
    <w:p w14:paraId="18EA44B6">
      <w:pPr>
        <w:spacing w:line="360" w:lineRule="auto"/>
        <w:rPr>
          <w:rFonts w:ascii="仿宋" w:hAnsi="仿宋" w:eastAsia="仿宋" w:cs="仿宋"/>
          <w:color w:val="auto"/>
          <w:sz w:val="24"/>
          <w:szCs w:val="24"/>
          <w:highlight w:val="none"/>
        </w:rPr>
      </w:pPr>
    </w:p>
    <w:p w14:paraId="6E5ACAAA">
      <w:pPr>
        <w:spacing w:line="360" w:lineRule="auto"/>
        <w:rPr>
          <w:rFonts w:ascii="仿宋" w:hAnsi="仿宋" w:eastAsia="仿宋" w:cs="仿宋"/>
          <w:color w:val="auto"/>
          <w:sz w:val="24"/>
          <w:szCs w:val="24"/>
          <w:highlight w:val="none"/>
        </w:rPr>
      </w:pPr>
    </w:p>
    <w:p w14:paraId="2C1DBFB7">
      <w:pPr>
        <w:spacing w:line="360" w:lineRule="auto"/>
        <w:rPr>
          <w:rFonts w:ascii="仿宋" w:hAnsi="仿宋" w:eastAsia="仿宋" w:cs="仿宋"/>
          <w:color w:val="auto"/>
          <w:sz w:val="24"/>
          <w:szCs w:val="24"/>
          <w:highlight w:val="none"/>
        </w:rPr>
      </w:pPr>
    </w:p>
    <w:p w14:paraId="0C508EF3">
      <w:pPr>
        <w:tabs>
          <w:tab w:val="center" w:pos="4832"/>
          <w:tab w:val="left" w:pos="7140"/>
        </w:tabs>
        <w:spacing w:line="360" w:lineRule="auto"/>
        <w:jc w:val="center"/>
        <w:outlineLvl w:val="1"/>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bookmarkStart w:id="279" w:name="_Toc141050518"/>
      <w:bookmarkStart w:id="280" w:name="_Toc12742"/>
      <w:bookmarkStart w:id="281" w:name="_Toc1561"/>
      <w:bookmarkStart w:id="282" w:name="_Toc7322"/>
      <w:bookmarkStart w:id="283" w:name="_Toc27933"/>
      <w:bookmarkStart w:id="284" w:name="_Toc14189"/>
      <w:bookmarkStart w:id="285" w:name="_Toc16035"/>
      <w:bookmarkStart w:id="286" w:name="_Toc12060"/>
      <w:bookmarkStart w:id="287" w:name="_Toc9960"/>
      <w:bookmarkStart w:id="288" w:name="_Toc18553"/>
      <w:bookmarkStart w:id="289" w:name="_Toc113901852"/>
      <w:bookmarkStart w:id="290" w:name="_Toc31613"/>
      <w:bookmarkStart w:id="291" w:name="_Toc4857"/>
      <w:bookmarkStart w:id="292" w:name="_Toc12824"/>
      <w:bookmarkStart w:id="293" w:name="_Toc5472"/>
      <w:bookmarkStart w:id="294" w:name="_Toc14597"/>
      <w:bookmarkStart w:id="295" w:name="_Toc19260"/>
      <w:bookmarkStart w:id="296" w:name="_Toc27620"/>
      <w:bookmarkStart w:id="297" w:name="_Toc130252625"/>
      <w:bookmarkStart w:id="298" w:name="_Toc29127"/>
      <w:bookmarkStart w:id="299" w:name="_Toc128476881"/>
      <w:bookmarkStart w:id="300" w:name="_Toc17656"/>
      <w:bookmarkStart w:id="301" w:name="_Toc5597"/>
      <w:bookmarkStart w:id="302" w:name="_Toc9901"/>
      <w:bookmarkStart w:id="303" w:name="_Toc154"/>
      <w:bookmarkStart w:id="304" w:name="_Toc111556490"/>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.4 参加政府采购活动前3年内在经营活动中没有重大违法记录的书面声明</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bookmarkEnd w:id="304"/>
    <w:p w14:paraId="0988ADFD">
      <w:pPr>
        <w:widowControl/>
        <w:adjustRightInd w:val="0"/>
        <w:snapToGrid w:val="0"/>
        <w:spacing w:line="360" w:lineRule="auto"/>
        <w:rPr>
          <w:rFonts w:ascii="仿宋" w:hAnsi="仿宋" w:eastAsia="仿宋" w:cs="仿宋"/>
          <w:color w:val="auto"/>
          <w:sz w:val="24"/>
          <w:szCs w:val="24"/>
          <w:highlight w:val="none"/>
        </w:rPr>
      </w:pPr>
    </w:p>
    <w:p w14:paraId="5B876EBE">
      <w:pPr>
        <w:widowControl/>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参加政府采购活动前3年内在经营活动中没有重大违法记录的书面声明</w:t>
      </w:r>
    </w:p>
    <w:p w14:paraId="75B052D3">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p>
    <w:p w14:paraId="086666C3">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5B80EEED">
      <w:pPr>
        <w:adjustRightInd w:val="0"/>
        <w:snapToGrid w:val="0"/>
        <w:spacing w:line="360" w:lineRule="auto"/>
        <w:ind w:firstLine="480" w:firstLineChars="200"/>
        <w:rPr>
          <w:rFonts w:ascii="仿宋" w:hAnsi="仿宋" w:eastAsia="仿宋" w:cs="仿宋"/>
          <w:color w:val="auto"/>
          <w:sz w:val="24"/>
          <w:szCs w:val="24"/>
          <w:highlight w:val="none"/>
        </w:rPr>
      </w:pPr>
    </w:p>
    <w:p w14:paraId="7C5ADAC0">
      <w:pPr>
        <w:adjustRightInd w:val="0"/>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我单位在参与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前三年内（以</w:t>
      </w:r>
      <w:r>
        <w:rPr>
          <w:rFonts w:hint="eastAsia" w:ascii="仿宋" w:hAnsi="仿宋" w:eastAsia="仿宋" w:cs="仿宋"/>
          <w:color w:val="auto"/>
          <w:sz w:val="24"/>
          <w:szCs w:val="24"/>
          <w:highlight w:val="none"/>
        </w:rPr>
        <w:t>投标文件递交截止之日为期限</w:t>
      </w:r>
      <w:r>
        <w:rPr>
          <w:rFonts w:hint="eastAsia" w:ascii="仿宋" w:hAnsi="仿宋" w:eastAsia="仿宋" w:cs="仿宋"/>
          <w:color w:val="auto"/>
          <w:kern w:val="0"/>
          <w:sz w:val="24"/>
          <w:szCs w:val="24"/>
          <w:highlight w:val="none"/>
        </w:rPr>
        <w:t>）在经营活动中没有重大违法记录。</w:t>
      </w:r>
    </w:p>
    <w:p w14:paraId="44870417">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若贵方在本项目采购过程中发现我方参加政府采购活动前三年内有重大违法记录；</w:t>
      </w:r>
      <w:r>
        <w:rPr>
          <w:rFonts w:hint="eastAsia" w:ascii="仿宋" w:hAnsi="仿宋" w:eastAsia="仿宋" w:cs="仿宋"/>
          <w:color w:val="auto"/>
          <w:kern w:val="0"/>
          <w:sz w:val="24"/>
          <w:szCs w:val="24"/>
          <w:highlight w:val="none"/>
        </w:rPr>
        <w:t>我单位</w:t>
      </w:r>
      <w:r>
        <w:rPr>
          <w:rFonts w:hint="eastAsia" w:ascii="仿宋" w:hAnsi="仿宋" w:eastAsia="仿宋" w:cs="仿宋"/>
          <w:color w:val="auto"/>
          <w:sz w:val="24"/>
          <w:szCs w:val="24"/>
          <w:highlight w:val="none"/>
        </w:rPr>
        <w:t>将无条件退出本项目的投标，并承担因此引起的一切后果。我方对此声明负全部法律责任。</w:t>
      </w:r>
    </w:p>
    <w:p w14:paraId="0AB4C871">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547A419C">
      <w:pPr>
        <w:adjustRightInd w:val="0"/>
        <w:snapToGrid w:val="0"/>
        <w:spacing w:line="360" w:lineRule="auto"/>
        <w:ind w:firstLine="480" w:firstLineChars="200"/>
        <w:rPr>
          <w:rFonts w:ascii="仿宋" w:hAnsi="仿宋" w:eastAsia="仿宋" w:cs="仿宋"/>
          <w:color w:val="auto"/>
          <w:sz w:val="24"/>
          <w:szCs w:val="24"/>
          <w:highlight w:val="none"/>
        </w:rPr>
      </w:pPr>
    </w:p>
    <w:p w14:paraId="7133DE1A">
      <w:pPr>
        <w:adjustRightInd w:val="0"/>
        <w:snapToGrid w:val="0"/>
        <w:spacing w:line="360" w:lineRule="auto"/>
        <w:ind w:firstLine="480" w:firstLineChars="200"/>
        <w:rPr>
          <w:rFonts w:ascii="仿宋" w:hAnsi="仿宋" w:eastAsia="仿宋" w:cs="仿宋"/>
          <w:color w:val="auto"/>
          <w:sz w:val="24"/>
          <w:szCs w:val="24"/>
          <w:highlight w:val="none"/>
        </w:rPr>
      </w:pPr>
    </w:p>
    <w:p w14:paraId="6DDC82E1">
      <w:pPr>
        <w:adjustRightInd w:val="0"/>
        <w:snapToGrid w:val="0"/>
        <w:spacing w:line="360" w:lineRule="auto"/>
        <w:ind w:firstLine="42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备注：</w:t>
      </w:r>
    </w:p>
    <w:p w14:paraId="3F95E042">
      <w:pPr>
        <w:adjustRightInd w:val="0"/>
        <w:snapToGrid w:val="0"/>
        <w:spacing w:line="360" w:lineRule="auto"/>
        <w:ind w:firstLine="420" w:firstLineChars="200"/>
        <w:rPr>
          <w:rFonts w:ascii="仿宋" w:hAnsi="仿宋" w:eastAsia="仿宋" w:cs="仿宋"/>
          <w:color w:val="auto"/>
          <w:sz w:val="24"/>
          <w:szCs w:val="24"/>
          <w:highlight w:val="none"/>
        </w:rPr>
      </w:pPr>
      <w:r>
        <w:rPr>
          <w:rFonts w:hint="eastAsia" w:ascii="仿宋" w:hAnsi="仿宋" w:eastAsia="仿宋" w:cs="仿宋"/>
          <w:color w:val="auto"/>
          <w:szCs w:val="24"/>
          <w:highlight w:val="none"/>
        </w:rPr>
        <w:t>若投标人在投标文件递交截止之日成立时间不足三年，以自成立以来的时间计取。</w:t>
      </w:r>
    </w:p>
    <w:p w14:paraId="73C91AD1">
      <w:pPr>
        <w:adjustRightInd w:val="0"/>
        <w:snapToGrid w:val="0"/>
        <w:spacing w:line="360" w:lineRule="auto"/>
        <w:ind w:firstLine="480" w:firstLineChars="200"/>
        <w:rPr>
          <w:rFonts w:ascii="仿宋" w:hAnsi="仿宋" w:eastAsia="仿宋" w:cs="仿宋"/>
          <w:color w:val="auto"/>
          <w:kern w:val="0"/>
          <w:sz w:val="24"/>
          <w:szCs w:val="24"/>
          <w:highlight w:val="none"/>
        </w:rPr>
      </w:pPr>
    </w:p>
    <w:p w14:paraId="0516B1C6">
      <w:pPr>
        <w:adjustRightInd w:val="0"/>
        <w:snapToGrid w:val="0"/>
        <w:spacing w:line="360" w:lineRule="auto"/>
        <w:ind w:firstLine="3112" w:firstLineChars="1297"/>
        <w:rPr>
          <w:rFonts w:ascii="仿宋" w:hAnsi="仿宋" w:eastAsia="仿宋" w:cs="仿宋"/>
          <w:color w:val="auto"/>
          <w:sz w:val="24"/>
          <w:szCs w:val="24"/>
          <w:highlight w:val="none"/>
        </w:rPr>
      </w:pPr>
    </w:p>
    <w:p w14:paraId="52AEB77E">
      <w:pPr>
        <w:widowControl/>
        <w:shd w:val="clear" w:color="auto" w:fill="FFFFFF"/>
        <w:snapToGrid w:val="0"/>
        <w:spacing w:line="360"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3C25051">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rPr>
      </w:pPr>
    </w:p>
    <w:p w14:paraId="208FEA5A">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rPr>
      </w:pPr>
    </w:p>
    <w:p w14:paraId="4C1E37A4">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3E496A37">
      <w:pPr>
        <w:widowControl/>
        <w:shd w:val="clear" w:color="auto" w:fill="FFFFFF"/>
        <w:snapToGrid w:val="0"/>
        <w:spacing w:line="360" w:lineRule="auto"/>
        <w:ind w:firstLine="420"/>
        <w:rPr>
          <w:rFonts w:ascii="仿宋" w:hAnsi="仿宋" w:eastAsia="仿宋" w:cs="仿宋"/>
          <w:color w:val="auto"/>
          <w:kern w:val="0"/>
          <w:sz w:val="24"/>
          <w:szCs w:val="24"/>
          <w:highlight w:val="none"/>
        </w:rPr>
      </w:pPr>
    </w:p>
    <w:p w14:paraId="217C9F71">
      <w:pPr>
        <w:tabs>
          <w:tab w:val="center" w:pos="4832"/>
          <w:tab w:val="left" w:pos="7140"/>
        </w:tabs>
        <w:spacing w:line="360" w:lineRule="auto"/>
        <w:jc w:val="center"/>
        <w:outlineLvl w:val="1"/>
        <w:rPr>
          <w:rFonts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305" w:name="_Toc25296"/>
      <w:bookmarkStart w:id="306" w:name="_Toc24660"/>
      <w:bookmarkStart w:id="307" w:name="_Toc9945"/>
      <w:bookmarkStart w:id="308" w:name="_Toc8192"/>
      <w:bookmarkStart w:id="309" w:name="_Toc428"/>
      <w:bookmarkStart w:id="310" w:name="_Toc30447"/>
      <w:bookmarkStart w:id="311" w:name="_Toc31144"/>
      <w:bookmarkStart w:id="312" w:name="_Toc313"/>
      <w:bookmarkStart w:id="313" w:name="_Toc9134"/>
      <w:bookmarkStart w:id="314" w:name="_Toc14380"/>
      <w:bookmarkStart w:id="315" w:name="_Toc113901853"/>
      <w:bookmarkStart w:id="316" w:name="_Toc4675"/>
      <w:bookmarkStart w:id="317" w:name="_Toc11552"/>
      <w:bookmarkStart w:id="318" w:name="_Toc128476882"/>
      <w:bookmarkStart w:id="319" w:name="_Toc17488"/>
      <w:bookmarkStart w:id="320" w:name="_Toc8186"/>
      <w:bookmarkStart w:id="321" w:name="_Toc30930"/>
      <w:bookmarkStart w:id="322" w:name="_Toc6424"/>
      <w:bookmarkStart w:id="323" w:name="_Toc9385"/>
      <w:bookmarkStart w:id="324" w:name="_Toc25108"/>
      <w:bookmarkStart w:id="325" w:name="_Toc17442"/>
      <w:bookmarkStart w:id="326" w:name="_Toc13030"/>
      <w:bookmarkStart w:id="327" w:name="_Toc141050519"/>
      <w:bookmarkStart w:id="328" w:name="_Toc26082"/>
      <w:bookmarkStart w:id="329" w:name="_Toc130252626"/>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.5 具备法律、行政法规规定的其他条件的证明材料</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44FD7543">
      <w:pPr>
        <w:widowControl/>
        <w:adjustRightInd w:val="0"/>
        <w:snapToGrid w:val="0"/>
        <w:spacing w:line="360" w:lineRule="auto"/>
        <w:rPr>
          <w:rFonts w:ascii="仿宋" w:hAnsi="仿宋" w:eastAsia="仿宋" w:cs="仿宋"/>
          <w:color w:val="auto"/>
          <w:sz w:val="24"/>
          <w:szCs w:val="24"/>
          <w:highlight w:val="none"/>
        </w:rPr>
      </w:pPr>
    </w:p>
    <w:p w14:paraId="4A88628E">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一、国家有关主管部门的行政许可（如有时）。</w:t>
      </w:r>
    </w:p>
    <w:p w14:paraId="6D39CBE8">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二、中小企业声明函/残疾人福利性单位声明函/监狱企业证明文件（如有时）。</w:t>
      </w:r>
    </w:p>
    <w:p w14:paraId="5D5079D1">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三、关于符合本国产品标准的声明函或</w:t>
      </w:r>
      <w:r>
        <w:rPr>
          <w:rFonts w:hint="eastAsia" w:ascii="仿宋" w:hAnsi="仿宋" w:eastAsia="仿宋" w:cs="仿宋"/>
          <w:color w:val="auto"/>
          <w:sz w:val="24"/>
          <w:szCs w:val="24"/>
          <w:highlight w:val="none"/>
          <w:shd w:val="clear" w:color="auto" w:fill="FFFFFF"/>
        </w:rPr>
        <w:t>或财政部会同有关部门规定的有关证明文件</w:t>
      </w:r>
      <w:r>
        <w:rPr>
          <w:rFonts w:hint="eastAsia" w:ascii="仿宋" w:hAnsi="仿宋" w:eastAsia="仿宋" w:cs="仿宋"/>
          <w:color w:val="auto"/>
          <w:sz w:val="24"/>
          <w:szCs w:val="24"/>
          <w:highlight w:val="none"/>
          <w:shd w:val="clear" w:color="auto" w:fill="FFFFFF" w:themeFill="background1"/>
        </w:rPr>
        <w:t>（如有时）。</w:t>
      </w:r>
    </w:p>
    <w:p w14:paraId="735E2E8C">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F2CB913">
      <w:pPr>
        <w:widowControl/>
        <w:spacing w:line="360" w:lineRule="auto"/>
        <w:jc w:val="left"/>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附件一、                  </w:t>
      </w:r>
    </w:p>
    <w:p w14:paraId="71C516CB">
      <w:pPr>
        <w:spacing w:line="588" w:lineRule="exact"/>
        <w:jc w:val="center"/>
        <w:rPr>
          <w:rFonts w:ascii="仿宋" w:hAnsi="仿宋" w:eastAsia="仿宋" w:cs="仿宋"/>
          <w:b/>
          <w:color w:val="auto"/>
          <w:spacing w:val="6"/>
          <w:sz w:val="24"/>
          <w:szCs w:val="24"/>
          <w:highlight w:val="none"/>
        </w:rPr>
      </w:pPr>
    </w:p>
    <w:p w14:paraId="3108648E">
      <w:pPr>
        <w:spacing w:line="588" w:lineRule="exact"/>
        <w:jc w:val="center"/>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中小企业声明函（货物）</w:t>
      </w:r>
    </w:p>
    <w:p w14:paraId="2A066A56">
      <w:pPr>
        <w:spacing w:line="588" w:lineRule="exact"/>
        <w:jc w:val="center"/>
        <w:rPr>
          <w:rFonts w:ascii="仿宋" w:hAnsi="仿宋" w:eastAsia="仿宋" w:cs="仿宋"/>
          <w:b/>
          <w:color w:val="auto"/>
          <w:spacing w:val="6"/>
          <w:sz w:val="24"/>
          <w:szCs w:val="24"/>
          <w:highlight w:val="none"/>
        </w:rPr>
      </w:pPr>
    </w:p>
    <w:p w14:paraId="532A3B69">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rPr>
        <w:t xml:space="preserve">  （联合体）</w:t>
      </w:r>
      <w:r>
        <w:rPr>
          <w:rFonts w:hint="eastAsia" w:ascii="仿宋" w:hAnsi="仿宋" w:eastAsia="仿宋" w:cs="仿宋"/>
          <w:color w:val="auto"/>
          <w:kern w:val="0"/>
          <w:sz w:val="24"/>
          <w:szCs w:val="24"/>
          <w:highlight w:val="none"/>
        </w:rPr>
        <w:t>参加</w:t>
      </w:r>
      <w:r>
        <w:rPr>
          <w:rFonts w:hint="eastAsia" w:ascii="仿宋" w:hAnsi="仿宋" w:eastAsia="仿宋" w:cs="仿宋"/>
          <w:color w:val="auto"/>
          <w:kern w:val="0"/>
          <w:sz w:val="24"/>
          <w:szCs w:val="24"/>
          <w:highlight w:val="none"/>
          <w:u w:val="single"/>
        </w:rPr>
        <w:t xml:space="preserve">  （单位名称）</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 xml:space="preserve">  （项目名称）</w:t>
      </w:r>
      <w:r>
        <w:rPr>
          <w:rFonts w:hint="eastAsia" w:ascii="仿宋" w:hAnsi="仿宋" w:eastAsia="仿宋" w:cs="仿宋"/>
          <w:color w:val="auto"/>
          <w:kern w:val="0"/>
          <w:sz w:val="24"/>
          <w:szCs w:val="24"/>
          <w:highlight w:val="none"/>
        </w:rPr>
        <w:t>采购活动，提供的货物全部由符合政策要求的中小企业制造。相关企业（含联合体中的中小企业、签订分包意向协议的中小企业）的具体情况如下：</w:t>
      </w:r>
    </w:p>
    <w:p w14:paraId="163600A4">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30C350B9">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4FFC8513">
      <w:pPr>
        <w:spacing w:line="588" w:lineRule="exact"/>
        <w:rPr>
          <w:rFonts w:ascii="仿宋" w:hAnsi="仿宋" w:eastAsia="仿宋" w:cs="仿宋"/>
          <w:color w:val="auto"/>
          <w:kern w:val="0"/>
          <w:sz w:val="24"/>
          <w:szCs w:val="24"/>
          <w:highlight w:val="none"/>
        </w:rPr>
      </w:pPr>
    </w:p>
    <w:p w14:paraId="258A08C3">
      <w:pPr>
        <w:spacing w:line="588" w:lineRule="exac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3B7EF908">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以上企业，不属于大企业的分支机构，不存在控股股东为大企业的情形，也不存在与大企业的负责人为同一人的情形。</w:t>
      </w:r>
    </w:p>
    <w:p w14:paraId="112479BB">
      <w:pPr>
        <w:spacing w:line="588" w:lineRule="exact"/>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本企业对上述声明内容的真实性负责。如有虚假，将依法承担相应责任。</w:t>
      </w:r>
    </w:p>
    <w:p w14:paraId="3F5EBBE6">
      <w:pPr>
        <w:spacing w:line="588" w:lineRule="exact"/>
        <w:ind w:firstLine="480" w:firstLineChars="200"/>
        <w:rPr>
          <w:rFonts w:ascii="仿宋" w:hAnsi="仿宋" w:eastAsia="仿宋" w:cs="仿宋"/>
          <w:color w:val="auto"/>
          <w:kern w:val="0"/>
          <w:sz w:val="24"/>
          <w:szCs w:val="24"/>
          <w:highlight w:val="none"/>
        </w:rPr>
      </w:pPr>
    </w:p>
    <w:p w14:paraId="305B2C8A">
      <w:pPr>
        <w:spacing w:line="588" w:lineRule="exact"/>
        <w:ind w:right="480"/>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企业名称（盖章）：</w:t>
      </w:r>
    </w:p>
    <w:p w14:paraId="34C876A3">
      <w:pPr>
        <w:spacing w:line="588" w:lineRule="exact"/>
        <w:ind w:right="480" w:firstLine="6240" w:firstLineChars="26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p>
    <w:p w14:paraId="097C1027">
      <w:pPr>
        <w:spacing w:line="588" w:lineRule="exact"/>
        <w:ind w:right="480" w:firstLine="6240" w:firstLineChars="2600"/>
        <w:rPr>
          <w:rFonts w:ascii="仿宋" w:hAnsi="仿宋" w:eastAsia="仿宋" w:cs="仿宋"/>
          <w:color w:val="auto"/>
          <w:kern w:val="0"/>
          <w:sz w:val="24"/>
          <w:szCs w:val="24"/>
          <w:highlight w:val="none"/>
        </w:rPr>
      </w:pPr>
    </w:p>
    <w:p w14:paraId="77845FD6">
      <w:pPr>
        <w:spacing w:line="588" w:lineRule="exac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注：人员、营业收入、资产总额填报上一年度数据，无上一年度数据的新成立企业可不填报。</w:t>
      </w:r>
    </w:p>
    <w:p w14:paraId="2C5D935F">
      <w:pPr>
        <w:spacing w:line="588" w:lineRule="exact"/>
        <w:rPr>
          <w:rFonts w:ascii="仿宋" w:hAnsi="仿宋" w:eastAsia="仿宋" w:cs="仿宋"/>
          <w:color w:val="auto"/>
          <w:spacing w:val="6"/>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附件二、</w:t>
      </w:r>
    </w:p>
    <w:p w14:paraId="1CEB7C74">
      <w:pPr>
        <w:spacing w:line="360" w:lineRule="auto"/>
        <w:jc w:val="center"/>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残疾人福利性单位声明函</w:t>
      </w:r>
    </w:p>
    <w:p w14:paraId="111238EC">
      <w:pPr>
        <w:spacing w:line="360" w:lineRule="auto"/>
        <w:rPr>
          <w:rFonts w:ascii="仿宋" w:hAnsi="仿宋" w:eastAsia="仿宋" w:cs="仿宋"/>
          <w:b/>
          <w:color w:val="auto"/>
          <w:spacing w:val="6"/>
          <w:sz w:val="24"/>
          <w:szCs w:val="24"/>
          <w:highlight w:val="none"/>
        </w:rPr>
      </w:pPr>
    </w:p>
    <w:p w14:paraId="031E73DB">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〔2017〕 141</w:t>
      </w:r>
      <w:r>
        <w:rPr>
          <w:rFonts w:hint="eastAsia" w:ascii="仿宋" w:hAnsi="仿宋" w:eastAsia="仿宋" w:cs="仿宋"/>
          <w:color w:val="auto"/>
          <w:spacing w:val="6"/>
          <w:sz w:val="24"/>
          <w:szCs w:val="24"/>
          <w:highlight w:val="none"/>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424F3BED">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74BAC2BF">
      <w:pPr>
        <w:spacing w:line="360" w:lineRule="auto"/>
        <w:ind w:firstLine="504" w:firstLineChars="200"/>
        <w:rPr>
          <w:rFonts w:ascii="仿宋" w:hAnsi="仿宋" w:eastAsia="仿宋" w:cs="仿宋"/>
          <w:color w:val="auto"/>
          <w:spacing w:val="6"/>
          <w:sz w:val="24"/>
          <w:szCs w:val="24"/>
          <w:highlight w:val="none"/>
        </w:rPr>
      </w:pPr>
    </w:p>
    <w:p w14:paraId="3BCE0D74">
      <w:pPr>
        <w:spacing w:line="360" w:lineRule="auto"/>
        <w:ind w:firstLine="504" w:firstLineChars="200"/>
        <w:rPr>
          <w:rFonts w:ascii="仿宋" w:hAnsi="仿宋" w:eastAsia="仿宋" w:cs="仿宋"/>
          <w:color w:val="auto"/>
          <w:spacing w:val="6"/>
          <w:sz w:val="24"/>
          <w:szCs w:val="24"/>
          <w:highlight w:val="none"/>
        </w:rPr>
      </w:pPr>
    </w:p>
    <w:p w14:paraId="6AE6DC8D">
      <w:pPr>
        <w:tabs>
          <w:tab w:val="left" w:pos="4860"/>
        </w:tabs>
        <w:spacing w:line="360" w:lineRule="auto"/>
        <w:ind w:right="1560"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单位名称（盖章）：</w:t>
      </w:r>
    </w:p>
    <w:p w14:paraId="35A7FD04">
      <w:pPr>
        <w:tabs>
          <w:tab w:val="left" w:pos="4860"/>
        </w:tabs>
        <w:spacing w:line="360" w:lineRule="auto"/>
        <w:ind w:right="1560" w:firstLine="504" w:firstLineChars="200"/>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日  期：</w:t>
      </w:r>
    </w:p>
    <w:p w14:paraId="08A25C98">
      <w:pPr>
        <w:spacing w:line="360" w:lineRule="auto"/>
        <w:rPr>
          <w:rFonts w:ascii="仿宋" w:hAnsi="仿宋" w:eastAsia="仿宋" w:cs="仿宋"/>
          <w:color w:val="auto"/>
          <w:sz w:val="24"/>
          <w:szCs w:val="24"/>
          <w:highlight w:val="none"/>
        </w:rPr>
      </w:pPr>
    </w:p>
    <w:p w14:paraId="57C6FA66">
      <w:pPr>
        <w:spacing w:line="360" w:lineRule="auto"/>
        <w:rPr>
          <w:rFonts w:ascii="仿宋" w:hAnsi="仿宋" w:eastAsia="仿宋" w:cs="仿宋"/>
          <w:color w:val="auto"/>
          <w:sz w:val="24"/>
          <w:szCs w:val="24"/>
          <w:highlight w:val="none"/>
        </w:rPr>
      </w:pPr>
    </w:p>
    <w:p w14:paraId="07810A54">
      <w:pPr>
        <w:spacing w:line="360" w:lineRule="auto"/>
        <w:rPr>
          <w:rFonts w:ascii="仿宋" w:hAnsi="仿宋" w:eastAsia="仿宋" w:cs="仿宋"/>
          <w:color w:val="auto"/>
          <w:sz w:val="24"/>
          <w:szCs w:val="24"/>
          <w:highlight w:val="none"/>
        </w:rPr>
      </w:pPr>
    </w:p>
    <w:p w14:paraId="7C75E1DF">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51673267">
      <w:pPr>
        <w:widowControl/>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附件三、</w:t>
      </w:r>
    </w:p>
    <w:p w14:paraId="7F058623">
      <w:pPr>
        <w:spacing w:line="360" w:lineRule="auto"/>
        <w:jc w:val="center"/>
        <w:rPr>
          <w:rFonts w:ascii="仿宋" w:hAnsi="仿宋" w:eastAsia="仿宋" w:cs="仿宋"/>
          <w:color w:val="auto"/>
          <w:kern w:val="0"/>
          <w:sz w:val="24"/>
          <w:szCs w:val="24"/>
          <w:highlight w:val="none"/>
        </w:rPr>
      </w:pPr>
      <w:r>
        <w:rPr>
          <w:rFonts w:hint="eastAsia" w:ascii="仿宋" w:hAnsi="仿宋" w:eastAsia="仿宋" w:cs="仿宋"/>
          <w:b/>
          <w:color w:val="auto"/>
          <w:kern w:val="0"/>
          <w:sz w:val="24"/>
          <w:szCs w:val="24"/>
          <w:highlight w:val="none"/>
        </w:rPr>
        <w:t>监狱企业证明文件</w:t>
      </w:r>
    </w:p>
    <w:p w14:paraId="11F7DC10">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监狱企业参加政府采购活动时，应当提供由省级以上监狱管理局、戒毒管理局（含新疆生产建设兵团）出具的属于监狱企业的证明文件。</w:t>
      </w:r>
    </w:p>
    <w:p w14:paraId="6CC2024A">
      <w:pP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69DEBEBA">
      <w:pPr>
        <w:widowControl/>
        <w:spacing w:line="360" w:lineRule="auto"/>
        <w:jc w:val="left"/>
        <w:rPr>
          <w:rFonts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b/>
          <w:color w:val="auto"/>
          <w:kern w:val="0"/>
          <w:sz w:val="24"/>
          <w:szCs w:val="24"/>
          <w:highlight w:val="none"/>
        </w:rPr>
        <w:t>附件</w:t>
      </w:r>
      <w:r>
        <w:rPr>
          <w:rStyle w:val="41"/>
          <w:rFonts w:hint="eastAsia" w:ascii="仿宋" w:hAnsi="仿宋" w:eastAsia="仿宋" w:cs="仿宋"/>
          <w:color w:val="auto"/>
          <w:kern w:val="0"/>
          <w:sz w:val="24"/>
          <w:szCs w:val="24"/>
          <w:highlight w:val="none"/>
          <w:shd w:val="clear" w:color="auto" w:fill="FFFFFF" w:themeFill="background1"/>
        </w:rPr>
        <w:t>四、</w:t>
      </w:r>
    </w:p>
    <w:p w14:paraId="2147CA8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5A305DAD">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关于符合本国产品标准的声明函</w:t>
      </w:r>
    </w:p>
    <w:p w14:paraId="0C86932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21C75EAA">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887550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4"/>
          <w:rFonts w:hint="eastAsia" w:ascii="仿宋" w:hAnsi="仿宋" w:eastAsia="仿宋" w:cs="仿宋"/>
          <w:i w:val="0"/>
          <w:color w:val="auto"/>
          <w:highlight w:val="none"/>
          <w:shd w:val="clear" w:color="auto" w:fill="FFFFFF"/>
        </w:rPr>
        <w:t>（产品名称1）</w:t>
      </w:r>
      <w:r>
        <w:rPr>
          <w:rStyle w:val="44"/>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Style w:val="44"/>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Style w:val="44"/>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Style w:val="44"/>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Style w:val="44"/>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7AD5F35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7CE6208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237A0075">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1A704B45">
      <w:pPr>
        <w:pStyle w:val="32"/>
        <w:shd w:val="clear" w:color="auto" w:fill="FFFFFF"/>
        <w:spacing w:before="20" w:beforeAutospacing="0" w:after="20" w:afterAutospacing="0" w:line="360" w:lineRule="auto"/>
        <w:ind w:firstLine="420"/>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61044379">
      <w:pPr>
        <w:pStyle w:val="32"/>
        <w:shd w:val="clear" w:color="auto" w:fill="FFFFFF"/>
        <w:spacing w:before="20" w:beforeAutospacing="0" w:after="20" w:afterAutospacing="0" w:line="360" w:lineRule="auto"/>
        <w:ind w:firstLine="420"/>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7B9D55A4">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5DEB68DE">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2B22E2E4">
      <w:pPr>
        <w:pStyle w:val="32"/>
        <w:shd w:val="clear" w:color="auto" w:fill="FFFFFF"/>
        <w:spacing w:before="20" w:beforeAutospacing="0" w:after="20" w:afterAutospacing="0" w:line="360" w:lineRule="auto"/>
        <w:ind w:firstLine="420"/>
        <w:rPr>
          <w:rFonts w:ascii="仿宋" w:hAnsi="仿宋" w:eastAsia="仿宋" w:cs="仿宋"/>
          <w:color w:val="auto"/>
          <w:highlight w:val="none"/>
          <w:u w:val="single"/>
          <w:shd w:val="clear" w:color="auto" w:fill="FFFFFF"/>
        </w:rPr>
      </w:pPr>
      <w:r>
        <w:rPr>
          <w:rFonts w:hint="eastAsia" w:ascii="仿宋" w:hAnsi="仿宋" w:eastAsia="仿宋" w:cs="仿宋"/>
          <w:color w:val="auto"/>
          <w:highlight w:val="none"/>
          <w:u w:val="single"/>
          <w:shd w:val="clear" w:color="auto" w:fill="FFFFFF"/>
        </w:rPr>
        <w:t xml:space="preserve">                                                                         </w:t>
      </w:r>
    </w:p>
    <w:p w14:paraId="7467214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3374F345">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28A55A6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6A8943E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2EFF011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p w14:paraId="07DA633F">
      <w:pPr>
        <w:spacing w:line="360" w:lineRule="auto"/>
        <w:ind w:firstLine="504" w:firstLineChars="200"/>
        <w:rPr>
          <w:rFonts w:ascii="仿宋" w:hAnsi="仿宋" w:eastAsia="仿宋" w:cs="仿宋"/>
          <w:color w:val="auto"/>
          <w:spacing w:val="6"/>
          <w:sz w:val="24"/>
          <w:szCs w:val="24"/>
          <w:highlight w:val="none"/>
        </w:rPr>
      </w:pPr>
    </w:p>
    <w:p w14:paraId="601E13B8">
      <w:pPr>
        <w:widowControl/>
        <w:adjustRightInd w:val="0"/>
        <w:snapToGrid w:val="0"/>
        <w:spacing w:line="360" w:lineRule="auto"/>
        <w:rPr>
          <w:rFonts w:ascii="仿宋" w:hAnsi="仿宋" w:eastAsia="仿宋" w:cs="仿宋"/>
          <w:color w:val="auto"/>
          <w:sz w:val="24"/>
          <w:szCs w:val="24"/>
          <w:highlight w:val="none"/>
        </w:rPr>
      </w:pPr>
    </w:p>
    <w:p w14:paraId="7CE75DA5">
      <w:pPr>
        <w:tabs>
          <w:tab w:val="center" w:pos="4832"/>
          <w:tab w:val="left" w:pos="7140"/>
        </w:tabs>
        <w:jc w:val="center"/>
        <w:outlineLvl w:val="1"/>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330" w:name="_Toc110707972"/>
      <w:bookmarkStart w:id="331" w:name="_Toc130252627"/>
      <w:bookmarkStart w:id="332" w:name="_Toc10677"/>
      <w:bookmarkStart w:id="333" w:name="_Toc109921165"/>
      <w:bookmarkStart w:id="334" w:name="_Toc20402"/>
      <w:bookmarkStart w:id="335" w:name="_Toc27167"/>
      <w:bookmarkStart w:id="336" w:name="_Toc18236"/>
      <w:bookmarkStart w:id="337" w:name="_Toc28554"/>
      <w:bookmarkStart w:id="338" w:name="_Toc109941772"/>
      <w:r>
        <w:rPr>
          <w:rFonts w:hint="eastAsia" w:ascii="仿宋" w:hAnsi="仿宋" w:eastAsia="仿宋" w:cs="仿宋"/>
          <w:b/>
          <w:color w:val="auto"/>
          <w:sz w:val="24"/>
          <w:szCs w:val="24"/>
          <w:highlight w:val="none"/>
          <w:lang w:val="en-US" w:eastAsia="zh-CN"/>
        </w:rPr>
        <w:t>十</w:t>
      </w:r>
      <w:r>
        <w:rPr>
          <w:rFonts w:hint="eastAsia" w:ascii="仿宋" w:hAnsi="仿宋" w:eastAsia="仿宋" w:cs="仿宋"/>
          <w:b/>
          <w:color w:val="auto"/>
          <w:sz w:val="24"/>
          <w:szCs w:val="24"/>
          <w:highlight w:val="none"/>
        </w:rPr>
        <w:t>、投标人近年类似项目情况表</w:t>
      </w:r>
      <w:bookmarkEnd w:id="330"/>
      <w:bookmarkEnd w:id="331"/>
      <w:bookmarkEnd w:id="332"/>
      <w:bookmarkEnd w:id="333"/>
      <w:bookmarkEnd w:id="334"/>
      <w:bookmarkEnd w:id="335"/>
      <w:bookmarkEnd w:id="336"/>
      <w:bookmarkEnd w:id="337"/>
      <w:bookmarkEnd w:id="338"/>
    </w:p>
    <w:p w14:paraId="5300810B">
      <w:pPr>
        <w:spacing w:line="360" w:lineRule="auto"/>
        <w:jc w:val="left"/>
        <w:rPr>
          <w:rFonts w:ascii="仿宋" w:hAnsi="仿宋" w:eastAsia="仿宋" w:cs="仿宋"/>
          <w:color w:val="auto"/>
          <w:sz w:val="24"/>
          <w:szCs w:val="24"/>
          <w:highlight w:val="none"/>
        </w:rPr>
      </w:pPr>
    </w:p>
    <w:tbl>
      <w:tblPr>
        <w:tblStyle w:val="3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33"/>
        <w:gridCol w:w="963"/>
        <w:gridCol w:w="1922"/>
        <w:gridCol w:w="1212"/>
        <w:gridCol w:w="1232"/>
        <w:gridCol w:w="1232"/>
        <w:gridCol w:w="795"/>
      </w:tblGrid>
      <w:tr w14:paraId="6AE5D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556377CF">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233" w:type="dxa"/>
          </w:tcPr>
          <w:p w14:paraId="63F820DB">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p>
        </w:tc>
        <w:tc>
          <w:tcPr>
            <w:tcW w:w="963" w:type="dxa"/>
          </w:tcPr>
          <w:p w14:paraId="41115789">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w:t>
            </w:r>
          </w:p>
        </w:tc>
        <w:tc>
          <w:tcPr>
            <w:tcW w:w="1922" w:type="dxa"/>
          </w:tcPr>
          <w:p w14:paraId="515804C6">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采购人联系方式</w:t>
            </w:r>
          </w:p>
        </w:tc>
        <w:tc>
          <w:tcPr>
            <w:tcW w:w="1212" w:type="dxa"/>
          </w:tcPr>
          <w:p w14:paraId="38BC103F">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合同内容</w:t>
            </w:r>
          </w:p>
        </w:tc>
        <w:tc>
          <w:tcPr>
            <w:tcW w:w="1232" w:type="dxa"/>
          </w:tcPr>
          <w:p w14:paraId="21C82571">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合同价格</w:t>
            </w:r>
          </w:p>
        </w:tc>
        <w:tc>
          <w:tcPr>
            <w:tcW w:w="1232" w:type="dxa"/>
          </w:tcPr>
          <w:p w14:paraId="165130C0">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签约日期</w:t>
            </w:r>
          </w:p>
        </w:tc>
        <w:tc>
          <w:tcPr>
            <w:tcW w:w="795" w:type="dxa"/>
          </w:tcPr>
          <w:p w14:paraId="43C80147">
            <w:pP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1908E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0F8B4452">
            <w:pPr>
              <w:rPr>
                <w:rFonts w:ascii="仿宋" w:hAnsi="仿宋" w:eastAsia="仿宋" w:cs="仿宋"/>
                <w:color w:val="auto"/>
                <w:kern w:val="0"/>
                <w:sz w:val="24"/>
                <w:szCs w:val="24"/>
                <w:highlight w:val="none"/>
              </w:rPr>
            </w:pPr>
          </w:p>
        </w:tc>
        <w:tc>
          <w:tcPr>
            <w:tcW w:w="1233" w:type="dxa"/>
          </w:tcPr>
          <w:p w14:paraId="6CC8AAF8">
            <w:pPr>
              <w:rPr>
                <w:rFonts w:ascii="仿宋" w:hAnsi="仿宋" w:eastAsia="仿宋" w:cs="仿宋"/>
                <w:color w:val="auto"/>
                <w:kern w:val="0"/>
                <w:sz w:val="24"/>
                <w:szCs w:val="24"/>
                <w:highlight w:val="none"/>
              </w:rPr>
            </w:pPr>
          </w:p>
        </w:tc>
        <w:tc>
          <w:tcPr>
            <w:tcW w:w="963" w:type="dxa"/>
          </w:tcPr>
          <w:p w14:paraId="6953DA3C">
            <w:pPr>
              <w:rPr>
                <w:rFonts w:ascii="仿宋" w:hAnsi="仿宋" w:eastAsia="仿宋" w:cs="仿宋"/>
                <w:color w:val="auto"/>
                <w:kern w:val="0"/>
                <w:sz w:val="24"/>
                <w:szCs w:val="24"/>
                <w:highlight w:val="none"/>
              </w:rPr>
            </w:pPr>
          </w:p>
        </w:tc>
        <w:tc>
          <w:tcPr>
            <w:tcW w:w="1922" w:type="dxa"/>
          </w:tcPr>
          <w:p w14:paraId="50E83099">
            <w:pPr>
              <w:rPr>
                <w:rFonts w:ascii="仿宋" w:hAnsi="仿宋" w:eastAsia="仿宋" w:cs="仿宋"/>
                <w:color w:val="auto"/>
                <w:kern w:val="0"/>
                <w:sz w:val="24"/>
                <w:szCs w:val="24"/>
                <w:highlight w:val="none"/>
              </w:rPr>
            </w:pPr>
          </w:p>
        </w:tc>
        <w:tc>
          <w:tcPr>
            <w:tcW w:w="1212" w:type="dxa"/>
          </w:tcPr>
          <w:p w14:paraId="769D40A2">
            <w:pPr>
              <w:rPr>
                <w:rFonts w:ascii="仿宋" w:hAnsi="仿宋" w:eastAsia="仿宋" w:cs="仿宋"/>
                <w:color w:val="auto"/>
                <w:kern w:val="0"/>
                <w:sz w:val="24"/>
                <w:szCs w:val="24"/>
                <w:highlight w:val="none"/>
              </w:rPr>
            </w:pPr>
          </w:p>
        </w:tc>
        <w:tc>
          <w:tcPr>
            <w:tcW w:w="1232" w:type="dxa"/>
          </w:tcPr>
          <w:p w14:paraId="09C58C01">
            <w:pPr>
              <w:rPr>
                <w:rFonts w:ascii="仿宋" w:hAnsi="仿宋" w:eastAsia="仿宋" w:cs="仿宋"/>
                <w:color w:val="auto"/>
                <w:kern w:val="0"/>
                <w:sz w:val="24"/>
                <w:szCs w:val="24"/>
                <w:highlight w:val="none"/>
              </w:rPr>
            </w:pPr>
          </w:p>
        </w:tc>
        <w:tc>
          <w:tcPr>
            <w:tcW w:w="1232" w:type="dxa"/>
          </w:tcPr>
          <w:p w14:paraId="7A98AD4B">
            <w:pPr>
              <w:rPr>
                <w:rFonts w:ascii="仿宋" w:hAnsi="仿宋" w:eastAsia="仿宋" w:cs="仿宋"/>
                <w:color w:val="auto"/>
                <w:kern w:val="0"/>
                <w:sz w:val="24"/>
                <w:szCs w:val="24"/>
                <w:highlight w:val="none"/>
              </w:rPr>
            </w:pPr>
          </w:p>
        </w:tc>
        <w:tc>
          <w:tcPr>
            <w:tcW w:w="795" w:type="dxa"/>
          </w:tcPr>
          <w:p w14:paraId="4E3D1985">
            <w:pPr>
              <w:rPr>
                <w:rFonts w:ascii="仿宋" w:hAnsi="仿宋" w:eastAsia="仿宋" w:cs="仿宋"/>
                <w:color w:val="auto"/>
                <w:kern w:val="0"/>
                <w:sz w:val="24"/>
                <w:szCs w:val="24"/>
                <w:highlight w:val="none"/>
              </w:rPr>
            </w:pPr>
          </w:p>
        </w:tc>
      </w:tr>
      <w:tr w14:paraId="33643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057209B0">
            <w:pPr>
              <w:rPr>
                <w:rFonts w:ascii="仿宋" w:hAnsi="仿宋" w:eastAsia="仿宋" w:cs="仿宋"/>
                <w:color w:val="auto"/>
                <w:kern w:val="0"/>
                <w:sz w:val="24"/>
                <w:szCs w:val="24"/>
                <w:highlight w:val="none"/>
              </w:rPr>
            </w:pPr>
          </w:p>
        </w:tc>
        <w:tc>
          <w:tcPr>
            <w:tcW w:w="1233" w:type="dxa"/>
          </w:tcPr>
          <w:p w14:paraId="02EA5C2A">
            <w:pPr>
              <w:rPr>
                <w:rFonts w:ascii="仿宋" w:hAnsi="仿宋" w:eastAsia="仿宋" w:cs="仿宋"/>
                <w:color w:val="auto"/>
                <w:kern w:val="0"/>
                <w:sz w:val="24"/>
                <w:szCs w:val="24"/>
                <w:highlight w:val="none"/>
              </w:rPr>
            </w:pPr>
          </w:p>
        </w:tc>
        <w:tc>
          <w:tcPr>
            <w:tcW w:w="963" w:type="dxa"/>
          </w:tcPr>
          <w:p w14:paraId="73DE65B6">
            <w:pPr>
              <w:rPr>
                <w:rFonts w:ascii="仿宋" w:hAnsi="仿宋" w:eastAsia="仿宋" w:cs="仿宋"/>
                <w:color w:val="auto"/>
                <w:kern w:val="0"/>
                <w:sz w:val="24"/>
                <w:szCs w:val="24"/>
                <w:highlight w:val="none"/>
              </w:rPr>
            </w:pPr>
          </w:p>
        </w:tc>
        <w:tc>
          <w:tcPr>
            <w:tcW w:w="1922" w:type="dxa"/>
          </w:tcPr>
          <w:p w14:paraId="35F0E8A3">
            <w:pPr>
              <w:rPr>
                <w:rFonts w:ascii="仿宋" w:hAnsi="仿宋" w:eastAsia="仿宋" w:cs="仿宋"/>
                <w:color w:val="auto"/>
                <w:kern w:val="0"/>
                <w:sz w:val="24"/>
                <w:szCs w:val="24"/>
                <w:highlight w:val="none"/>
              </w:rPr>
            </w:pPr>
          </w:p>
        </w:tc>
        <w:tc>
          <w:tcPr>
            <w:tcW w:w="1212" w:type="dxa"/>
          </w:tcPr>
          <w:p w14:paraId="761986CF">
            <w:pPr>
              <w:rPr>
                <w:rFonts w:ascii="仿宋" w:hAnsi="仿宋" w:eastAsia="仿宋" w:cs="仿宋"/>
                <w:color w:val="auto"/>
                <w:kern w:val="0"/>
                <w:sz w:val="24"/>
                <w:szCs w:val="24"/>
                <w:highlight w:val="none"/>
              </w:rPr>
            </w:pPr>
          </w:p>
        </w:tc>
        <w:tc>
          <w:tcPr>
            <w:tcW w:w="1232" w:type="dxa"/>
          </w:tcPr>
          <w:p w14:paraId="4C55ABFC">
            <w:pPr>
              <w:rPr>
                <w:rFonts w:ascii="仿宋" w:hAnsi="仿宋" w:eastAsia="仿宋" w:cs="仿宋"/>
                <w:color w:val="auto"/>
                <w:kern w:val="0"/>
                <w:sz w:val="24"/>
                <w:szCs w:val="24"/>
                <w:highlight w:val="none"/>
              </w:rPr>
            </w:pPr>
          </w:p>
        </w:tc>
        <w:tc>
          <w:tcPr>
            <w:tcW w:w="1232" w:type="dxa"/>
          </w:tcPr>
          <w:p w14:paraId="0DB3B4E5">
            <w:pPr>
              <w:rPr>
                <w:rFonts w:ascii="仿宋" w:hAnsi="仿宋" w:eastAsia="仿宋" w:cs="仿宋"/>
                <w:color w:val="auto"/>
                <w:kern w:val="0"/>
                <w:sz w:val="24"/>
                <w:szCs w:val="24"/>
                <w:highlight w:val="none"/>
              </w:rPr>
            </w:pPr>
          </w:p>
        </w:tc>
        <w:tc>
          <w:tcPr>
            <w:tcW w:w="795" w:type="dxa"/>
          </w:tcPr>
          <w:p w14:paraId="422F8092">
            <w:pPr>
              <w:rPr>
                <w:rFonts w:ascii="仿宋" w:hAnsi="仿宋" w:eastAsia="仿宋" w:cs="仿宋"/>
                <w:color w:val="auto"/>
                <w:kern w:val="0"/>
                <w:sz w:val="24"/>
                <w:szCs w:val="24"/>
                <w:highlight w:val="none"/>
              </w:rPr>
            </w:pPr>
          </w:p>
        </w:tc>
      </w:tr>
      <w:tr w14:paraId="44944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25A6ED42">
            <w:pPr>
              <w:rPr>
                <w:rFonts w:ascii="仿宋" w:hAnsi="仿宋" w:eastAsia="仿宋" w:cs="仿宋"/>
                <w:color w:val="auto"/>
                <w:kern w:val="0"/>
                <w:sz w:val="24"/>
                <w:szCs w:val="24"/>
                <w:highlight w:val="none"/>
              </w:rPr>
            </w:pPr>
          </w:p>
        </w:tc>
        <w:tc>
          <w:tcPr>
            <w:tcW w:w="1233" w:type="dxa"/>
          </w:tcPr>
          <w:p w14:paraId="0FE8CFA0">
            <w:pPr>
              <w:rPr>
                <w:rFonts w:ascii="仿宋" w:hAnsi="仿宋" w:eastAsia="仿宋" w:cs="仿宋"/>
                <w:color w:val="auto"/>
                <w:kern w:val="0"/>
                <w:sz w:val="24"/>
                <w:szCs w:val="24"/>
                <w:highlight w:val="none"/>
              </w:rPr>
            </w:pPr>
          </w:p>
        </w:tc>
        <w:tc>
          <w:tcPr>
            <w:tcW w:w="963" w:type="dxa"/>
          </w:tcPr>
          <w:p w14:paraId="7171EE03">
            <w:pPr>
              <w:rPr>
                <w:rFonts w:ascii="仿宋" w:hAnsi="仿宋" w:eastAsia="仿宋" w:cs="仿宋"/>
                <w:color w:val="auto"/>
                <w:kern w:val="0"/>
                <w:sz w:val="24"/>
                <w:szCs w:val="24"/>
                <w:highlight w:val="none"/>
              </w:rPr>
            </w:pPr>
          </w:p>
        </w:tc>
        <w:tc>
          <w:tcPr>
            <w:tcW w:w="1922" w:type="dxa"/>
          </w:tcPr>
          <w:p w14:paraId="3AC4CE78">
            <w:pPr>
              <w:rPr>
                <w:rFonts w:ascii="仿宋" w:hAnsi="仿宋" w:eastAsia="仿宋" w:cs="仿宋"/>
                <w:color w:val="auto"/>
                <w:kern w:val="0"/>
                <w:sz w:val="24"/>
                <w:szCs w:val="24"/>
                <w:highlight w:val="none"/>
              </w:rPr>
            </w:pPr>
          </w:p>
        </w:tc>
        <w:tc>
          <w:tcPr>
            <w:tcW w:w="1212" w:type="dxa"/>
          </w:tcPr>
          <w:p w14:paraId="2B31A24B">
            <w:pPr>
              <w:rPr>
                <w:rFonts w:ascii="仿宋" w:hAnsi="仿宋" w:eastAsia="仿宋" w:cs="仿宋"/>
                <w:color w:val="auto"/>
                <w:kern w:val="0"/>
                <w:sz w:val="24"/>
                <w:szCs w:val="24"/>
                <w:highlight w:val="none"/>
              </w:rPr>
            </w:pPr>
          </w:p>
        </w:tc>
        <w:tc>
          <w:tcPr>
            <w:tcW w:w="1232" w:type="dxa"/>
          </w:tcPr>
          <w:p w14:paraId="2A2BE2C7">
            <w:pPr>
              <w:rPr>
                <w:rFonts w:ascii="仿宋" w:hAnsi="仿宋" w:eastAsia="仿宋" w:cs="仿宋"/>
                <w:color w:val="auto"/>
                <w:kern w:val="0"/>
                <w:sz w:val="24"/>
                <w:szCs w:val="24"/>
                <w:highlight w:val="none"/>
              </w:rPr>
            </w:pPr>
          </w:p>
        </w:tc>
        <w:tc>
          <w:tcPr>
            <w:tcW w:w="1232" w:type="dxa"/>
          </w:tcPr>
          <w:p w14:paraId="70A7A35D">
            <w:pPr>
              <w:rPr>
                <w:rFonts w:ascii="仿宋" w:hAnsi="仿宋" w:eastAsia="仿宋" w:cs="仿宋"/>
                <w:color w:val="auto"/>
                <w:kern w:val="0"/>
                <w:sz w:val="24"/>
                <w:szCs w:val="24"/>
                <w:highlight w:val="none"/>
              </w:rPr>
            </w:pPr>
          </w:p>
        </w:tc>
        <w:tc>
          <w:tcPr>
            <w:tcW w:w="795" w:type="dxa"/>
          </w:tcPr>
          <w:p w14:paraId="6A331407">
            <w:pPr>
              <w:rPr>
                <w:rFonts w:ascii="仿宋" w:hAnsi="仿宋" w:eastAsia="仿宋" w:cs="仿宋"/>
                <w:color w:val="auto"/>
                <w:kern w:val="0"/>
                <w:sz w:val="24"/>
                <w:szCs w:val="24"/>
                <w:highlight w:val="none"/>
              </w:rPr>
            </w:pPr>
          </w:p>
        </w:tc>
      </w:tr>
      <w:tr w14:paraId="0EBE3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07F90BED">
            <w:pPr>
              <w:rPr>
                <w:rFonts w:ascii="仿宋" w:hAnsi="仿宋" w:eastAsia="仿宋" w:cs="仿宋"/>
                <w:color w:val="auto"/>
                <w:kern w:val="0"/>
                <w:sz w:val="24"/>
                <w:szCs w:val="24"/>
                <w:highlight w:val="none"/>
              </w:rPr>
            </w:pPr>
          </w:p>
        </w:tc>
        <w:tc>
          <w:tcPr>
            <w:tcW w:w="1233" w:type="dxa"/>
          </w:tcPr>
          <w:p w14:paraId="784B3705">
            <w:pPr>
              <w:rPr>
                <w:rFonts w:ascii="仿宋" w:hAnsi="仿宋" w:eastAsia="仿宋" w:cs="仿宋"/>
                <w:color w:val="auto"/>
                <w:kern w:val="0"/>
                <w:sz w:val="24"/>
                <w:szCs w:val="24"/>
                <w:highlight w:val="none"/>
              </w:rPr>
            </w:pPr>
          </w:p>
        </w:tc>
        <w:tc>
          <w:tcPr>
            <w:tcW w:w="963" w:type="dxa"/>
          </w:tcPr>
          <w:p w14:paraId="788AB64C">
            <w:pPr>
              <w:rPr>
                <w:rFonts w:ascii="仿宋" w:hAnsi="仿宋" w:eastAsia="仿宋" w:cs="仿宋"/>
                <w:color w:val="auto"/>
                <w:kern w:val="0"/>
                <w:sz w:val="24"/>
                <w:szCs w:val="24"/>
                <w:highlight w:val="none"/>
              </w:rPr>
            </w:pPr>
          </w:p>
        </w:tc>
        <w:tc>
          <w:tcPr>
            <w:tcW w:w="1922" w:type="dxa"/>
          </w:tcPr>
          <w:p w14:paraId="7C8068A2">
            <w:pPr>
              <w:rPr>
                <w:rFonts w:ascii="仿宋" w:hAnsi="仿宋" w:eastAsia="仿宋" w:cs="仿宋"/>
                <w:color w:val="auto"/>
                <w:kern w:val="0"/>
                <w:sz w:val="24"/>
                <w:szCs w:val="24"/>
                <w:highlight w:val="none"/>
              </w:rPr>
            </w:pPr>
          </w:p>
        </w:tc>
        <w:tc>
          <w:tcPr>
            <w:tcW w:w="1212" w:type="dxa"/>
          </w:tcPr>
          <w:p w14:paraId="653B05C3">
            <w:pPr>
              <w:rPr>
                <w:rFonts w:ascii="仿宋" w:hAnsi="仿宋" w:eastAsia="仿宋" w:cs="仿宋"/>
                <w:color w:val="auto"/>
                <w:kern w:val="0"/>
                <w:sz w:val="24"/>
                <w:szCs w:val="24"/>
                <w:highlight w:val="none"/>
              </w:rPr>
            </w:pPr>
          </w:p>
        </w:tc>
        <w:tc>
          <w:tcPr>
            <w:tcW w:w="1232" w:type="dxa"/>
          </w:tcPr>
          <w:p w14:paraId="2458EDDF">
            <w:pPr>
              <w:rPr>
                <w:rFonts w:ascii="仿宋" w:hAnsi="仿宋" w:eastAsia="仿宋" w:cs="仿宋"/>
                <w:color w:val="auto"/>
                <w:kern w:val="0"/>
                <w:sz w:val="24"/>
                <w:szCs w:val="24"/>
                <w:highlight w:val="none"/>
              </w:rPr>
            </w:pPr>
          </w:p>
        </w:tc>
        <w:tc>
          <w:tcPr>
            <w:tcW w:w="1232" w:type="dxa"/>
          </w:tcPr>
          <w:p w14:paraId="02AA4A4C">
            <w:pPr>
              <w:rPr>
                <w:rFonts w:ascii="仿宋" w:hAnsi="仿宋" w:eastAsia="仿宋" w:cs="仿宋"/>
                <w:color w:val="auto"/>
                <w:kern w:val="0"/>
                <w:sz w:val="24"/>
                <w:szCs w:val="24"/>
                <w:highlight w:val="none"/>
              </w:rPr>
            </w:pPr>
          </w:p>
        </w:tc>
        <w:tc>
          <w:tcPr>
            <w:tcW w:w="795" w:type="dxa"/>
          </w:tcPr>
          <w:p w14:paraId="59F1079F">
            <w:pPr>
              <w:rPr>
                <w:rFonts w:ascii="仿宋" w:hAnsi="仿宋" w:eastAsia="仿宋" w:cs="仿宋"/>
                <w:color w:val="auto"/>
                <w:kern w:val="0"/>
                <w:sz w:val="24"/>
                <w:szCs w:val="24"/>
                <w:highlight w:val="none"/>
              </w:rPr>
            </w:pPr>
          </w:p>
        </w:tc>
      </w:tr>
      <w:tr w14:paraId="084A5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32B3B2F1">
            <w:pPr>
              <w:rPr>
                <w:rFonts w:ascii="仿宋" w:hAnsi="仿宋" w:eastAsia="仿宋" w:cs="仿宋"/>
                <w:color w:val="auto"/>
                <w:kern w:val="0"/>
                <w:sz w:val="24"/>
                <w:szCs w:val="24"/>
                <w:highlight w:val="none"/>
              </w:rPr>
            </w:pPr>
          </w:p>
        </w:tc>
        <w:tc>
          <w:tcPr>
            <w:tcW w:w="1233" w:type="dxa"/>
          </w:tcPr>
          <w:p w14:paraId="32E488AA">
            <w:pPr>
              <w:rPr>
                <w:rFonts w:ascii="仿宋" w:hAnsi="仿宋" w:eastAsia="仿宋" w:cs="仿宋"/>
                <w:color w:val="auto"/>
                <w:kern w:val="0"/>
                <w:sz w:val="24"/>
                <w:szCs w:val="24"/>
                <w:highlight w:val="none"/>
              </w:rPr>
            </w:pPr>
          </w:p>
        </w:tc>
        <w:tc>
          <w:tcPr>
            <w:tcW w:w="963" w:type="dxa"/>
          </w:tcPr>
          <w:p w14:paraId="045BB5AE">
            <w:pPr>
              <w:rPr>
                <w:rFonts w:ascii="仿宋" w:hAnsi="仿宋" w:eastAsia="仿宋" w:cs="仿宋"/>
                <w:color w:val="auto"/>
                <w:kern w:val="0"/>
                <w:sz w:val="24"/>
                <w:szCs w:val="24"/>
                <w:highlight w:val="none"/>
              </w:rPr>
            </w:pPr>
          </w:p>
        </w:tc>
        <w:tc>
          <w:tcPr>
            <w:tcW w:w="1922" w:type="dxa"/>
          </w:tcPr>
          <w:p w14:paraId="4D559878">
            <w:pPr>
              <w:rPr>
                <w:rFonts w:ascii="仿宋" w:hAnsi="仿宋" w:eastAsia="仿宋" w:cs="仿宋"/>
                <w:color w:val="auto"/>
                <w:kern w:val="0"/>
                <w:sz w:val="24"/>
                <w:szCs w:val="24"/>
                <w:highlight w:val="none"/>
              </w:rPr>
            </w:pPr>
          </w:p>
        </w:tc>
        <w:tc>
          <w:tcPr>
            <w:tcW w:w="1212" w:type="dxa"/>
          </w:tcPr>
          <w:p w14:paraId="67C71FA3">
            <w:pPr>
              <w:rPr>
                <w:rFonts w:ascii="仿宋" w:hAnsi="仿宋" w:eastAsia="仿宋" w:cs="仿宋"/>
                <w:color w:val="auto"/>
                <w:kern w:val="0"/>
                <w:sz w:val="24"/>
                <w:szCs w:val="24"/>
                <w:highlight w:val="none"/>
              </w:rPr>
            </w:pPr>
          </w:p>
        </w:tc>
        <w:tc>
          <w:tcPr>
            <w:tcW w:w="1232" w:type="dxa"/>
          </w:tcPr>
          <w:p w14:paraId="5D15AD92">
            <w:pPr>
              <w:rPr>
                <w:rFonts w:ascii="仿宋" w:hAnsi="仿宋" w:eastAsia="仿宋" w:cs="仿宋"/>
                <w:color w:val="auto"/>
                <w:kern w:val="0"/>
                <w:sz w:val="24"/>
                <w:szCs w:val="24"/>
                <w:highlight w:val="none"/>
              </w:rPr>
            </w:pPr>
          </w:p>
        </w:tc>
        <w:tc>
          <w:tcPr>
            <w:tcW w:w="1232" w:type="dxa"/>
          </w:tcPr>
          <w:p w14:paraId="23B08F76">
            <w:pPr>
              <w:rPr>
                <w:rFonts w:ascii="仿宋" w:hAnsi="仿宋" w:eastAsia="仿宋" w:cs="仿宋"/>
                <w:color w:val="auto"/>
                <w:kern w:val="0"/>
                <w:sz w:val="24"/>
                <w:szCs w:val="24"/>
                <w:highlight w:val="none"/>
              </w:rPr>
            </w:pPr>
          </w:p>
        </w:tc>
        <w:tc>
          <w:tcPr>
            <w:tcW w:w="795" w:type="dxa"/>
          </w:tcPr>
          <w:p w14:paraId="477C580A">
            <w:pPr>
              <w:rPr>
                <w:rFonts w:ascii="仿宋" w:hAnsi="仿宋" w:eastAsia="仿宋" w:cs="仿宋"/>
                <w:color w:val="auto"/>
                <w:kern w:val="0"/>
                <w:sz w:val="24"/>
                <w:szCs w:val="24"/>
                <w:highlight w:val="none"/>
              </w:rPr>
            </w:pPr>
          </w:p>
        </w:tc>
      </w:tr>
    </w:tbl>
    <w:p w14:paraId="28046B09">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C8AED9E">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339" w:name="_Toc507586175"/>
      <w:bookmarkStart w:id="340" w:name="_Toc18139"/>
      <w:bookmarkStart w:id="341" w:name="_Toc38446480"/>
      <w:bookmarkStart w:id="342" w:name="_Toc5084"/>
      <w:bookmarkStart w:id="343" w:name="_Toc27045"/>
      <w:bookmarkStart w:id="344" w:name="_Toc533503191"/>
      <w:bookmarkStart w:id="345" w:name="_Toc19296"/>
      <w:bookmarkStart w:id="346" w:name="_Toc20936"/>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color w:val="auto"/>
          <w:sz w:val="24"/>
          <w:szCs w:val="24"/>
          <w:highlight w:val="none"/>
          <w:shd w:val="clear" w:color="auto" w:fill="FFFFFF" w:themeFill="background1"/>
          <w:lang w:val="en-US" w:eastAsia="zh-CN"/>
        </w:rPr>
        <w:t>一</w:t>
      </w:r>
      <w:r>
        <w:rPr>
          <w:rFonts w:hint="eastAsia" w:ascii="仿宋" w:hAnsi="仿宋" w:eastAsia="仿宋" w:cs="仿宋"/>
          <w:b/>
          <w:color w:val="auto"/>
          <w:sz w:val="24"/>
          <w:szCs w:val="24"/>
          <w:highlight w:val="none"/>
          <w:shd w:val="clear" w:color="auto" w:fill="FFFFFF" w:themeFill="background1"/>
        </w:rPr>
        <w:t>、</w:t>
      </w:r>
      <w:bookmarkEnd w:id="339"/>
      <w:bookmarkEnd w:id="340"/>
      <w:bookmarkEnd w:id="341"/>
      <w:bookmarkEnd w:id="342"/>
      <w:bookmarkEnd w:id="343"/>
      <w:bookmarkEnd w:id="344"/>
      <w:r>
        <w:rPr>
          <w:rFonts w:hint="eastAsia" w:ascii="仿宋" w:hAnsi="仿宋" w:eastAsia="仿宋" w:cs="仿宋"/>
          <w:b/>
          <w:color w:val="auto"/>
          <w:sz w:val="24"/>
          <w:szCs w:val="24"/>
          <w:highlight w:val="none"/>
          <w:shd w:val="clear" w:color="auto" w:fill="FFFFFF" w:themeFill="background1"/>
        </w:rPr>
        <w:t>售后服务承诺书</w:t>
      </w:r>
      <w:bookmarkEnd w:id="345"/>
      <w:bookmarkEnd w:id="346"/>
    </w:p>
    <w:p w14:paraId="08CAACD4">
      <w:pPr>
        <w:spacing w:line="360" w:lineRule="auto"/>
        <w:jc w:val="left"/>
        <w:rPr>
          <w:rFonts w:ascii="仿宋" w:hAnsi="仿宋" w:eastAsia="仿宋" w:cs="仿宋"/>
          <w:color w:val="auto"/>
          <w:sz w:val="24"/>
          <w:szCs w:val="24"/>
          <w:highlight w:val="none"/>
          <w:shd w:val="clear" w:color="auto" w:fill="FFFFFF" w:themeFill="background1"/>
        </w:rPr>
      </w:pPr>
    </w:p>
    <w:p w14:paraId="6255001A">
      <w:pPr>
        <w:spacing w:line="360" w:lineRule="auto"/>
        <w:jc w:val="center"/>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格式和内容</w:t>
      </w:r>
      <w:r>
        <w:rPr>
          <w:rFonts w:hint="eastAsia" w:ascii="仿宋" w:hAnsi="仿宋" w:eastAsia="仿宋" w:cs="仿宋"/>
          <w:color w:val="auto"/>
          <w:sz w:val="24"/>
          <w:szCs w:val="24"/>
          <w:highlight w:val="none"/>
        </w:rPr>
        <w:t>自行拟定</w:t>
      </w:r>
    </w:p>
    <w:p w14:paraId="71F1E366">
      <w:pPr>
        <w:spacing w:line="360" w:lineRule="auto"/>
        <w:ind w:firstLine="480" w:firstLineChars="200"/>
        <w:rPr>
          <w:rFonts w:ascii="仿宋" w:hAnsi="仿宋" w:eastAsia="仿宋" w:cs="仿宋"/>
          <w:color w:val="auto"/>
          <w:sz w:val="24"/>
          <w:szCs w:val="24"/>
          <w:highlight w:val="none"/>
        </w:rPr>
      </w:pPr>
    </w:p>
    <w:p w14:paraId="67ADA6DB">
      <w:pPr>
        <w:spacing w:line="360" w:lineRule="auto"/>
        <w:ind w:firstLine="480" w:firstLineChars="200"/>
        <w:rPr>
          <w:rFonts w:ascii="仿宋" w:hAnsi="仿宋" w:eastAsia="仿宋" w:cs="仿宋"/>
          <w:color w:val="auto"/>
          <w:sz w:val="24"/>
          <w:szCs w:val="24"/>
          <w:highlight w:val="none"/>
        </w:rPr>
      </w:pPr>
    </w:p>
    <w:p w14:paraId="0BE7017E">
      <w:pPr>
        <w:spacing w:line="360" w:lineRule="auto"/>
        <w:ind w:firstLine="480" w:firstLineChars="200"/>
        <w:rPr>
          <w:rFonts w:ascii="仿宋" w:hAnsi="仿宋" w:eastAsia="仿宋" w:cs="仿宋"/>
          <w:color w:val="auto"/>
          <w:sz w:val="24"/>
          <w:szCs w:val="24"/>
          <w:highlight w:val="none"/>
        </w:rPr>
      </w:pPr>
    </w:p>
    <w:p w14:paraId="383101C3">
      <w:pPr>
        <w:widowControl/>
        <w:shd w:val="clear" w:color="auto" w:fill="FFFFFF"/>
        <w:snapToGrid w:val="0"/>
        <w:spacing w:line="384"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B1D5827">
      <w:pPr>
        <w:widowControl/>
        <w:shd w:val="clear" w:color="auto" w:fill="FFFFFF"/>
        <w:snapToGrid w:val="0"/>
        <w:spacing w:line="384" w:lineRule="auto"/>
        <w:jc w:val="left"/>
        <w:rPr>
          <w:rFonts w:ascii="仿宋" w:hAnsi="仿宋" w:eastAsia="仿宋" w:cs="仿宋"/>
          <w:color w:val="auto"/>
          <w:kern w:val="0"/>
          <w:sz w:val="24"/>
          <w:szCs w:val="24"/>
          <w:highlight w:val="none"/>
        </w:rPr>
      </w:pPr>
    </w:p>
    <w:p w14:paraId="3FCBA07E">
      <w:pPr>
        <w:widowControl/>
        <w:shd w:val="clear" w:color="auto" w:fill="FFFFFF"/>
        <w:wordWrap w:val="0"/>
        <w:snapToGrid w:val="0"/>
        <w:spacing w:line="384" w:lineRule="auto"/>
        <w:ind w:firstLine="420"/>
        <w:jc w:val="righ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1D8D0D4">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5CFFA54">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347" w:name="_Toc22814"/>
      <w:bookmarkStart w:id="348" w:name="_Toc9493"/>
      <w:bookmarkStart w:id="349" w:name="_Toc31355"/>
      <w:bookmarkStart w:id="350" w:name="_Toc21274"/>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color w:val="auto"/>
          <w:sz w:val="24"/>
          <w:szCs w:val="24"/>
          <w:highlight w:val="none"/>
          <w:shd w:val="clear" w:color="auto" w:fill="FFFFFF" w:themeFill="background1"/>
          <w:lang w:val="en-US" w:eastAsia="zh-CN"/>
        </w:rPr>
        <w:t>二</w:t>
      </w:r>
      <w:r>
        <w:rPr>
          <w:rFonts w:hint="eastAsia" w:ascii="仿宋" w:hAnsi="仿宋" w:eastAsia="仿宋" w:cs="仿宋"/>
          <w:b/>
          <w:color w:val="auto"/>
          <w:sz w:val="24"/>
          <w:szCs w:val="24"/>
          <w:highlight w:val="none"/>
          <w:shd w:val="clear" w:color="auto" w:fill="FFFFFF" w:themeFill="background1"/>
        </w:rPr>
        <w:t>、</w:t>
      </w:r>
      <w:bookmarkEnd w:id="347"/>
      <w:bookmarkEnd w:id="348"/>
      <w:r>
        <w:rPr>
          <w:rFonts w:hint="eastAsia" w:ascii="仿宋" w:hAnsi="仿宋" w:eastAsia="仿宋" w:cs="仿宋"/>
          <w:b/>
          <w:color w:val="auto"/>
          <w:sz w:val="24"/>
          <w:szCs w:val="24"/>
          <w:highlight w:val="none"/>
          <w:shd w:val="clear" w:color="auto" w:fill="FFFFFF" w:themeFill="background1"/>
        </w:rPr>
        <w:t>技术方案</w:t>
      </w:r>
      <w:bookmarkEnd w:id="349"/>
      <w:bookmarkEnd w:id="350"/>
    </w:p>
    <w:p w14:paraId="46C353E4">
      <w:pPr>
        <w:widowControl/>
        <w:jc w:val="left"/>
        <w:rPr>
          <w:rFonts w:ascii="仿宋" w:hAnsi="仿宋" w:eastAsia="仿宋" w:cs="仿宋"/>
          <w:color w:val="auto"/>
          <w:highlight w:val="none"/>
        </w:rPr>
      </w:pPr>
    </w:p>
    <w:p w14:paraId="4E762778">
      <w:pPr>
        <w:spacing w:line="360" w:lineRule="auto"/>
        <w:jc w:val="cente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格式和内容自行拟定</w:t>
      </w:r>
    </w:p>
    <w:p w14:paraId="25D51809">
      <w:pPr>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7B07EB41">
      <w:pPr>
        <w:tabs>
          <w:tab w:val="center" w:pos="4832"/>
          <w:tab w:val="left" w:pos="7140"/>
        </w:tabs>
        <w:jc w:val="center"/>
        <w:outlineLvl w:val="1"/>
        <w:rPr>
          <w:rFonts w:ascii="仿宋" w:hAnsi="仿宋" w:eastAsia="仿宋" w:cs="仿宋"/>
          <w:b/>
          <w:color w:val="auto"/>
          <w:sz w:val="24"/>
          <w:szCs w:val="24"/>
          <w:highlight w:val="none"/>
        </w:rPr>
      </w:pPr>
      <w:bookmarkStart w:id="351" w:name="_Toc12468"/>
      <w:bookmarkStart w:id="352" w:name="_Toc5810"/>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、保证金缴纳证明材料</w:t>
      </w:r>
      <w:bookmarkEnd w:id="351"/>
      <w:bookmarkEnd w:id="352"/>
    </w:p>
    <w:p w14:paraId="79D92295">
      <w:pPr>
        <w:spacing w:line="360" w:lineRule="auto"/>
        <w:ind w:firstLine="480" w:firstLineChars="200"/>
        <w:rPr>
          <w:rFonts w:ascii="仿宋" w:hAnsi="仿宋" w:eastAsia="仿宋" w:cs="仿宋"/>
          <w:color w:val="auto"/>
          <w:sz w:val="24"/>
          <w:szCs w:val="24"/>
          <w:highlight w:val="none"/>
        </w:rPr>
      </w:pPr>
    </w:p>
    <w:p w14:paraId="1A10A5A4">
      <w:pPr>
        <w:spacing w:line="360" w:lineRule="auto"/>
        <w:ind w:firstLine="480" w:firstLineChars="20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0BAF53A2">
      <w:pPr>
        <w:spacing w:line="360" w:lineRule="auto"/>
        <w:jc w:val="center"/>
        <w:rPr>
          <w:rFonts w:ascii="仿宋" w:hAnsi="仿宋" w:eastAsia="仿宋" w:cs="仿宋"/>
          <w:color w:val="auto"/>
          <w:sz w:val="24"/>
          <w:szCs w:val="24"/>
          <w:highlight w:val="none"/>
          <w:shd w:val="clear" w:color="auto" w:fill="FFFFFF" w:themeFill="background1"/>
        </w:rPr>
      </w:pPr>
    </w:p>
    <w:p w14:paraId="6028132A">
      <w:pPr>
        <w:pStyle w:val="37"/>
        <w:ind w:left="420" w:firstLine="480"/>
        <w:rPr>
          <w:rFonts w:ascii="仿宋" w:hAnsi="仿宋" w:eastAsia="仿宋" w:cs="仿宋"/>
          <w:color w:val="auto"/>
          <w:sz w:val="24"/>
          <w:szCs w:val="24"/>
          <w:highlight w:val="none"/>
          <w:shd w:val="clear" w:color="auto" w:fill="FFFFFF" w:themeFill="background1"/>
        </w:rPr>
      </w:pPr>
    </w:p>
    <w:p w14:paraId="7C741DA0">
      <w:pPr>
        <w:rPr>
          <w:rFonts w:ascii="仿宋" w:hAnsi="仿宋" w:eastAsia="仿宋" w:cs="仿宋"/>
          <w:color w:val="auto"/>
          <w:sz w:val="24"/>
          <w:szCs w:val="24"/>
          <w:highlight w:val="none"/>
          <w:shd w:val="clear" w:color="auto" w:fill="FFFFFF" w:themeFill="background1"/>
        </w:rPr>
      </w:pPr>
    </w:p>
    <w:p w14:paraId="0DA18E7F">
      <w:pPr>
        <w:pStyle w:val="37"/>
        <w:ind w:left="420"/>
        <w:rPr>
          <w:rFonts w:ascii="仿宋" w:hAnsi="仿宋" w:eastAsia="仿宋" w:cs="仿宋"/>
          <w:color w:val="auto"/>
          <w:highlight w:val="none"/>
        </w:rPr>
      </w:pPr>
    </w:p>
    <w:bookmarkEnd w:id="200"/>
    <w:p w14:paraId="09E44BEC">
      <w:pPr>
        <w:rPr>
          <w:rFonts w:ascii="仿宋" w:hAnsi="仿宋" w:eastAsia="仿宋" w:cs="仿宋"/>
          <w:b/>
          <w:color w:val="auto"/>
          <w:sz w:val="24"/>
          <w:szCs w:val="24"/>
          <w:highlight w:val="none"/>
        </w:rPr>
      </w:pPr>
      <w:bookmarkStart w:id="353" w:name="_Toc16202"/>
      <w:bookmarkStart w:id="354" w:name="_Toc24108"/>
      <w:bookmarkStart w:id="355" w:name="_Toc130252630"/>
      <w:bookmarkStart w:id="356" w:name="_Toc32457"/>
      <w:bookmarkStart w:id="357" w:name="_Toc110707975"/>
      <w:bookmarkStart w:id="358" w:name="_Toc109941775"/>
      <w:bookmarkStart w:id="359" w:name="_Toc109921168"/>
      <w:r>
        <w:rPr>
          <w:rFonts w:hint="eastAsia" w:ascii="仿宋" w:hAnsi="仿宋" w:eastAsia="仿宋" w:cs="仿宋"/>
          <w:b/>
          <w:color w:val="auto"/>
          <w:sz w:val="24"/>
          <w:szCs w:val="24"/>
          <w:highlight w:val="none"/>
        </w:rPr>
        <w:br w:type="page"/>
      </w:r>
    </w:p>
    <w:p w14:paraId="16414F8A">
      <w:pPr>
        <w:tabs>
          <w:tab w:val="center" w:pos="4832"/>
          <w:tab w:val="left" w:pos="7140"/>
        </w:tabs>
        <w:jc w:val="center"/>
        <w:outlineLvl w:val="1"/>
        <w:rPr>
          <w:rFonts w:ascii="仿宋" w:hAnsi="仿宋" w:eastAsia="仿宋" w:cs="仿宋"/>
          <w:b/>
          <w:color w:val="auto"/>
          <w:sz w:val="24"/>
          <w:szCs w:val="24"/>
          <w:highlight w:val="none"/>
        </w:rPr>
      </w:pPr>
      <w:bookmarkStart w:id="360" w:name="_Toc30263"/>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、其它需要提交的资料</w:t>
      </w:r>
      <w:bookmarkEnd w:id="353"/>
      <w:bookmarkEnd w:id="354"/>
      <w:bookmarkEnd w:id="355"/>
      <w:bookmarkEnd w:id="356"/>
      <w:bookmarkEnd w:id="357"/>
      <w:bookmarkEnd w:id="358"/>
      <w:bookmarkEnd w:id="359"/>
      <w:bookmarkEnd w:id="360"/>
    </w:p>
    <w:p w14:paraId="62951A74">
      <w:pPr>
        <w:spacing w:line="360" w:lineRule="auto"/>
        <w:ind w:firstLine="480" w:firstLineChars="200"/>
        <w:rPr>
          <w:rFonts w:ascii="仿宋" w:hAnsi="仿宋" w:eastAsia="仿宋" w:cs="仿宋"/>
          <w:color w:val="auto"/>
          <w:sz w:val="24"/>
          <w:szCs w:val="24"/>
          <w:highlight w:val="none"/>
        </w:rPr>
      </w:pPr>
    </w:p>
    <w:p w14:paraId="0D24AC4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根据招标文件的要求和投标人认为需要提供的资料。</w:t>
      </w:r>
    </w:p>
    <w:p w14:paraId="52F12AD4">
      <w:pPr>
        <w:pStyle w:val="37"/>
        <w:ind w:left="420"/>
        <w:rPr>
          <w:rFonts w:ascii="仿宋" w:hAnsi="仿宋" w:eastAsia="仿宋" w:cs="仿宋"/>
          <w:color w:val="auto"/>
          <w:highlight w:val="none"/>
        </w:rPr>
      </w:pPr>
      <w:bookmarkStart w:id="361" w:name="_Toc130252631"/>
      <w:bookmarkStart w:id="362" w:name="_Toc30206"/>
      <w:bookmarkStart w:id="363" w:name="_Toc22688"/>
      <w:bookmarkStart w:id="364" w:name="_Toc60925660"/>
    </w:p>
    <w:p w14:paraId="0904F277">
      <w:pP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DD684D7">
      <w:pPr>
        <w:rPr>
          <w:rFonts w:ascii="仿宋" w:hAnsi="仿宋" w:eastAsia="仿宋" w:cs="仿宋"/>
          <w:b/>
          <w:color w:val="auto"/>
          <w:sz w:val="24"/>
          <w:szCs w:val="24"/>
          <w:highlight w:val="none"/>
        </w:rPr>
      </w:pPr>
    </w:p>
    <w:p w14:paraId="49B2FC21">
      <w:pPr>
        <w:spacing w:line="440" w:lineRule="exact"/>
        <w:jc w:val="center"/>
        <w:outlineLvl w:val="0"/>
        <w:rPr>
          <w:rFonts w:ascii="仿宋" w:hAnsi="仿宋" w:eastAsia="仿宋" w:cs="仿宋"/>
          <w:b/>
          <w:color w:val="auto"/>
          <w:sz w:val="24"/>
          <w:szCs w:val="24"/>
          <w:highlight w:val="none"/>
        </w:rPr>
      </w:pPr>
      <w:bookmarkStart w:id="365" w:name="_Toc4913"/>
      <w:bookmarkStart w:id="366" w:name="_Toc5616"/>
      <w:r>
        <w:rPr>
          <w:rFonts w:hint="eastAsia" w:ascii="仿宋" w:hAnsi="仿宋" w:eastAsia="仿宋" w:cs="仿宋"/>
          <w:b/>
          <w:color w:val="auto"/>
          <w:sz w:val="24"/>
          <w:szCs w:val="24"/>
          <w:highlight w:val="none"/>
        </w:rPr>
        <w:t>第六章 补充条款</w:t>
      </w:r>
      <w:bookmarkEnd w:id="361"/>
      <w:bookmarkEnd w:id="362"/>
      <w:bookmarkEnd w:id="363"/>
      <w:bookmarkEnd w:id="364"/>
      <w:bookmarkEnd w:id="365"/>
      <w:bookmarkEnd w:id="366"/>
    </w:p>
    <w:p w14:paraId="727F5786">
      <w:pPr>
        <w:rPr>
          <w:rFonts w:ascii="仿宋" w:hAnsi="仿宋" w:eastAsia="仿宋" w:cs="仿宋"/>
          <w:color w:val="auto"/>
          <w:highlight w:val="none"/>
        </w:rPr>
      </w:pPr>
    </w:p>
    <w:p w14:paraId="1A4DB235">
      <w:pPr>
        <w:rPr>
          <w:rFonts w:ascii="仿宋" w:hAnsi="仿宋" w:eastAsia="仿宋" w:cs="仿宋"/>
          <w:color w:val="auto"/>
          <w:highlight w:val="none"/>
        </w:rPr>
      </w:pPr>
    </w:p>
    <w:p w14:paraId="31BA5EEA">
      <w:pPr>
        <w:spacing w:line="360" w:lineRule="auto"/>
        <w:outlineLvl w:val="1"/>
        <w:rPr>
          <w:rFonts w:ascii="仿宋" w:hAnsi="仿宋" w:eastAsia="仿宋" w:cs="仿宋"/>
          <w:color w:val="auto"/>
          <w:spacing w:val="6"/>
          <w:sz w:val="24"/>
          <w:szCs w:val="24"/>
          <w:highlight w:val="none"/>
        </w:rPr>
      </w:pPr>
      <w:bookmarkStart w:id="367" w:name="_Toc1119"/>
      <w:bookmarkStart w:id="368" w:name="_Toc30027"/>
      <w:r>
        <w:rPr>
          <w:rFonts w:hint="eastAsia" w:ascii="仿宋" w:hAnsi="仿宋" w:eastAsia="仿宋" w:cs="仿宋"/>
          <w:color w:val="auto"/>
          <w:spacing w:val="6"/>
          <w:sz w:val="24"/>
          <w:szCs w:val="24"/>
          <w:highlight w:val="none"/>
        </w:rPr>
        <w:t>附件一、中小企业扶持政策</w:t>
      </w:r>
      <w:bookmarkEnd w:id="367"/>
      <w:bookmarkEnd w:id="368"/>
    </w:p>
    <w:p w14:paraId="55D811AC">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5D2AC514">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4CD7890D">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03B18A13">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D0A9FEB">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2BA5C9DF">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123E3F24">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7908F45C">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679354AC">
      <w:pPr>
        <w:spacing w:line="360" w:lineRule="auto"/>
        <w:ind w:firstLine="504" w:firstLineChars="200"/>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1A243004">
      <w:pPr>
        <w:spacing w:line="360" w:lineRule="auto"/>
        <w:ind w:firstLine="504" w:firstLineChars="200"/>
        <w:rPr>
          <w:rFonts w:ascii="仿宋" w:hAnsi="仿宋" w:eastAsia="仿宋" w:cs="仿宋"/>
          <w:color w:val="auto"/>
          <w:spacing w:val="6"/>
          <w:sz w:val="24"/>
          <w:szCs w:val="24"/>
          <w:highlight w:val="none"/>
        </w:rPr>
      </w:pPr>
    </w:p>
    <w:p w14:paraId="7952C1A5">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76DBDFFB">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6C2CA8ED">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085978F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B829915">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0C37B66A">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505DB6AE">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6361790">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432CDCC">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C0DE6D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C5CECB6">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3F20DF0">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80D6191">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464C60D">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0EBA6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512383D">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048427">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34EC015">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F2BBF64">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C5A5065">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CB1034">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4C3968BE">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5174104C">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6CA21431">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0ED7AD0">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518D3D53">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32768919">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087645CC">
      <w:pP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3C60620D">
      <w:pPr>
        <w:spacing w:line="360" w:lineRule="auto"/>
        <w:outlineLvl w:val="1"/>
        <w:rPr>
          <w:rFonts w:ascii="仿宋" w:hAnsi="仿宋" w:eastAsia="仿宋" w:cs="仿宋"/>
          <w:color w:val="auto"/>
          <w:spacing w:val="6"/>
          <w:sz w:val="24"/>
          <w:szCs w:val="24"/>
          <w:highlight w:val="none"/>
        </w:rPr>
      </w:pPr>
      <w:bookmarkStart w:id="369" w:name="_Toc15980"/>
      <w:bookmarkStart w:id="370" w:name="_Toc30451"/>
      <w:r>
        <w:rPr>
          <w:rFonts w:hint="eastAsia" w:ascii="仿宋" w:hAnsi="仿宋" w:eastAsia="仿宋" w:cs="仿宋"/>
          <w:color w:val="auto"/>
          <w:spacing w:val="6"/>
          <w:sz w:val="24"/>
          <w:szCs w:val="24"/>
          <w:highlight w:val="none"/>
        </w:rPr>
        <w:t>附件二、残疾人企业扶持政策</w:t>
      </w:r>
      <w:bookmarkEnd w:id="369"/>
      <w:bookmarkEnd w:id="370"/>
    </w:p>
    <w:p w14:paraId="589E5660">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4D648FEB">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25F20B8E">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51B2109D">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3734428F">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6AEA3486">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35EDEAF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035B1FE8">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59E3C086">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115DCC3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66F42C6">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561910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中标、成交供应商为残疾人福利性单位的，采购人或者其委托的采购代理机构应当随中标、成交结果同时公告其《残疾人福利性单位声明函》，接受社会监督。</w:t>
      </w:r>
    </w:p>
    <w:p w14:paraId="0B049C7F">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供应商提供的《残疾人福利性单位声明函》与事实不符的，依照《政府采购法》第七十七条第一款的规定追究法律责任。</w:t>
      </w:r>
    </w:p>
    <w:p w14:paraId="4AF47267">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ED5B116">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06F76067">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5B3A06DD">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5C263602">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40F2CFE1">
      <w:pPr>
        <w:pStyle w:val="8"/>
        <w:ind w:firstLine="480"/>
        <w:rPr>
          <w:rFonts w:ascii="仿宋" w:hAnsi="仿宋" w:eastAsia="仿宋" w:cs="仿宋"/>
          <w:color w:val="auto"/>
          <w:highlight w:val="none"/>
        </w:rPr>
      </w:pPr>
    </w:p>
    <w:p w14:paraId="3E1DCCD2">
      <w:pPr>
        <w:spacing w:line="360" w:lineRule="auto"/>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18476537">
      <w:pP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602A90E">
      <w:pPr>
        <w:spacing w:line="360" w:lineRule="auto"/>
        <w:outlineLvl w:val="1"/>
        <w:rPr>
          <w:rFonts w:ascii="仿宋" w:hAnsi="仿宋" w:eastAsia="仿宋" w:cs="仿宋"/>
          <w:color w:val="auto"/>
          <w:spacing w:val="6"/>
          <w:sz w:val="24"/>
          <w:szCs w:val="24"/>
          <w:highlight w:val="none"/>
        </w:rPr>
      </w:pPr>
      <w:bookmarkStart w:id="371" w:name="_Toc23851"/>
      <w:bookmarkStart w:id="372" w:name="_Toc12671"/>
      <w:r>
        <w:rPr>
          <w:rFonts w:hint="eastAsia" w:ascii="仿宋" w:hAnsi="仿宋" w:eastAsia="仿宋" w:cs="仿宋"/>
          <w:color w:val="auto"/>
          <w:spacing w:val="6"/>
          <w:sz w:val="24"/>
          <w:szCs w:val="24"/>
          <w:highlight w:val="none"/>
        </w:rPr>
        <w:t>附件三、监狱扶持政策</w:t>
      </w:r>
      <w:bookmarkEnd w:id="371"/>
      <w:bookmarkEnd w:id="372"/>
    </w:p>
    <w:p w14:paraId="2F1C28CC">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 司法部关于政府采购支持</w:t>
      </w:r>
    </w:p>
    <w:p w14:paraId="6655E21D">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监狱企业发展有关问题的通知</w:t>
      </w:r>
    </w:p>
    <w:p w14:paraId="07D061BC">
      <w:pPr>
        <w:spacing w:line="360" w:lineRule="auto"/>
        <w:jc w:val="cente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60420BB0">
      <w:pPr>
        <w:spacing w:line="360" w:lineRule="auto"/>
        <w:ind w:firstLine="504" w:firstLineChars="200"/>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60C74716">
      <w:pPr>
        <w:pStyle w:val="8"/>
        <w:ind w:firstLine="480"/>
        <w:rPr>
          <w:rFonts w:ascii="仿宋" w:hAnsi="仿宋" w:eastAsia="仿宋" w:cs="仿宋"/>
          <w:color w:val="auto"/>
          <w:highlight w:val="none"/>
        </w:rPr>
      </w:pPr>
    </w:p>
    <w:p w14:paraId="57FF0343">
      <w:pPr>
        <w:spacing w:line="360" w:lineRule="auto"/>
        <w:jc w:val="right"/>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6D2D0D3C">
      <w:pPr>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7461A636">
      <w:pPr>
        <w:spacing w:line="360" w:lineRule="auto"/>
        <w:outlineLvl w:val="1"/>
        <w:rPr>
          <w:rFonts w:ascii="仿宋" w:hAnsi="仿宋" w:eastAsia="仿宋" w:cs="仿宋"/>
          <w:color w:val="auto"/>
          <w:spacing w:val="6"/>
          <w:sz w:val="24"/>
          <w:szCs w:val="24"/>
          <w:highlight w:val="none"/>
        </w:rPr>
      </w:pPr>
      <w:bookmarkStart w:id="373" w:name="_Toc400"/>
      <w:r>
        <w:rPr>
          <w:rFonts w:hint="eastAsia" w:ascii="仿宋" w:hAnsi="仿宋" w:eastAsia="仿宋" w:cs="仿宋"/>
          <w:color w:val="auto"/>
          <w:spacing w:val="6"/>
          <w:sz w:val="24"/>
          <w:szCs w:val="24"/>
          <w:highlight w:val="none"/>
        </w:rPr>
        <w:t>附件四、实施本国产品标准及相关政策</w:t>
      </w:r>
      <w:bookmarkEnd w:id="373"/>
    </w:p>
    <w:p w14:paraId="613269B7">
      <w:pPr>
        <w:pStyle w:val="32"/>
        <w:shd w:val="clear" w:color="auto" w:fill="FFFFFF"/>
        <w:wordWrap w:val="0"/>
        <w:spacing w:before="20" w:beforeAutospacing="0" w:after="20" w:afterAutospacing="0" w:line="360" w:lineRule="auto"/>
        <w:textAlignment w:val="baseline"/>
        <w:rPr>
          <w:rFonts w:ascii="仿宋" w:hAnsi="仿宋" w:eastAsia="仿宋" w:cs="仿宋"/>
          <w:color w:val="auto"/>
          <w:highlight w:val="none"/>
        </w:rPr>
      </w:pPr>
      <w:r>
        <w:rPr>
          <w:rFonts w:hint="eastAsia" w:ascii="仿宋" w:hAnsi="仿宋" w:eastAsia="仿宋" w:cs="仿宋"/>
          <w:color w:val="auto"/>
          <w:highlight w:val="none"/>
          <w:shd w:val="clear" w:color="auto" w:fill="FFFFFF"/>
        </w:rPr>
        <w:t> </w:t>
      </w:r>
    </w:p>
    <w:p w14:paraId="660E744F">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国务院办公厅关于在政府采购中</w:t>
      </w:r>
    </w:p>
    <w:p w14:paraId="5390EAF1">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实施本国产品标准及相关政策的通知</w:t>
      </w:r>
    </w:p>
    <w:p w14:paraId="7991FD2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70A8FC88">
      <w:pPr>
        <w:pStyle w:val="32"/>
        <w:shd w:val="clear" w:color="auto" w:fill="FFFFFF"/>
        <w:spacing w:before="20" w:beforeAutospacing="0" w:after="20" w:afterAutospacing="0" w:line="360" w:lineRule="auto"/>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国办发〔2025〕34号  </w:t>
      </w:r>
    </w:p>
    <w:p w14:paraId="1DECDEED">
      <w:pPr>
        <w:pStyle w:val="32"/>
        <w:shd w:val="clear" w:color="auto" w:fill="FFFFFF"/>
        <w:spacing w:before="20" w:beforeAutospacing="0" w:after="20" w:afterAutospacing="0" w:line="360" w:lineRule="auto"/>
        <w:rPr>
          <w:rFonts w:ascii="仿宋" w:hAnsi="仿宋" w:eastAsia="仿宋" w:cs="仿宋"/>
          <w:color w:val="auto"/>
          <w:highlight w:val="none"/>
        </w:rPr>
      </w:pPr>
      <w:r>
        <w:rPr>
          <w:rFonts w:hint="eastAsia" w:ascii="仿宋" w:hAnsi="仿宋" w:eastAsia="仿宋" w:cs="仿宋"/>
          <w:color w:val="auto"/>
          <w:highlight w:val="none"/>
          <w:shd w:val="clear" w:color="auto" w:fill="FFFFFF"/>
        </w:rPr>
        <w:t>各省、自治区、直辖市人民政府，国务院各部委、各直属机构：</w:t>
      </w:r>
    </w:p>
    <w:p w14:paraId="2330E4C5">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25C515A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一、本国产品标准</w:t>
      </w:r>
    </w:p>
    <w:p w14:paraId="14DCC1C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本国产品应当符合以下条件：</w:t>
      </w:r>
    </w:p>
    <w:p w14:paraId="74037AE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（一）在中国境内生产</w:t>
      </w:r>
    </w:p>
    <w:p w14:paraId="44901C2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产品应当在中国境内生产，即在中华人民共和国关境内实现从原材料、组件到产品的属性改变。</w:t>
      </w:r>
    </w:p>
    <w:p w14:paraId="6794213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属性改变是指经过制造、加工或者组装等工序，产生完全不同于原材料、组件的新产品，并具有新的名称和特征（用途）。属性改变不包括以下细微操作：</w:t>
      </w:r>
    </w:p>
    <w:p w14:paraId="38CA0A4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1.为确保产品在运输或者储存期间保持某种状态而进行的操作；</w:t>
      </w:r>
    </w:p>
    <w:p w14:paraId="39F9F9F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2.为产品运输或者销售进行的包装或者展示；</w:t>
      </w:r>
    </w:p>
    <w:p w14:paraId="45F7A2A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3.在产品或者其包装上粘贴或者印刷品牌、标志、标识以及其他用于区别的标记；</w:t>
      </w:r>
    </w:p>
    <w:p w14:paraId="48285276">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4.简单的上漆、磨光和分装；</w:t>
      </w:r>
    </w:p>
    <w:p w14:paraId="4DF058A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5.其他不属于属性改变的情形。</w:t>
      </w:r>
    </w:p>
    <w:p w14:paraId="1884D136">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（二）在中国境内生产的组件成本占比达到规定比例</w:t>
      </w:r>
    </w:p>
    <w:p w14:paraId="3A5ACB5A">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产品在中国境内生产的组件成本占比应当达到规定比例，计算公式为：</w:t>
      </w:r>
    </w:p>
    <w:p w14:paraId="4838012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drawing>
          <wp:inline distT="0" distB="0" distL="114300" distR="114300">
            <wp:extent cx="2733675" cy="390525"/>
            <wp:effectExtent l="0" t="0" r="9525" b="317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1"/>
                    <a:stretch>
                      <a:fillRect/>
                    </a:stretch>
                  </pic:blipFill>
                  <pic:spPr>
                    <a:xfrm>
                      <a:off x="0" y="0"/>
                      <a:ext cx="2733675" cy="390525"/>
                    </a:xfrm>
                    <a:prstGeom prst="rect">
                      <a:avLst/>
                    </a:prstGeom>
                    <a:noFill/>
                    <a:ln w="9525">
                      <a:noFill/>
                    </a:ln>
                  </pic:spPr>
                </pic:pic>
              </a:graphicData>
            </a:graphic>
          </wp:inline>
        </w:drawing>
      </w:r>
    </w:p>
    <w:p w14:paraId="27911D9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052A182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（三）特定产品的关键组件、关键工序符合相关要求</w:t>
      </w:r>
    </w:p>
    <w:p w14:paraId="3AEE782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69832E2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88F6A4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二、本国产品标准的适用范围</w:t>
      </w:r>
    </w:p>
    <w:p w14:paraId="60ED489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077D9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三、对本国产品的支持政策</w:t>
      </w:r>
    </w:p>
    <w:p w14:paraId="5C68BE9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3963EF4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DE995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四、政策执行要求</w:t>
      </w:r>
    </w:p>
    <w:p w14:paraId="7BAE24DA">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（一）产品在中国境内生产的组件成本核算规则。产品在中国境内生产的组件成本，按照《中国境内生产的组件成本核算基本规则》（见附件1）计算。</w:t>
      </w:r>
    </w:p>
    <w:p w14:paraId="62C8B58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48E80ED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采购人、采购代理机构应当随中标、成交结果同时公告中标、成交供应商提供的《声明函》或有关证明文件。</w:t>
      </w:r>
    </w:p>
    <w:p w14:paraId="098F6844">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5D9FB7B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（四）中华人民共和国缔结或者共同参加的国际条约、协定对政府采购中本国产品政策另有规定的，按照有关条约、协定执行。</w:t>
      </w:r>
    </w:p>
    <w:p w14:paraId="5357DE7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五、争议处理</w:t>
      </w:r>
    </w:p>
    <w:p w14:paraId="6CFE662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76A1C7B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（一）政府采购投诉处理、监督检查中，对产品或组件是否在中国境内生产存在争议的，按照以下原则处理：</w:t>
      </w:r>
    </w:p>
    <w:p w14:paraId="3777F13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0F6E230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0F41842E">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5F788FA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2F2B192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3711589">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本通知自2026年1月1日起施行。</w:t>
      </w:r>
    </w:p>
    <w:p w14:paraId="4453E1D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附件：1.中国境内生产的组件成本核算基本规则</w:t>
      </w:r>
    </w:p>
    <w:p w14:paraId="610CC4DC">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　　　2.关于符合本国产品标准的声明函</w:t>
      </w:r>
    </w:p>
    <w:p w14:paraId="41E90323">
      <w:pPr>
        <w:pStyle w:val="32"/>
        <w:shd w:val="clear" w:color="auto" w:fill="FFFFFF"/>
        <w:spacing w:before="20" w:beforeAutospacing="0" w:after="20" w:afterAutospacing="0" w:line="360" w:lineRule="auto"/>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国务院办公厅         </w:t>
      </w:r>
    </w:p>
    <w:p w14:paraId="232A400A">
      <w:pPr>
        <w:pStyle w:val="32"/>
        <w:shd w:val="clear" w:color="auto" w:fill="FFFFFF"/>
        <w:spacing w:before="20" w:beforeAutospacing="0" w:after="20" w:afterAutospacing="0" w:line="360" w:lineRule="auto"/>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2025年9月28日    </w:t>
      </w:r>
    </w:p>
    <w:p w14:paraId="26E78FC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1C84B95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2AC605FC">
      <w:pPr>
        <w:rPr>
          <w:rStyle w:val="41"/>
          <w:rFonts w:ascii="仿宋" w:hAnsi="仿宋" w:eastAsia="仿宋" w:cs="仿宋"/>
          <w:color w:val="auto"/>
          <w:sz w:val="24"/>
          <w:szCs w:val="24"/>
          <w:highlight w:val="none"/>
          <w:shd w:val="clear" w:color="auto" w:fill="FFFFFF"/>
        </w:rPr>
      </w:pPr>
      <w:r>
        <w:rPr>
          <w:rStyle w:val="41"/>
          <w:rFonts w:hint="eastAsia" w:ascii="仿宋" w:hAnsi="仿宋" w:eastAsia="仿宋" w:cs="仿宋"/>
          <w:color w:val="auto"/>
          <w:sz w:val="24"/>
          <w:szCs w:val="24"/>
          <w:highlight w:val="none"/>
          <w:shd w:val="clear" w:color="auto" w:fill="FFFFFF"/>
        </w:rPr>
        <w:br w:type="page"/>
      </w:r>
    </w:p>
    <w:p w14:paraId="09E058CF">
      <w:pPr>
        <w:pStyle w:val="32"/>
        <w:shd w:val="clear" w:color="auto" w:fill="FFFFFF"/>
        <w:spacing w:before="20" w:beforeAutospacing="0" w:after="20" w:afterAutospacing="0" w:line="360" w:lineRule="auto"/>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附件1</w:t>
      </w:r>
    </w:p>
    <w:p w14:paraId="7EBBC2E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04302F19">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中国境内生产的组件成本核算基本规则</w:t>
      </w:r>
    </w:p>
    <w:p w14:paraId="478B8136">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4DE8D81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8B7FF7D">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一、产品的一级组件是指直接组成产品的组件。产品的二级组件是指直接组成产品一级组件的组件。一级组件不可分解的，视同二级组件。</w:t>
      </w:r>
    </w:p>
    <w:p w14:paraId="45D163A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二、二级组件在中国境内生产的，其全部成本计入中国境内生产的组件成本；二级组件不在中国境内生产的，其成本不计入中国境内生产的组件成本。</w:t>
      </w:r>
    </w:p>
    <w:p w14:paraId="0CE8163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三、产品总成本和组件成本以相关会计核算数据、采购合同、进货记录等为基础进行计算。</w:t>
      </w:r>
    </w:p>
    <w:p w14:paraId="3EA8358F">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四、需要对成本核算规则予以进一步明确的其他有关事项，由财政部会同有关部门另行规定。</w:t>
      </w:r>
    </w:p>
    <w:p w14:paraId="561B8E08">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7A24B60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6D6709D2">
      <w:pPr>
        <w:rPr>
          <w:rStyle w:val="41"/>
          <w:rFonts w:ascii="仿宋" w:hAnsi="仿宋" w:eastAsia="仿宋" w:cs="仿宋"/>
          <w:color w:val="auto"/>
          <w:sz w:val="24"/>
          <w:szCs w:val="24"/>
          <w:highlight w:val="none"/>
          <w:shd w:val="clear" w:color="auto" w:fill="FFFFFF"/>
        </w:rPr>
      </w:pPr>
      <w:r>
        <w:rPr>
          <w:rStyle w:val="41"/>
          <w:rFonts w:hint="eastAsia" w:ascii="仿宋" w:hAnsi="仿宋" w:eastAsia="仿宋" w:cs="仿宋"/>
          <w:color w:val="auto"/>
          <w:sz w:val="24"/>
          <w:szCs w:val="24"/>
          <w:highlight w:val="none"/>
          <w:shd w:val="clear" w:color="auto" w:fill="FFFFFF"/>
        </w:rPr>
        <w:br w:type="page"/>
      </w:r>
    </w:p>
    <w:p w14:paraId="24F0A5D1">
      <w:pPr>
        <w:pStyle w:val="32"/>
        <w:shd w:val="clear" w:color="auto" w:fill="FFFFFF"/>
        <w:spacing w:before="20" w:beforeAutospacing="0" w:after="20" w:afterAutospacing="0" w:line="360" w:lineRule="auto"/>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附件2</w:t>
      </w:r>
    </w:p>
    <w:p w14:paraId="3F16056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4AD98539">
      <w:pPr>
        <w:pStyle w:val="32"/>
        <w:shd w:val="clear" w:color="auto" w:fill="FFFFFF"/>
        <w:spacing w:before="20" w:beforeAutospacing="0" w:after="20" w:afterAutospacing="0" w:line="360" w:lineRule="auto"/>
        <w:jc w:val="center"/>
        <w:rPr>
          <w:rFonts w:ascii="仿宋" w:hAnsi="仿宋" w:eastAsia="仿宋" w:cs="仿宋"/>
          <w:color w:val="auto"/>
          <w:highlight w:val="none"/>
        </w:rPr>
      </w:pPr>
      <w:r>
        <w:rPr>
          <w:rStyle w:val="41"/>
          <w:rFonts w:hint="eastAsia" w:ascii="仿宋" w:hAnsi="仿宋" w:eastAsia="仿宋" w:cs="仿宋"/>
          <w:color w:val="auto"/>
          <w:highlight w:val="none"/>
          <w:shd w:val="clear" w:color="auto" w:fill="FFFFFF"/>
        </w:rPr>
        <w:t>关于符合本国产品标准的声明函</w:t>
      </w:r>
    </w:p>
    <w:p w14:paraId="15D8C8E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389F2C2A">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D6E2B96">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4"/>
          <w:rFonts w:hint="eastAsia" w:ascii="仿宋" w:hAnsi="仿宋" w:eastAsia="仿宋" w:cs="仿宋"/>
          <w:i w:val="0"/>
          <w:color w:val="auto"/>
          <w:highlight w:val="none"/>
          <w:shd w:val="clear" w:color="auto" w:fill="FFFFFF"/>
        </w:rPr>
        <w:t>（产品名称1）</w:t>
      </w:r>
      <w:r>
        <w:rPr>
          <w:rStyle w:val="44"/>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Style w:val="44"/>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Style w:val="44"/>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Style w:val="44"/>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Style w:val="44"/>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168AFBA7">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6CE4E73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2486457A">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4E242AC4">
      <w:pPr>
        <w:pStyle w:val="32"/>
        <w:shd w:val="clear" w:color="auto" w:fill="FFFFFF"/>
        <w:spacing w:before="20" w:beforeAutospacing="0" w:after="20" w:afterAutospacing="0" w:line="360" w:lineRule="auto"/>
        <w:ind w:firstLine="420"/>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5C898C0D">
      <w:pPr>
        <w:pStyle w:val="32"/>
        <w:shd w:val="clear" w:color="auto" w:fill="FFFFFF"/>
        <w:spacing w:before="20" w:beforeAutospacing="0" w:after="20" w:afterAutospacing="0" w:line="360" w:lineRule="auto"/>
        <w:ind w:firstLine="420"/>
        <w:jc w:val="right"/>
        <w:rPr>
          <w:rFonts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23CEA950">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4A422CB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p>
    <w:p w14:paraId="67B958D7">
      <w:pPr>
        <w:pStyle w:val="32"/>
        <w:shd w:val="clear" w:color="auto" w:fill="FFFFFF"/>
        <w:spacing w:before="20" w:beforeAutospacing="0" w:after="20" w:afterAutospacing="0" w:line="360" w:lineRule="auto"/>
        <w:rPr>
          <w:rFonts w:ascii="仿宋" w:hAnsi="仿宋" w:eastAsia="仿宋" w:cs="仿宋"/>
          <w:color w:val="auto"/>
          <w:highlight w:val="none"/>
        </w:rPr>
      </w:pPr>
      <w:r>
        <w:rPr>
          <w:rFonts w:hint="eastAsia" w:ascii="仿宋" w:hAnsi="仿宋" w:eastAsia="仿宋" w:cs="仿宋"/>
          <w:color w:val="auto"/>
          <w:highlight w:val="none"/>
          <w:shd w:val="clear" w:color="auto" w:fill="FFFFFF"/>
        </w:rPr>
        <w:t>_____________________________</w:t>
      </w:r>
    </w:p>
    <w:p w14:paraId="4C922871">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1E2645F4">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3D565F62">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3595FFDB">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56853273">
      <w:pPr>
        <w:pStyle w:val="32"/>
        <w:shd w:val="clear" w:color="auto" w:fill="FFFFFF"/>
        <w:spacing w:before="20" w:beforeAutospacing="0" w:after="20" w:afterAutospacing="0" w:line="360" w:lineRule="auto"/>
        <w:ind w:firstLine="420"/>
        <w:rPr>
          <w:rFonts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p w14:paraId="4EED40F7">
      <w:pPr>
        <w:spacing w:line="360" w:lineRule="auto"/>
        <w:rPr>
          <w:rFonts w:ascii="仿宋" w:hAnsi="仿宋" w:eastAsia="仿宋" w:cs="仿宋"/>
          <w:color w:val="auto"/>
          <w:sz w:val="24"/>
          <w:szCs w:val="24"/>
          <w:highlight w:val="none"/>
        </w:rPr>
      </w:pPr>
    </w:p>
    <w:sectPr>
      <w:pgSz w:w="11906" w:h="16838"/>
      <w:pgMar w:top="1134" w:right="1417" w:bottom="1134" w:left="141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1" w:fontKey="{704B53E7-C072-4D96-B166-0E9E57DA052E}"/>
  </w:font>
  <w:font w:name="Trebuchet MS">
    <w:panose1 w:val="020B0603020202020204"/>
    <w:charset w:val="00"/>
    <w:family w:val="swiss"/>
    <w:pitch w:val="default"/>
    <w:sig w:usb0="00000687" w:usb1="00000000" w:usb2="00000000" w:usb3="00000000" w:csb0="200000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S Gothic">
    <w:panose1 w:val="020B0609070205080204"/>
    <w:charset w:val="80"/>
    <w:family w:val="modern"/>
    <w:pitch w:val="default"/>
    <w:sig w:usb0="E00002FF" w:usb1="6AC7FDFB" w:usb2="08000012" w:usb3="00000000" w:csb0="4002009F" w:csb1="DFD70000"/>
    <w:embedRegular r:id="rId2" w:fontKey="{EB06C1AC-C757-49E9-B342-B477804550F0}"/>
  </w:font>
  <w:font w:name="Cambria Math">
    <w:panose1 w:val="02040503050406030204"/>
    <w:charset w:val="00"/>
    <w:family w:val="roman"/>
    <w:pitch w:val="default"/>
    <w:sig w:usb0="E00006FF" w:usb1="420024FF" w:usb2="02000000" w:usb3="00000000" w:csb0="2000019F" w:csb1="00000000"/>
    <w:embedRegular r:id="rId3" w:fontKey="{B1EA0BBA-BE84-4E43-A04B-7F8352A93CF6}"/>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E9252">
    <w:pPr>
      <w:pStyle w:val="21"/>
      <w:ind w:right="90"/>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35568E">
                          <w:pPr>
                            <w:pStyle w:val="2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435568E">
                    <w:pPr>
                      <w:pStyle w:val="21"/>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AFC6A">
    <w:pPr>
      <w:pStyle w:val="21"/>
      <w:ind w:right="9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29EF0">
    <w:pPr>
      <w:pStyle w:val="21"/>
      <w:ind w:right="90"/>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0F0482">
                          <w:pPr>
                            <w:pStyle w:val="21"/>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30F0482">
                    <w:pPr>
                      <w:pStyle w:val="21"/>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47337">
    <w:pPr>
      <w:pStyle w:val="21"/>
      <w:ind w:right="360"/>
      <w:jc w:val="center"/>
      <w:rPr>
        <w:rFonts w:asciiTheme="minorEastAsia" w:hAnsiTheme="minorEastAsia" w:eastAsiaTheme="minorEastAsia"/>
        <w:sz w:val="24"/>
        <w:szCs w:val="24"/>
      </w:rPr>
    </w:pPr>
    <w:r>
      <w:rPr>
        <w:sz w:val="24"/>
        <w:szCs w:val="15"/>
      </w:rPr>
      <mc:AlternateContent>
        <mc:Choice Requires="wps">
          <w:drawing>
            <wp:anchor distT="0" distB="0" distL="114300" distR="114300" simplePos="0" relativeHeight="251659264" behindDoc="0" locked="0" layoutInCell="1" allowOverlap="1">
              <wp:simplePos x="0" y="0"/>
              <wp:positionH relativeFrom="margin">
                <wp:posOffset>2720975</wp:posOffset>
              </wp:positionH>
              <wp:positionV relativeFrom="paragraph">
                <wp:posOffset>-1905</wp:posOffset>
              </wp:positionV>
              <wp:extent cx="807720" cy="1828800"/>
              <wp:effectExtent l="0" t="0" r="12065" b="6350"/>
              <wp:wrapNone/>
              <wp:docPr id="3" name="文本框 3"/>
              <wp:cNvGraphicFramePr/>
              <a:graphic xmlns:a="http://schemas.openxmlformats.org/drawingml/2006/main">
                <a:graphicData uri="http://schemas.microsoft.com/office/word/2010/wordprocessingShape">
                  <wps:wsp>
                    <wps:cNvSpPr txBox="1"/>
                    <wps:spPr>
                      <a:xfrm>
                        <a:off x="0" y="0"/>
                        <a:ext cx="807522"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hint="eastAsia" w:ascii="仿宋" w:hAnsi="仿宋" w:eastAsia="仿宋" w:cs="仿宋"/>
                              <w:sz w:val="24"/>
                              <w:szCs w:val="24"/>
                            </w:rPr>
                            <w:id w:val="-1"/>
                          </w:sdtPr>
                          <w:sdtEndPr>
                            <w:rPr>
                              <w:rFonts w:hint="eastAsia" w:cs="仿宋" w:asciiTheme="minorEastAsia" w:hAnsiTheme="minorEastAsia" w:eastAsiaTheme="minorEastAsia"/>
                              <w:sz w:val="30"/>
                              <w:szCs w:val="30"/>
                            </w:rPr>
                          </w:sdtEndPr>
                          <w:sdtContent>
                            <w:p w14:paraId="79027BAD">
                              <w:pPr>
                                <w:pStyle w:val="21"/>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6F4F8D36">
                          <w:pPr>
                            <w:rPr>
                              <w:rFonts w:asciiTheme="minorEastAsia" w:hAnsiTheme="minorEastAsia"/>
                              <w:sz w:val="30"/>
                              <w:szCs w:val="30"/>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4.25pt;margin-top:-0.15pt;height:144pt;width:63.6pt;mso-position-horizontal-relative:margin;z-index:251659264;mso-width-relative:page;mso-height-relative:page;" filled="f" stroked="f" coordsize="21600,21600" o:gfxdata="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Wh0D42QAAAAkBAAAPAAAAAAAAAAEAIAAAACIAAABkcnMvZG93bnJldi54&#10;bWxQSwECFAAUAAAACACHTuJAN7u+9TICAABWBAAADgAAAAAAAAABACAAAAAoAQAAZHJzL2Uyb0Rv&#10;Yy54bWxQSwUGAAAAAAYABgBZAQAAzAUAAAAA&#10;">
              <v:fill on="f" focussize="0,0"/>
              <v:stroke on="f" weight="0.5pt"/>
              <v:imagedata o:title=""/>
              <o:lock v:ext="edit" aspectratio="f"/>
              <v:textbox inset="0mm,0mm,0mm,0mm" style="mso-fit-shape-to-text:t;">
                <w:txbxContent>
                  <w:sdt>
                    <w:sdtPr>
                      <w:rPr>
                        <w:rFonts w:hint="eastAsia" w:ascii="仿宋" w:hAnsi="仿宋" w:eastAsia="仿宋" w:cs="仿宋"/>
                        <w:sz w:val="24"/>
                        <w:szCs w:val="24"/>
                      </w:rPr>
                      <w:id w:val="-1"/>
                    </w:sdtPr>
                    <w:sdtEndPr>
                      <w:rPr>
                        <w:rFonts w:hint="eastAsia" w:cs="仿宋" w:asciiTheme="minorEastAsia" w:hAnsiTheme="minorEastAsia" w:eastAsiaTheme="minorEastAsia"/>
                        <w:sz w:val="30"/>
                        <w:szCs w:val="30"/>
                      </w:rPr>
                    </w:sdtEndPr>
                    <w:sdtContent>
                      <w:p w14:paraId="79027BAD">
                        <w:pPr>
                          <w:pStyle w:val="21"/>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6F4F8D36">
                    <w:pPr>
                      <w:rPr>
                        <w:rFonts w:asciiTheme="minorEastAsia" w:hAnsiTheme="minorEastAsia"/>
                        <w:sz w:val="30"/>
                        <w:szCs w:val="3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15020">
    <w:pPr>
      <w:pStyle w:val="22"/>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6A447">
    <w:pPr>
      <w:pStyle w:val="2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7E124"/>
    <w:multiLevelType w:val="singleLevel"/>
    <w:tmpl w:val="A5C7E124"/>
    <w:lvl w:ilvl="0" w:tentative="0">
      <w:start w:val="1"/>
      <w:numFmt w:val="decimal"/>
      <w:suff w:val="nothing"/>
      <w:lvlText w:val="%1、"/>
      <w:lvlJc w:val="left"/>
    </w:lvl>
  </w:abstractNum>
  <w:abstractNum w:abstractNumId="1">
    <w:nsid w:val="644E5166"/>
    <w:multiLevelType w:val="multilevel"/>
    <w:tmpl w:val="644E516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5YzQ0MWM2NDg3NzAxNTI3MDYxNmNiYmNjZWVhNTgifQ=="/>
    <w:docVar w:name="KSO_WPS_MARK_KEY" w:val="fdbdf24b-0dbf-482d-9e5c-40b2cee7c8c0"/>
  </w:docVars>
  <w:rsids>
    <w:rsidRoot w:val="00172A27"/>
    <w:rsid w:val="000002B4"/>
    <w:rsid w:val="00000A06"/>
    <w:rsid w:val="00001340"/>
    <w:rsid w:val="00002143"/>
    <w:rsid w:val="00004DAA"/>
    <w:rsid w:val="00005C75"/>
    <w:rsid w:val="00006BD9"/>
    <w:rsid w:val="00006C31"/>
    <w:rsid w:val="00007BA8"/>
    <w:rsid w:val="000104D6"/>
    <w:rsid w:val="00010CE2"/>
    <w:rsid w:val="00012108"/>
    <w:rsid w:val="00012E01"/>
    <w:rsid w:val="00014F7D"/>
    <w:rsid w:val="000162FE"/>
    <w:rsid w:val="00020411"/>
    <w:rsid w:val="000224FC"/>
    <w:rsid w:val="0002386B"/>
    <w:rsid w:val="0002405E"/>
    <w:rsid w:val="00024351"/>
    <w:rsid w:val="000244CA"/>
    <w:rsid w:val="00024E41"/>
    <w:rsid w:val="000250A8"/>
    <w:rsid w:val="0002524A"/>
    <w:rsid w:val="0002545E"/>
    <w:rsid w:val="0002580D"/>
    <w:rsid w:val="00027B5D"/>
    <w:rsid w:val="00030171"/>
    <w:rsid w:val="00033566"/>
    <w:rsid w:val="00033852"/>
    <w:rsid w:val="000343A0"/>
    <w:rsid w:val="000347EB"/>
    <w:rsid w:val="00036B12"/>
    <w:rsid w:val="000400E8"/>
    <w:rsid w:val="00044B32"/>
    <w:rsid w:val="00046152"/>
    <w:rsid w:val="00046EB4"/>
    <w:rsid w:val="0005003E"/>
    <w:rsid w:val="00051397"/>
    <w:rsid w:val="00053D27"/>
    <w:rsid w:val="00054F47"/>
    <w:rsid w:val="0005551C"/>
    <w:rsid w:val="00055AB5"/>
    <w:rsid w:val="000604DE"/>
    <w:rsid w:val="0006199F"/>
    <w:rsid w:val="000641A9"/>
    <w:rsid w:val="000653CD"/>
    <w:rsid w:val="000661C0"/>
    <w:rsid w:val="00070AF5"/>
    <w:rsid w:val="00070BFE"/>
    <w:rsid w:val="0007362D"/>
    <w:rsid w:val="00073846"/>
    <w:rsid w:val="00073D96"/>
    <w:rsid w:val="00074054"/>
    <w:rsid w:val="00074C13"/>
    <w:rsid w:val="00074EF0"/>
    <w:rsid w:val="0007583D"/>
    <w:rsid w:val="000762D4"/>
    <w:rsid w:val="00077DB3"/>
    <w:rsid w:val="0008025F"/>
    <w:rsid w:val="00080E16"/>
    <w:rsid w:val="000829F2"/>
    <w:rsid w:val="00082FC4"/>
    <w:rsid w:val="0008522F"/>
    <w:rsid w:val="00085ED3"/>
    <w:rsid w:val="000904A3"/>
    <w:rsid w:val="00090F37"/>
    <w:rsid w:val="000916AB"/>
    <w:rsid w:val="000923E8"/>
    <w:rsid w:val="0009335E"/>
    <w:rsid w:val="000946D4"/>
    <w:rsid w:val="00094989"/>
    <w:rsid w:val="000A0272"/>
    <w:rsid w:val="000A02F9"/>
    <w:rsid w:val="000A1C57"/>
    <w:rsid w:val="000A1ECD"/>
    <w:rsid w:val="000A32B9"/>
    <w:rsid w:val="000A3552"/>
    <w:rsid w:val="000A43C4"/>
    <w:rsid w:val="000A452A"/>
    <w:rsid w:val="000B210F"/>
    <w:rsid w:val="000B318F"/>
    <w:rsid w:val="000B331B"/>
    <w:rsid w:val="000B4C6A"/>
    <w:rsid w:val="000B7C76"/>
    <w:rsid w:val="000C00A9"/>
    <w:rsid w:val="000C364C"/>
    <w:rsid w:val="000C3FDE"/>
    <w:rsid w:val="000D171A"/>
    <w:rsid w:val="000D58CC"/>
    <w:rsid w:val="000D5DA0"/>
    <w:rsid w:val="000D66DA"/>
    <w:rsid w:val="000D7CE7"/>
    <w:rsid w:val="000E2D54"/>
    <w:rsid w:val="000E34FC"/>
    <w:rsid w:val="000E40A6"/>
    <w:rsid w:val="000E4E26"/>
    <w:rsid w:val="000E5B9C"/>
    <w:rsid w:val="000E674D"/>
    <w:rsid w:val="000E7461"/>
    <w:rsid w:val="000F186E"/>
    <w:rsid w:val="000F2374"/>
    <w:rsid w:val="000F56EE"/>
    <w:rsid w:val="00100D44"/>
    <w:rsid w:val="00101AA4"/>
    <w:rsid w:val="00101E49"/>
    <w:rsid w:val="00102AB6"/>
    <w:rsid w:val="00104F86"/>
    <w:rsid w:val="001063D0"/>
    <w:rsid w:val="0010650C"/>
    <w:rsid w:val="00106BA4"/>
    <w:rsid w:val="00107C0E"/>
    <w:rsid w:val="00110E2F"/>
    <w:rsid w:val="00111383"/>
    <w:rsid w:val="001145B2"/>
    <w:rsid w:val="00114C9B"/>
    <w:rsid w:val="00115901"/>
    <w:rsid w:val="00115A4B"/>
    <w:rsid w:val="0011725D"/>
    <w:rsid w:val="00121DF5"/>
    <w:rsid w:val="001248E7"/>
    <w:rsid w:val="00126044"/>
    <w:rsid w:val="00127B38"/>
    <w:rsid w:val="00127C9A"/>
    <w:rsid w:val="00130E76"/>
    <w:rsid w:val="0013312B"/>
    <w:rsid w:val="00134210"/>
    <w:rsid w:val="00134F82"/>
    <w:rsid w:val="001357C8"/>
    <w:rsid w:val="00137A6B"/>
    <w:rsid w:val="001401E2"/>
    <w:rsid w:val="00142BB8"/>
    <w:rsid w:val="00143169"/>
    <w:rsid w:val="001437CB"/>
    <w:rsid w:val="001447E5"/>
    <w:rsid w:val="0014554F"/>
    <w:rsid w:val="00146E26"/>
    <w:rsid w:val="001543A3"/>
    <w:rsid w:val="00155737"/>
    <w:rsid w:val="001575BE"/>
    <w:rsid w:val="00157673"/>
    <w:rsid w:val="00157767"/>
    <w:rsid w:val="0015794E"/>
    <w:rsid w:val="00160159"/>
    <w:rsid w:val="00160311"/>
    <w:rsid w:val="001613F4"/>
    <w:rsid w:val="00161961"/>
    <w:rsid w:val="0016268E"/>
    <w:rsid w:val="00162A2F"/>
    <w:rsid w:val="00162DD4"/>
    <w:rsid w:val="001652C6"/>
    <w:rsid w:val="0016644B"/>
    <w:rsid w:val="00167916"/>
    <w:rsid w:val="00170A17"/>
    <w:rsid w:val="00171110"/>
    <w:rsid w:val="00172A27"/>
    <w:rsid w:val="00172AA0"/>
    <w:rsid w:val="001733AF"/>
    <w:rsid w:val="001763E6"/>
    <w:rsid w:val="00176FAD"/>
    <w:rsid w:val="0017733A"/>
    <w:rsid w:val="00181200"/>
    <w:rsid w:val="00187C8C"/>
    <w:rsid w:val="001901CA"/>
    <w:rsid w:val="00192878"/>
    <w:rsid w:val="00192C8A"/>
    <w:rsid w:val="00193017"/>
    <w:rsid w:val="001930FC"/>
    <w:rsid w:val="00193402"/>
    <w:rsid w:val="00194DD8"/>
    <w:rsid w:val="00197628"/>
    <w:rsid w:val="001A1456"/>
    <w:rsid w:val="001A1D16"/>
    <w:rsid w:val="001A2117"/>
    <w:rsid w:val="001A45DD"/>
    <w:rsid w:val="001A4E5A"/>
    <w:rsid w:val="001A4E90"/>
    <w:rsid w:val="001A71AF"/>
    <w:rsid w:val="001B1372"/>
    <w:rsid w:val="001B1748"/>
    <w:rsid w:val="001B5A4C"/>
    <w:rsid w:val="001B7377"/>
    <w:rsid w:val="001C15DD"/>
    <w:rsid w:val="001C2ECA"/>
    <w:rsid w:val="001C4134"/>
    <w:rsid w:val="001D029C"/>
    <w:rsid w:val="001D4B73"/>
    <w:rsid w:val="001D50A5"/>
    <w:rsid w:val="001D756B"/>
    <w:rsid w:val="001D78EB"/>
    <w:rsid w:val="001E288B"/>
    <w:rsid w:val="001E33A7"/>
    <w:rsid w:val="001E36B5"/>
    <w:rsid w:val="001E3D69"/>
    <w:rsid w:val="001E4755"/>
    <w:rsid w:val="001E5D68"/>
    <w:rsid w:val="001E625B"/>
    <w:rsid w:val="001E6E8F"/>
    <w:rsid w:val="001E794E"/>
    <w:rsid w:val="001F292C"/>
    <w:rsid w:val="001F3A08"/>
    <w:rsid w:val="001F4A81"/>
    <w:rsid w:val="001F610A"/>
    <w:rsid w:val="001F79E8"/>
    <w:rsid w:val="002003B2"/>
    <w:rsid w:val="00200BA8"/>
    <w:rsid w:val="00200E30"/>
    <w:rsid w:val="0020240F"/>
    <w:rsid w:val="002055DD"/>
    <w:rsid w:val="00205968"/>
    <w:rsid w:val="00205DF6"/>
    <w:rsid w:val="00205F22"/>
    <w:rsid w:val="00210631"/>
    <w:rsid w:val="0021147C"/>
    <w:rsid w:val="00213EEB"/>
    <w:rsid w:val="00214257"/>
    <w:rsid w:val="00214392"/>
    <w:rsid w:val="00215BA5"/>
    <w:rsid w:val="00215F58"/>
    <w:rsid w:val="00217E00"/>
    <w:rsid w:val="0022016C"/>
    <w:rsid w:val="0022177D"/>
    <w:rsid w:val="002224AE"/>
    <w:rsid w:val="00223931"/>
    <w:rsid w:val="002246D6"/>
    <w:rsid w:val="00226DEC"/>
    <w:rsid w:val="0022747A"/>
    <w:rsid w:val="0023151C"/>
    <w:rsid w:val="00232BB0"/>
    <w:rsid w:val="0023323E"/>
    <w:rsid w:val="002360DC"/>
    <w:rsid w:val="002366E4"/>
    <w:rsid w:val="00236A48"/>
    <w:rsid w:val="00236D43"/>
    <w:rsid w:val="00240D63"/>
    <w:rsid w:val="00243861"/>
    <w:rsid w:val="00243F35"/>
    <w:rsid w:val="002472C0"/>
    <w:rsid w:val="002508FA"/>
    <w:rsid w:val="00253DC3"/>
    <w:rsid w:val="002541CE"/>
    <w:rsid w:val="00255C6B"/>
    <w:rsid w:val="002564CC"/>
    <w:rsid w:val="00256681"/>
    <w:rsid w:val="0025723D"/>
    <w:rsid w:val="00257637"/>
    <w:rsid w:val="00257F22"/>
    <w:rsid w:val="002604A7"/>
    <w:rsid w:val="00260910"/>
    <w:rsid w:val="00261D04"/>
    <w:rsid w:val="002625A1"/>
    <w:rsid w:val="00262A6E"/>
    <w:rsid w:val="00263141"/>
    <w:rsid w:val="00263B2F"/>
    <w:rsid w:val="002650A9"/>
    <w:rsid w:val="00266F04"/>
    <w:rsid w:val="002715F8"/>
    <w:rsid w:val="00277D72"/>
    <w:rsid w:val="00280F38"/>
    <w:rsid w:val="00283558"/>
    <w:rsid w:val="00283C54"/>
    <w:rsid w:val="00285885"/>
    <w:rsid w:val="00285ABC"/>
    <w:rsid w:val="002967DA"/>
    <w:rsid w:val="002A2C3B"/>
    <w:rsid w:val="002A346F"/>
    <w:rsid w:val="002A6197"/>
    <w:rsid w:val="002A7CE2"/>
    <w:rsid w:val="002A7D8C"/>
    <w:rsid w:val="002B0041"/>
    <w:rsid w:val="002B01D0"/>
    <w:rsid w:val="002B38BE"/>
    <w:rsid w:val="002B3DBF"/>
    <w:rsid w:val="002B53C3"/>
    <w:rsid w:val="002B77E1"/>
    <w:rsid w:val="002C02A1"/>
    <w:rsid w:val="002C25E1"/>
    <w:rsid w:val="002C2DD2"/>
    <w:rsid w:val="002C7FCF"/>
    <w:rsid w:val="002D280B"/>
    <w:rsid w:val="002D3439"/>
    <w:rsid w:val="002D635D"/>
    <w:rsid w:val="002D6627"/>
    <w:rsid w:val="002D6CF2"/>
    <w:rsid w:val="002E1B79"/>
    <w:rsid w:val="002E2136"/>
    <w:rsid w:val="002E25BC"/>
    <w:rsid w:val="002E29B4"/>
    <w:rsid w:val="002E42B9"/>
    <w:rsid w:val="002E5AAD"/>
    <w:rsid w:val="002F065A"/>
    <w:rsid w:val="002F10F5"/>
    <w:rsid w:val="002F13B5"/>
    <w:rsid w:val="002F2283"/>
    <w:rsid w:val="002F3DEA"/>
    <w:rsid w:val="002F640F"/>
    <w:rsid w:val="002F73FF"/>
    <w:rsid w:val="002F7FD1"/>
    <w:rsid w:val="00300C92"/>
    <w:rsid w:val="003017E3"/>
    <w:rsid w:val="00301FBF"/>
    <w:rsid w:val="00304A1A"/>
    <w:rsid w:val="00304D2D"/>
    <w:rsid w:val="00305EE3"/>
    <w:rsid w:val="0030747A"/>
    <w:rsid w:val="003117CE"/>
    <w:rsid w:val="003121AD"/>
    <w:rsid w:val="00313F13"/>
    <w:rsid w:val="00315623"/>
    <w:rsid w:val="00315D4B"/>
    <w:rsid w:val="00315D59"/>
    <w:rsid w:val="003160D4"/>
    <w:rsid w:val="00316DBA"/>
    <w:rsid w:val="00317D34"/>
    <w:rsid w:val="003200F9"/>
    <w:rsid w:val="00320CC4"/>
    <w:rsid w:val="00321036"/>
    <w:rsid w:val="00323AFC"/>
    <w:rsid w:val="0032592F"/>
    <w:rsid w:val="00326152"/>
    <w:rsid w:val="00331C14"/>
    <w:rsid w:val="0033231B"/>
    <w:rsid w:val="00332D2E"/>
    <w:rsid w:val="00333E01"/>
    <w:rsid w:val="003357D8"/>
    <w:rsid w:val="00336EED"/>
    <w:rsid w:val="003414CA"/>
    <w:rsid w:val="003424AE"/>
    <w:rsid w:val="00344BCD"/>
    <w:rsid w:val="003468AE"/>
    <w:rsid w:val="00347E66"/>
    <w:rsid w:val="0035118C"/>
    <w:rsid w:val="003522FB"/>
    <w:rsid w:val="003537E4"/>
    <w:rsid w:val="0035581F"/>
    <w:rsid w:val="00357E91"/>
    <w:rsid w:val="00360D30"/>
    <w:rsid w:val="00361C9D"/>
    <w:rsid w:val="00363991"/>
    <w:rsid w:val="00364473"/>
    <w:rsid w:val="003646E5"/>
    <w:rsid w:val="00365204"/>
    <w:rsid w:val="00365DA0"/>
    <w:rsid w:val="00366F29"/>
    <w:rsid w:val="00367BA8"/>
    <w:rsid w:val="00370F25"/>
    <w:rsid w:val="003726FF"/>
    <w:rsid w:val="00373602"/>
    <w:rsid w:val="00373826"/>
    <w:rsid w:val="003738CE"/>
    <w:rsid w:val="00373AD1"/>
    <w:rsid w:val="0037573F"/>
    <w:rsid w:val="00375CD0"/>
    <w:rsid w:val="00375F0D"/>
    <w:rsid w:val="00376BAA"/>
    <w:rsid w:val="00376E83"/>
    <w:rsid w:val="00384E2D"/>
    <w:rsid w:val="00386407"/>
    <w:rsid w:val="00390A3C"/>
    <w:rsid w:val="00392652"/>
    <w:rsid w:val="003956E1"/>
    <w:rsid w:val="00396763"/>
    <w:rsid w:val="003974F8"/>
    <w:rsid w:val="003A28C5"/>
    <w:rsid w:val="003A5B50"/>
    <w:rsid w:val="003A6107"/>
    <w:rsid w:val="003A7427"/>
    <w:rsid w:val="003B0D63"/>
    <w:rsid w:val="003B35E1"/>
    <w:rsid w:val="003B70AD"/>
    <w:rsid w:val="003B7226"/>
    <w:rsid w:val="003C0B9E"/>
    <w:rsid w:val="003C179F"/>
    <w:rsid w:val="003C21E8"/>
    <w:rsid w:val="003C266B"/>
    <w:rsid w:val="003C558B"/>
    <w:rsid w:val="003C7665"/>
    <w:rsid w:val="003D01BB"/>
    <w:rsid w:val="003D05EA"/>
    <w:rsid w:val="003D2C56"/>
    <w:rsid w:val="003D3CCB"/>
    <w:rsid w:val="003D4211"/>
    <w:rsid w:val="003E11F4"/>
    <w:rsid w:val="003E2DD4"/>
    <w:rsid w:val="003E459C"/>
    <w:rsid w:val="003E4A7A"/>
    <w:rsid w:val="003E63FF"/>
    <w:rsid w:val="003E6696"/>
    <w:rsid w:val="003F08DC"/>
    <w:rsid w:val="003F2DB7"/>
    <w:rsid w:val="003F3849"/>
    <w:rsid w:val="003F4611"/>
    <w:rsid w:val="003F59D7"/>
    <w:rsid w:val="0040310D"/>
    <w:rsid w:val="00403571"/>
    <w:rsid w:val="00404253"/>
    <w:rsid w:val="00407128"/>
    <w:rsid w:val="004079CE"/>
    <w:rsid w:val="004143A5"/>
    <w:rsid w:val="0041514B"/>
    <w:rsid w:val="004220B6"/>
    <w:rsid w:val="004238E7"/>
    <w:rsid w:val="00423980"/>
    <w:rsid w:val="0042662D"/>
    <w:rsid w:val="004270EF"/>
    <w:rsid w:val="00427533"/>
    <w:rsid w:val="00432C0C"/>
    <w:rsid w:val="00433EED"/>
    <w:rsid w:val="004404D7"/>
    <w:rsid w:val="0044198C"/>
    <w:rsid w:val="00442697"/>
    <w:rsid w:val="0044280B"/>
    <w:rsid w:val="00443888"/>
    <w:rsid w:val="00444834"/>
    <w:rsid w:val="004449F3"/>
    <w:rsid w:val="00444EE1"/>
    <w:rsid w:val="00445872"/>
    <w:rsid w:val="0044799D"/>
    <w:rsid w:val="0045091A"/>
    <w:rsid w:val="00451F71"/>
    <w:rsid w:val="00452BB8"/>
    <w:rsid w:val="00453E4C"/>
    <w:rsid w:val="00454FA1"/>
    <w:rsid w:val="00455196"/>
    <w:rsid w:val="00455345"/>
    <w:rsid w:val="00455D58"/>
    <w:rsid w:val="0045602F"/>
    <w:rsid w:val="0045745E"/>
    <w:rsid w:val="00457A37"/>
    <w:rsid w:val="00462096"/>
    <w:rsid w:val="004639BC"/>
    <w:rsid w:val="004640C1"/>
    <w:rsid w:val="004642C9"/>
    <w:rsid w:val="00464725"/>
    <w:rsid w:val="00464BAE"/>
    <w:rsid w:val="004660B0"/>
    <w:rsid w:val="004704FB"/>
    <w:rsid w:val="004825A8"/>
    <w:rsid w:val="0048468B"/>
    <w:rsid w:val="00484DCB"/>
    <w:rsid w:val="0048512D"/>
    <w:rsid w:val="00491321"/>
    <w:rsid w:val="00491EB4"/>
    <w:rsid w:val="004A010F"/>
    <w:rsid w:val="004A01F6"/>
    <w:rsid w:val="004A1F5D"/>
    <w:rsid w:val="004A3D6D"/>
    <w:rsid w:val="004A4981"/>
    <w:rsid w:val="004A5190"/>
    <w:rsid w:val="004A5376"/>
    <w:rsid w:val="004A6517"/>
    <w:rsid w:val="004A67FA"/>
    <w:rsid w:val="004A68AF"/>
    <w:rsid w:val="004A7173"/>
    <w:rsid w:val="004A7D7E"/>
    <w:rsid w:val="004B029E"/>
    <w:rsid w:val="004B0537"/>
    <w:rsid w:val="004B28CA"/>
    <w:rsid w:val="004B5DC2"/>
    <w:rsid w:val="004B7DE5"/>
    <w:rsid w:val="004C1AE6"/>
    <w:rsid w:val="004C2D8B"/>
    <w:rsid w:val="004C450A"/>
    <w:rsid w:val="004C6BAD"/>
    <w:rsid w:val="004C7102"/>
    <w:rsid w:val="004C7FD7"/>
    <w:rsid w:val="004D00C8"/>
    <w:rsid w:val="004D0A4A"/>
    <w:rsid w:val="004D0E18"/>
    <w:rsid w:val="004D11B3"/>
    <w:rsid w:val="004D3C30"/>
    <w:rsid w:val="004D5AE9"/>
    <w:rsid w:val="004D5C23"/>
    <w:rsid w:val="004D5F63"/>
    <w:rsid w:val="004D75D5"/>
    <w:rsid w:val="004E0230"/>
    <w:rsid w:val="004E2088"/>
    <w:rsid w:val="004E419C"/>
    <w:rsid w:val="004E56D8"/>
    <w:rsid w:val="004E5B18"/>
    <w:rsid w:val="004E606C"/>
    <w:rsid w:val="004E6954"/>
    <w:rsid w:val="004E76F6"/>
    <w:rsid w:val="004E7786"/>
    <w:rsid w:val="004F0D23"/>
    <w:rsid w:val="004F53C5"/>
    <w:rsid w:val="004F6147"/>
    <w:rsid w:val="004F7EA4"/>
    <w:rsid w:val="00501303"/>
    <w:rsid w:val="0050507E"/>
    <w:rsid w:val="00507DCF"/>
    <w:rsid w:val="00511664"/>
    <w:rsid w:val="00512E1D"/>
    <w:rsid w:val="00516A4F"/>
    <w:rsid w:val="005170D9"/>
    <w:rsid w:val="00520FE8"/>
    <w:rsid w:val="0052394D"/>
    <w:rsid w:val="00524F86"/>
    <w:rsid w:val="00526F0E"/>
    <w:rsid w:val="005271EF"/>
    <w:rsid w:val="00527A46"/>
    <w:rsid w:val="005307A5"/>
    <w:rsid w:val="0053132A"/>
    <w:rsid w:val="00536952"/>
    <w:rsid w:val="005369FB"/>
    <w:rsid w:val="00537638"/>
    <w:rsid w:val="0054181E"/>
    <w:rsid w:val="00541AC4"/>
    <w:rsid w:val="00541FB5"/>
    <w:rsid w:val="00544251"/>
    <w:rsid w:val="0055435D"/>
    <w:rsid w:val="0055441E"/>
    <w:rsid w:val="005574D7"/>
    <w:rsid w:val="005604B9"/>
    <w:rsid w:val="00560740"/>
    <w:rsid w:val="005627EE"/>
    <w:rsid w:val="00562B2E"/>
    <w:rsid w:val="00566F28"/>
    <w:rsid w:val="00570015"/>
    <w:rsid w:val="00573EAA"/>
    <w:rsid w:val="005744E9"/>
    <w:rsid w:val="00574CA1"/>
    <w:rsid w:val="00575F95"/>
    <w:rsid w:val="00576ADE"/>
    <w:rsid w:val="00577ECB"/>
    <w:rsid w:val="00577FFA"/>
    <w:rsid w:val="0058012A"/>
    <w:rsid w:val="00582F95"/>
    <w:rsid w:val="00584AE4"/>
    <w:rsid w:val="0058540C"/>
    <w:rsid w:val="00586658"/>
    <w:rsid w:val="00586C97"/>
    <w:rsid w:val="00587816"/>
    <w:rsid w:val="005879D1"/>
    <w:rsid w:val="0059145C"/>
    <w:rsid w:val="0059472D"/>
    <w:rsid w:val="00594BE3"/>
    <w:rsid w:val="00595F0C"/>
    <w:rsid w:val="00596BA7"/>
    <w:rsid w:val="005A215C"/>
    <w:rsid w:val="005A2773"/>
    <w:rsid w:val="005A6326"/>
    <w:rsid w:val="005A69CA"/>
    <w:rsid w:val="005A770A"/>
    <w:rsid w:val="005B4EDD"/>
    <w:rsid w:val="005C1F6F"/>
    <w:rsid w:val="005C53A8"/>
    <w:rsid w:val="005D2A28"/>
    <w:rsid w:val="005D3846"/>
    <w:rsid w:val="005D5069"/>
    <w:rsid w:val="005D5695"/>
    <w:rsid w:val="005D651D"/>
    <w:rsid w:val="005D6F56"/>
    <w:rsid w:val="005E22B8"/>
    <w:rsid w:val="005E28BD"/>
    <w:rsid w:val="005E3C18"/>
    <w:rsid w:val="005E617A"/>
    <w:rsid w:val="005F3159"/>
    <w:rsid w:val="005F3701"/>
    <w:rsid w:val="005F437E"/>
    <w:rsid w:val="005F4DCF"/>
    <w:rsid w:val="005F580C"/>
    <w:rsid w:val="005F6E37"/>
    <w:rsid w:val="005F73DF"/>
    <w:rsid w:val="005F7CCF"/>
    <w:rsid w:val="00600727"/>
    <w:rsid w:val="0060072E"/>
    <w:rsid w:val="0060086F"/>
    <w:rsid w:val="00600C9C"/>
    <w:rsid w:val="00601507"/>
    <w:rsid w:val="006053D2"/>
    <w:rsid w:val="00606716"/>
    <w:rsid w:val="00607BD4"/>
    <w:rsid w:val="0061147C"/>
    <w:rsid w:val="00613CC0"/>
    <w:rsid w:val="00613E30"/>
    <w:rsid w:val="00614490"/>
    <w:rsid w:val="0061632F"/>
    <w:rsid w:val="00616341"/>
    <w:rsid w:val="00617E79"/>
    <w:rsid w:val="00617EC4"/>
    <w:rsid w:val="00622699"/>
    <w:rsid w:val="00624E16"/>
    <w:rsid w:val="00624FB6"/>
    <w:rsid w:val="00625381"/>
    <w:rsid w:val="00627F1A"/>
    <w:rsid w:val="00630AAC"/>
    <w:rsid w:val="006314C2"/>
    <w:rsid w:val="0063187D"/>
    <w:rsid w:val="00631C5A"/>
    <w:rsid w:val="0063569B"/>
    <w:rsid w:val="006357F6"/>
    <w:rsid w:val="00635CE4"/>
    <w:rsid w:val="0063610A"/>
    <w:rsid w:val="006367D4"/>
    <w:rsid w:val="00644093"/>
    <w:rsid w:val="00644CAA"/>
    <w:rsid w:val="00646460"/>
    <w:rsid w:val="0064722F"/>
    <w:rsid w:val="00647D58"/>
    <w:rsid w:val="0065082F"/>
    <w:rsid w:val="00650F27"/>
    <w:rsid w:val="00651977"/>
    <w:rsid w:val="006523BD"/>
    <w:rsid w:val="00652A1B"/>
    <w:rsid w:val="00652A7E"/>
    <w:rsid w:val="00652A9D"/>
    <w:rsid w:val="00653B67"/>
    <w:rsid w:val="006546EA"/>
    <w:rsid w:val="00654D73"/>
    <w:rsid w:val="00655FCC"/>
    <w:rsid w:val="006568E0"/>
    <w:rsid w:val="00656C08"/>
    <w:rsid w:val="00657AD0"/>
    <w:rsid w:val="00660336"/>
    <w:rsid w:val="006607B7"/>
    <w:rsid w:val="00660AEA"/>
    <w:rsid w:val="0066102E"/>
    <w:rsid w:val="006619C0"/>
    <w:rsid w:val="00661E10"/>
    <w:rsid w:val="00664BD0"/>
    <w:rsid w:val="0066520F"/>
    <w:rsid w:val="006654E8"/>
    <w:rsid w:val="00666077"/>
    <w:rsid w:val="0066681E"/>
    <w:rsid w:val="00666A31"/>
    <w:rsid w:val="00670008"/>
    <w:rsid w:val="00670790"/>
    <w:rsid w:val="0067272A"/>
    <w:rsid w:val="006728AB"/>
    <w:rsid w:val="00672F73"/>
    <w:rsid w:val="00673798"/>
    <w:rsid w:val="00674559"/>
    <w:rsid w:val="00674A1B"/>
    <w:rsid w:val="00674AFD"/>
    <w:rsid w:val="006804BB"/>
    <w:rsid w:val="00687F9E"/>
    <w:rsid w:val="00691232"/>
    <w:rsid w:val="0069270C"/>
    <w:rsid w:val="006932B7"/>
    <w:rsid w:val="00693C26"/>
    <w:rsid w:val="00693DA7"/>
    <w:rsid w:val="00694538"/>
    <w:rsid w:val="006956A0"/>
    <w:rsid w:val="0069732C"/>
    <w:rsid w:val="0069791E"/>
    <w:rsid w:val="006A4AC4"/>
    <w:rsid w:val="006A72C3"/>
    <w:rsid w:val="006B014A"/>
    <w:rsid w:val="006B14EC"/>
    <w:rsid w:val="006B191B"/>
    <w:rsid w:val="006B2DDD"/>
    <w:rsid w:val="006B6380"/>
    <w:rsid w:val="006B6739"/>
    <w:rsid w:val="006B72B0"/>
    <w:rsid w:val="006B72D9"/>
    <w:rsid w:val="006B7760"/>
    <w:rsid w:val="006B79F5"/>
    <w:rsid w:val="006C06C9"/>
    <w:rsid w:val="006C08F0"/>
    <w:rsid w:val="006C214D"/>
    <w:rsid w:val="006C2490"/>
    <w:rsid w:val="006C270F"/>
    <w:rsid w:val="006C3250"/>
    <w:rsid w:val="006C32EE"/>
    <w:rsid w:val="006C3FDF"/>
    <w:rsid w:val="006C551A"/>
    <w:rsid w:val="006C5A93"/>
    <w:rsid w:val="006D01E9"/>
    <w:rsid w:val="006D0395"/>
    <w:rsid w:val="006D21CC"/>
    <w:rsid w:val="006D3A4C"/>
    <w:rsid w:val="006D3A5D"/>
    <w:rsid w:val="006D5419"/>
    <w:rsid w:val="006D541A"/>
    <w:rsid w:val="006D54D4"/>
    <w:rsid w:val="006D72DF"/>
    <w:rsid w:val="006D747B"/>
    <w:rsid w:val="006E1823"/>
    <w:rsid w:val="006E249F"/>
    <w:rsid w:val="006E344D"/>
    <w:rsid w:val="006E4F24"/>
    <w:rsid w:val="006E51CF"/>
    <w:rsid w:val="006F07AB"/>
    <w:rsid w:val="006F2A4E"/>
    <w:rsid w:val="006F3AF3"/>
    <w:rsid w:val="006F5509"/>
    <w:rsid w:val="006F6DB0"/>
    <w:rsid w:val="006F7BBE"/>
    <w:rsid w:val="00700939"/>
    <w:rsid w:val="00703743"/>
    <w:rsid w:val="00704AEC"/>
    <w:rsid w:val="00704C14"/>
    <w:rsid w:val="00705A54"/>
    <w:rsid w:val="00707DD7"/>
    <w:rsid w:val="007104B7"/>
    <w:rsid w:val="00711806"/>
    <w:rsid w:val="00711DFE"/>
    <w:rsid w:val="007127BA"/>
    <w:rsid w:val="00712834"/>
    <w:rsid w:val="007128C2"/>
    <w:rsid w:val="007137F1"/>
    <w:rsid w:val="007138D7"/>
    <w:rsid w:val="007156D2"/>
    <w:rsid w:val="00716542"/>
    <w:rsid w:val="007171D2"/>
    <w:rsid w:val="0072037A"/>
    <w:rsid w:val="007231E3"/>
    <w:rsid w:val="00731CAD"/>
    <w:rsid w:val="007333C2"/>
    <w:rsid w:val="00737F44"/>
    <w:rsid w:val="00742828"/>
    <w:rsid w:val="00747623"/>
    <w:rsid w:val="00747EF7"/>
    <w:rsid w:val="007509C9"/>
    <w:rsid w:val="00750F56"/>
    <w:rsid w:val="0075151D"/>
    <w:rsid w:val="0075182A"/>
    <w:rsid w:val="00751E8B"/>
    <w:rsid w:val="00752280"/>
    <w:rsid w:val="00752409"/>
    <w:rsid w:val="007555F9"/>
    <w:rsid w:val="00756E59"/>
    <w:rsid w:val="0075781F"/>
    <w:rsid w:val="00757D50"/>
    <w:rsid w:val="0076194F"/>
    <w:rsid w:val="00763F5B"/>
    <w:rsid w:val="00767044"/>
    <w:rsid w:val="00767A9C"/>
    <w:rsid w:val="007706A6"/>
    <w:rsid w:val="00774C16"/>
    <w:rsid w:val="00774ECD"/>
    <w:rsid w:val="00775831"/>
    <w:rsid w:val="007758AC"/>
    <w:rsid w:val="00775DEA"/>
    <w:rsid w:val="00775E04"/>
    <w:rsid w:val="00777B6C"/>
    <w:rsid w:val="0078024F"/>
    <w:rsid w:val="0078033B"/>
    <w:rsid w:val="00781F52"/>
    <w:rsid w:val="00782548"/>
    <w:rsid w:val="00782584"/>
    <w:rsid w:val="00784173"/>
    <w:rsid w:val="00786AAF"/>
    <w:rsid w:val="00787D19"/>
    <w:rsid w:val="007952C7"/>
    <w:rsid w:val="00796034"/>
    <w:rsid w:val="007A0C42"/>
    <w:rsid w:val="007A0E43"/>
    <w:rsid w:val="007A1947"/>
    <w:rsid w:val="007A1A09"/>
    <w:rsid w:val="007A237A"/>
    <w:rsid w:val="007A3B2A"/>
    <w:rsid w:val="007A402F"/>
    <w:rsid w:val="007A5319"/>
    <w:rsid w:val="007A7C18"/>
    <w:rsid w:val="007A7EF1"/>
    <w:rsid w:val="007B2A84"/>
    <w:rsid w:val="007B32E9"/>
    <w:rsid w:val="007C4912"/>
    <w:rsid w:val="007C5873"/>
    <w:rsid w:val="007C66D2"/>
    <w:rsid w:val="007C6BBF"/>
    <w:rsid w:val="007C7A1A"/>
    <w:rsid w:val="007D1C55"/>
    <w:rsid w:val="007D1FBD"/>
    <w:rsid w:val="007D3CF4"/>
    <w:rsid w:val="007D3DC6"/>
    <w:rsid w:val="007D4455"/>
    <w:rsid w:val="007D62D7"/>
    <w:rsid w:val="007D68A5"/>
    <w:rsid w:val="007D792B"/>
    <w:rsid w:val="007E54D4"/>
    <w:rsid w:val="007E7421"/>
    <w:rsid w:val="007F314D"/>
    <w:rsid w:val="007F6C55"/>
    <w:rsid w:val="008012FC"/>
    <w:rsid w:val="00801FFA"/>
    <w:rsid w:val="00802886"/>
    <w:rsid w:val="008036B7"/>
    <w:rsid w:val="0080494D"/>
    <w:rsid w:val="00804D5D"/>
    <w:rsid w:val="0080672E"/>
    <w:rsid w:val="008067AA"/>
    <w:rsid w:val="008068DA"/>
    <w:rsid w:val="008068EC"/>
    <w:rsid w:val="00807795"/>
    <w:rsid w:val="00810459"/>
    <w:rsid w:val="008117BB"/>
    <w:rsid w:val="00813D04"/>
    <w:rsid w:val="0081414C"/>
    <w:rsid w:val="00815617"/>
    <w:rsid w:val="00816A53"/>
    <w:rsid w:val="00820914"/>
    <w:rsid w:val="00822EBD"/>
    <w:rsid w:val="008247D9"/>
    <w:rsid w:val="00825A15"/>
    <w:rsid w:val="00825F46"/>
    <w:rsid w:val="00825FAA"/>
    <w:rsid w:val="00826C3A"/>
    <w:rsid w:val="00830296"/>
    <w:rsid w:val="008316B3"/>
    <w:rsid w:val="0083223D"/>
    <w:rsid w:val="00832833"/>
    <w:rsid w:val="008330C9"/>
    <w:rsid w:val="00835D98"/>
    <w:rsid w:val="00835F52"/>
    <w:rsid w:val="008375BA"/>
    <w:rsid w:val="00840117"/>
    <w:rsid w:val="008407E2"/>
    <w:rsid w:val="00843C8F"/>
    <w:rsid w:val="00844290"/>
    <w:rsid w:val="008443B1"/>
    <w:rsid w:val="00844507"/>
    <w:rsid w:val="0084490D"/>
    <w:rsid w:val="00844A00"/>
    <w:rsid w:val="00846C84"/>
    <w:rsid w:val="00846F1B"/>
    <w:rsid w:val="008526D9"/>
    <w:rsid w:val="00852BC9"/>
    <w:rsid w:val="00854E30"/>
    <w:rsid w:val="00857654"/>
    <w:rsid w:val="00857B62"/>
    <w:rsid w:val="008618C1"/>
    <w:rsid w:val="00862EBB"/>
    <w:rsid w:val="008631DD"/>
    <w:rsid w:val="00864330"/>
    <w:rsid w:val="00865EDB"/>
    <w:rsid w:val="00866173"/>
    <w:rsid w:val="008703DB"/>
    <w:rsid w:val="00872CE4"/>
    <w:rsid w:val="00872F9B"/>
    <w:rsid w:val="0087459C"/>
    <w:rsid w:val="00877E4D"/>
    <w:rsid w:val="00880D74"/>
    <w:rsid w:val="00880ED3"/>
    <w:rsid w:val="00881BAB"/>
    <w:rsid w:val="00881D84"/>
    <w:rsid w:val="008833A4"/>
    <w:rsid w:val="00883470"/>
    <w:rsid w:val="00884BA6"/>
    <w:rsid w:val="0088566B"/>
    <w:rsid w:val="008858F6"/>
    <w:rsid w:val="00886850"/>
    <w:rsid w:val="00890712"/>
    <w:rsid w:val="00890B69"/>
    <w:rsid w:val="008919D5"/>
    <w:rsid w:val="00892BDA"/>
    <w:rsid w:val="00892DE8"/>
    <w:rsid w:val="008A072E"/>
    <w:rsid w:val="008A2656"/>
    <w:rsid w:val="008A3A9E"/>
    <w:rsid w:val="008A4942"/>
    <w:rsid w:val="008A4B8E"/>
    <w:rsid w:val="008A53DE"/>
    <w:rsid w:val="008A561B"/>
    <w:rsid w:val="008A6628"/>
    <w:rsid w:val="008B01C2"/>
    <w:rsid w:val="008B029B"/>
    <w:rsid w:val="008B0A8F"/>
    <w:rsid w:val="008B1D39"/>
    <w:rsid w:val="008B5573"/>
    <w:rsid w:val="008C24AF"/>
    <w:rsid w:val="008C5641"/>
    <w:rsid w:val="008C6135"/>
    <w:rsid w:val="008C6A31"/>
    <w:rsid w:val="008C7F88"/>
    <w:rsid w:val="008D0766"/>
    <w:rsid w:val="008D4229"/>
    <w:rsid w:val="008D4521"/>
    <w:rsid w:val="008D4BDD"/>
    <w:rsid w:val="008D5387"/>
    <w:rsid w:val="008D60F8"/>
    <w:rsid w:val="008D7591"/>
    <w:rsid w:val="008E1C79"/>
    <w:rsid w:val="008E1EA1"/>
    <w:rsid w:val="008E2F61"/>
    <w:rsid w:val="008E337E"/>
    <w:rsid w:val="008E47C0"/>
    <w:rsid w:val="008E6003"/>
    <w:rsid w:val="008E69FC"/>
    <w:rsid w:val="008E6AAE"/>
    <w:rsid w:val="008F1D6D"/>
    <w:rsid w:val="008F52D0"/>
    <w:rsid w:val="008F6AA2"/>
    <w:rsid w:val="00900116"/>
    <w:rsid w:val="00900AE9"/>
    <w:rsid w:val="00904B44"/>
    <w:rsid w:val="00905273"/>
    <w:rsid w:val="009055EE"/>
    <w:rsid w:val="00905A28"/>
    <w:rsid w:val="00906F1B"/>
    <w:rsid w:val="00910B36"/>
    <w:rsid w:val="00910FF9"/>
    <w:rsid w:val="00913858"/>
    <w:rsid w:val="00914849"/>
    <w:rsid w:val="009166AD"/>
    <w:rsid w:val="00916E2E"/>
    <w:rsid w:val="0091776B"/>
    <w:rsid w:val="00917C51"/>
    <w:rsid w:val="009209E8"/>
    <w:rsid w:val="009211B4"/>
    <w:rsid w:val="009218D4"/>
    <w:rsid w:val="00922373"/>
    <w:rsid w:val="00922592"/>
    <w:rsid w:val="00923C4A"/>
    <w:rsid w:val="0092584B"/>
    <w:rsid w:val="009259D5"/>
    <w:rsid w:val="00925B9C"/>
    <w:rsid w:val="00926CDD"/>
    <w:rsid w:val="00926EE7"/>
    <w:rsid w:val="009278C5"/>
    <w:rsid w:val="0093107D"/>
    <w:rsid w:val="009324FE"/>
    <w:rsid w:val="00933150"/>
    <w:rsid w:val="00933165"/>
    <w:rsid w:val="0093334D"/>
    <w:rsid w:val="00934B57"/>
    <w:rsid w:val="00935142"/>
    <w:rsid w:val="00935307"/>
    <w:rsid w:val="0093548B"/>
    <w:rsid w:val="009357CB"/>
    <w:rsid w:val="0094041C"/>
    <w:rsid w:val="0094055B"/>
    <w:rsid w:val="00941545"/>
    <w:rsid w:val="009435A6"/>
    <w:rsid w:val="009437A7"/>
    <w:rsid w:val="00946789"/>
    <w:rsid w:val="00950163"/>
    <w:rsid w:val="0095139A"/>
    <w:rsid w:val="009546B7"/>
    <w:rsid w:val="00955047"/>
    <w:rsid w:val="00955238"/>
    <w:rsid w:val="009558DD"/>
    <w:rsid w:val="009608A6"/>
    <w:rsid w:val="009613A3"/>
    <w:rsid w:val="0096147D"/>
    <w:rsid w:val="0096479F"/>
    <w:rsid w:val="00965552"/>
    <w:rsid w:val="0096574A"/>
    <w:rsid w:val="0096617A"/>
    <w:rsid w:val="00967429"/>
    <w:rsid w:val="009700E7"/>
    <w:rsid w:val="009701A2"/>
    <w:rsid w:val="00971680"/>
    <w:rsid w:val="00971FF1"/>
    <w:rsid w:val="0097382B"/>
    <w:rsid w:val="00973FB8"/>
    <w:rsid w:val="00975775"/>
    <w:rsid w:val="00977D99"/>
    <w:rsid w:val="0098099B"/>
    <w:rsid w:val="00981749"/>
    <w:rsid w:val="00982857"/>
    <w:rsid w:val="00983E4E"/>
    <w:rsid w:val="009840B0"/>
    <w:rsid w:val="00984531"/>
    <w:rsid w:val="0098659E"/>
    <w:rsid w:val="009869E5"/>
    <w:rsid w:val="00991F92"/>
    <w:rsid w:val="0099239A"/>
    <w:rsid w:val="00992683"/>
    <w:rsid w:val="009930AE"/>
    <w:rsid w:val="00994368"/>
    <w:rsid w:val="009956A1"/>
    <w:rsid w:val="009960AD"/>
    <w:rsid w:val="00997017"/>
    <w:rsid w:val="009A089A"/>
    <w:rsid w:val="009A1ABA"/>
    <w:rsid w:val="009A456E"/>
    <w:rsid w:val="009A6799"/>
    <w:rsid w:val="009A693B"/>
    <w:rsid w:val="009A7284"/>
    <w:rsid w:val="009A75CB"/>
    <w:rsid w:val="009B074B"/>
    <w:rsid w:val="009B0A3E"/>
    <w:rsid w:val="009B0EB9"/>
    <w:rsid w:val="009B72EB"/>
    <w:rsid w:val="009B792F"/>
    <w:rsid w:val="009B7961"/>
    <w:rsid w:val="009C07B4"/>
    <w:rsid w:val="009C4BB9"/>
    <w:rsid w:val="009C4C50"/>
    <w:rsid w:val="009C5C75"/>
    <w:rsid w:val="009C7D0A"/>
    <w:rsid w:val="009C7FD8"/>
    <w:rsid w:val="009D05BF"/>
    <w:rsid w:val="009D2432"/>
    <w:rsid w:val="009D245C"/>
    <w:rsid w:val="009D67D9"/>
    <w:rsid w:val="009D6AFE"/>
    <w:rsid w:val="009D71DE"/>
    <w:rsid w:val="009E0EA7"/>
    <w:rsid w:val="009E36F0"/>
    <w:rsid w:val="009E6AB6"/>
    <w:rsid w:val="009F064F"/>
    <w:rsid w:val="009F11C8"/>
    <w:rsid w:val="009F15EF"/>
    <w:rsid w:val="009F22B8"/>
    <w:rsid w:val="009F24D1"/>
    <w:rsid w:val="009F3D47"/>
    <w:rsid w:val="009F4563"/>
    <w:rsid w:val="009F487E"/>
    <w:rsid w:val="009F6C40"/>
    <w:rsid w:val="00A01EFD"/>
    <w:rsid w:val="00A039D2"/>
    <w:rsid w:val="00A04B51"/>
    <w:rsid w:val="00A05781"/>
    <w:rsid w:val="00A068B7"/>
    <w:rsid w:val="00A069FC"/>
    <w:rsid w:val="00A06D30"/>
    <w:rsid w:val="00A0749F"/>
    <w:rsid w:val="00A12D09"/>
    <w:rsid w:val="00A15084"/>
    <w:rsid w:val="00A17158"/>
    <w:rsid w:val="00A2031C"/>
    <w:rsid w:val="00A20856"/>
    <w:rsid w:val="00A2140F"/>
    <w:rsid w:val="00A214FA"/>
    <w:rsid w:val="00A21940"/>
    <w:rsid w:val="00A24145"/>
    <w:rsid w:val="00A24411"/>
    <w:rsid w:val="00A252A2"/>
    <w:rsid w:val="00A25ADF"/>
    <w:rsid w:val="00A27D9F"/>
    <w:rsid w:val="00A319A4"/>
    <w:rsid w:val="00A320D2"/>
    <w:rsid w:val="00A32455"/>
    <w:rsid w:val="00A32D75"/>
    <w:rsid w:val="00A33EC9"/>
    <w:rsid w:val="00A35094"/>
    <w:rsid w:val="00A36113"/>
    <w:rsid w:val="00A377F1"/>
    <w:rsid w:val="00A40087"/>
    <w:rsid w:val="00A41C5F"/>
    <w:rsid w:val="00A41CA5"/>
    <w:rsid w:val="00A426D2"/>
    <w:rsid w:val="00A44C22"/>
    <w:rsid w:val="00A46BC3"/>
    <w:rsid w:val="00A51A47"/>
    <w:rsid w:val="00A5296E"/>
    <w:rsid w:val="00A5323E"/>
    <w:rsid w:val="00A5538A"/>
    <w:rsid w:val="00A5692F"/>
    <w:rsid w:val="00A57C84"/>
    <w:rsid w:val="00A6358C"/>
    <w:rsid w:val="00A63DE3"/>
    <w:rsid w:val="00A648D2"/>
    <w:rsid w:val="00A648FB"/>
    <w:rsid w:val="00A665B8"/>
    <w:rsid w:val="00A67621"/>
    <w:rsid w:val="00A709D1"/>
    <w:rsid w:val="00A70DE0"/>
    <w:rsid w:val="00A738D5"/>
    <w:rsid w:val="00A81B56"/>
    <w:rsid w:val="00A82E49"/>
    <w:rsid w:val="00A83E23"/>
    <w:rsid w:val="00A83F70"/>
    <w:rsid w:val="00A841E3"/>
    <w:rsid w:val="00A86E53"/>
    <w:rsid w:val="00A87809"/>
    <w:rsid w:val="00A914A8"/>
    <w:rsid w:val="00A920ED"/>
    <w:rsid w:val="00A92497"/>
    <w:rsid w:val="00A94B95"/>
    <w:rsid w:val="00A95164"/>
    <w:rsid w:val="00A96056"/>
    <w:rsid w:val="00A969C3"/>
    <w:rsid w:val="00A97447"/>
    <w:rsid w:val="00AA0C7F"/>
    <w:rsid w:val="00AA1E25"/>
    <w:rsid w:val="00AA65EF"/>
    <w:rsid w:val="00AA6837"/>
    <w:rsid w:val="00AA70A3"/>
    <w:rsid w:val="00AB07FC"/>
    <w:rsid w:val="00AB0BCB"/>
    <w:rsid w:val="00AB1812"/>
    <w:rsid w:val="00AB1B7A"/>
    <w:rsid w:val="00AB234F"/>
    <w:rsid w:val="00AB3CA3"/>
    <w:rsid w:val="00AB490B"/>
    <w:rsid w:val="00AB50A1"/>
    <w:rsid w:val="00AB63EC"/>
    <w:rsid w:val="00AB706C"/>
    <w:rsid w:val="00AB7635"/>
    <w:rsid w:val="00AB7D40"/>
    <w:rsid w:val="00AC0195"/>
    <w:rsid w:val="00AC169A"/>
    <w:rsid w:val="00AC17BD"/>
    <w:rsid w:val="00AC627A"/>
    <w:rsid w:val="00AC6DCD"/>
    <w:rsid w:val="00AC7076"/>
    <w:rsid w:val="00AD0219"/>
    <w:rsid w:val="00AD0858"/>
    <w:rsid w:val="00AD159E"/>
    <w:rsid w:val="00AD25AF"/>
    <w:rsid w:val="00AD3FA3"/>
    <w:rsid w:val="00AD5B00"/>
    <w:rsid w:val="00AE0905"/>
    <w:rsid w:val="00AE2F7F"/>
    <w:rsid w:val="00AF35AE"/>
    <w:rsid w:val="00AF394B"/>
    <w:rsid w:val="00AF52DD"/>
    <w:rsid w:val="00AF6C87"/>
    <w:rsid w:val="00AF7196"/>
    <w:rsid w:val="00B001EA"/>
    <w:rsid w:val="00B006E0"/>
    <w:rsid w:val="00B0365E"/>
    <w:rsid w:val="00B03D5C"/>
    <w:rsid w:val="00B10E7A"/>
    <w:rsid w:val="00B11AE8"/>
    <w:rsid w:val="00B11E1C"/>
    <w:rsid w:val="00B12CAE"/>
    <w:rsid w:val="00B12DA9"/>
    <w:rsid w:val="00B1771E"/>
    <w:rsid w:val="00B179E6"/>
    <w:rsid w:val="00B20979"/>
    <w:rsid w:val="00B20B9D"/>
    <w:rsid w:val="00B20CA6"/>
    <w:rsid w:val="00B2179E"/>
    <w:rsid w:val="00B21830"/>
    <w:rsid w:val="00B21884"/>
    <w:rsid w:val="00B24130"/>
    <w:rsid w:val="00B24BED"/>
    <w:rsid w:val="00B259B3"/>
    <w:rsid w:val="00B25F6D"/>
    <w:rsid w:val="00B3066F"/>
    <w:rsid w:val="00B31572"/>
    <w:rsid w:val="00B32FDE"/>
    <w:rsid w:val="00B3485C"/>
    <w:rsid w:val="00B3551C"/>
    <w:rsid w:val="00B41CC5"/>
    <w:rsid w:val="00B42433"/>
    <w:rsid w:val="00B4456E"/>
    <w:rsid w:val="00B455A2"/>
    <w:rsid w:val="00B5121C"/>
    <w:rsid w:val="00B52A24"/>
    <w:rsid w:val="00B5421D"/>
    <w:rsid w:val="00B55DD4"/>
    <w:rsid w:val="00B55E1B"/>
    <w:rsid w:val="00B562EE"/>
    <w:rsid w:val="00B601DE"/>
    <w:rsid w:val="00B60D21"/>
    <w:rsid w:val="00B612D6"/>
    <w:rsid w:val="00B61DB0"/>
    <w:rsid w:val="00B628A3"/>
    <w:rsid w:val="00B635C3"/>
    <w:rsid w:val="00B64059"/>
    <w:rsid w:val="00B64E0D"/>
    <w:rsid w:val="00B65DD7"/>
    <w:rsid w:val="00B66B82"/>
    <w:rsid w:val="00B67C8D"/>
    <w:rsid w:val="00B71A77"/>
    <w:rsid w:val="00B73823"/>
    <w:rsid w:val="00B746DE"/>
    <w:rsid w:val="00B761D0"/>
    <w:rsid w:val="00B76B5B"/>
    <w:rsid w:val="00B76E0A"/>
    <w:rsid w:val="00B770A1"/>
    <w:rsid w:val="00B81651"/>
    <w:rsid w:val="00B826E5"/>
    <w:rsid w:val="00B82E07"/>
    <w:rsid w:val="00B836E8"/>
    <w:rsid w:val="00B83FBC"/>
    <w:rsid w:val="00B841A4"/>
    <w:rsid w:val="00B871DD"/>
    <w:rsid w:val="00B87B57"/>
    <w:rsid w:val="00B907CB"/>
    <w:rsid w:val="00B93135"/>
    <w:rsid w:val="00B9774B"/>
    <w:rsid w:val="00BA1954"/>
    <w:rsid w:val="00BA376F"/>
    <w:rsid w:val="00BA5F64"/>
    <w:rsid w:val="00BA61A9"/>
    <w:rsid w:val="00BA779B"/>
    <w:rsid w:val="00BB0A71"/>
    <w:rsid w:val="00BB11E2"/>
    <w:rsid w:val="00BB33FD"/>
    <w:rsid w:val="00BB33FE"/>
    <w:rsid w:val="00BB5C5F"/>
    <w:rsid w:val="00BB612A"/>
    <w:rsid w:val="00BB627A"/>
    <w:rsid w:val="00BC193E"/>
    <w:rsid w:val="00BC3015"/>
    <w:rsid w:val="00BC3C77"/>
    <w:rsid w:val="00BC4F1B"/>
    <w:rsid w:val="00BC6F1B"/>
    <w:rsid w:val="00BC753E"/>
    <w:rsid w:val="00BC7668"/>
    <w:rsid w:val="00BC7E29"/>
    <w:rsid w:val="00BD1D60"/>
    <w:rsid w:val="00BD1FA5"/>
    <w:rsid w:val="00BD2812"/>
    <w:rsid w:val="00BD3A3F"/>
    <w:rsid w:val="00BD6949"/>
    <w:rsid w:val="00BD7B88"/>
    <w:rsid w:val="00BE353A"/>
    <w:rsid w:val="00BE4B8D"/>
    <w:rsid w:val="00BE5EB9"/>
    <w:rsid w:val="00BE73E9"/>
    <w:rsid w:val="00BF0B2C"/>
    <w:rsid w:val="00BF0C97"/>
    <w:rsid w:val="00BF0EA8"/>
    <w:rsid w:val="00BF28EC"/>
    <w:rsid w:val="00BF417C"/>
    <w:rsid w:val="00BF51F6"/>
    <w:rsid w:val="00BF52C5"/>
    <w:rsid w:val="00BF682C"/>
    <w:rsid w:val="00BF7476"/>
    <w:rsid w:val="00C02D9A"/>
    <w:rsid w:val="00C06808"/>
    <w:rsid w:val="00C107FE"/>
    <w:rsid w:val="00C10DEC"/>
    <w:rsid w:val="00C10EEC"/>
    <w:rsid w:val="00C112DD"/>
    <w:rsid w:val="00C12240"/>
    <w:rsid w:val="00C138B2"/>
    <w:rsid w:val="00C13F57"/>
    <w:rsid w:val="00C14E28"/>
    <w:rsid w:val="00C17074"/>
    <w:rsid w:val="00C1758E"/>
    <w:rsid w:val="00C21672"/>
    <w:rsid w:val="00C21ACC"/>
    <w:rsid w:val="00C22755"/>
    <w:rsid w:val="00C278CD"/>
    <w:rsid w:val="00C31F14"/>
    <w:rsid w:val="00C34E9B"/>
    <w:rsid w:val="00C34FE2"/>
    <w:rsid w:val="00C36041"/>
    <w:rsid w:val="00C36B8D"/>
    <w:rsid w:val="00C37669"/>
    <w:rsid w:val="00C402C9"/>
    <w:rsid w:val="00C406A0"/>
    <w:rsid w:val="00C41C1D"/>
    <w:rsid w:val="00C421A0"/>
    <w:rsid w:val="00C43565"/>
    <w:rsid w:val="00C439B2"/>
    <w:rsid w:val="00C44001"/>
    <w:rsid w:val="00C4439D"/>
    <w:rsid w:val="00C45F5C"/>
    <w:rsid w:val="00C466A2"/>
    <w:rsid w:val="00C468DC"/>
    <w:rsid w:val="00C46AF0"/>
    <w:rsid w:val="00C479FE"/>
    <w:rsid w:val="00C47EB3"/>
    <w:rsid w:val="00C50275"/>
    <w:rsid w:val="00C50B1D"/>
    <w:rsid w:val="00C524B5"/>
    <w:rsid w:val="00C53ADD"/>
    <w:rsid w:val="00C56178"/>
    <w:rsid w:val="00C562B0"/>
    <w:rsid w:val="00C56DD1"/>
    <w:rsid w:val="00C57D52"/>
    <w:rsid w:val="00C603C1"/>
    <w:rsid w:val="00C6061D"/>
    <w:rsid w:val="00C62E07"/>
    <w:rsid w:val="00C63C53"/>
    <w:rsid w:val="00C70B15"/>
    <w:rsid w:val="00C70F4F"/>
    <w:rsid w:val="00C72E5C"/>
    <w:rsid w:val="00C7603F"/>
    <w:rsid w:val="00C800A8"/>
    <w:rsid w:val="00C80ECD"/>
    <w:rsid w:val="00C8206E"/>
    <w:rsid w:val="00C82962"/>
    <w:rsid w:val="00C83BA2"/>
    <w:rsid w:val="00C840F2"/>
    <w:rsid w:val="00C8538F"/>
    <w:rsid w:val="00C9122B"/>
    <w:rsid w:val="00C93D82"/>
    <w:rsid w:val="00C94904"/>
    <w:rsid w:val="00C9683B"/>
    <w:rsid w:val="00CA0EF6"/>
    <w:rsid w:val="00CA31DB"/>
    <w:rsid w:val="00CA4361"/>
    <w:rsid w:val="00CA53CC"/>
    <w:rsid w:val="00CA5968"/>
    <w:rsid w:val="00CA627C"/>
    <w:rsid w:val="00CB21A0"/>
    <w:rsid w:val="00CB26B0"/>
    <w:rsid w:val="00CB2ACC"/>
    <w:rsid w:val="00CC0A81"/>
    <w:rsid w:val="00CC2EA3"/>
    <w:rsid w:val="00CC41D4"/>
    <w:rsid w:val="00CC4A6A"/>
    <w:rsid w:val="00CD2724"/>
    <w:rsid w:val="00CD33AB"/>
    <w:rsid w:val="00CD4A09"/>
    <w:rsid w:val="00CD5E71"/>
    <w:rsid w:val="00CD6B61"/>
    <w:rsid w:val="00CE6812"/>
    <w:rsid w:val="00CF08A4"/>
    <w:rsid w:val="00CF0C7B"/>
    <w:rsid w:val="00CF1C70"/>
    <w:rsid w:val="00CF291C"/>
    <w:rsid w:val="00CF3AF0"/>
    <w:rsid w:val="00CF4750"/>
    <w:rsid w:val="00CF4B54"/>
    <w:rsid w:val="00CF695A"/>
    <w:rsid w:val="00D02613"/>
    <w:rsid w:val="00D04B88"/>
    <w:rsid w:val="00D05911"/>
    <w:rsid w:val="00D060F5"/>
    <w:rsid w:val="00D06613"/>
    <w:rsid w:val="00D072DD"/>
    <w:rsid w:val="00D114B4"/>
    <w:rsid w:val="00D119E0"/>
    <w:rsid w:val="00D11B4E"/>
    <w:rsid w:val="00D1210A"/>
    <w:rsid w:val="00D12679"/>
    <w:rsid w:val="00D13574"/>
    <w:rsid w:val="00D13FCC"/>
    <w:rsid w:val="00D149B3"/>
    <w:rsid w:val="00D14B46"/>
    <w:rsid w:val="00D14E0D"/>
    <w:rsid w:val="00D156E5"/>
    <w:rsid w:val="00D15B9A"/>
    <w:rsid w:val="00D15D80"/>
    <w:rsid w:val="00D1666A"/>
    <w:rsid w:val="00D17D8C"/>
    <w:rsid w:val="00D21BE7"/>
    <w:rsid w:val="00D23810"/>
    <w:rsid w:val="00D26793"/>
    <w:rsid w:val="00D27953"/>
    <w:rsid w:val="00D33441"/>
    <w:rsid w:val="00D334C0"/>
    <w:rsid w:val="00D34816"/>
    <w:rsid w:val="00D36619"/>
    <w:rsid w:val="00D3707C"/>
    <w:rsid w:val="00D375DC"/>
    <w:rsid w:val="00D43100"/>
    <w:rsid w:val="00D450F4"/>
    <w:rsid w:val="00D45431"/>
    <w:rsid w:val="00D5058E"/>
    <w:rsid w:val="00D505AC"/>
    <w:rsid w:val="00D50730"/>
    <w:rsid w:val="00D50898"/>
    <w:rsid w:val="00D50E55"/>
    <w:rsid w:val="00D50E97"/>
    <w:rsid w:val="00D538AF"/>
    <w:rsid w:val="00D539DF"/>
    <w:rsid w:val="00D53B3B"/>
    <w:rsid w:val="00D542EE"/>
    <w:rsid w:val="00D545D3"/>
    <w:rsid w:val="00D54F3E"/>
    <w:rsid w:val="00D577AF"/>
    <w:rsid w:val="00D57932"/>
    <w:rsid w:val="00D57C07"/>
    <w:rsid w:val="00D63265"/>
    <w:rsid w:val="00D65F39"/>
    <w:rsid w:val="00D664CF"/>
    <w:rsid w:val="00D67757"/>
    <w:rsid w:val="00D678D5"/>
    <w:rsid w:val="00D72D71"/>
    <w:rsid w:val="00D7517D"/>
    <w:rsid w:val="00D7654E"/>
    <w:rsid w:val="00D76D8D"/>
    <w:rsid w:val="00D83166"/>
    <w:rsid w:val="00D8329A"/>
    <w:rsid w:val="00D85475"/>
    <w:rsid w:val="00D86304"/>
    <w:rsid w:val="00D87DC8"/>
    <w:rsid w:val="00D9044D"/>
    <w:rsid w:val="00D90F3B"/>
    <w:rsid w:val="00D94EB2"/>
    <w:rsid w:val="00D96521"/>
    <w:rsid w:val="00DA2563"/>
    <w:rsid w:val="00DA2E98"/>
    <w:rsid w:val="00DA318F"/>
    <w:rsid w:val="00DA380B"/>
    <w:rsid w:val="00DA5364"/>
    <w:rsid w:val="00DA5370"/>
    <w:rsid w:val="00DA772B"/>
    <w:rsid w:val="00DB160F"/>
    <w:rsid w:val="00DB2F65"/>
    <w:rsid w:val="00DB4270"/>
    <w:rsid w:val="00DB50E6"/>
    <w:rsid w:val="00DB5B28"/>
    <w:rsid w:val="00DB7459"/>
    <w:rsid w:val="00DC1DB7"/>
    <w:rsid w:val="00DC1DBB"/>
    <w:rsid w:val="00DC2111"/>
    <w:rsid w:val="00DC2BD1"/>
    <w:rsid w:val="00DC32BC"/>
    <w:rsid w:val="00DC3B2A"/>
    <w:rsid w:val="00DC3C54"/>
    <w:rsid w:val="00DC499D"/>
    <w:rsid w:val="00DC7034"/>
    <w:rsid w:val="00DC7399"/>
    <w:rsid w:val="00DC770C"/>
    <w:rsid w:val="00DD3685"/>
    <w:rsid w:val="00DD5A57"/>
    <w:rsid w:val="00DD5B1D"/>
    <w:rsid w:val="00DD5BDC"/>
    <w:rsid w:val="00DE29FD"/>
    <w:rsid w:val="00DE3125"/>
    <w:rsid w:val="00DE664E"/>
    <w:rsid w:val="00DE6FEA"/>
    <w:rsid w:val="00DF2721"/>
    <w:rsid w:val="00DF29E0"/>
    <w:rsid w:val="00DF59DF"/>
    <w:rsid w:val="00E002E1"/>
    <w:rsid w:val="00E00882"/>
    <w:rsid w:val="00E00DF4"/>
    <w:rsid w:val="00E0178C"/>
    <w:rsid w:val="00E0297A"/>
    <w:rsid w:val="00E02BB0"/>
    <w:rsid w:val="00E0354C"/>
    <w:rsid w:val="00E045BC"/>
    <w:rsid w:val="00E05CD7"/>
    <w:rsid w:val="00E121FC"/>
    <w:rsid w:val="00E14149"/>
    <w:rsid w:val="00E14FC8"/>
    <w:rsid w:val="00E155EB"/>
    <w:rsid w:val="00E17B8A"/>
    <w:rsid w:val="00E211E6"/>
    <w:rsid w:val="00E2475C"/>
    <w:rsid w:val="00E27F9E"/>
    <w:rsid w:val="00E311A1"/>
    <w:rsid w:val="00E34833"/>
    <w:rsid w:val="00E34FF9"/>
    <w:rsid w:val="00E3576F"/>
    <w:rsid w:val="00E36033"/>
    <w:rsid w:val="00E36E35"/>
    <w:rsid w:val="00E40272"/>
    <w:rsid w:val="00E413FB"/>
    <w:rsid w:val="00E41690"/>
    <w:rsid w:val="00E41A56"/>
    <w:rsid w:val="00E41F24"/>
    <w:rsid w:val="00E4229F"/>
    <w:rsid w:val="00E42A20"/>
    <w:rsid w:val="00E4570B"/>
    <w:rsid w:val="00E45AB6"/>
    <w:rsid w:val="00E50150"/>
    <w:rsid w:val="00E501D3"/>
    <w:rsid w:val="00E53766"/>
    <w:rsid w:val="00E53FDA"/>
    <w:rsid w:val="00E5590D"/>
    <w:rsid w:val="00E56EAE"/>
    <w:rsid w:val="00E61523"/>
    <w:rsid w:val="00E62EE1"/>
    <w:rsid w:val="00E656AA"/>
    <w:rsid w:val="00E6785B"/>
    <w:rsid w:val="00E67BB4"/>
    <w:rsid w:val="00E702E4"/>
    <w:rsid w:val="00E705A5"/>
    <w:rsid w:val="00E7116A"/>
    <w:rsid w:val="00E71356"/>
    <w:rsid w:val="00E713BE"/>
    <w:rsid w:val="00E715AA"/>
    <w:rsid w:val="00E718FA"/>
    <w:rsid w:val="00E71DC0"/>
    <w:rsid w:val="00E72050"/>
    <w:rsid w:val="00E72469"/>
    <w:rsid w:val="00E73C64"/>
    <w:rsid w:val="00E761CC"/>
    <w:rsid w:val="00E76A25"/>
    <w:rsid w:val="00E77ED5"/>
    <w:rsid w:val="00E82AFE"/>
    <w:rsid w:val="00E8351B"/>
    <w:rsid w:val="00E8434D"/>
    <w:rsid w:val="00E847F7"/>
    <w:rsid w:val="00E84BDF"/>
    <w:rsid w:val="00E86E6A"/>
    <w:rsid w:val="00E87230"/>
    <w:rsid w:val="00E872AD"/>
    <w:rsid w:val="00E87666"/>
    <w:rsid w:val="00E9078D"/>
    <w:rsid w:val="00E90F88"/>
    <w:rsid w:val="00E912E2"/>
    <w:rsid w:val="00E92B97"/>
    <w:rsid w:val="00E92E6C"/>
    <w:rsid w:val="00E94407"/>
    <w:rsid w:val="00E94EF8"/>
    <w:rsid w:val="00E955AD"/>
    <w:rsid w:val="00E964E5"/>
    <w:rsid w:val="00E96D5C"/>
    <w:rsid w:val="00EA076E"/>
    <w:rsid w:val="00EA0ABF"/>
    <w:rsid w:val="00EA75E3"/>
    <w:rsid w:val="00EB0728"/>
    <w:rsid w:val="00EB19B3"/>
    <w:rsid w:val="00EB312C"/>
    <w:rsid w:val="00EC012F"/>
    <w:rsid w:val="00EC22AB"/>
    <w:rsid w:val="00EC4291"/>
    <w:rsid w:val="00EC6959"/>
    <w:rsid w:val="00EC767D"/>
    <w:rsid w:val="00ED1CD5"/>
    <w:rsid w:val="00ED43CF"/>
    <w:rsid w:val="00ED4D77"/>
    <w:rsid w:val="00ED7DB6"/>
    <w:rsid w:val="00EE1040"/>
    <w:rsid w:val="00EE2F7B"/>
    <w:rsid w:val="00EE35B9"/>
    <w:rsid w:val="00EE4888"/>
    <w:rsid w:val="00EE5DF7"/>
    <w:rsid w:val="00EE7991"/>
    <w:rsid w:val="00EF0DD2"/>
    <w:rsid w:val="00EF3196"/>
    <w:rsid w:val="00EF3352"/>
    <w:rsid w:val="00EF4BD4"/>
    <w:rsid w:val="00EF5440"/>
    <w:rsid w:val="00EF6989"/>
    <w:rsid w:val="00EF702C"/>
    <w:rsid w:val="00F00A1D"/>
    <w:rsid w:val="00F00D73"/>
    <w:rsid w:val="00F011EE"/>
    <w:rsid w:val="00F01251"/>
    <w:rsid w:val="00F01EC3"/>
    <w:rsid w:val="00F029A4"/>
    <w:rsid w:val="00F0325A"/>
    <w:rsid w:val="00F04C40"/>
    <w:rsid w:val="00F0695D"/>
    <w:rsid w:val="00F077F5"/>
    <w:rsid w:val="00F078E8"/>
    <w:rsid w:val="00F07B53"/>
    <w:rsid w:val="00F101CF"/>
    <w:rsid w:val="00F10359"/>
    <w:rsid w:val="00F11AEB"/>
    <w:rsid w:val="00F141A0"/>
    <w:rsid w:val="00F1438C"/>
    <w:rsid w:val="00F14659"/>
    <w:rsid w:val="00F21F0C"/>
    <w:rsid w:val="00F22CC8"/>
    <w:rsid w:val="00F2452B"/>
    <w:rsid w:val="00F24CE7"/>
    <w:rsid w:val="00F25732"/>
    <w:rsid w:val="00F26479"/>
    <w:rsid w:val="00F2766C"/>
    <w:rsid w:val="00F27F0C"/>
    <w:rsid w:val="00F31749"/>
    <w:rsid w:val="00F338B0"/>
    <w:rsid w:val="00F3403B"/>
    <w:rsid w:val="00F360D6"/>
    <w:rsid w:val="00F3784A"/>
    <w:rsid w:val="00F37DC2"/>
    <w:rsid w:val="00F41097"/>
    <w:rsid w:val="00F410C8"/>
    <w:rsid w:val="00F4197F"/>
    <w:rsid w:val="00F42929"/>
    <w:rsid w:val="00F42B8A"/>
    <w:rsid w:val="00F44D8C"/>
    <w:rsid w:val="00F45130"/>
    <w:rsid w:val="00F45B41"/>
    <w:rsid w:val="00F47920"/>
    <w:rsid w:val="00F518BA"/>
    <w:rsid w:val="00F51BE5"/>
    <w:rsid w:val="00F52661"/>
    <w:rsid w:val="00F5283D"/>
    <w:rsid w:val="00F52D03"/>
    <w:rsid w:val="00F536DA"/>
    <w:rsid w:val="00F555A6"/>
    <w:rsid w:val="00F57796"/>
    <w:rsid w:val="00F606E8"/>
    <w:rsid w:val="00F61283"/>
    <w:rsid w:val="00F63A6B"/>
    <w:rsid w:val="00F65CFD"/>
    <w:rsid w:val="00F66EAC"/>
    <w:rsid w:val="00F6738F"/>
    <w:rsid w:val="00F72BFB"/>
    <w:rsid w:val="00F72E4D"/>
    <w:rsid w:val="00F73D80"/>
    <w:rsid w:val="00F7596E"/>
    <w:rsid w:val="00F7675F"/>
    <w:rsid w:val="00F81D99"/>
    <w:rsid w:val="00F83541"/>
    <w:rsid w:val="00F84E2A"/>
    <w:rsid w:val="00F85A84"/>
    <w:rsid w:val="00F94DA0"/>
    <w:rsid w:val="00F94F02"/>
    <w:rsid w:val="00F95020"/>
    <w:rsid w:val="00F95580"/>
    <w:rsid w:val="00FA6BE0"/>
    <w:rsid w:val="00FA72A6"/>
    <w:rsid w:val="00FB1EB5"/>
    <w:rsid w:val="00FB2B09"/>
    <w:rsid w:val="00FB3DE9"/>
    <w:rsid w:val="00FB5939"/>
    <w:rsid w:val="00FB5C0D"/>
    <w:rsid w:val="00FB5EA4"/>
    <w:rsid w:val="00FB7145"/>
    <w:rsid w:val="00FB716A"/>
    <w:rsid w:val="00FC28E2"/>
    <w:rsid w:val="00FC3E48"/>
    <w:rsid w:val="00FC44AA"/>
    <w:rsid w:val="00FC6F7D"/>
    <w:rsid w:val="00FD026D"/>
    <w:rsid w:val="00FD0E95"/>
    <w:rsid w:val="00FD18C1"/>
    <w:rsid w:val="00FD28D5"/>
    <w:rsid w:val="00FD2BC5"/>
    <w:rsid w:val="00FD3D53"/>
    <w:rsid w:val="00FD722D"/>
    <w:rsid w:val="00FD7235"/>
    <w:rsid w:val="00FE0791"/>
    <w:rsid w:val="00FE2F34"/>
    <w:rsid w:val="00FE3038"/>
    <w:rsid w:val="00FE3D42"/>
    <w:rsid w:val="00FE404D"/>
    <w:rsid w:val="00FE5094"/>
    <w:rsid w:val="00FE7CD8"/>
    <w:rsid w:val="00FF2520"/>
    <w:rsid w:val="00FF2E08"/>
    <w:rsid w:val="00FF4215"/>
    <w:rsid w:val="00FF4B81"/>
    <w:rsid w:val="00FF4C85"/>
    <w:rsid w:val="00FF63F7"/>
    <w:rsid w:val="00FF6B5E"/>
    <w:rsid w:val="00FF7BA0"/>
    <w:rsid w:val="01190B56"/>
    <w:rsid w:val="01192C1F"/>
    <w:rsid w:val="01233A9E"/>
    <w:rsid w:val="01362DA8"/>
    <w:rsid w:val="014529B7"/>
    <w:rsid w:val="014F219D"/>
    <w:rsid w:val="016519C1"/>
    <w:rsid w:val="019239B4"/>
    <w:rsid w:val="0196601E"/>
    <w:rsid w:val="01A544B3"/>
    <w:rsid w:val="01BD7A4F"/>
    <w:rsid w:val="01C401C9"/>
    <w:rsid w:val="01DD30DE"/>
    <w:rsid w:val="01F33470"/>
    <w:rsid w:val="020B6A0C"/>
    <w:rsid w:val="02251890"/>
    <w:rsid w:val="023870D5"/>
    <w:rsid w:val="02895B83"/>
    <w:rsid w:val="02BF77F6"/>
    <w:rsid w:val="02CC5DE9"/>
    <w:rsid w:val="02D23086"/>
    <w:rsid w:val="02DA63DE"/>
    <w:rsid w:val="02F94BC3"/>
    <w:rsid w:val="02FD6D4D"/>
    <w:rsid w:val="03936C34"/>
    <w:rsid w:val="039D344D"/>
    <w:rsid w:val="03EC32E0"/>
    <w:rsid w:val="042A0AD1"/>
    <w:rsid w:val="04A10F62"/>
    <w:rsid w:val="04A3407A"/>
    <w:rsid w:val="04A8452D"/>
    <w:rsid w:val="04C109CE"/>
    <w:rsid w:val="04E1113F"/>
    <w:rsid w:val="04E90B5B"/>
    <w:rsid w:val="05353DA0"/>
    <w:rsid w:val="05366A2C"/>
    <w:rsid w:val="055F2BCB"/>
    <w:rsid w:val="05602A5A"/>
    <w:rsid w:val="056326BB"/>
    <w:rsid w:val="057C19CF"/>
    <w:rsid w:val="058368B9"/>
    <w:rsid w:val="05A218FD"/>
    <w:rsid w:val="05B0498B"/>
    <w:rsid w:val="05B35D6A"/>
    <w:rsid w:val="05BA5435"/>
    <w:rsid w:val="05C018BB"/>
    <w:rsid w:val="05C72C4A"/>
    <w:rsid w:val="05CF7D50"/>
    <w:rsid w:val="05F9301F"/>
    <w:rsid w:val="06035C4C"/>
    <w:rsid w:val="063F4718"/>
    <w:rsid w:val="06475B39"/>
    <w:rsid w:val="064C18B5"/>
    <w:rsid w:val="065546FA"/>
    <w:rsid w:val="06A922BE"/>
    <w:rsid w:val="06B56F46"/>
    <w:rsid w:val="06C00186"/>
    <w:rsid w:val="06DE46EF"/>
    <w:rsid w:val="070677A2"/>
    <w:rsid w:val="0711495B"/>
    <w:rsid w:val="071719AF"/>
    <w:rsid w:val="071A149F"/>
    <w:rsid w:val="071E0F8F"/>
    <w:rsid w:val="07204271"/>
    <w:rsid w:val="07702E6D"/>
    <w:rsid w:val="077F1302"/>
    <w:rsid w:val="0790350F"/>
    <w:rsid w:val="07971D2A"/>
    <w:rsid w:val="07AA45D1"/>
    <w:rsid w:val="07CA3595"/>
    <w:rsid w:val="07CC05D8"/>
    <w:rsid w:val="07D93108"/>
    <w:rsid w:val="080F6B2A"/>
    <w:rsid w:val="082D6FB0"/>
    <w:rsid w:val="083321D8"/>
    <w:rsid w:val="084D31AF"/>
    <w:rsid w:val="085B3B1D"/>
    <w:rsid w:val="086329D2"/>
    <w:rsid w:val="0898267C"/>
    <w:rsid w:val="08A50077"/>
    <w:rsid w:val="08C77405"/>
    <w:rsid w:val="08EE04EE"/>
    <w:rsid w:val="09153CCC"/>
    <w:rsid w:val="09197B3E"/>
    <w:rsid w:val="0935436E"/>
    <w:rsid w:val="09461222"/>
    <w:rsid w:val="094B394B"/>
    <w:rsid w:val="09510A7C"/>
    <w:rsid w:val="095F0CAA"/>
    <w:rsid w:val="09662A3F"/>
    <w:rsid w:val="09802D58"/>
    <w:rsid w:val="09870B6B"/>
    <w:rsid w:val="09954E0D"/>
    <w:rsid w:val="099948FD"/>
    <w:rsid w:val="09A45050"/>
    <w:rsid w:val="09B01C47"/>
    <w:rsid w:val="09B94F9F"/>
    <w:rsid w:val="09D771D4"/>
    <w:rsid w:val="09E518F1"/>
    <w:rsid w:val="09E638BB"/>
    <w:rsid w:val="0A454A85"/>
    <w:rsid w:val="0A56459C"/>
    <w:rsid w:val="0A7809B7"/>
    <w:rsid w:val="0AF04546"/>
    <w:rsid w:val="0AF10769"/>
    <w:rsid w:val="0B3A5CA3"/>
    <w:rsid w:val="0BA31A63"/>
    <w:rsid w:val="0BBA6DAD"/>
    <w:rsid w:val="0BC10DE0"/>
    <w:rsid w:val="0BEF6A57"/>
    <w:rsid w:val="0BF54D0A"/>
    <w:rsid w:val="0C112E71"/>
    <w:rsid w:val="0C2A3F33"/>
    <w:rsid w:val="0C5E598A"/>
    <w:rsid w:val="0CA5180B"/>
    <w:rsid w:val="0CB8153E"/>
    <w:rsid w:val="0CF3376D"/>
    <w:rsid w:val="0D2332ED"/>
    <w:rsid w:val="0D415C54"/>
    <w:rsid w:val="0D444B80"/>
    <w:rsid w:val="0D466B4A"/>
    <w:rsid w:val="0D5C45C0"/>
    <w:rsid w:val="0D6D2E9E"/>
    <w:rsid w:val="0DD028B8"/>
    <w:rsid w:val="0DDA3736"/>
    <w:rsid w:val="0DEA1BCB"/>
    <w:rsid w:val="0DFB786F"/>
    <w:rsid w:val="0E317578"/>
    <w:rsid w:val="0E347BBB"/>
    <w:rsid w:val="0E562298"/>
    <w:rsid w:val="0E9272B5"/>
    <w:rsid w:val="0F000F7B"/>
    <w:rsid w:val="0F1B7B63"/>
    <w:rsid w:val="0F4E7C06"/>
    <w:rsid w:val="0F4E7F38"/>
    <w:rsid w:val="0F5576A6"/>
    <w:rsid w:val="0F73174D"/>
    <w:rsid w:val="0F75161B"/>
    <w:rsid w:val="0F781459"/>
    <w:rsid w:val="0F885DD7"/>
    <w:rsid w:val="0F9022FF"/>
    <w:rsid w:val="0FA91612"/>
    <w:rsid w:val="0FAB0EE6"/>
    <w:rsid w:val="0FD348E1"/>
    <w:rsid w:val="0FD85A54"/>
    <w:rsid w:val="0FDC5544"/>
    <w:rsid w:val="0FEB39D9"/>
    <w:rsid w:val="0FEE34C9"/>
    <w:rsid w:val="0FF7412C"/>
    <w:rsid w:val="10141182"/>
    <w:rsid w:val="103E5A93"/>
    <w:rsid w:val="10923E54"/>
    <w:rsid w:val="1092654A"/>
    <w:rsid w:val="10DD2B9B"/>
    <w:rsid w:val="10E87F18"/>
    <w:rsid w:val="111E0546"/>
    <w:rsid w:val="11204879"/>
    <w:rsid w:val="11517434"/>
    <w:rsid w:val="117B39D6"/>
    <w:rsid w:val="11AC7198"/>
    <w:rsid w:val="11AF4A68"/>
    <w:rsid w:val="11B20C52"/>
    <w:rsid w:val="11C023CD"/>
    <w:rsid w:val="11C72224"/>
    <w:rsid w:val="11C8783A"/>
    <w:rsid w:val="11F254F3"/>
    <w:rsid w:val="11F70C71"/>
    <w:rsid w:val="1202500A"/>
    <w:rsid w:val="1209283C"/>
    <w:rsid w:val="120A12F0"/>
    <w:rsid w:val="126161D4"/>
    <w:rsid w:val="128F3808"/>
    <w:rsid w:val="12913ADB"/>
    <w:rsid w:val="12BE5A78"/>
    <w:rsid w:val="12DA1AE3"/>
    <w:rsid w:val="131462C7"/>
    <w:rsid w:val="132536A6"/>
    <w:rsid w:val="13620456"/>
    <w:rsid w:val="13631AD8"/>
    <w:rsid w:val="13870AC5"/>
    <w:rsid w:val="13955291"/>
    <w:rsid w:val="139B3968"/>
    <w:rsid w:val="13BD568C"/>
    <w:rsid w:val="13EF712B"/>
    <w:rsid w:val="13FB724D"/>
    <w:rsid w:val="14143A09"/>
    <w:rsid w:val="14321BD6"/>
    <w:rsid w:val="14465682"/>
    <w:rsid w:val="1461239E"/>
    <w:rsid w:val="14642A47"/>
    <w:rsid w:val="146A5814"/>
    <w:rsid w:val="148C3F7D"/>
    <w:rsid w:val="14A423A8"/>
    <w:rsid w:val="14A8633C"/>
    <w:rsid w:val="14BE4314"/>
    <w:rsid w:val="14C8078D"/>
    <w:rsid w:val="14DD41E6"/>
    <w:rsid w:val="14E47444"/>
    <w:rsid w:val="15023C9F"/>
    <w:rsid w:val="151948F4"/>
    <w:rsid w:val="154020D1"/>
    <w:rsid w:val="15453B8B"/>
    <w:rsid w:val="15610299"/>
    <w:rsid w:val="158E37F0"/>
    <w:rsid w:val="159D571F"/>
    <w:rsid w:val="15A72150"/>
    <w:rsid w:val="15C34AB0"/>
    <w:rsid w:val="15D13671"/>
    <w:rsid w:val="15D44A2E"/>
    <w:rsid w:val="15DD5B72"/>
    <w:rsid w:val="15FD6214"/>
    <w:rsid w:val="1607785B"/>
    <w:rsid w:val="160A7825"/>
    <w:rsid w:val="16353154"/>
    <w:rsid w:val="16610551"/>
    <w:rsid w:val="16695657"/>
    <w:rsid w:val="167209B0"/>
    <w:rsid w:val="16762429"/>
    <w:rsid w:val="167F30CD"/>
    <w:rsid w:val="168510F5"/>
    <w:rsid w:val="16A6065A"/>
    <w:rsid w:val="16D72F09"/>
    <w:rsid w:val="172E66CD"/>
    <w:rsid w:val="1730798F"/>
    <w:rsid w:val="178A2F5A"/>
    <w:rsid w:val="178D2ADC"/>
    <w:rsid w:val="17F84EE5"/>
    <w:rsid w:val="18047D2E"/>
    <w:rsid w:val="182E414D"/>
    <w:rsid w:val="185537EF"/>
    <w:rsid w:val="188E357D"/>
    <w:rsid w:val="18CB25F9"/>
    <w:rsid w:val="18D21BDA"/>
    <w:rsid w:val="19043F59"/>
    <w:rsid w:val="19061883"/>
    <w:rsid w:val="190D1AE1"/>
    <w:rsid w:val="19153875"/>
    <w:rsid w:val="19306900"/>
    <w:rsid w:val="19351120"/>
    <w:rsid w:val="19525EEA"/>
    <w:rsid w:val="19683FBD"/>
    <w:rsid w:val="19766A09"/>
    <w:rsid w:val="1977008B"/>
    <w:rsid w:val="19805192"/>
    <w:rsid w:val="19A05834"/>
    <w:rsid w:val="19A370D2"/>
    <w:rsid w:val="19DB0C99"/>
    <w:rsid w:val="19F912CD"/>
    <w:rsid w:val="1A351DCA"/>
    <w:rsid w:val="1A497C7A"/>
    <w:rsid w:val="1A7F5449"/>
    <w:rsid w:val="1A891F2F"/>
    <w:rsid w:val="1A937147"/>
    <w:rsid w:val="1A951111"/>
    <w:rsid w:val="1AB05F4B"/>
    <w:rsid w:val="1AC94917"/>
    <w:rsid w:val="1B140288"/>
    <w:rsid w:val="1B574618"/>
    <w:rsid w:val="1B5F527B"/>
    <w:rsid w:val="1B617245"/>
    <w:rsid w:val="1B8145D6"/>
    <w:rsid w:val="1B8229A5"/>
    <w:rsid w:val="1B884CB7"/>
    <w:rsid w:val="1B8F0552"/>
    <w:rsid w:val="1B9A62B3"/>
    <w:rsid w:val="1BA3785E"/>
    <w:rsid w:val="1BA535D6"/>
    <w:rsid w:val="1BD10986"/>
    <w:rsid w:val="1BD664C1"/>
    <w:rsid w:val="1BDB0066"/>
    <w:rsid w:val="1BEA0FE8"/>
    <w:rsid w:val="1BEB6743"/>
    <w:rsid w:val="1BF72D21"/>
    <w:rsid w:val="1BFD0D1C"/>
    <w:rsid w:val="1C0D4CD7"/>
    <w:rsid w:val="1C312E45"/>
    <w:rsid w:val="1C381D54"/>
    <w:rsid w:val="1C6568C1"/>
    <w:rsid w:val="1C7A60C9"/>
    <w:rsid w:val="1C890801"/>
    <w:rsid w:val="1CC54B7F"/>
    <w:rsid w:val="1CC632EB"/>
    <w:rsid w:val="1CCC03E2"/>
    <w:rsid w:val="1CD47504"/>
    <w:rsid w:val="1D2027D7"/>
    <w:rsid w:val="1D370008"/>
    <w:rsid w:val="1D3A5FA0"/>
    <w:rsid w:val="1D3A6632"/>
    <w:rsid w:val="1D532BBD"/>
    <w:rsid w:val="1D7B3FF9"/>
    <w:rsid w:val="1D860599"/>
    <w:rsid w:val="1DAA1C58"/>
    <w:rsid w:val="1DB93368"/>
    <w:rsid w:val="1DBC4C07"/>
    <w:rsid w:val="1DF24184"/>
    <w:rsid w:val="1DF60118"/>
    <w:rsid w:val="1E1265D5"/>
    <w:rsid w:val="1E1D38F7"/>
    <w:rsid w:val="1E2A7DC2"/>
    <w:rsid w:val="1E3D5D47"/>
    <w:rsid w:val="1E62130A"/>
    <w:rsid w:val="1E9B2A6E"/>
    <w:rsid w:val="1EA75C2F"/>
    <w:rsid w:val="1EFF124F"/>
    <w:rsid w:val="1F06438B"/>
    <w:rsid w:val="1F0813F5"/>
    <w:rsid w:val="1F0C54A8"/>
    <w:rsid w:val="1F332CA6"/>
    <w:rsid w:val="1F3709E9"/>
    <w:rsid w:val="1F3F164B"/>
    <w:rsid w:val="1F601FA9"/>
    <w:rsid w:val="1F95077E"/>
    <w:rsid w:val="1FC14756"/>
    <w:rsid w:val="1FC16504"/>
    <w:rsid w:val="1FC61D6D"/>
    <w:rsid w:val="1FD91AA0"/>
    <w:rsid w:val="1FE12702"/>
    <w:rsid w:val="1FEA5A5B"/>
    <w:rsid w:val="200308CB"/>
    <w:rsid w:val="203B4489"/>
    <w:rsid w:val="20646A1B"/>
    <w:rsid w:val="209E357D"/>
    <w:rsid w:val="20CC69EF"/>
    <w:rsid w:val="20DB35F6"/>
    <w:rsid w:val="21020B82"/>
    <w:rsid w:val="21140BF4"/>
    <w:rsid w:val="211704C9"/>
    <w:rsid w:val="213934BC"/>
    <w:rsid w:val="21683A4C"/>
    <w:rsid w:val="21690C01"/>
    <w:rsid w:val="217F06F4"/>
    <w:rsid w:val="21934186"/>
    <w:rsid w:val="21966885"/>
    <w:rsid w:val="21A36FDB"/>
    <w:rsid w:val="21B46321"/>
    <w:rsid w:val="21C878B8"/>
    <w:rsid w:val="21E9221E"/>
    <w:rsid w:val="222334A6"/>
    <w:rsid w:val="226715E5"/>
    <w:rsid w:val="22837AA1"/>
    <w:rsid w:val="22993768"/>
    <w:rsid w:val="22A85759"/>
    <w:rsid w:val="22C858FF"/>
    <w:rsid w:val="22DC7E78"/>
    <w:rsid w:val="231E32E1"/>
    <w:rsid w:val="236553F8"/>
    <w:rsid w:val="23744181"/>
    <w:rsid w:val="238F6834"/>
    <w:rsid w:val="23A81EB5"/>
    <w:rsid w:val="23C12F77"/>
    <w:rsid w:val="23CE7442"/>
    <w:rsid w:val="23D20CE0"/>
    <w:rsid w:val="23DE7685"/>
    <w:rsid w:val="23FA0237"/>
    <w:rsid w:val="23FC43CB"/>
    <w:rsid w:val="23FF3832"/>
    <w:rsid w:val="24117358"/>
    <w:rsid w:val="24286B52"/>
    <w:rsid w:val="242B4894"/>
    <w:rsid w:val="245C67FB"/>
    <w:rsid w:val="24612064"/>
    <w:rsid w:val="24833D88"/>
    <w:rsid w:val="249C309C"/>
    <w:rsid w:val="249C4E4A"/>
    <w:rsid w:val="24B04998"/>
    <w:rsid w:val="24FD3B3B"/>
    <w:rsid w:val="25070E5D"/>
    <w:rsid w:val="250749B9"/>
    <w:rsid w:val="252C08C4"/>
    <w:rsid w:val="252E6649"/>
    <w:rsid w:val="25382DC5"/>
    <w:rsid w:val="2540611D"/>
    <w:rsid w:val="255D7526"/>
    <w:rsid w:val="2573095D"/>
    <w:rsid w:val="25847A9B"/>
    <w:rsid w:val="25873D4C"/>
    <w:rsid w:val="25E4441C"/>
    <w:rsid w:val="2608575D"/>
    <w:rsid w:val="26323CB8"/>
    <w:rsid w:val="264D464E"/>
    <w:rsid w:val="267A740D"/>
    <w:rsid w:val="268A58A2"/>
    <w:rsid w:val="2690396B"/>
    <w:rsid w:val="26B96187"/>
    <w:rsid w:val="26CB04CF"/>
    <w:rsid w:val="26FB054E"/>
    <w:rsid w:val="26FD3CE2"/>
    <w:rsid w:val="272E0923"/>
    <w:rsid w:val="27535154"/>
    <w:rsid w:val="27541D8F"/>
    <w:rsid w:val="275639D6"/>
    <w:rsid w:val="275D6B12"/>
    <w:rsid w:val="27976C47"/>
    <w:rsid w:val="27C065A2"/>
    <w:rsid w:val="27F3046A"/>
    <w:rsid w:val="280444F2"/>
    <w:rsid w:val="28092E82"/>
    <w:rsid w:val="283C7070"/>
    <w:rsid w:val="284B1663"/>
    <w:rsid w:val="285831A2"/>
    <w:rsid w:val="287D5314"/>
    <w:rsid w:val="28AB0135"/>
    <w:rsid w:val="28C32245"/>
    <w:rsid w:val="28CE5BC0"/>
    <w:rsid w:val="28D472A8"/>
    <w:rsid w:val="28D771B3"/>
    <w:rsid w:val="28E15521"/>
    <w:rsid w:val="28F22610"/>
    <w:rsid w:val="28F6715F"/>
    <w:rsid w:val="29211DC2"/>
    <w:rsid w:val="2927562A"/>
    <w:rsid w:val="293E5137"/>
    <w:rsid w:val="294D1B32"/>
    <w:rsid w:val="295C2DFA"/>
    <w:rsid w:val="297B7831"/>
    <w:rsid w:val="29944518"/>
    <w:rsid w:val="29C15A7E"/>
    <w:rsid w:val="2A247DBB"/>
    <w:rsid w:val="2A352282"/>
    <w:rsid w:val="2A5F71FE"/>
    <w:rsid w:val="2A741800"/>
    <w:rsid w:val="2A7E1274"/>
    <w:rsid w:val="2AD4533E"/>
    <w:rsid w:val="2ADC41F2"/>
    <w:rsid w:val="2ADF3CE2"/>
    <w:rsid w:val="2AFFD2F1"/>
    <w:rsid w:val="2B006133"/>
    <w:rsid w:val="2B183E1B"/>
    <w:rsid w:val="2B19215E"/>
    <w:rsid w:val="2B22112A"/>
    <w:rsid w:val="2B265158"/>
    <w:rsid w:val="2B3744A0"/>
    <w:rsid w:val="2B923293"/>
    <w:rsid w:val="2BAF21A8"/>
    <w:rsid w:val="2BCC11A7"/>
    <w:rsid w:val="2BDB76C2"/>
    <w:rsid w:val="2BE27F2E"/>
    <w:rsid w:val="2BE3A5AB"/>
    <w:rsid w:val="2BE87AAD"/>
    <w:rsid w:val="2BE912BD"/>
    <w:rsid w:val="2C1A1476"/>
    <w:rsid w:val="2C2E6CCF"/>
    <w:rsid w:val="2C37360C"/>
    <w:rsid w:val="2C5A3DB0"/>
    <w:rsid w:val="2C666469"/>
    <w:rsid w:val="2C6D3C9C"/>
    <w:rsid w:val="2C732934"/>
    <w:rsid w:val="2C7548FE"/>
    <w:rsid w:val="2C7F154B"/>
    <w:rsid w:val="2CCB451E"/>
    <w:rsid w:val="2D26365A"/>
    <w:rsid w:val="2D4B565F"/>
    <w:rsid w:val="2D5B1AF1"/>
    <w:rsid w:val="2D71156A"/>
    <w:rsid w:val="2D7121BC"/>
    <w:rsid w:val="2D8F7C42"/>
    <w:rsid w:val="2DB23588"/>
    <w:rsid w:val="2DB61DC2"/>
    <w:rsid w:val="2DD85145"/>
    <w:rsid w:val="2DE316E4"/>
    <w:rsid w:val="2E0F48DF"/>
    <w:rsid w:val="2E2C36E3"/>
    <w:rsid w:val="2E4A0A0F"/>
    <w:rsid w:val="2E61479F"/>
    <w:rsid w:val="2E764E31"/>
    <w:rsid w:val="2E935510"/>
    <w:rsid w:val="2EC21111"/>
    <w:rsid w:val="2ED964C1"/>
    <w:rsid w:val="2EED10C4"/>
    <w:rsid w:val="2F0C2E65"/>
    <w:rsid w:val="2F113395"/>
    <w:rsid w:val="2F2B1BEC"/>
    <w:rsid w:val="2F3F2FA2"/>
    <w:rsid w:val="2F5729E1"/>
    <w:rsid w:val="2F8337D6"/>
    <w:rsid w:val="2FAD2601"/>
    <w:rsid w:val="2FBD207A"/>
    <w:rsid w:val="2FC46C7B"/>
    <w:rsid w:val="2FE8309F"/>
    <w:rsid w:val="2FE861DB"/>
    <w:rsid w:val="2FF975F4"/>
    <w:rsid w:val="30091D21"/>
    <w:rsid w:val="301A5EE8"/>
    <w:rsid w:val="301D68DE"/>
    <w:rsid w:val="30226E93"/>
    <w:rsid w:val="302A1EA4"/>
    <w:rsid w:val="306A22A0"/>
    <w:rsid w:val="30847806"/>
    <w:rsid w:val="30D75B88"/>
    <w:rsid w:val="31181CFC"/>
    <w:rsid w:val="31307046"/>
    <w:rsid w:val="313A6116"/>
    <w:rsid w:val="319770C5"/>
    <w:rsid w:val="31FE7144"/>
    <w:rsid w:val="32285F6F"/>
    <w:rsid w:val="322C5A5F"/>
    <w:rsid w:val="3245276F"/>
    <w:rsid w:val="324E12A6"/>
    <w:rsid w:val="32546D64"/>
    <w:rsid w:val="325A31AA"/>
    <w:rsid w:val="32650FD7"/>
    <w:rsid w:val="32916000"/>
    <w:rsid w:val="32AC4DF2"/>
    <w:rsid w:val="32FF13C6"/>
    <w:rsid w:val="33030EB6"/>
    <w:rsid w:val="330B682A"/>
    <w:rsid w:val="33163A81"/>
    <w:rsid w:val="332561EC"/>
    <w:rsid w:val="334260EE"/>
    <w:rsid w:val="336D4581"/>
    <w:rsid w:val="33705E1F"/>
    <w:rsid w:val="33835B53"/>
    <w:rsid w:val="33953AD8"/>
    <w:rsid w:val="33AB50A9"/>
    <w:rsid w:val="33C70135"/>
    <w:rsid w:val="33CF4C6C"/>
    <w:rsid w:val="33DC5BDE"/>
    <w:rsid w:val="34181BA1"/>
    <w:rsid w:val="341B222F"/>
    <w:rsid w:val="342015F4"/>
    <w:rsid w:val="34362BC5"/>
    <w:rsid w:val="3446557F"/>
    <w:rsid w:val="34480B4A"/>
    <w:rsid w:val="34567FB6"/>
    <w:rsid w:val="34A30383"/>
    <w:rsid w:val="34AE6BFF"/>
    <w:rsid w:val="34C1517C"/>
    <w:rsid w:val="34C91C8B"/>
    <w:rsid w:val="34FA3BF3"/>
    <w:rsid w:val="350B632D"/>
    <w:rsid w:val="351E0F07"/>
    <w:rsid w:val="3524277C"/>
    <w:rsid w:val="3529033D"/>
    <w:rsid w:val="3589141A"/>
    <w:rsid w:val="359009FB"/>
    <w:rsid w:val="359360C4"/>
    <w:rsid w:val="3599165E"/>
    <w:rsid w:val="35B74CCB"/>
    <w:rsid w:val="35C67F79"/>
    <w:rsid w:val="35C97A69"/>
    <w:rsid w:val="35D97CAC"/>
    <w:rsid w:val="35E46651"/>
    <w:rsid w:val="35E87EEF"/>
    <w:rsid w:val="35F3679E"/>
    <w:rsid w:val="35FA7C22"/>
    <w:rsid w:val="35FB3FA8"/>
    <w:rsid w:val="35FF348B"/>
    <w:rsid w:val="36063CE6"/>
    <w:rsid w:val="36415C96"/>
    <w:rsid w:val="3647031A"/>
    <w:rsid w:val="36525CB0"/>
    <w:rsid w:val="368528CA"/>
    <w:rsid w:val="36910587"/>
    <w:rsid w:val="36B129D7"/>
    <w:rsid w:val="36CF172B"/>
    <w:rsid w:val="36D668E1"/>
    <w:rsid w:val="36E80454"/>
    <w:rsid w:val="36FF9E9F"/>
    <w:rsid w:val="37012882"/>
    <w:rsid w:val="375D1A85"/>
    <w:rsid w:val="37737C8C"/>
    <w:rsid w:val="378F7419"/>
    <w:rsid w:val="37984548"/>
    <w:rsid w:val="37BF5993"/>
    <w:rsid w:val="37C91FA2"/>
    <w:rsid w:val="37CD55EE"/>
    <w:rsid w:val="37E61FE4"/>
    <w:rsid w:val="37E734B9"/>
    <w:rsid w:val="37EFD15E"/>
    <w:rsid w:val="38073014"/>
    <w:rsid w:val="380D6333"/>
    <w:rsid w:val="384004B6"/>
    <w:rsid w:val="38400B30"/>
    <w:rsid w:val="386901D1"/>
    <w:rsid w:val="389E1FD9"/>
    <w:rsid w:val="38A26A7B"/>
    <w:rsid w:val="38AB12B1"/>
    <w:rsid w:val="38C000E0"/>
    <w:rsid w:val="38C764E2"/>
    <w:rsid w:val="38DB2C38"/>
    <w:rsid w:val="38F55BAA"/>
    <w:rsid w:val="39206C68"/>
    <w:rsid w:val="39495149"/>
    <w:rsid w:val="394A04AD"/>
    <w:rsid w:val="394B3C70"/>
    <w:rsid w:val="395104A1"/>
    <w:rsid w:val="396B3311"/>
    <w:rsid w:val="39B051C8"/>
    <w:rsid w:val="39B27192"/>
    <w:rsid w:val="39D37108"/>
    <w:rsid w:val="39E460AF"/>
    <w:rsid w:val="39F46F0A"/>
    <w:rsid w:val="39FD5F33"/>
    <w:rsid w:val="3A080B60"/>
    <w:rsid w:val="3A085004"/>
    <w:rsid w:val="3A361B71"/>
    <w:rsid w:val="3A4A585F"/>
    <w:rsid w:val="3A4D6F07"/>
    <w:rsid w:val="3A5A5133"/>
    <w:rsid w:val="3A6366DE"/>
    <w:rsid w:val="3A685AA2"/>
    <w:rsid w:val="3A6C5593"/>
    <w:rsid w:val="3A773948"/>
    <w:rsid w:val="3A7E0A06"/>
    <w:rsid w:val="3A942F44"/>
    <w:rsid w:val="3A972710"/>
    <w:rsid w:val="3B293484"/>
    <w:rsid w:val="3B3E6803"/>
    <w:rsid w:val="3B806E1C"/>
    <w:rsid w:val="3B86054F"/>
    <w:rsid w:val="3B945A17"/>
    <w:rsid w:val="3B9D177C"/>
    <w:rsid w:val="3BA64AD4"/>
    <w:rsid w:val="3BA90120"/>
    <w:rsid w:val="3BB0325D"/>
    <w:rsid w:val="3BB17243"/>
    <w:rsid w:val="3BC95E9A"/>
    <w:rsid w:val="3BE455FD"/>
    <w:rsid w:val="3C0D48A1"/>
    <w:rsid w:val="3C2679C3"/>
    <w:rsid w:val="3C3C2B3B"/>
    <w:rsid w:val="3C634773"/>
    <w:rsid w:val="3C996A8E"/>
    <w:rsid w:val="3CDE6407"/>
    <w:rsid w:val="3CFB0E50"/>
    <w:rsid w:val="3D0A1093"/>
    <w:rsid w:val="3D136199"/>
    <w:rsid w:val="3D2C1009"/>
    <w:rsid w:val="3D2F6747"/>
    <w:rsid w:val="3D361E88"/>
    <w:rsid w:val="3D410A49"/>
    <w:rsid w:val="3D4D2D2E"/>
    <w:rsid w:val="3D567324"/>
    <w:rsid w:val="3D7F883C"/>
    <w:rsid w:val="3DA84E3B"/>
    <w:rsid w:val="3DAADF54"/>
    <w:rsid w:val="3DD14FC6"/>
    <w:rsid w:val="3DD36477"/>
    <w:rsid w:val="3DF82424"/>
    <w:rsid w:val="3DFBB59C"/>
    <w:rsid w:val="3E06185A"/>
    <w:rsid w:val="3E2B12C1"/>
    <w:rsid w:val="3E4A068A"/>
    <w:rsid w:val="3E500D27"/>
    <w:rsid w:val="3E607FF6"/>
    <w:rsid w:val="3E656809"/>
    <w:rsid w:val="3E7003FD"/>
    <w:rsid w:val="3E864749"/>
    <w:rsid w:val="3E9064A4"/>
    <w:rsid w:val="3EA34825"/>
    <w:rsid w:val="3EED2A1A"/>
    <w:rsid w:val="3EF45B57"/>
    <w:rsid w:val="3EFC4A0B"/>
    <w:rsid w:val="3EFE3D0F"/>
    <w:rsid w:val="3EFF5905"/>
    <w:rsid w:val="3F22673D"/>
    <w:rsid w:val="3F31711E"/>
    <w:rsid w:val="3F543E53"/>
    <w:rsid w:val="3F5C54AA"/>
    <w:rsid w:val="3F656A54"/>
    <w:rsid w:val="3F760C61"/>
    <w:rsid w:val="3F77831B"/>
    <w:rsid w:val="3F984734"/>
    <w:rsid w:val="3FAE422A"/>
    <w:rsid w:val="3FDA7ED4"/>
    <w:rsid w:val="3FDE5C0F"/>
    <w:rsid w:val="40224945"/>
    <w:rsid w:val="405C7E57"/>
    <w:rsid w:val="406B3BF6"/>
    <w:rsid w:val="40742202"/>
    <w:rsid w:val="40803118"/>
    <w:rsid w:val="409C0254"/>
    <w:rsid w:val="40BE01CA"/>
    <w:rsid w:val="40CA3013"/>
    <w:rsid w:val="40CE4185"/>
    <w:rsid w:val="40D02C36"/>
    <w:rsid w:val="40D21EC7"/>
    <w:rsid w:val="40D7128C"/>
    <w:rsid w:val="40D854C8"/>
    <w:rsid w:val="40D914A8"/>
    <w:rsid w:val="410B008F"/>
    <w:rsid w:val="41313092"/>
    <w:rsid w:val="41362456"/>
    <w:rsid w:val="416163D3"/>
    <w:rsid w:val="416845DA"/>
    <w:rsid w:val="418331C2"/>
    <w:rsid w:val="41B576FD"/>
    <w:rsid w:val="41E81277"/>
    <w:rsid w:val="420C765B"/>
    <w:rsid w:val="42273EA0"/>
    <w:rsid w:val="423F17DF"/>
    <w:rsid w:val="42402E61"/>
    <w:rsid w:val="42611433"/>
    <w:rsid w:val="426C6E5E"/>
    <w:rsid w:val="42876CE2"/>
    <w:rsid w:val="42997141"/>
    <w:rsid w:val="42B775C7"/>
    <w:rsid w:val="42F26851"/>
    <w:rsid w:val="42F70A75"/>
    <w:rsid w:val="43156510"/>
    <w:rsid w:val="435318D7"/>
    <w:rsid w:val="43A40C40"/>
    <w:rsid w:val="43BC79A0"/>
    <w:rsid w:val="43C23C8A"/>
    <w:rsid w:val="44006D4C"/>
    <w:rsid w:val="44093E52"/>
    <w:rsid w:val="44123658"/>
    <w:rsid w:val="441B2477"/>
    <w:rsid w:val="44305883"/>
    <w:rsid w:val="44617F98"/>
    <w:rsid w:val="4474454B"/>
    <w:rsid w:val="44877E79"/>
    <w:rsid w:val="448E4357"/>
    <w:rsid w:val="44A675B4"/>
    <w:rsid w:val="44A8366B"/>
    <w:rsid w:val="44AC5949"/>
    <w:rsid w:val="44B518E4"/>
    <w:rsid w:val="44CC6850"/>
    <w:rsid w:val="44D90D2D"/>
    <w:rsid w:val="44EB79FC"/>
    <w:rsid w:val="44EE4DF6"/>
    <w:rsid w:val="45193A79"/>
    <w:rsid w:val="453A7E81"/>
    <w:rsid w:val="454A1600"/>
    <w:rsid w:val="45594965"/>
    <w:rsid w:val="45765517"/>
    <w:rsid w:val="457C0654"/>
    <w:rsid w:val="4588524B"/>
    <w:rsid w:val="45895E80"/>
    <w:rsid w:val="459E0800"/>
    <w:rsid w:val="459F6E66"/>
    <w:rsid w:val="45B33821"/>
    <w:rsid w:val="45EC1A9C"/>
    <w:rsid w:val="45F97EF6"/>
    <w:rsid w:val="46152F37"/>
    <w:rsid w:val="461B7E6D"/>
    <w:rsid w:val="463351B6"/>
    <w:rsid w:val="464C1070"/>
    <w:rsid w:val="465377FB"/>
    <w:rsid w:val="4656787E"/>
    <w:rsid w:val="468477C0"/>
    <w:rsid w:val="468A0B4E"/>
    <w:rsid w:val="468F7886"/>
    <w:rsid w:val="469A3487"/>
    <w:rsid w:val="469C7200"/>
    <w:rsid w:val="46B1432D"/>
    <w:rsid w:val="46C16C66"/>
    <w:rsid w:val="46DF533E"/>
    <w:rsid w:val="4740699E"/>
    <w:rsid w:val="476538B5"/>
    <w:rsid w:val="47743CD8"/>
    <w:rsid w:val="47A12944"/>
    <w:rsid w:val="47B16CDB"/>
    <w:rsid w:val="480F46F9"/>
    <w:rsid w:val="4856518C"/>
    <w:rsid w:val="489108BA"/>
    <w:rsid w:val="48961A2D"/>
    <w:rsid w:val="49025314"/>
    <w:rsid w:val="490364C8"/>
    <w:rsid w:val="495E079C"/>
    <w:rsid w:val="496569CB"/>
    <w:rsid w:val="496747FE"/>
    <w:rsid w:val="4972249A"/>
    <w:rsid w:val="49885819"/>
    <w:rsid w:val="498F50D9"/>
    <w:rsid w:val="49C600F0"/>
    <w:rsid w:val="49C70A83"/>
    <w:rsid w:val="49CA66DE"/>
    <w:rsid w:val="49CD76D0"/>
    <w:rsid w:val="49D00F6E"/>
    <w:rsid w:val="49EA3D54"/>
    <w:rsid w:val="49EB7B56"/>
    <w:rsid w:val="49FF361D"/>
    <w:rsid w:val="4A1E7200"/>
    <w:rsid w:val="4A3228A6"/>
    <w:rsid w:val="4A3B24EE"/>
    <w:rsid w:val="4A3B6699"/>
    <w:rsid w:val="4A7E7BF1"/>
    <w:rsid w:val="4A835FE1"/>
    <w:rsid w:val="4A897A9B"/>
    <w:rsid w:val="4AA20B5D"/>
    <w:rsid w:val="4B0F0874"/>
    <w:rsid w:val="4B202D95"/>
    <w:rsid w:val="4B38326F"/>
    <w:rsid w:val="4B3D4790"/>
    <w:rsid w:val="4B4340EE"/>
    <w:rsid w:val="4B5300A9"/>
    <w:rsid w:val="4B553E21"/>
    <w:rsid w:val="4B5C6F5D"/>
    <w:rsid w:val="4B78366B"/>
    <w:rsid w:val="4B9D67E0"/>
    <w:rsid w:val="4BA37583"/>
    <w:rsid w:val="4BAB333E"/>
    <w:rsid w:val="4BB70638"/>
    <w:rsid w:val="4BE84ADE"/>
    <w:rsid w:val="4BEA35E2"/>
    <w:rsid w:val="4C231829"/>
    <w:rsid w:val="4C261319"/>
    <w:rsid w:val="4C2D26A8"/>
    <w:rsid w:val="4C4208FA"/>
    <w:rsid w:val="4C453E95"/>
    <w:rsid w:val="4C6D6F48"/>
    <w:rsid w:val="4C722204"/>
    <w:rsid w:val="4C9170DB"/>
    <w:rsid w:val="4C9B1D07"/>
    <w:rsid w:val="4C9E46AD"/>
    <w:rsid w:val="4CCB7D93"/>
    <w:rsid w:val="4CEC3221"/>
    <w:rsid w:val="4CEE0089"/>
    <w:rsid w:val="4D16138E"/>
    <w:rsid w:val="4D245859"/>
    <w:rsid w:val="4D3B7C96"/>
    <w:rsid w:val="4D4978AC"/>
    <w:rsid w:val="4D5221B8"/>
    <w:rsid w:val="4DE8774A"/>
    <w:rsid w:val="4DF354E4"/>
    <w:rsid w:val="4E121B55"/>
    <w:rsid w:val="4E2F4B6D"/>
    <w:rsid w:val="4E3046D1"/>
    <w:rsid w:val="4E353A96"/>
    <w:rsid w:val="4E6F2738"/>
    <w:rsid w:val="4E822DD2"/>
    <w:rsid w:val="4E9764FE"/>
    <w:rsid w:val="4E9B4352"/>
    <w:rsid w:val="4EB76F46"/>
    <w:rsid w:val="4EDE412D"/>
    <w:rsid w:val="4EF574D2"/>
    <w:rsid w:val="4F02606E"/>
    <w:rsid w:val="4F144A63"/>
    <w:rsid w:val="4F22401A"/>
    <w:rsid w:val="4F254E70"/>
    <w:rsid w:val="4F3D0E54"/>
    <w:rsid w:val="4F561F16"/>
    <w:rsid w:val="4F622668"/>
    <w:rsid w:val="4F6603AB"/>
    <w:rsid w:val="4F7725B8"/>
    <w:rsid w:val="4F9D7B44"/>
    <w:rsid w:val="4F9F1B0F"/>
    <w:rsid w:val="4FC43323"/>
    <w:rsid w:val="4FD712A8"/>
    <w:rsid w:val="4FD95020"/>
    <w:rsid w:val="4FEA0478"/>
    <w:rsid w:val="500B71A4"/>
    <w:rsid w:val="501047BA"/>
    <w:rsid w:val="501E2A33"/>
    <w:rsid w:val="502B5150"/>
    <w:rsid w:val="50373AF5"/>
    <w:rsid w:val="50616DC4"/>
    <w:rsid w:val="50783615"/>
    <w:rsid w:val="50A22688"/>
    <w:rsid w:val="50C03AEB"/>
    <w:rsid w:val="50F33EC0"/>
    <w:rsid w:val="510A745C"/>
    <w:rsid w:val="511107EA"/>
    <w:rsid w:val="51251CF4"/>
    <w:rsid w:val="512A18AC"/>
    <w:rsid w:val="51402E7D"/>
    <w:rsid w:val="51482C7D"/>
    <w:rsid w:val="515B7031"/>
    <w:rsid w:val="515D758B"/>
    <w:rsid w:val="51656D01"/>
    <w:rsid w:val="51864D34"/>
    <w:rsid w:val="518B234A"/>
    <w:rsid w:val="519311FF"/>
    <w:rsid w:val="51965D71"/>
    <w:rsid w:val="519F7BA4"/>
    <w:rsid w:val="51A96C75"/>
    <w:rsid w:val="51AE428B"/>
    <w:rsid w:val="51C55131"/>
    <w:rsid w:val="51D57A6A"/>
    <w:rsid w:val="52804A52"/>
    <w:rsid w:val="52A53AFB"/>
    <w:rsid w:val="52B256B5"/>
    <w:rsid w:val="52CC2C1B"/>
    <w:rsid w:val="52E57838"/>
    <w:rsid w:val="52F421A7"/>
    <w:rsid w:val="5302488E"/>
    <w:rsid w:val="531E4716"/>
    <w:rsid w:val="532F4F57"/>
    <w:rsid w:val="53310342"/>
    <w:rsid w:val="534F55FA"/>
    <w:rsid w:val="539D5CEC"/>
    <w:rsid w:val="53A72D40"/>
    <w:rsid w:val="53B355D7"/>
    <w:rsid w:val="53C806C1"/>
    <w:rsid w:val="53E421E6"/>
    <w:rsid w:val="53EA1748"/>
    <w:rsid w:val="53F33750"/>
    <w:rsid w:val="541128AF"/>
    <w:rsid w:val="541E31C1"/>
    <w:rsid w:val="542A0708"/>
    <w:rsid w:val="548968E9"/>
    <w:rsid w:val="549733F7"/>
    <w:rsid w:val="54A75BE6"/>
    <w:rsid w:val="54A83213"/>
    <w:rsid w:val="54B2355D"/>
    <w:rsid w:val="54B77AC1"/>
    <w:rsid w:val="54BE5272"/>
    <w:rsid w:val="54F46459"/>
    <w:rsid w:val="553D706B"/>
    <w:rsid w:val="556F3D31"/>
    <w:rsid w:val="557462A8"/>
    <w:rsid w:val="55825812"/>
    <w:rsid w:val="55AD03B6"/>
    <w:rsid w:val="55B11F2F"/>
    <w:rsid w:val="55C51FC7"/>
    <w:rsid w:val="55C67DF5"/>
    <w:rsid w:val="55E60D40"/>
    <w:rsid w:val="561C4D71"/>
    <w:rsid w:val="5624659F"/>
    <w:rsid w:val="563034C0"/>
    <w:rsid w:val="5632548A"/>
    <w:rsid w:val="56715A24"/>
    <w:rsid w:val="567B189B"/>
    <w:rsid w:val="56BA0D62"/>
    <w:rsid w:val="56BF65F2"/>
    <w:rsid w:val="56D54068"/>
    <w:rsid w:val="57054EF3"/>
    <w:rsid w:val="570D55B0"/>
    <w:rsid w:val="57142097"/>
    <w:rsid w:val="572D0CFC"/>
    <w:rsid w:val="57633CE5"/>
    <w:rsid w:val="577A4DC8"/>
    <w:rsid w:val="57960AF2"/>
    <w:rsid w:val="57A51C8C"/>
    <w:rsid w:val="57AA6E55"/>
    <w:rsid w:val="57C83332"/>
    <w:rsid w:val="57CE2F91"/>
    <w:rsid w:val="57D4431F"/>
    <w:rsid w:val="58311772"/>
    <w:rsid w:val="583F79EB"/>
    <w:rsid w:val="588A4EB2"/>
    <w:rsid w:val="589E0EC5"/>
    <w:rsid w:val="58BA3515"/>
    <w:rsid w:val="58D04AE7"/>
    <w:rsid w:val="58D26AB1"/>
    <w:rsid w:val="58D273BA"/>
    <w:rsid w:val="58E107A1"/>
    <w:rsid w:val="58E16CF4"/>
    <w:rsid w:val="5906099D"/>
    <w:rsid w:val="590B5B1F"/>
    <w:rsid w:val="59115444"/>
    <w:rsid w:val="59145045"/>
    <w:rsid w:val="591D7F46"/>
    <w:rsid w:val="59351195"/>
    <w:rsid w:val="59577DF1"/>
    <w:rsid w:val="59B937CD"/>
    <w:rsid w:val="59F667CF"/>
    <w:rsid w:val="5A3A140D"/>
    <w:rsid w:val="5A3C1A2E"/>
    <w:rsid w:val="5A4237C2"/>
    <w:rsid w:val="5A443ABB"/>
    <w:rsid w:val="5A571C23"/>
    <w:rsid w:val="5A767910"/>
    <w:rsid w:val="5A8E2EAB"/>
    <w:rsid w:val="5A957D96"/>
    <w:rsid w:val="5AA77AC9"/>
    <w:rsid w:val="5ABA77FD"/>
    <w:rsid w:val="5ABE498D"/>
    <w:rsid w:val="5AD76600"/>
    <w:rsid w:val="5B0B62AA"/>
    <w:rsid w:val="5B21787C"/>
    <w:rsid w:val="5B2378A8"/>
    <w:rsid w:val="5B4812AC"/>
    <w:rsid w:val="5B4D241F"/>
    <w:rsid w:val="5B5A431C"/>
    <w:rsid w:val="5B8816A9"/>
    <w:rsid w:val="5BBF7FC8"/>
    <w:rsid w:val="5BCA7F13"/>
    <w:rsid w:val="5BE34B31"/>
    <w:rsid w:val="5BE80399"/>
    <w:rsid w:val="5BEE7330"/>
    <w:rsid w:val="5BFF64EE"/>
    <w:rsid w:val="5C001B87"/>
    <w:rsid w:val="5C07081F"/>
    <w:rsid w:val="5C1473E0"/>
    <w:rsid w:val="5C1A4C32"/>
    <w:rsid w:val="5C7F2AAC"/>
    <w:rsid w:val="5CAC586B"/>
    <w:rsid w:val="5CB519F1"/>
    <w:rsid w:val="5CB8077F"/>
    <w:rsid w:val="5D235B2D"/>
    <w:rsid w:val="5D2C38E4"/>
    <w:rsid w:val="5D2D2508"/>
    <w:rsid w:val="5D323FC2"/>
    <w:rsid w:val="5D454E22"/>
    <w:rsid w:val="5D641CA2"/>
    <w:rsid w:val="5D7F1AD8"/>
    <w:rsid w:val="5D8754E1"/>
    <w:rsid w:val="5D8B5B79"/>
    <w:rsid w:val="5DE30E18"/>
    <w:rsid w:val="5DEA7BA9"/>
    <w:rsid w:val="5DEF20D9"/>
    <w:rsid w:val="5DF448C0"/>
    <w:rsid w:val="5DF51C45"/>
    <w:rsid w:val="5DF9063C"/>
    <w:rsid w:val="5DFB2D6D"/>
    <w:rsid w:val="5E365ED2"/>
    <w:rsid w:val="5E4F72F6"/>
    <w:rsid w:val="5E6301AB"/>
    <w:rsid w:val="5E6F4DA2"/>
    <w:rsid w:val="5E7B54F5"/>
    <w:rsid w:val="5E821550"/>
    <w:rsid w:val="5E875C48"/>
    <w:rsid w:val="5E9F7435"/>
    <w:rsid w:val="5EA44A4C"/>
    <w:rsid w:val="5EDD61AF"/>
    <w:rsid w:val="5EF43590"/>
    <w:rsid w:val="5F1F40D2"/>
    <w:rsid w:val="5F434264"/>
    <w:rsid w:val="5F57386C"/>
    <w:rsid w:val="5F593A88"/>
    <w:rsid w:val="5F5B4A5D"/>
    <w:rsid w:val="5F7A57AC"/>
    <w:rsid w:val="5F9745B0"/>
    <w:rsid w:val="5F993E84"/>
    <w:rsid w:val="5FB355F1"/>
    <w:rsid w:val="5FE327BC"/>
    <w:rsid w:val="5FFEA99E"/>
    <w:rsid w:val="601856F1"/>
    <w:rsid w:val="602D0A71"/>
    <w:rsid w:val="603277EB"/>
    <w:rsid w:val="60387556"/>
    <w:rsid w:val="603B4F3C"/>
    <w:rsid w:val="604162CA"/>
    <w:rsid w:val="60584392"/>
    <w:rsid w:val="605C7849"/>
    <w:rsid w:val="606326E4"/>
    <w:rsid w:val="607246D5"/>
    <w:rsid w:val="60777D0A"/>
    <w:rsid w:val="608A7C71"/>
    <w:rsid w:val="6098238E"/>
    <w:rsid w:val="60CA4AE4"/>
    <w:rsid w:val="60D47DFC"/>
    <w:rsid w:val="60D659FD"/>
    <w:rsid w:val="60EF5D26"/>
    <w:rsid w:val="60F039E4"/>
    <w:rsid w:val="611F660B"/>
    <w:rsid w:val="612754C0"/>
    <w:rsid w:val="614C3178"/>
    <w:rsid w:val="61783F6D"/>
    <w:rsid w:val="61835CB6"/>
    <w:rsid w:val="61845D8D"/>
    <w:rsid w:val="618943CD"/>
    <w:rsid w:val="61F611D0"/>
    <w:rsid w:val="61FE0917"/>
    <w:rsid w:val="62007000"/>
    <w:rsid w:val="620E510C"/>
    <w:rsid w:val="62287777"/>
    <w:rsid w:val="628F56D7"/>
    <w:rsid w:val="62A53835"/>
    <w:rsid w:val="62C21944"/>
    <w:rsid w:val="62DB47B4"/>
    <w:rsid w:val="62E0001C"/>
    <w:rsid w:val="62E4606E"/>
    <w:rsid w:val="62EC4C13"/>
    <w:rsid w:val="63332842"/>
    <w:rsid w:val="633E116D"/>
    <w:rsid w:val="63464492"/>
    <w:rsid w:val="6347009B"/>
    <w:rsid w:val="63554566"/>
    <w:rsid w:val="63586D06"/>
    <w:rsid w:val="637D586B"/>
    <w:rsid w:val="638360B9"/>
    <w:rsid w:val="63A97172"/>
    <w:rsid w:val="63DC6A36"/>
    <w:rsid w:val="63E5D8B1"/>
    <w:rsid w:val="63E92F01"/>
    <w:rsid w:val="63EC3F70"/>
    <w:rsid w:val="63F7386F"/>
    <w:rsid w:val="63FB5461"/>
    <w:rsid w:val="642D54E3"/>
    <w:rsid w:val="64383AD1"/>
    <w:rsid w:val="643C1282"/>
    <w:rsid w:val="64502F80"/>
    <w:rsid w:val="64526CF8"/>
    <w:rsid w:val="64590086"/>
    <w:rsid w:val="64754794"/>
    <w:rsid w:val="647629E6"/>
    <w:rsid w:val="648669A1"/>
    <w:rsid w:val="64923598"/>
    <w:rsid w:val="64BA2183"/>
    <w:rsid w:val="650515E5"/>
    <w:rsid w:val="65312F1B"/>
    <w:rsid w:val="65384140"/>
    <w:rsid w:val="65554CF2"/>
    <w:rsid w:val="65735178"/>
    <w:rsid w:val="658C7FE7"/>
    <w:rsid w:val="659155FE"/>
    <w:rsid w:val="65996677"/>
    <w:rsid w:val="65A417D5"/>
    <w:rsid w:val="65AE3D26"/>
    <w:rsid w:val="65CD26B4"/>
    <w:rsid w:val="65DC4ACB"/>
    <w:rsid w:val="65EC7453"/>
    <w:rsid w:val="66047238"/>
    <w:rsid w:val="660648E1"/>
    <w:rsid w:val="66154481"/>
    <w:rsid w:val="661A0A16"/>
    <w:rsid w:val="66310BF6"/>
    <w:rsid w:val="66543237"/>
    <w:rsid w:val="666176C6"/>
    <w:rsid w:val="666B22F3"/>
    <w:rsid w:val="666F1DE3"/>
    <w:rsid w:val="66B9305E"/>
    <w:rsid w:val="66C832A1"/>
    <w:rsid w:val="66D24120"/>
    <w:rsid w:val="66E63727"/>
    <w:rsid w:val="66F83B86"/>
    <w:rsid w:val="66FD14C3"/>
    <w:rsid w:val="6700465F"/>
    <w:rsid w:val="670544F5"/>
    <w:rsid w:val="67195C3B"/>
    <w:rsid w:val="67236BC5"/>
    <w:rsid w:val="676A4610"/>
    <w:rsid w:val="676A6F7B"/>
    <w:rsid w:val="677156E7"/>
    <w:rsid w:val="67753429"/>
    <w:rsid w:val="67780A64"/>
    <w:rsid w:val="677D30E0"/>
    <w:rsid w:val="678609C8"/>
    <w:rsid w:val="678E44EB"/>
    <w:rsid w:val="67EE0AE5"/>
    <w:rsid w:val="67EE31DB"/>
    <w:rsid w:val="68071BA7"/>
    <w:rsid w:val="68093B71"/>
    <w:rsid w:val="683230C8"/>
    <w:rsid w:val="683A01CF"/>
    <w:rsid w:val="684B418A"/>
    <w:rsid w:val="68555008"/>
    <w:rsid w:val="686200DD"/>
    <w:rsid w:val="686F7E78"/>
    <w:rsid w:val="687B6875"/>
    <w:rsid w:val="688D02FE"/>
    <w:rsid w:val="688F22C8"/>
    <w:rsid w:val="689E69AF"/>
    <w:rsid w:val="68B65AA7"/>
    <w:rsid w:val="68C65CB7"/>
    <w:rsid w:val="68EB20F0"/>
    <w:rsid w:val="68ED3493"/>
    <w:rsid w:val="68F95994"/>
    <w:rsid w:val="6917406C"/>
    <w:rsid w:val="6922138F"/>
    <w:rsid w:val="694420CC"/>
    <w:rsid w:val="69661355"/>
    <w:rsid w:val="696E1C4C"/>
    <w:rsid w:val="69A00505"/>
    <w:rsid w:val="69A34438"/>
    <w:rsid w:val="6A0A597F"/>
    <w:rsid w:val="6A0B5A82"/>
    <w:rsid w:val="6A1C1F14"/>
    <w:rsid w:val="6A31115D"/>
    <w:rsid w:val="6A415844"/>
    <w:rsid w:val="6A4175F2"/>
    <w:rsid w:val="6A5E5B5A"/>
    <w:rsid w:val="6A7F7B72"/>
    <w:rsid w:val="6A96716E"/>
    <w:rsid w:val="6AC0668D"/>
    <w:rsid w:val="6AC93629"/>
    <w:rsid w:val="6AD42215"/>
    <w:rsid w:val="6ADF6E0B"/>
    <w:rsid w:val="6AFA27E1"/>
    <w:rsid w:val="6B064EE5"/>
    <w:rsid w:val="6B1C36D8"/>
    <w:rsid w:val="6B2A277C"/>
    <w:rsid w:val="6B2E1512"/>
    <w:rsid w:val="6B3A7CC4"/>
    <w:rsid w:val="6B4F21E3"/>
    <w:rsid w:val="6B7B77ED"/>
    <w:rsid w:val="6B833C3B"/>
    <w:rsid w:val="6B923E7E"/>
    <w:rsid w:val="6BAF4A30"/>
    <w:rsid w:val="6BC24637"/>
    <w:rsid w:val="6BD242DC"/>
    <w:rsid w:val="6BF40EC1"/>
    <w:rsid w:val="6C16685D"/>
    <w:rsid w:val="6C3F4006"/>
    <w:rsid w:val="6C5E021D"/>
    <w:rsid w:val="6C7041BF"/>
    <w:rsid w:val="6CA922DA"/>
    <w:rsid w:val="6CBA36C1"/>
    <w:rsid w:val="6CD02EB0"/>
    <w:rsid w:val="6D01750D"/>
    <w:rsid w:val="6D260D22"/>
    <w:rsid w:val="6D341690"/>
    <w:rsid w:val="6D714693"/>
    <w:rsid w:val="6D9034EF"/>
    <w:rsid w:val="6DA560EA"/>
    <w:rsid w:val="6DAF0D17"/>
    <w:rsid w:val="6DAF3EC3"/>
    <w:rsid w:val="6DBD1686"/>
    <w:rsid w:val="6DC761B7"/>
    <w:rsid w:val="6DD01ED5"/>
    <w:rsid w:val="6DD05733"/>
    <w:rsid w:val="6DD571EC"/>
    <w:rsid w:val="6E1D776A"/>
    <w:rsid w:val="6E2711F5"/>
    <w:rsid w:val="6E3336F6"/>
    <w:rsid w:val="6E3B6A4F"/>
    <w:rsid w:val="6E3C0F89"/>
    <w:rsid w:val="6E3E23D3"/>
    <w:rsid w:val="6E58315D"/>
    <w:rsid w:val="6E9137E0"/>
    <w:rsid w:val="6E916298"/>
    <w:rsid w:val="6E9323E7"/>
    <w:rsid w:val="6EA84809"/>
    <w:rsid w:val="6EE36271"/>
    <w:rsid w:val="6EEF1214"/>
    <w:rsid w:val="6EF041DC"/>
    <w:rsid w:val="6F244603"/>
    <w:rsid w:val="6F4831D1"/>
    <w:rsid w:val="6F66625A"/>
    <w:rsid w:val="6FA51644"/>
    <w:rsid w:val="6FAF3250"/>
    <w:rsid w:val="6FC14D32"/>
    <w:rsid w:val="6FC50CC6"/>
    <w:rsid w:val="6FC61E8F"/>
    <w:rsid w:val="6FCE7B7A"/>
    <w:rsid w:val="6FD607DD"/>
    <w:rsid w:val="6FDE7692"/>
    <w:rsid w:val="6FE5472A"/>
    <w:rsid w:val="6FF75479"/>
    <w:rsid w:val="705A140E"/>
    <w:rsid w:val="705F4C76"/>
    <w:rsid w:val="70613731"/>
    <w:rsid w:val="70812E3F"/>
    <w:rsid w:val="70981F36"/>
    <w:rsid w:val="70997AC2"/>
    <w:rsid w:val="70C374A1"/>
    <w:rsid w:val="70F133F4"/>
    <w:rsid w:val="71096990"/>
    <w:rsid w:val="7113780F"/>
    <w:rsid w:val="712E63F7"/>
    <w:rsid w:val="713003C1"/>
    <w:rsid w:val="713A2FED"/>
    <w:rsid w:val="716A52DB"/>
    <w:rsid w:val="71706A0F"/>
    <w:rsid w:val="719178EE"/>
    <w:rsid w:val="71A60683"/>
    <w:rsid w:val="71B763EC"/>
    <w:rsid w:val="71CD5C10"/>
    <w:rsid w:val="71D32BF0"/>
    <w:rsid w:val="71FE1CB5"/>
    <w:rsid w:val="723839D1"/>
    <w:rsid w:val="72695938"/>
    <w:rsid w:val="72BA11D4"/>
    <w:rsid w:val="72D5767E"/>
    <w:rsid w:val="72DA05E4"/>
    <w:rsid w:val="73025D8D"/>
    <w:rsid w:val="73335F46"/>
    <w:rsid w:val="734B7734"/>
    <w:rsid w:val="73722F12"/>
    <w:rsid w:val="7386225B"/>
    <w:rsid w:val="73972979"/>
    <w:rsid w:val="739F6935"/>
    <w:rsid w:val="73B201E3"/>
    <w:rsid w:val="740718AD"/>
    <w:rsid w:val="741B5358"/>
    <w:rsid w:val="744F6DB0"/>
    <w:rsid w:val="745E5245"/>
    <w:rsid w:val="74624D35"/>
    <w:rsid w:val="74714F78"/>
    <w:rsid w:val="748A428C"/>
    <w:rsid w:val="7497043C"/>
    <w:rsid w:val="74CC6652"/>
    <w:rsid w:val="74DD43BC"/>
    <w:rsid w:val="74DE2D28"/>
    <w:rsid w:val="7521074C"/>
    <w:rsid w:val="75317F36"/>
    <w:rsid w:val="753A7A60"/>
    <w:rsid w:val="755248A6"/>
    <w:rsid w:val="75660855"/>
    <w:rsid w:val="759242AE"/>
    <w:rsid w:val="75B51DBC"/>
    <w:rsid w:val="75C94940"/>
    <w:rsid w:val="75CB06B8"/>
    <w:rsid w:val="75D0476C"/>
    <w:rsid w:val="75E57159"/>
    <w:rsid w:val="75ED6880"/>
    <w:rsid w:val="75FC4D15"/>
    <w:rsid w:val="763C5112"/>
    <w:rsid w:val="76431924"/>
    <w:rsid w:val="765E152C"/>
    <w:rsid w:val="766034F6"/>
    <w:rsid w:val="767E572A"/>
    <w:rsid w:val="76966F18"/>
    <w:rsid w:val="76C21ABB"/>
    <w:rsid w:val="76E01F41"/>
    <w:rsid w:val="76E45ED5"/>
    <w:rsid w:val="76EB7264"/>
    <w:rsid w:val="770025E3"/>
    <w:rsid w:val="771E7D75"/>
    <w:rsid w:val="7729CF58"/>
    <w:rsid w:val="77347057"/>
    <w:rsid w:val="77416E84"/>
    <w:rsid w:val="776668EA"/>
    <w:rsid w:val="777466B4"/>
    <w:rsid w:val="77A64F39"/>
    <w:rsid w:val="77CDDFA5"/>
    <w:rsid w:val="77CF26E1"/>
    <w:rsid w:val="77E12415"/>
    <w:rsid w:val="77F9775E"/>
    <w:rsid w:val="77FA5285"/>
    <w:rsid w:val="781E0F73"/>
    <w:rsid w:val="781E29DE"/>
    <w:rsid w:val="782725D3"/>
    <w:rsid w:val="782B3690"/>
    <w:rsid w:val="7831514A"/>
    <w:rsid w:val="78660DE1"/>
    <w:rsid w:val="78B638A1"/>
    <w:rsid w:val="78C80EDF"/>
    <w:rsid w:val="78D14237"/>
    <w:rsid w:val="78DE1E19"/>
    <w:rsid w:val="791871BB"/>
    <w:rsid w:val="793547C6"/>
    <w:rsid w:val="793D09C3"/>
    <w:rsid w:val="794A3E9B"/>
    <w:rsid w:val="79616A26"/>
    <w:rsid w:val="798968C0"/>
    <w:rsid w:val="799F4335"/>
    <w:rsid w:val="79D96301"/>
    <w:rsid w:val="79DC7338"/>
    <w:rsid w:val="79E461EC"/>
    <w:rsid w:val="7A1A0D3D"/>
    <w:rsid w:val="7A344A7E"/>
    <w:rsid w:val="7A48677B"/>
    <w:rsid w:val="7A546ECE"/>
    <w:rsid w:val="7A592736"/>
    <w:rsid w:val="7A6450F2"/>
    <w:rsid w:val="7A6766F3"/>
    <w:rsid w:val="7A8F4065"/>
    <w:rsid w:val="7AC51B7A"/>
    <w:rsid w:val="7AEC5358"/>
    <w:rsid w:val="7AF7515A"/>
    <w:rsid w:val="7B0A3A31"/>
    <w:rsid w:val="7B1524BC"/>
    <w:rsid w:val="7B9D6653"/>
    <w:rsid w:val="7BA06143"/>
    <w:rsid w:val="7BD754B6"/>
    <w:rsid w:val="7BE36163"/>
    <w:rsid w:val="7BE60B10"/>
    <w:rsid w:val="7BFF0F42"/>
    <w:rsid w:val="7C1F52BA"/>
    <w:rsid w:val="7C282DC5"/>
    <w:rsid w:val="7C4A61CB"/>
    <w:rsid w:val="7C69085F"/>
    <w:rsid w:val="7C7ECD4E"/>
    <w:rsid w:val="7C8F68E3"/>
    <w:rsid w:val="7C920C6D"/>
    <w:rsid w:val="7D210AD2"/>
    <w:rsid w:val="7D5B1FAF"/>
    <w:rsid w:val="7D666D02"/>
    <w:rsid w:val="7DA979A9"/>
    <w:rsid w:val="7DBD4D8A"/>
    <w:rsid w:val="7DC4607A"/>
    <w:rsid w:val="7DCB4A17"/>
    <w:rsid w:val="7DFB04BA"/>
    <w:rsid w:val="7E1F77F3"/>
    <w:rsid w:val="7E4253D3"/>
    <w:rsid w:val="7E6E734E"/>
    <w:rsid w:val="7E7F815B"/>
    <w:rsid w:val="7E955D07"/>
    <w:rsid w:val="7E985949"/>
    <w:rsid w:val="7E9E696A"/>
    <w:rsid w:val="7EC30AC6"/>
    <w:rsid w:val="7EC65EC0"/>
    <w:rsid w:val="7ECA7238"/>
    <w:rsid w:val="7ED57C99"/>
    <w:rsid w:val="7EDE145C"/>
    <w:rsid w:val="7EE061AE"/>
    <w:rsid w:val="7EFAE452"/>
    <w:rsid w:val="7EFB1398"/>
    <w:rsid w:val="7EFF4E54"/>
    <w:rsid w:val="7F0F2D30"/>
    <w:rsid w:val="7F1C1F84"/>
    <w:rsid w:val="7F4D213E"/>
    <w:rsid w:val="7F57EDE5"/>
    <w:rsid w:val="7F5F09B0"/>
    <w:rsid w:val="7F67259E"/>
    <w:rsid w:val="7F7B6CAB"/>
    <w:rsid w:val="7F930498"/>
    <w:rsid w:val="7F995383"/>
    <w:rsid w:val="7FAB3A34"/>
    <w:rsid w:val="7FCF6FF7"/>
    <w:rsid w:val="7FD12D6F"/>
    <w:rsid w:val="7FD64829"/>
    <w:rsid w:val="7FF7EDA6"/>
    <w:rsid w:val="94BC3F02"/>
    <w:rsid w:val="9BEA8667"/>
    <w:rsid w:val="9F5FF108"/>
    <w:rsid w:val="9FBB91E1"/>
    <w:rsid w:val="BBFD761D"/>
    <w:rsid w:val="BC8F8235"/>
    <w:rsid w:val="BDC7668B"/>
    <w:rsid w:val="BEF5DD47"/>
    <w:rsid w:val="D8503BCE"/>
    <w:rsid w:val="D9BFBA6C"/>
    <w:rsid w:val="DD4F0224"/>
    <w:rsid w:val="DFA944E4"/>
    <w:rsid w:val="DFB7CD1B"/>
    <w:rsid w:val="DFFF85B5"/>
    <w:rsid w:val="EB7B8C28"/>
    <w:rsid w:val="EE7E0E37"/>
    <w:rsid w:val="EFAB00CB"/>
    <w:rsid w:val="F7792388"/>
    <w:rsid w:val="F7EAD0FD"/>
    <w:rsid w:val="FBD7F989"/>
    <w:rsid w:val="FBFF4A41"/>
    <w:rsid w:val="FCFF24E7"/>
    <w:rsid w:val="FE5704BA"/>
    <w:rsid w:val="FE70287E"/>
    <w:rsid w:val="FED6A05D"/>
    <w:rsid w:val="FF7676ED"/>
    <w:rsid w:val="FFAB97F7"/>
    <w:rsid w:val="FFCF5C7C"/>
    <w:rsid w:val="FFDDD6A2"/>
    <w:rsid w:val="FFEF6C00"/>
    <w:rsid w:val="FFEFE144"/>
    <w:rsid w:val="FFF7643D"/>
    <w:rsid w:val="FFFBB657"/>
    <w:rsid w:val="FFFFFDF7"/>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7"/>
    <w:qFormat/>
    <w:uiPriority w:val="9"/>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59"/>
    <w:qFormat/>
    <w:uiPriority w:val="9"/>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58"/>
    <w:qFormat/>
    <w:uiPriority w:val="9"/>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rPr>
      <w:rFonts w:ascii="Times New Roman" w:hAnsi="Times New Roman" w:eastAsia="宋体" w:cs="Times New Roman"/>
      <w:szCs w:val="24"/>
    </w:rPr>
  </w:style>
  <w:style w:type="paragraph" w:styleId="7">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Normal Indent"/>
    <w:basedOn w:val="1"/>
    <w:link w:val="110"/>
    <w:qFormat/>
    <w:uiPriority w:val="99"/>
    <w:pPr>
      <w:ind w:firstLine="420" w:firstLineChars="200"/>
    </w:pPr>
    <w:rPr>
      <w:rFonts w:ascii="Times New Roman" w:hAnsi="Times New Roman" w:eastAsia="宋体" w:cs="Times New Roman"/>
      <w:kern w:val="0"/>
      <w:sz w:val="24"/>
      <w:szCs w:val="20"/>
    </w:rPr>
  </w:style>
  <w:style w:type="paragraph" w:styleId="9">
    <w:name w:val="Document Map"/>
    <w:basedOn w:val="1"/>
    <w:link w:val="128"/>
    <w:qFormat/>
    <w:uiPriority w:val="0"/>
    <w:rPr>
      <w:rFonts w:ascii="宋体" w:hAnsi="Calibri" w:eastAsia="宋体" w:cs="Times New Roman"/>
      <w:kern w:val="0"/>
      <w:sz w:val="18"/>
      <w:szCs w:val="20"/>
    </w:rPr>
  </w:style>
  <w:style w:type="paragraph" w:styleId="10">
    <w:name w:val="toa heading"/>
    <w:basedOn w:val="1"/>
    <w:next w:val="1"/>
    <w:qFormat/>
    <w:uiPriority w:val="0"/>
    <w:pPr>
      <w:spacing w:before="120"/>
    </w:pPr>
    <w:rPr>
      <w:rFonts w:ascii="Cambria" w:hAnsi="Cambria"/>
      <w:sz w:val="24"/>
      <w:szCs w:val="24"/>
    </w:rPr>
  </w:style>
  <w:style w:type="paragraph" w:styleId="11">
    <w:name w:val="annotation text"/>
    <w:basedOn w:val="1"/>
    <w:link w:val="156"/>
    <w:qFormat/>
    <w:uiPriority w:val="99"/>
    <w:pPr>
      <w:jc w:val="left"/>
    </w:pPr>
  </w:style>
  <w:style w:type="paragraph" w:styleId="12">
    <w:name w:val="Body Text"/>
    <w:basedOn w:val="1"/>
    <w:next w:val="1"/>
    <w:link w:val="131"/>
    <w:qFormat/>
    <w:uiPriority w:val="0"/>
    <w:pPr>
      <w:spacing w:after="120"/>
    </w:pPr>
    <w:rPr>
      <w:rFonts w:ascii="Calibri" w:hAnsi="Calibri" w:eastAsia="宋体" w:cs="Times New Roman"/>
      <w:kern w:val="0"/>
      <w:sz w:val="24"/>
      <w:szCs w:val="20"/>
    </w:rPr>
  </w:style>
  <w:style w:type="paragraph" w:styleId="13">
    <w:name w:val="Body Text Indent"/>
    <w:basedOn w:val="1"/>
    <w:link w:val="62"/>
    <w:qFormat/>
    <w:uiPriority w:val="0"/>
    <w:pPr>
      <w:widowControl/>
      <w:spacing w:after="120"/>
      <w:ind w:left="420"/>
    </w:pPr>
    <w:rPr>
      <w:rFonts w:ascii="??" w:hAnsi="??" w:eastAsia="宋体" w:cs="Arial"/>
      <w:kern w:val="0"/>
      <w:sz w:val="24"/>
      <w:szCs w:val="24"/>
    </w:rPr>
  </w:style>
  <w:style w:type="paragraph" w:styleId="14">
    <w:name w:val="toc 5"/>
    <w:basedOn w:val="1"/>
    <w:next w:val="1"/>
    <w:qFormat/>
    <w:uiPriority w:val="0"/>
    <w:pPr>
      <w:ind w:left="1680" w:leftChars="800"/>
    </w:pPr>
    <w:rPr>
      <w:rFonts w:ascii="Times New Roman" w:hAnsi="Times New Roman" w:eastAsia="宋体" w:cs="Times New Roman"/>
      <w:szCs w:val="24"/>
    </w:rPr>
  </w:style>
  <w:style w:type="paragraph" w:styleId="15">
    <w:name w:val="toc 3"/>
    <w:basedOn w:val="1"/>
    <w:next w:val="1"/>
    <w:qFormat/>
    <w:uiPriority w:val="39"/>
    <w:pPr>
      <w:ind w:left="840" w:leftChars="400"/>
    </w:pPr>
    <w:rPr>
      <w:rFonts w:ascii="Times New Roman" w:hAnsi="Times New Roman" w:eastAsia="宋体" w:cs="Times New Roman"/>
      <w:szCs w:val="24"/>
    </w:rPr>
  </w:style>
  <w:style w:type="paragraph" w:styleId="16">
    <w:name w:val="Plain Text"/>
    <w:basedOn w:val="1"/>
    <w:link w:val="191"/>
    <w:qFormat/>
    <w:uiPriority w:val="0"/>
    <w:rPr>
      <w:rFonts w:ascii="宋体" w:hAnsi="Courier New" w:eastAsia="宋体"/>
      <w:szCs w:val="21"/>
    </w:rPr>
  </w:style>
  <w:style w:type="paragraph" w:styleId="17">
    <w:name w:val="toc 8"/>
    <w:basedOn w:val="1"/>
    <w:next w:val="1"/>
    <w:qFormat/>
    <w:uiPriority w:val="0"/>
    <w:pPr>
      <w:ind w:left="2940" w:leftChars="1400"/>
    </w:pPr>
    <w:rPr>
      <w:rFonts w:ascii="Times New Roman" w:hAnsi="Times New Roman" w:eastAsia="宋体" w:cs="Times New Roman"/>
      <w:szCs w:val="24"/>
    </w:rPr>
  </w:style>
  <w:style w:type="paragraph" w:styleId="18">
    <w:name w:val="Date"/>
    <w:basedOn w:val="1"/>
    <w:next w:val="1"/>
    <w:link w:val="151"/>
    <w:qFormat/>
    <w:uiPriority w:val="0"/>
    <w:rPr>
      <w:szCs w:val="21"/>
    </w:rPr>
  </w:style>
  <w:style w:type="paragraph" w:styleId="19">
    <w:name w:val="Body Text Indent 2"/>
    <w:basedOn w:val="1"/>
    <w:link w:val="124"/>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0">
    <w:name w:val="Balloon Text"/>
    <w:basedOn w:val="1"/>
    <w:link w:val="74"/>
    <w:qFormat/>
    <w:uiPriority w:val="99"/>
    <w:rPr>
      <w:rFonts w:ascii="Calibri" w:hAnsi="Calibri" w:eastAsia="宋体" w:cs="Times New Roman"/>
      <w:sz w:val="18"/>
      <w:szCs w:val="18"/>
    </w:rPr>
  </w:style>
  <w:style w:type="paragraph" w:styleId="21">
    <w:name w:val="footer"/>
    <w:basedOn w:val="1"/>
    <w:link w:val="61"/>
    <w:qFormat/>
    <w:uiPriority w:val="99"/>
    <w:pPr>
      <w:tabs>
        <w:tab w:val="center" w:pos="4153"/>
        <w:tab w:val="right" w:pos="8306"/>
      </w:tabs>
      <w:snapToGrid w:val="0"/>
      <w:jc w:val="left"/>
    </w:pPr>
    <w:rPr>
      <w:rFonts w:ascii="Calibri" w:hAnsi="Calibri" w:eastAsia="宋体" w:cs="Times New Roman"/>
      <w:sz w:val="18"/>
      <w:szCs w:val="18"/>
    </w:rPr>
  </w:style>
  <w:style w:type="paragraph" w:styleId="22">
    <w:name w:val="header"/>
    <w:basedOn w:val="1"/>
    <w:link w:val="60"/>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39"/>
    <w:rPr>
      <w:rFonts w:ascii="Times New Roman" w:hAnsi="Times New Roman" w:eastAsia="宋体" w:cs="Times New Roman"/>
      <w:szCs w:val="24"/>
    </w:rPr>
  </w:style>
  <w:style w:type="paragraph" w:styleId="24">
    <w:name w:val="toc 4"/>
    <w:basedOn w:val="1"/>
    <w:next w:val="1"/>
    <w:qFormat/>
    <w:uiPriority w:val="0"/>
    <w:pPr>
      <w:ind w:left="1260" w:leftChars="600"/>
    </w:pPr>
    <w:rPr>
      <w:rFonts w:ascii="Times New Roman" w:hAnsi="Times New Roman" w:eastAsia="宋体" w:cs="Times New Roman"/>
      <w:szCs w:val="24"/>
    </w:rPr>
  </w:style>
  <w:style w:type="paragraph" w:styleId="25">
    <w:name w:val="footnote text"/>
    <w:basedOn w:val="1"/>
    <w:link w:val="168"/>
    <w:semiHidden/>
    <w:qFormat/>
    <w:uiPriority w:val="0"/>
    <w:pPr>
      <w:snapToGrid w:val="0"/>
      <w:jc w:val="left"/>
    </w:pPr>
    <w:rPr>
      <w:rFonts w:ascii="Times New Roman" w:hAnsi="Times New Roman" w:eastAsia="宋体" w:cs="Times New Roman"/>
      <w:sz w:val="18"/>
      <w:szCs w:val="18"/>
    </w:rPr>
  </w:style>
  <w:style w:type="paragraph" w:styleId="26">
    <w:name w:val="toc 6"/>
    <w:basedOn w:val="1"/>
    <w:next w:val="1"/>
    <w:qFormat/>
    <w:uiPriority w:val="0"/>
    <w:pPr>
      <w:ind w:left="2100" w:leftChars="1000"/>
    </w:pPr>
    <w:rPr>
      <w:rFonts w:ascii="Times New Roman" w:hAnsi="Times New Roman" w:eastAsia="宋体" w:cs="Times New Roman"/>
      <w:szCs w:val="24"/>
    </w:rPr>
  </w:style>
  <w:style w:type="paragraph" w:styleId="27">
    <w:name w:val="Body Text Indent 3"/>
    <w:basedOn w:val="1"/>
    <w:link w:val="126"/>
    <w:qFormat/>
    <w:uiPriority w:val="99"/>
    <w:pPr>
      <w:spacing w:line="440" w:lineRule="exact"/>
      <w:ind w:firstLine="412" w:firstLineChars="200"/>
    </w:pPr>
    <w:rPr>
      <w:rFonts w:ascii="宋体" w:hAnsi="Calibri" w:eastAsia="宋体" w:cs="Times New Roman"/>
      <w:kern w:val="0"/>
      <w:sz w:val="20"/>
      <w:szCs w:val="20"/>
    </w:rPr>
  </w:style>
  <w:style w:type="paragraph" w:styleId="28">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29">
    <w:name w:val="toc 2"/>
    <w:basedOn w:val="1"/>
    <w:next w:val="1"/>
    <w:qFormat/>
    <w:uiPriority w:val="39"/>
    <w:pPr>
      <w:ind w:left="420" w:leftChars="200"/>
    </w:pPr>
    <w:rPr>
      <w:rFonts w:ascii="Times New Roman" w:hAnsi="Times New Roman" w:eastAsia="宋体" w:cs="Times New Roman"/>
      <w:szCs w:val="24"/>
    </w:rPr>
  </w:style>
  <w:style w:type="paragraph" w:styleId="30">
    <w:name w:val="toc 9"/>
    <w:basedOn w:val="1"/>
    <w:next w:val="1"/>
    <w:qFormat/>
    <w:uiPriority w:val="0"/>
    <w:pPr>
      <w:ind w:left="3360" w:leftChars="1600"/>
    </w:pPr>
    <w:rPr>
      <w:rFonts w:ascii="Times New Roman" w:hAnsi="Times New Roman" w:eastAsia="宋体" w:cs="Times New Roman"/>
      <w:szCs w:val="24"/>
    </w:rPr>
  </w:style>
  <w:style w:type="paragraph" w:styleId="31">
    <w:name w:val="List Continue 2"/>
    <w:basedOn w:val="1"/>
    <w:qFormat/>
    <w:uiPriority w:val="99"/>
    <w:pPr>
      <w:spacing w:after="120"/>
      <w:ind w:left="840" w:leftChars="400"/>
    </w:pPr>
    <w:rPr>
      <w:rFonts w:ascii="Times New Roman" w:hAnsi="Times New Roman" w:eastAsia="宋体" w:cs="Times New Roman"/>
      <w:szCs w:val="24"/>
    </w:rPr>
  </w:style>
  <w:style w:type="paragraph" w:styleId="32">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33">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34">
    <w:name w:val="Title"/>
    <w:basedOn w:val="1"/>
    <w:link w:val="154"/>
    <w:qFormat/>
    <w:uiPriority w:val="0"/>
    <w:pPr>
      <w:spacing w:before="240" w:after="60"/>
      <w:jc w:val="center"/>
      <w:outlineLvl w:val="0"/>
    </w:pPr>
    <w:rPr>
      <w:rFonts w:ascii="Cambria" w:hAnsi="Cambria" w:cs="Times New Roman"/>
      <w:b/>
      <w:bCs/>
      <w:sz w:val="32"/>
      <w:szCs w:val="32"/>
    </w:rPr>
  </w:style>
  <w:style w:type="paragraph" w:styleId="35">
    <w:name w:val="annotation subject"/>
    <w:basedOn w:val="11"/>
    <w:next w:val="11"/>
    <w:link w:val="161"/>
    <w:qFormat/>
    <w:uiPriority w:val="99"/>
    <w:rPr>
      <w:b/>
      <w:bCs/>
    </w:rPr>
  </w:style>
  <w:style w:type="paragraph" w:styleId="36">
    <w:name w:val="Body Text First Indent"/>
    <w:basedOn w:val="12"/>
    <w:link w:val="201"/>
    <w:semiHidden/>
    <w:unhideWhenUsed/>
    <w:qFormat/>
    <w:uiPriority w:val="99"/>
    <w:pPr>
      <w:ind w:firstLine="420" w:firstLineChars="100"/>
    </w:pPr>
    <w:rPr>
      <w:rFonts w:asciiTheme="minorHAnsi" w:hAnsiTheme="minorHAnsi" w:eastAsiaTheme="minorEastAsia" w:cstheme="minorBidi"/>
      <w:kern w:val="2"/>
      <w:sz w:val="21"/>
      <w:szCs w:val="22"/>
    </w:rPr>
  </w:style>
  <w:style w:type="paragraph" w:styleId="37">
    <w:name w:val="Body Text First Indent 2"/>
    <w:basedOn w:val="13"/>
    <w:next w:val="1"/>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39">
    <w:name w:val="Table Grid"/>
    <w:basedOn w:val="3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22"/>
    <w:rPr>
      <w:rFonts w:cs="Times New Roman"/>
      <w:b/>
    </w:rPr>
  </w:style>
  <w:style w:type="character" w:styleId="42">
    <w:name w:val="page number"/>
    <w:basedOn w:val="40"/>
    <w:qFormat/>
    <w:uiPriority w:val="0"/>
    <w:rPr>
      <w:rFonts w:cs="Times New Roman"/>
    </w:rPr>
  </w:style>
  <w:style w:type="character" w:styleId="43">
    <w:name w:val="FollowedHyperlink"/>
    <w:basedOn w:val="40"/>
    <w:qFormat/>
    <w:uiPriority w:val="99"/>
    <w:rPr>
      <w:rFonts w:cs="Times New Roman"/>
      <w:color w:val="555555"/>
      <w:u w:val="none"/>
    </w:rPr>
  </w:style>
  <w:style w:type="character" w:styleId="44">
    <w:name w:val="Emphasis"/>
    <w:basedOn w:val="40"/>
    <w:qFormat/>
    <w:uiPriority w:val="0"/>
    <w:rPr>
      <w:rFonts w:cs="Times New Roman"/>
      <w:i/>
    </w:rPr>
  </w:style>
  <w:style w:type="character" w:styleId="45">
    <w:name w:val="HTML Definition"/>
    <w:basedOn w:val="40"/>
    <w:qFormat/>
    <w:uiPriority w:val="99"/>
    <w:rPr>
      <w:rFonts w:cs="Times New Roman"/>
    </w:rPr>
  </w:style>
  <w:style w:type="character" w:styleId="46">
    <w:name w:val="HTML Acronym"/>
    <w:basedOn w:val="40"/>
    <w:qFormat/>
    <w:uiPriority w:val="99"/>
    <w:rPr>
      <w:rFonts w:cs="Times New Roman"/>
    </w:rPr>
  </w:style>
  <w:style w:type="character" w:styleId="47">
    <w:name w:val="HTML Variable"/>
    <w:basedOn w:val="40"/>
    <w:qFormat/>
    <w:uiPriority w:val="99"/>
    <w:rPr>
      <w:rFonts w:cs="Times New Roman"/>
    </w:rPr>
  </w:style>
  <w:style w:type="character" w:styleId="48">
    <w:name w:val="Hyperlink"/>
    <w:basedOn w:val="40"/>
    <w:qFormat/>
    <w:uiPriority w:val="99"/>
    <w:rPr>
      <w:rFonts w:cs="Times New Roman"/>
      <w:color w:val="555555"/>
      <w:u w:val="none"/>
    </w:rPr>
  </w:style>
  <w:style w:type="character" w:styleId="49">
    <w:name w:val="HTML Code"/>
    <w:basedOn w:val="40"/>
    <w:qFormat/>
    <w:uiPriority w:val="99"/>
    <w:rPr>
      <w:rFonts w:ascii="monospace" w:hAnsi="monospace" w:cs="Times New Roman"/>
      <w:sz w:val="24"/>
    </w:rPr>
  </w:style>
  <w:style w:type="character" w:styleId="50">
    <w:name w:val="annotation reference"/>
    <w:qFormat/>
    <w:uiPriority w:val="99"/>
    <w:rPr>
      <w:sz w:val="21"/>
      <w:szCs w:val="21"/>
    </w:rPr>
  </w:style>
  <w:style w:type="character" w:styleId="51">
    <w:name w:val="HTML Cite"/>
    <w:basedOn w:val="40"/>
    <w:qFormat/>
    <w:uiPriority w:val="99"/>
    <w:rPr>
      <w:rFonts w:cs="Times New Roman"/>
    </w:rPr>
  </w:style>
  <w:style w:type="character" w:styleId="52">
    <w:name w:val="footnote reference"/>
    <w:semiHidden/>
    <w:qFormat/>
    <w:uiPriority w:val="0"/>
    <w:rPr>
      <w:vertAlign w:val="superscript"/>
    </w:rPr>
  </w:style>
  <w:style w:type="character" w:styleId="53">
    <w:name w:val="HTML Keyboard"/>
    <w:basedOn w:val="40"/>
    <w:qFormat/>
    <w:uiPriority w:val="99"/>
    <w:rPr>
      <w:rFonts w:ascii="monospace" w:hAnsi="monospace" w:cs="Times New Roman"/>
      <w:sz w:val="24"/>
    </w:rPr>
  </w:style>
  <w:style w:type="character" w:styleId="54">
    <w:name w:val="HTML Sample"/>
    <w:basedOn w:val="40"/>
    <w:qFormat/>
    <w:uiPriority w:val="99"/>
    <w:rPr>
      <w:rFonts w:ascii="monospace" w:hAnsi="monospace" w:cs="Times New Roman"/>
      <w:sz w:val="24"/>
    </w:rPr>
  </w:style>
  <w:style w:type="paragraph" w:customStyle="1" w:styleId="55">
    <w:name w:val="Default"/>
    <w:basedOn w:val="34"/>
    <w:next w:val="2"/>
    <w:qFormat/>
    <w:uiPriority w:val="0"/>
    <w:pPr>
      <w:autoSpaceDE w:val="0"/>
      <w:autoSpaceDN w:val="0"/>
      <w:adjustRightInd w:val="0"/>
      <w:jc w:val="both"/>
    </w:pPr>
    <w:rPr>
      <w:rFonts w:ascii="黑体" w:hAnsi="黑体" w:eastAsia="宋体" w:cs="黑体"/>
      <w:color w:val="000000"/>
      <w:sz w:val="24"/>
      <w:szCs w:val="24"/>
    </w:rPr>
  </w:style>
  <w:style w:type="paragraph" w:customStyle="1" w:styleId="56">
    <w:name w:val="方案正文"/>
    <w:basedOn w:val="12"/>
    <w:qFormat/>
    <w:uiPriority w:val="0"/>
    <w:pPr>
      <w:spacing w:after="0"/>
      <w:ind w:firstLine="560" w:firstLineChars="200"/>
      <w:jc w:val="left"/>
    </w:pPr>
    <w:rPr>
      <w:rFonts w:ascii="Arial" w:hAnsi="Arial" w:eastAsia="仿宋" w:cs="宋体"/>
      <w:sz w:val="28"/>
      <w:szCs w:val="21"/>
    </w:rPr>
  </w:style>
  <w:style w:type="character" w:customStyle="1" w:styleId="57">
    <w:name w:val="标题 1 字符"/>
    <w:basedOn w:val="40"/>
    <w:link w:val="2"/>
    <w:qFormat/>
    <w:uiPriority w:val="9"/>
    <w:rPr>
      <w:rFonts w:ascii="???" w:hAnsi="???" w:eastAsia="宋体" w:cs="Arial"/>
      <w:b/>
      <w:bCs/>
      <w:color w:val="020000"/>
      <w:kern w:val="36"/>
      <w:sz w:val="44"/>
      <w:szCs w:val="44"/>
    </w:rPr>
  </w:style>
  <w:style w:type="character" w:customStyle="1" w:styleId="58">
    <w:name w:val="标题 3 字符"/>
    <w:basedOn w:val="40"/>
    <w:link w:val="4"/>
    <w:qFormat/>
    <w:uiPriority w:val="9"/>
    <w:rPr>
      <w:rFonts w:ascii="??" w:hAnsi="??" w:eastAsia="宋体" w:cs="Arial"/>
      <w:b/>
      <w:bCs/>
      <w:color w:val="000000"/>
      <w:kern w:val="0"/>
      <w:sz w:val="32"/>
      <w:szCs w:val="32"/>
    </w:rPr>
  </w:style>
  <w:style w:type="character" w:customStyle="1" w:styleId="59">
    <w:name w:val="标题 2 字符"/>
    <w:basedOn w:val="40"/>
    <w:link w:val="3"/>
    <w:qFormat/>
    <w:uiPriority w:val="9"/>
    <w:rPr>
      <w:rFonts w:ascii="???" w:hAnsi="???" w:eastAsia="宋体" w:cs="Arial"/>
      <w:b/>
      <w:bCs/>
      <w:color w:val="020000"/>
      <w:kern w:val="0"/>
      <w:sz w:val="32"/>
      <w:szCs w:val="32"/>
    </w:rPr>
  </w:style>
  <w:style w:type="character" w:customStyle="1" w:styleId="60">
    <w:name w:val="页眉 字符"/>
    <w:basedOn w:val="40"/>
    <w:link w:val="22"/>
    <w:qFormat/>
    <w:uiPriority w:val="99"/>
    <w:rPr>
      <w:rFonts w:ascii="Calibri" w:hAnsi="Calibri" w:eastAsia="宋体" w:cs="Times New Roman"/>
      <w:sz w:val="18"/>
      <w:szCs w:val="18"/>
    </w:rPr>
  </w:style>
  <w:style w:type="character" w:customStyle="1" w:styleId="61">
    <w:name w:val="页脚 字符"/>
    <w:basedOn w:val="40"/>
    <w:link w:val="21"/>
    <w:qFormat/>
    <w:uiPriority w:val="99"/>
    <w:rPr>
      <w:rFonts w:ascii="Calibri" w:hAnsi="Calibri" w:eastAsia="宋体" w:cs="Times New Roman"/>
      <w:sz w:val="18"/>
      <w:szCs w:val="18"/>
    </w:rPr>
  </w:style>
  <w:style w:type="character" w:customStyle="1" w:styleId="62">
    <w:name w:val="正文文本缩进 字符"/>
    <w:basedOn w:val="40"/>
    <w:link w:val="13"/>
    <w:qFormat/>
    <w:uiPriority w:val="0"/>
    <w:rPr>
      <w:rFonts w:ascii="??" w:hAnsi="??" w:eastAsia="宋体" w:cs="Arial"/>
      <w:kern w:val="0"/>
      <w:sz w:val="24"/>
      <w:szCs w:val="24"/>
    </w:rPr>
  </w:style>
  <w:style w:type="paragraph" w:customStyle="1" w:styleId="63">
    <w:name w:val="列出段落1"/>
    <w:basedOn w:val="1"/>
    <w:qFormat/>
    <w:uiPriority w:val="34"/>
    <w:pPr>
      <w:ind w:firstLine="420" w:firstLineChars="200"/>
    </w:pPr>
    <w:rPr>
      <w:rFonts w:ascii="Calibri" w:hAnsi="Calibri" w:eastAsia="宋体" w:cs="Times New Roman"/>
    </w:rPr>
  </w:style>
  <w:style w:type="character" w:customStyle="1" w:styleId="64">
    <w:name w:val="标题 2 Char Char"/>
    <w:qFormat/>
    <w:uiPriority w:val="99"/>
    <w:rPr>
      <w:rFonts w:ascii="Arial" w:hAnsi="Arial" w:eastAsia="黑体"/>
      <w:b/>
      <w:kern w:val="2"/>
      <w:sz w:val="32"/>
      <w:lang w:val="en-US" w:eastAsia="zh-CN"/>
    </w:rPr>
  </w:style>
  <w:style w:type="character" w:customStyle="1" w:styleId="65">
    <w:name w:val="2charchar"/>
    <w:basedOn w:val="40"/>
    <w:qFormat/>
    <w:uiPriority w:val="99"/>
    <w:rPr>
      <w:rFonts w:cs="Times New Roman"/>
    </w:rPr>
  </w:style>
  <w:style w:type="paragraph" w:customStyle="1" w:styleId="66">
    <w:name w:val="表格文字"/>
    <w:basedOn w:val="1"/>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67">
    <w:name w:val="z-窗体顶端1"/>
    <w:basedOn w:val="1"/>
    <w:next w:val="1"/>
    <w:link w:val="68"/>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68">
    <w:name w:val="z-窗体顶端 Char"/>
    <w:basedOn w:val="40"/>
    <w:link w:val="67"/>
    <w:semiHidden/>
    <w:qFormat/>
    <w:uiPriority w:val="99"/>
    <w:rPr>
      <w:rFonts w:ascii="Arial" w:hAnsi="Arial" w:eastAsia="宋体" w:cs="Arial"/>
      <w:vanish/>
      <w:kern w:val="0"/>
      <w:sz w:val="16"/>
      <w:szCs w:val="16"/>
    </w:rPr>
  </w:style>
  <w:style w:type="paragraph" w:customStyle="1" w:styleId="69">
    <w:name w:val="z-窗体底端1"/>
    <w:basedOn w:val="1"/>
    <w:next w:val="1"/>
    <w:link w:val="70"/>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0">
    <w:name w:val="z-窗体底端 Char"/>
    <w:basedOn w:val="40"/>
    <w:link w:val="69"/>
    <w:semiHidden/>
    <w:qFormat/>
    <w:uiPriority w:val="99"/>
    <w:rPr>
      <w:rFonts w:ascii="Arial" w:hAnsi="Arial" w:eastAsia="宋体" w:cs="Arial"/>
      <w:vanish/>
      <w:kern w:val="0"/>
      <w:sz w:val="16"/>
      <w:szCs w:val="16"/>
    </w:rPr>
  </w:style>
  <w:style w:type="paragraph" w:customStyle="1" w:styleId="71">
    <w:name w:val="hu正文"/>
    <w:basedOn w:val="1"/>
    <w:link w:val="72"/>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2">
    <w:name w:val="hu正文 Char"/>
    <w:link w:val="71"/>
    <w:qFormat/>
    <w:locked/>
    <w:uiPriority w:val="99"/>
    <w:rPr>
      <w:rFonts w:ascii="Times New Roman" w:hAnsi="Times New Roman" w:eastAsia="宋体" w:cs="Times New Roman"/>
      <w:kern w:val="0"/>
      <w:sz w:val="24"/>
      <w:szCs w:val="20"/>
    </w:rPr>
  </w:style>
  <w:style w:type="paragraph" w:customStyle="1" w:styleId="73">
    <w:name w:val="无间隔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74">
    <w:name w:val="批注框文本 字符"/>
    <w:basedOn w:val="40"/>
    <w:link w:val="20"/>
    <w:qFormat/>
    <w:uiPriority w:val="99"/>
    <w:rPr>
      <w:rFonts w:ascii="Calibri" w:hAnsi="Calibri" w:eastAsia="宋体" w:cs="Times New Roman"/>
      <w:sz w:val="18"/>
      <w:szCs w:val="18"/>
    </w:rPr>
  </w:style>
  <w:style w:type="character" w:customStyle="1" w:styleId="75">
    <w:name w:val="ui-bz-bg-hover1"/>
    <w:basedOn w:val="40"/>
    <w:qFormat/>
    <w:uiPriority w:val="99"/>
    <w:rPr>
      <w:rFonts w:cs="Times New Roman"/>
    </w:rPr>
  </w:style>
  <w:style w:type="character" w:customStyle="1" w:styleId="76">
    <w:name w:val="批注框文本 Char1"/>
    <w:qFormat/>
    <w:uiPriority w:val="99"/>
    <w:rPr>
      <w:rFonts w:ascii="Times New Roman" w:hAnsi="Times New Roman" w:eastAsia="宋体"/>
      <w:sz w:val="18"/>
    </w:rPr>
  </w:style>
  <w:style w:type="character" w:customStyle="1" w:styleId="77">
    <w:name w:val="bds_nopic"/>
    <w:basedOn w:val="40"/>
    <w:qFormat/>
    <w:uiPriority w:val="99"/>
    <w:rPr>
      <w:rFonts w:cs="Times New Roman"/>
    </w:rPr>
  </w:style>
  <w:style w:type="character" w:customStyle="1" w:styleId="78">
    <w:name w:val="tip12"/>
    <w:qFormat/>
    <w:uiPriority w:val="99"/>
    <w:rPr>
      <w:vanish/>
      <w:color w:val="FF0000"/>
      <w:sz w:val="18"/>
    </w:rPr>
  </w:style>
  <w:style w:type="character" w:customStyle="1" w:styleId="79">
    <w:name w:val="Body Text Indent 3 Char"/>
    <w:qFormat/>
    <w:locked/>
    <w:uiPriority w:val="99"/>
    <w:rPr>
      <w:rFonts w:ascii="宋体" w:eastAsia="宋体"/>
    </w:rPr>
  </w:style>
  <w:style w:type="character" w:customStyle="1" w:styleId="80">
    <w:name w:val="HTML Markup"/>
    <w:qFormat/>
    <w:uiPriority w:val="99"/>
    <w:rPr>
      <w:vanish/>
      <w:color w:val="FF0000"/>
    </w:rPr>
  </w:style>
  <w:style w:type="character" w:customStyle="1" w:styleId="81">
    <w:name w:val="tip7"/>
    <w:qFormat/>
    <w:uiPriority w:val="99"/>
    <w:rPr>
      <w:vanish/>
      <w:color w:val="FF0000"/>
      <w:sz w:val="18"/>
    </w:rPr>
  </w:style>
  <w:style w:type="character" w:customStyle="1" w:styleId="82">
    <w:name w:val="f-star"/>
    <w:qFormat/>
    <w:uiPriority w:val="99"/>
    <w:rPr>
      <w:color w:val="999999"/>
      <w:sz w:val="21"/>
    </w:rPr>
  </w:style>
  <w:style w:type="character" w:customStyle="1" w:styleId="83">
    <w:name w:val="Document Map Char1"/>
    <w:qFormat/>
    <w:uiPriority w:val="99"/>
    <w:rPr>
      <w:rFonts w:ascii="Times New Roman" w:hAnsi="Times New Roman"/>
      <w:kern w:val="2"/>
      <w:sz w:val="2"/>
    </w:rPr>
  </w:style>
  <w:style w:type="character" w:customStyle="1" w:styleId="84">
    <w:name w:val="my-class2"/>
    <w:basedOn w:val="40"/>
    <w:qFormat/>
    <w:uiPriority w:val="99"/>
    <w:rPr>
      <w:rFonts w:cs="Times New Roman"/>
    </w:rPr>
  </w:style>
  <w:style w:type="character" w:customStyle="1" w:styleId="85">
    <w:name w:val="no52"/>
    <w:basedOn w:val="40"/>
    <w:qFormat/>
    <w:uiPriority w:val="99"/>
    <w:rPr>
      <w:rFonts w:cs="Times New Roman"/>
    </w:rPr>
  </w:style>
  <w:style w:type="character" w:customStyle="1" w:styleId="86">
    <w:name w:val="no4"/>
    <w:basedOn w:val="40"/>
    <w:qFormat/>
    <w:uiPriority w:val="99"/>
    <w:rPr>
      <w:rFonts w:cs="Times New Roman"/>
    </w:rPr>
  </w:style>
  <w:style w:type="character" w:customStyle="1" w:styleId="87">
    <w:name w:val="my-notice"/>
    <w:basedOn w:val="40"/>
    <w:qFormat/>
    <w:uiPriority w:val="99"/>
    <w:rPr>
      <w:rFonts w:cs="Times New Roman"/>
    </w:rPr>
  </w:style>
  <w:style w:type="character" w:customStyle="1" w:styleId="88">
    <w:name w:val="ico-jiang"/>
    <w:basedOn w:val="40"/>
    <w:qFormat/>
    <w:uiPriority w:val="99"/>
    <w:rPr>
      <w:rFonts w:cs="Times New Roman"/>
    </w:rPr>
  </w:style>
  <w:style w:type="character" w:customStyle="1" w:styleId="89">
    <w:name w:val="ico-jiang2"/>
    <w:basedOn w:val="40"/>
    <w:qFormat/>
    <w:uiPriority w:val="99"/>
    <w:rPr>
      <w:rFonts w:cs="Times New Roman"/>
    </w:rPr>
  </w:style>
  <w:style w:type="character" w:customStyle="1" w:styleId="90">
    <w:name w:val="bds_more1"/>
    <w:qFormat/>
    <w:uiPriority w:val="99"/>
    <w:rPr>
      <w:rFonts w:ascii="宋体" w:hAnsi="宋体" w:eastAsia="宋体"/>
    </w:rPr>
  </w:style>
  <w:style w:type="character" w:customStyle="1" w:styleId="91">
    <w:name w:val="Body Text Indent 2 Char"/>
    <w:qFormat/>
    <w:locked/>
    <w:uiPriority w:val="99"/>
    <w:rPr>
      <w:rFonts w:ascii="宋体" w:eastAsia="宋体"/>
      <w:sz w:val="24"/>
    </w:rPr>
  </w:style>
  <w:style w:type="character" w:customStyle="1" w:styleId="92">
    <w:name w:val="org_name"/>
    <w:basedOn w:val="40"/>
    <w:qFormat/>
    <w:uiPriority w:val="99"/>
    <w:rPr>
      <w:rFonts w:cs="Times New Roman"/>
    </w:rPr>
  </w:style>
  <w:style w:type="character" w:customStyle="1" w:styleId="93">
    <w:name w:val="org_name2"/>
    <w:basedOn w:val="40"/>
    <w:qFormat/>
    <w:uiPriority w:val="99"/>
    <w:rPr>
      <w:rFonts w:cs="Times New Roman"/>
    </w:rPr>
  </w:style>
  <w:style w:type="character" w:customStyle="1" w:styleId="94">
    <w:name w:val="tip10"/>
    <w:qFormat/>
    <w:uiPriority w:val="99"/>
    <w:rPr>
      <w:vanish/>
      <w:color w:val="FF0000"/>
      <w:sz w:val="18"/>
    </w:rPr>
  </w:style>
  <w:style w:type="character" w:customStyle="1" w:styleId="95">
    <w:name w:val="orange"/>
    <w:qFormat/>
    <w:uiPriority w:val="99"/>
    <w:rPr>
      <w:color w:val="3FB58F"/>
    </w:rPr>
  </w:style>
  <w:style w:type="character" w:customStyle="1" w:styleId="96">
    <w:name w:val="bds_more"/>
    <w:basedOn w:val="40"/>
    <w:qFormat/>
    <w:uiPriority w:val="99"/>
    <w:rPr>
      <w:rFonts w:cs="Times New Roman"/>
    </w:rPr>
  </w:style>
  <w:style w:type="character" w:customStyle="1" w:styleId="97">
    <w:name w:val="t-tag"/>
    <w:qFormat/>
    <w:uiPriority w:val="99"/>
    <w:rPr>
      <w:color w:val="FFFFFF"/>
      <w:sz w:val="18"/>
      <w:shd w:val="clear" w:color="auto" w:fill="FE8833"/>
    </w:rPr>
  </w:style>
  <w:style w:type="character" w:customStyle="1" w:styleId="98">
    <w:name w:val="top-icon"/>
    <w:basedOn w:val="40"/>
    <w:qFormat/>
    <w:uiPriority w:val="99"/>
    <w:rPr>
      <w:rFonts w:cs="Times New Roman"/>
    </w:rPr>
  </w:style>
  <w:style w:type="character" w:customStyle="1" w:styleId="99">
    <w:name w:val="Body Text Char"/>
    <w:qFormat/>
    <w:locked/>
    <w:uiPriority w:val="99"/>
    <w:rPr>
      <w:sz w:val="24"/>
    </w:rPr>
  </w:style>
  <w:style w:type="character" w:customStyle="1" w:styleId="100">
    <w:name w:val="no72"/>
    <w:basedOn w:val="40"/>
    <w:qFormat/>
    <w:uiPriority w:val="99"/>
    <w:rPr>
      <w:rFonts w:cs="Times New Roman"/>
    </w:rPr>
  </w:style>
  <w:style w:type="character" w:customStyle="1" w:styleId="101">
    <w:name w:val="bds_nopic2"/>
    <w:basedOn w:val="40"/>
    <w:qFormat/>
    <w:uiPriority w:val="99"/>
    <w:rPr>
      <w:rFonts w:cs="Times New Roman"/>
    </w:rPr>
  </w:style>
  <w:style w:type="character" w:customStyle="1" w:styleId="102">
    <w:name w:val="Document Map Char"/>
    <w:qFormat/>
    <w:uiPriority w:val="99"/>
    <w:rPr>
      <w:rFonts w:ascii="宋体"/>
      <w:sz w:val="18"/>
    </w:rPr>
  </w:style>
  <w:style w:type="character" w:customStyle="1" w:styleId="103">
    <w:name w:val="no6"/>
    <w:basedOn w:val="40"/>
    <w:qFormat/>
    <w:uiPriority w:val="99"/>
    <w:rPr>
      <w:rFonts w:cs="Times New Roman"/>
    </w:rPr>
  </w:style>
  <w:style w:type="character" w:customStyle="1" w:styleId="104">
    <w:name w:val="tip"/>
    <w:qFormat/>
    <w:uiPriority w:val="99"/>
    <w:rPr>
      <w:vanish/>
      <w:color w:val="FF0000"/>
      <w:sz w:val="18"/>
    </w:rPr>
  </w:style>
  <w:style w:type="character" w:customStyle="1" w:styleId="105">
    <w:name w:val="apple-converted-space"/>
    <w:basedOn w:val="40"/>
    <w:qFormat/>
    <w:uiPriority w:val="99"/>
    <w:rPr>
      <w:rFonts w:cs="Times New Roman"/>
    </w:rPr>
  </w:style>
  <w:style w:type="character" w:customStyle="1" w:styleId="106">
    <w:name w:val="bds_more2"/>
    <w:basedOn w:val="40"/>
    <w:qFormat/>
    <w:uiPriority w:val="99"/>
    <w:rPr>
      <w:rFonts w:cs="Times New Roman"/>
    </w:rPr>
  </w:style>
  <w:style w:type="character" w:customStyle="1" w:styleId="107">
    <w:name w:val="my-class"/>
    <w:basedOn w:val="40"/>
    <w:qFormat/>
    <w:uiPriority w:val="99"/>
    <w:rPr>
      <w:rFonts w:cs="Times New Roman"/>
    </w:rPr>
  </w:style>
  <w:style w:type="character" w:customStyle="1" w:styleId="108">
    <w:name w:val="ui-bz-bg-hover"/>
    <w:qFormat/>
    <w:uiPriority w:val="99"/>
    <w:rPr>
      <w:shd w:val="clear" w:color="auto" w:fill="000000"/>
    </w:rPr>
  </w:style>
  <w:style w:type="character" w:customStyle="1" w:styleId="109">
    <w:name w:val="no7"/>
    <w:basedOn w:val="40"/>
    <w:qFormat/>
    <w:uiPriority w:val="99"/>
    <w:rPr>
      <w:rFonts w:cs="Times New Roman"/>
    </w:rPr>
  </w:style>
  <w:style w:type="character" w:customStyle="1" w:styleId="110">
    <w:name w:val="正文缩进 字符"/>
    <w:link w:val="8"/>
    <w:qFormat/>
    <w:locked/>
    <w:uiPriority w:val="99"/>
    <w:rPr>
      <w:rFonts w:ascii="Times New Roman" w:hAnsi="Times New Roman" w:eastAsia="宋体" w:cs="Times New Roman"/>
      <w:kern w:val="0"/>
      <w:sz w:val="24"/>
      <w:szCs w:val="20"/>
    </w:rPr>
  </w:style>
  <w:style w:type="character" w:customStyle="1" w:styleId="111">
    <w:name w:val="ico-jiang1"/>
    <w:basedOn w:val="40"/>
    <w:qFormat/>
    <w:uiPriority w:val="99"/>
    <w:rPr>
      <w:rFonts w:cs="Times New Roman"/>
    </w:rPr>
  </w:style>
  <w:style w:type="character" w:customStyle="1" w:styleId="112">
    <w:name w:val="no62"/>
    <w:basedOn w:val="40"/>
    <w:qFormat/>
    <w:uiPriority w:val="99"/>
    <w:rPr>
      <w:rFonts w:cs="Times New Roman"/>
    </w:rPr>
  </w:style>
  <w:style w:type="character" w:customStyle="1" w:styleId="113">
    <w:name w:val="orange5"/>
    <w:qFormat/>
    <w:uiPriority w:val="99"/>
    <w:rPr>
      <w:color w:val="3FB58F"/>
    </w:rPr>
  </w:style>
  <w:style w:type="character" w:customStyle="1" w:styleId="114">
    <w:name w:val="bds_more4"/>
    <w:basedOn w:val="40"/>
    <w:qFormat/>
    <w:uiPriority w:val="99"/>
    <w:rPr>
      <w:rFonts w:cs="Times New Roman"/>
    </w:rPr>
  </w:style>
  <w:style w:type="character" w:customStyle="1" w:styleId="115">
    <w:name w:val="no5"/>
    <w:basedOn w:val="40"/>
    <w:qFormat/>
    <w:uiPriority w:val="99"/>
    <w:rPr>
      <w:rFonts w:cs="Times New Roman"/>
    </w:rPr>
  </w:style>
  <w:style w:type="character" w:customStyle="1" w:styleId="116">
    <w:name w:val="bds_more3"/>
    <w:basedOn w:val="40"/>
    <w:qFormat/>
    <w:uiPriority w:val="99"/>
    <w:rPr>
      <w:rFonts w:cs="Times New Roman"/>
    </w:rPr>
  </w:style>
  <w:style w:type="character" w:customStyle="1" w:styleId="117">
    <w:name w:val="no42"/>
    <w:basedOn w:val="40"/>
    <w:qFormat/>
    <w:uiPriority w:val="99"/>
    <w:rPr>
      <w:rFonts w:cs="Times New Roman"/>
    </w:rPr>
  </w:style>
  <w:style w:type="character" w:customStyle="1" w:styleId="118">
    <w:name w:val="bds_nopic1"/>
    <w:basedOn w:val="40"/>
    <w:qFormat/>
    <w:uiPriority w:val="99"/>
    <w:rPr>
      <w:rFonts w:cs="Times New Roman"/>
    </w:rPr>
  </w:style>
  <w:style w:type="character" w:customStyle="1" w:styleId="119">
    <w:name w:val="my-notice1"/>
    <w:basedOn w:val="40"/>
    <w:qFormat/>
    <w:uiPriority w:val="99"/>
    <w:rPr>
      <w:rFonts w:cs="Times New Roman"/>
    </w:rPr>
  </w:style>
  <w:style w:type="character" w:customStyle="1" w:styleId="120">
    <w:name w:val="orange6"/>
    <w:qFormat/>
    <w:uiPriority w:val="99"/>
    <w:rPr>
      <w:color w:val="3FB58F"/>
    </w:rPr>
  </w:style>
  <w:style w:type="character" w:customStyle="1" w:styleId="121">
    <w:name w:val="Document Map Char2"/>
    <w:qFormat/>
    <w:locked/>
    <w:uiPriority w:val="99"/>
    <w:rPr>
      <w:rFonts w:ascii="宋体"/>
      <w:sz w:val="18"/>
    </w:rPr>
  </w:style>
  <w:style w:type="character" w:customStyle="1" w:styleId="122">
    <w:name w:val="ico-jiang3"/>
    <w:basedOn w:val="40"/>
    <w:qFormat/>
    <w:uiPriority w:val="99"/>
    <w:rPr>
      <w:rFonts w:cs="Times New Roman"/>
    </w:rPr>
  </w:style>
  <w:style w:type="character" w:customStyle="1" w:styleId="123">
    <w:name w:val="tip13"/>
    <w:qFormat/>
    <w:uiPriority w:val="99"/>
    <w:rPr>
      <w:vanish/>
      <w:color w:val="FF0000"/>
      <w:sz w:val="18"/>
    </w:rPr>
  </w:style>
  <w:style w:type="character" w:customStyle="1" w:styleId="124">
    <w:name w:val="正文文本缩进 2 字符"/>
    <w:basedOn w:val="40"/>
    <w:link w:val="19"/>
    <w:qFormat/>
    <w:uiPriority w:val="99"/>
    <w:rPr>
      <w:rFonts w:ascii="宋体" w:hAnsi="Calibri" w:eastAsia="宋体" w:cs="Times New Roman"/>
      <w:kern w:val="0"/>
      <w:sz w:val="24"/>
      <w:szCs w:val="20"/>
    </w:rPr>
  </w:style>
  <w:style w:type="character" w:customStyle="1" w:styleId="125">
    <w:name w:val="Body Text Indent 2 Char1"/>
    <w:basedOn w:val="40"/>
    <w:semiHidden/>
    <w:qFormat/>
    <w:locked/>
    <w:uiPriority w:val="99"/>
    <w:rPr>
      <w:rFonts w:cs="Times New Roman"/>
    </w:rPr>
  </w:style>
  <w:style w:type="character" w:customStyle="1" w:styleId="126">
    <w:name w:val="正文文本缩进 3 字符"/>
    <w:basedOn w:val="40"/>
    <w:link w:val="27"/>
    <w:qFormat/>
    <w:uiPriority w:val="99"/>
    <w:rPr>
      <w:rFonts w:ascii="宋体" w:hAnsi="Calibri" w:eastAsia="宋体" w:cs="Times New Roman"/>
      <w:kern w:val="0"/>
      <w:sz w:val="20"/>
      <w:szCs w:val="20"/>
    </w:rPr>
  </w:style>
  <w:style w:type="character" w:customStyle="1" w:styleId="127">
    <w:name w:val="Body Text Indent 3 Char1"/>
    <w:basedOn w:val="40"/>
    <w:semiHidden/>
    <w:qFormat/>
    <w:locked/>
    <w:uiPriority w:val="99"/>
    <w:rPr>
      <w:rFonts w:cs="Times New Roman"/>
      <w:sz w:val="16"/>
      <w:szCs w:val="16"/>
    </w:rPr>
  </w:style>
  <w:style w:type="character" w:customStyle="1" w:styleId="128">
    <w:name w:val="文档结构图 字符"/>
    <w:basedOn w:val="40"/>
    <w:link w:val="9"/>
    <w:qFormat/>
    <w:uiPriority w:val="99"/>
    <w:rPr>
      <w:rFonts w:ascii="宋体" w:hAnsi="Calibri" w:eastAsia="宋体" w:cs="Times New Roman"/>
      <w:kern w:val="0"/>
      <w:sz w:val="18"/>
      <w:szCs w:val="20"/>
    </w:rPr>
  </w:style>
  <w:style w:type="character" w:customStyle="1" w:styleId="129">
    <w:name w:val="Document Map Char3"/>
    <w:basedOn w:val="40"/>
    <w:semiHidden/>
    <w:qFormat/>
    <w:locked/>
    <w:uiPriority w:val="99"/>
    <w:rPr>
      <w:rFonts w:ascii="Times New Roman" w:hAnsi="Times New Roman" w:cs="Times New Roman"/>
      <w:sz w:val="2"/>
    </w:rPr>
  </w:style>
  <w:style w:type="paragraph" w:customStyle="1" w:styleId="130">
    <w:name w:val="_Style 1"/>
    <w:basedOn w:val="1"/>
    <w:qFormat/>
    <w:uiPriority w:val="99"/>
    <w:pPr>
      <w:ind w:firstLine="420" w:firstLineChars="200"/>
    </w:pPr>
    <w:rPr>
      <w:rFonts w:ascii="Times New Roman" w:hAnsi="Times New Roman" w:eastAsia="宋体" w:cs="Times New Roman"/>
      <w:szCs w:val="24"/>
    </w:rPr>
  </w:style>
  <w:style w:type="character" w:customStyle="1" w:styleId="131">
    <w:name w:val="正文文本 字符"/>
    <w:basedOn w:val="40"/>
    <w:link w:val="12"/>
    <w:qFormat/>
    <w:uiPriority w:val="99"/>
    <w:rPr>
      <w:rFonts w:ascii="Calibri" w:hAnsi="Calibri" w:eastAsia="宋体" w:cs="Times New Roman"/>
      <w:kern w:val="0"/>
      <w:sz w:val="24"/>
      <w:szCs w:val="20"/>
    </w:rPr>
  </w:style>
  <w:style w:type="character" w:customStyle="1" w:styleId="132">
    <w:name w:val="Body Text Char1"/>
    <w:basedOn w:val="40"/>
    <w:semiHidden/>
    <w:qFormat/>
    <w:locked/>
    <w:uiPriority w:val="99"/>
    <w:rPr>
      <w:rFonts w:cs="Times New Roman"/>
    </w:rPr>
  </w:style>
  <w:style w:type="paragraph" w:customStyle="1" w:styleId="133">
    <w:name w:val="_Style 21"/>
    <w:basedOn w:val="1"/>
    <w:qFormat/>
    <w:uiPriority w:val="99"/>
    <w:rPr>
      <w:rFonts w:ascii="Times New Roman" w:hAnsi="Times New Roman" w:eastAsia="宋体" w:cs="Times New Roman"/>
      <w:szCs w:val="20"/>
    </w:rPr>
  </w:style>
  <w:style w:type="paragraph" w:customStyle="1" w:styleId="134">
    <w:name w:val="p0"/>
    <w:basedOn w:val="1"/>
    <w:qFormat/>
    <w:uiPriority w:val="99"/>
    <w:pPr>
      <w:widowControl/>
    </w:pPr>
    <w:rPr>
      <w:rFonts w:ascii="Times New Roman" w:hAnsi="Times New Roman" w:eastAsia="宋体" w:cs="Times New Roman"/>
      <w:kern w:val="0"/>
      <w:szCs w:val="21"/>
    </w:rPr>
  </w:style>
  <w:style w:type="paragraph" w:customStyle="1" w:styleId="135">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36">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37">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38">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39">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0">
    <w:name w:val="_Style 2"/>
    <w:basedOn w:val="1"/>
    <w:qFormat/>
    <w:uiPriority w:val="99"/>
    <w:pPr>
      <w:ind w:firstLine="420" w:firstLineChars="200"/>
    </w:pPr>
    <w:rPr>
      <w:rFonts w:ascii="Calibri" w:hAnsi="Calibri" w:eastAsia="宋体" w:cs="Times New Roman"/>
    </w:rPr>
  </w:style>
  <w:style w:type="paragraph" w:customStyle="1" w:styleId="141">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2">
    <w:name w:val="_Style 11"/>
    <w:basedOn w:val="1"/>
    <w:qFormat/>
    <w:uiPriority w:val="99"/>
    <w:rPr>
      <w:rFonts w:ascii="Times New Roman" w:hAnsi="Times New Roman" w:eastAsia="宋体" w:cs="Times New Roman"/>
      <w:szCs w:val="24"/>
    </w:rPr>
  </w:style>
  <w:style w:type="paragraph" w:customStyle="1" w:styleId="143">
    <w:name w:val="Char"/>
    <w:basedOn w:val="1"/>
    <w:qFormat/>
    <w:uiPriority w:val="99"/>
    <w:rPr>
      <w:rFonts w:ascii="Times New Roman" w:hAnsi="Times New Roman" w:eastAsia="宋体" w:cs="Times New Roman"/>
      <w:szCs w:val="21"/>
    </w:rPr>
  </w:style>
  <w:style w:type="paragraph" w:customStyle="1" w:styleId="144">
    <w:name w:val="列出段落12"/>
    <w:basedOn w:val="1"/>
    <w:qFormat/>
    <w:uiPriority w:val="99"/>
    <w:pPr>
      <w:ind w:firstLine="420" w:firstLineChars="200"/>
    </w:pPr>
    <w:rPr>
      <w:rFonts w:ascii="Times New Roman" w:hAnsi="Times New Roman" w:eastAsia="宋体" w:cs="Times New Roman"/>
      <w:szCs w:val="24"/>
    </w:rPr>
  </w:style>
  <w:style w:type="paragraph" w:customStyle="1" w:styleId="145">
    <w:name w:val="列出段落2"/>
    <w:basedOn w:val="1"/>
    <w:qFormat/>
    <w:uiPriority w:val="99"/>
    <w:pPr>
      <w:ind w:firstLine="420" w:firstLineChars="200"/>
    </w:pPr>
    <w:rPr>
      <w:rFonts w:ascii="Times New Roman" w:hAnsi="Times New Roman" w:eastAsia="宋体" w:cs="Times New Roman"/>
      <w:szCs w:val="24"/>
    </w:rPr>
  </w:style>
  <w:style w:type="paragraph" w:customStyle="1" w:styleId="146">
    <w:name w:val="TOC 标题1"/>
    <w:basedOn w:val="2"/>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47">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48">
    <w:name w:val="font41"/>
    <w:qFormat/>
    <w:uiPriority w:val="99"/>
    <w:rPr>
      <w:rFonts w:hint="eastAsia" w:ascii="宋体" w:hAnsi="宋体" w:eastAsia="宋体" w:cs="宋体"/>
      <w:b/>
      <w:color w:val="000000"/>
      <w:sz w:val="22"/>
      <w:szCs w:val="22"/>
      <w:u w:val="none"/>
    </w:rPr>
  </w:style>
  <w:style w:type="character" w:customStyle="1" w:styleId="149">
    <w:name w:val="font81"/>
    <w:qFormat/>
    <w:uiPriority w:val="99"/>
    <w:rPr>
      <w:rFonts w:hint="eastAsia" w:ascii="宋体" w:hAnsi="宋体" w:eastAsia="宋体" w:cs="宋体"/>
      <w:b/>
      <w:color w:val="000000"/>
      <w:sz w:val="22"/>
      <w:szCs w:val="22"/>
      <w:u w:val="none"/>
    </w:rPr>
  </w:style>
  <w:style w:type="character" w:customStyle="1" w:styleId="150">
    <w:name w:val="font21"/>
    <w:qFormat/>
    <w:uiPriority w:val="0"/>
    <w:rPr>
      <w:rFonts w:hint="eastAsia" w:ascii="宋体" w:hAnsi="宋体" w:eastAsia="宋体" w:cs="宋体"/>
      <w:color w:val="000000"/>
      <w:sz w:val="18"/>
      <w:szCs w:val="18"/>
      <w:u w:val="none"/>
    </w:rPr>
  </w:style>
  <w:style w:type="character" w:customStyle="1" w:styleId="151">
    <w:name w:val="日期 字符"/>
    <w:link w:val="18"/>
    <w:qFormat/>
    <w:uiPriority w:val="0"/>
    <w:rPr>
      <w:szCs w:val="21"/>
    </w:rPr>
  </w:style>
  <w:style w:type="character" w:customStyle="1" w:styleId="152">
    <w:name w:val="font01"/>
    <w:qFormat/>
    <w:uiPriority w:val="99"/>
    <w:rPr>
      <w:rFonts w:hint="eastAsia" w:ascii="宋体" w:hAnsi="宋体" w:eastAsia="宋体" w:cs="宋体"/>
      <w:color w:val="000000"/>
      <w:sz w:val="22"/>
      <w:szCs w:val="22"/>
      <w:u w:val="none"/>
    </w:rPr>
  </w:style>
  <w:style w:type="character" w:customStyle="1" w:styleId="153">
    <w:name w:val="Char Char1"/>
    <w:qFormat/>
    <w:uiPriority w:val="0"/>
    <w:rPr>
      <w:rFonts w:eastAsia="宋体"/>
      <w:kern w:val="2"/>
      <w:sz w:val="18"/>
      <w:szCs w:val="18"/>
      <w:lang w:val="en-US" w:eastAsia="zh-CN" w:bidi="ar-SA"/>
    </w:rPr>
  </w:style>
  <w:style w:type="character" w:customStyle="1" w:styleId="154">
    <w:name w:val="标题 字符"/>
    <w:link w:val="34"/>
    <w:qFormat/>
    <w:uiPriority w:val="0"/>
    <w:rPr>
      <w:rFonts w:ascii="Cambria" w:hAnsi="Cambria" w:cs="Times New Roman"/>
      <w:b/>
      <w:bCs/>
      <w:sz w:val="32"/>
      <w:szCs w:val="32"/>
    </w:rPr>
  </w:style>
  <w:style w:type="character" w:customStyle="1" w:styleId="155">
    <w:name w:val="hei141"/>
    <w:qFormat/>
    <w:uiPriority w:val="0"/>
    <w:rPr>
      <w:rFonts w:hint="eastAsia" w:ascii="宋体" w:hAnsi="宋体" w:eastAsia="宋体"/>
      <w:color w:val="000000"/>
      <w:sz w:val="19"/>
      <w:szCs w:val="19"/>
      <w:u w:val="none"/>
    </w:rPr>
  </w:style>
  <w:style w:type="character" w:customStyle="1" w:styleId="156">
    <w:name w:val="批注文字 字符"/>
    <w:link w:val="11"/>
    <w:qFormat/>
    <w:uiPriority w:val="99"/>
  </w:style>
  <w:style w:type="character" w:customStyle="1" w:styleId="157">
    <w:name w:val="apple-style-span"/>
    <w:basedOn w:val="40"/>
    <w:qFormat/>
    <w:uiPriority w:val="0"/>
  </w:style>
  <w:style w:type="character" w:customStyle="1" w:styleId="158">
    <w:name w:val="param-value"/>
    <w:qFormat/>
    <w:uiPriority w:val="99"/>
    <w:rPr>
      <w:rFonts w:cs="Times New Roman"/>
    </w:rPr>
  </w:style>
  <w:style w:type="character" w:customStyle="1" w:styleId="159">
    <w:name w:val="font61"/>
    <w:qFormat/>
    <w:uiPriority w:val="0"/>
    <w:rPr>
      <w:rFonts w:hint="eastAsia" w:ascii="宋体" w:hAnsi="宋体" w:eastAsia="宋体" w:cs="宋体"/>
      <w:color w:val="000000"/>
      <w:sz w:val="22"/>
      <w:szCs w:val="22"/>
      <w:u w:val="none"/>
    </w:rPr>
  </w:style>
  <w:style w:type="character" w:customStyle="1" w:styleId="160">
    <w:name w:val="font11"/>
    <w:basedOn w:val="40"/>
    <w:qFormat/>
    <w:uiPriority w:val="0"/>
    <w:rPr>
      <w:rFonts w:hint="eastAsia" w:ascii="宋体" w:hAnsi="宋体" w:eastAsia="宋体" w:cs="宋体"/>
      <w:color w:val="FF0000"/>
      <w:sz w:val="22"/>
      <w:szCs w:val="22"/>
      <w:u w:val="none"/>
    </w:rPr>
  </w:style>
  <w:style w:type="character" w:customStyle="1" w:styleId="161">
    <w:name w:val="批注主题 字符"/>
    <w:link w:val="35"/>
    <w:qFormat/>
    <w:uiPriority w:val="99"/>
    <w:rPr>
      <w:b/>
      <w:bCs/>
    </w:rPr>
  </w:style>
  <w:style w:type="character" w:customStyle="1" w:styleId="162">
    <w:name w:val="批注文字 Char1"/>
    <w:basedOn w:val="40"/>
    <w:semiHidden/>
    <w:qFormat/>
    <w:uiPriority w:val="99"/>
  </w:style>
  <w:style w:type="paragraph" w:customStyle="1" w:styleId="163">
    <w:name w:val="内文"/>
    <w:basedOn w:val="1"/>
    <w:qFormat/>
    <w:uiPriority w:val="0"/>
    <w:pPr>
      <w:spacing w:line="500" w:lineRule="exact"/>
      <w:ind w:firstLine="560" w:firstLineChars="200"/>
    </w:pPr>
    <w:rPr>
      <w:rFonts w:ascii="Arial Unicode MS" w:hAnsi="宋体" w:eastAsia="Arial Unicode MS" w:cs="Times New Roman"/>
      <w:sz w:val="28"/>
      <w:szCs w:val="28"/>
    </w:rPr>
  </w:style>
  <w:style w:type="character" w:customStyle="1" w:styleId="164">
    <w:name w:val="批注主题 Char1"/>
    <w:basedOn w:val="162"/>
    <w:semiHidden/>
    <w:qFormat/>
    <w:uiPriority w:val="99"/>
    <w:rPr>
      <w:b/>
      <w:bCs/>
    </w:rPr>
  </w:style>
  <w:style w:type="paragraph" w:customStyle="1" w:styleId="165">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6">
    <w:name w:val="日期 Char1"/>
    <w:basedOn w:val="40"/>
    <w:semiHidden/>
    <w:qFormat/>
    <w:uiPriority w:val="99"/>
  </w:style>
  <w:style w:type="paragraph" w:customStyle="1" w:styleId="167">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8">
    <w:name w:val="脚注文本 字符"/>
    <w:basedOn w:val="40"/>
    <w:link w:val="25"/>
    <w:semiHidden/>
    <w:qFormat/>
    <w:uiPriority w:val="0"/>
    <w:rPr>
      <w:rFonts w:ascii="Times New Roman" w:hAnsi="Times New Roman" w:eastAsia="宋体" w:cs="Times New Roman"/>
      <w:sz w:val="18"/>
      <w:szCs w:val="18"/>
    </w:rPr>
  </w:style>
  <w:style w:type="paragraph" w:customStyle="1" w:styleId="169">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0">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1">
    <w:name w:val="标题 Char1"/>
    <w:basedOn w:val="40"/>
    <w:qFormat/>
    <w:uiPriority w:val="10"/>
    <w:rPr>
      <w:rFonts w:eastAsia="宋体" w:asciiTheme="majorHAnsi" w:hAnsiTheme="majorHAnsi" w:cstheme="majorBidi"/>
      <w:b/>
      <w:bCs/>
      <w:sz w:val="32"/>
      <w:szCs w:val="32"/>
    </w:rPr>
  </w:style>
  <w:style w:type="paragraph" w:customStyle="1" w:styleId="172">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3">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4">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75">
    <w:name w:val="List Paragraph1"/>
    <w:basedOn w:val="1"/>
    <w:qFormat/>
    <w:uiPriority w:val="0"/>
    <w:pPr>
      <w:ind w:firstLine="420" w:firstLineChars="200"/>
    </w:pPr>
    <w:rPr>
      <w:rFonts w:ascii="Times New Roman" w:hAnsi="Times New Roman" w:eastAsia="宋体" w:cs="Times New Roman"/>
      <w:szCs w:val="24"/>
    </w:rPr>
  </w:style>
  <w:style w:type="paragraph" w:customStyle="1" w:styleId="176">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7">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8">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9">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0">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1">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2">
    <w:name w:val="列出段落3"/>
    <w:basedOn w:val="1"/>
    <w:qFormat/>
    <w:uiPriority w:val="0"/>
    <w:pPr>
      <w:ind w:firstLine="420" w:firstLineChars="200"/>
    </w:pPr>
    <w:rPr>
      <w:rFonts w:ascii="Times New Roman" w:hAnsi="Times New Roman" w:eastAsia="宋体" w:cs="Times New Roman"/>
      <w:szCs w:val="24"/>
    </w:rPr>
  </w:style>
  <w:style w:type="character" w:customStyle="1" w:styleId="183">
    <w:name w:val="Char Char12"/>
    <w:qFormat/>
    <w:uiPriority w:val="0"/>
    <w:rPr>
      <w:rFonts w:eastAsia="宋体"/>
      <w:kern w:val="2"/>
      <w:sz w:val="18"/>
      <w:szCs w:val="18"/>
      <w:lang w:val="en-US" w:eastAsia="zh-CN" w:bidi="ar-SA"/>
    </w:rPr>
  </w:style>
  <w:style w:type="paragraph" w:customStyle="1" w:styleId="184">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5">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6">
    <w:name w:val="列出段落4"/>
    <w:basedOn w:val="1"/>
    <w:qFormat/>
    <w:uiPriority w:val="0"/>
    <w:pPr>
      <w:ind w:firstLine="420" w:firstLineChars="200"/>
    </w:pPr>
    <w:rPr>
      <w:rFonts w:ascii="Times New Roman" w:hAnsi="Times New Roman" w:eastAsia="宋体" w:cs="Times New Roman"/>
      <w:szCs w:val="24"/>
    </w:rPr>
  </w:style>
  <w:style w:type="character" w:customStyle="1" w:styleId="187">
    <w:name w:val="Char Char11"/>
    <w:qFormat/>
    <w:uiPriority w:val="0"/>
    <w:rPr>
      <w:rFonts w:eastAsia="宋体"/>
      <w:kern w:val="2"/>
      <w:sz w:val="18"/>
      <w:szCs w:val="18"/>
      <w:lang w:val="en-US" w:eastAsia="zh-CN" w:bidi="ar-SA"/>
    </w:rPr>
  </w:style>
  <w:style w:type="paragraph" w:customStyle="1" w:styleId="188">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9">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0">
    <w:name w:val="列出段落5"/>
    <w:basedOn w:val="1"/>
    <w:qFormat/>
    <w:uiPriority w:val="0"/>
    <w:pPr>
      <w:ind w:firstLine="420" w:firstLineChars="200"/>
    </w:pPr>
    <w:rPr>
      <w:rFonts w:ascii="Times New Roman" w:hAnsi="Times New Roman" w:eastAsia="宋体" w:cs="Times New Roman"/>
      <w:szCs w:val="24"/>
    </w:rPr>
  </w:style>
  <w:style w:type="character" w:customStyle="1" w:styleId="191">
    <w:name w:val="纯文本 字符"/>
    <w:link w:val="16"/>
    <w:qFormat/>
    <w:uiPriority w:val="0"/>
    <w:rPr>
      <w:rFonts w:ascii="宋体" w:hAnsi="Courier New" w:eastAsia="宋体"/>
      <w:szCs w:val="21"/>
    </w:rPr>
  </w:style>
  <w:style w:type="character" w:customStyle="1" w:styleId="192">
    <w:name w:val="纯文本 Char1"/>
    <w:basedOn w:val="40"/>
    <w:semiHidden/>
    <w:qFormat/>
    <w:uiPriority w:val="99"/>
    <w:rPr>
      <w:rFonts w:ascii="宋体" w:hAnsi="Courier New" w:eastAsia="宋体" w:cs="Courier New"/>
      <w:szCs w:val="21"/>
    </w:rPr>
  </w:style>
  <w:style w:type="paragraph" w:customStyle="1" w:styleId="193">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194">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95">
    <w:name w:val="样式4"/>
    <w:basedOn w:val="1"/>
    <w:qFormat/>
    <w:uiPriority w:val="0"/>
    <w:pPr>
      <w:adjustRightInd w:val="0"/>
      <w:spacing w:line="480" w:lineRule="auto"/>
      <w:textAlignment w:val="baseline"/>
    </w:pPr>
    <w:rPr>
      <w:rFonts w:ascii="Times New Roman" w:hAnsi="Times New Roman" w:eastAsia="黑体" w:cs="Times New Roman"/>
      <w:spacing w:val="10"/>
      <w:kern w:val="28"/>
      <w:sz w:val="48"/>
      <w:szCs w:val="20"/>
    </w:rPr>
  </w:style>
  <w:style w:type="paragraph" w:customStyle="1" w:styleId="196">
    <w:name w:val="正文缩进2格"/>
    <w:basedOn w:val="1"/>
    <w:link w:val="197"/>
    <w:qFormat/>
    <w:uiPriority w:val="0"/>
    <w:pPr>
      <w:spacing w:line="600" w:lineRule="exact"/>
      <w:ind w:firstLine="639" w:firstLineChars="206"/>
    </w:pPr>
    <w:rPr>
      <w:rFonts w:ascii="仿宋_GB2312" w:hAnsi="宋体" w:eastAsia="仿宋_GB2312" w:cs="Times New Roman"/>
      <w:sz w:val="31"/>
      <w:szCs w:val="28"/>
    </w:rPr>
  </w:style>
  <w:style w:type="character" w:customStyle="1" w:styleId="197">
    <w:name w:val="正文缩进2格 Char"/>
    <w:link w:val="196"/>
    <w:qFormat/>
    <w:uiPriority w:val="0"/>
    <w:rPr>
      <w:rFonts w:ascii="仿宋_GB2312" w:hAnsi="宋体" w:eastAsia="仿宋_GB2312" w:cs="Times New Roman"/>
      <w:sz w:val="31"/>
      <w:szCs w:val="28"/>
    </w:rPr>
  </w:style>
  <w:style w:type="paragraph" w:customStyle="1" w:styleId="198">
    <w:name w:val="文件抬头"/>
    <w:qFormat/>
    <w:uiPriority w:val="0"/>
    <w:pPr>
      <w:widowControl w:val="0"/>
      <w:jc w:val="both"/>
    </w:pPr>
    <w:rPr>
      <w:rFonts w:ascii="Calibri" w:hAnsi="Calibri" w:eastAsia="仿宋_GB2312" w:cs="Times New Roman"/>
      <w:kern w:val="2"/>
      <w:sz w:val="32"/>
      <w:szCs w:val="21"/>
      <w:lang w:val="en-US" w:eastAsia="zh-CN" w:bidi="ar-SA"/>
    </w:rPr>
  </w:style>
  <w:style w:type="paragraph" w:styleId="199">
    <w:name w:val="List Paragraph"/>
    <w:basedOn w:val="1"/>
    <w:qFormat/>
    <w:uiPriority w:val="34"/>
    <w:pPr>
      <w:ind w:firstLine="420" w:firstLineChars="200"/>
    </w:pPr>
  </w:style>
  <w:style w:type="paragraph" w:customStyle="1" w:styleId="200">
    <w:name w:val="普通正文"/>
    <w:basedOn w:val="1"/>
    <w:qFormat/>
    <w:uiPriority w:val="0"/>
    <w:pPr>
      <w:adjustRightInd w:val="0"/>
      <w:spacing w:before="120" w:after="120" w:line="360" w:lineRule="auto"/>
      <w:ind w:left="50" w:leftChars="50" w:right="50" w:rightChars="50" w:firstLine="480" w:firstLineChars="200"/>
      <w:jc w:val="left"/>
      <w:textAlignment w:val="baseline"/>
    </w:pPr>
    <w:rPr>
      <w:rFonts w:ascii="Arial" w:hAnsi="Arial" w:eastAsia="宋体" w:cs="Times New Roman"/>
      <w:kern w:val="0"/>
      <w:sz w:val="24"/>
      <w:szCs w:val="24"/>
    </w:rPr>
  </w:style>
  <w:style w:type="character" w:customStyle="1" w:styleId="201">
    <w:name w:val="正文文本首行缩进 字符"/>
    <w:basedOn w:val="131"/>
    <w:link w:val="36"/>
    <w:semiHidden/>
    <w:qFormat/>
    <w:uiPriority w:val="99"/>
    <w:rPr>
      <w:rFonts w:asciiTheme="minorHAnsi" w:hAnsiTheme="minorHAnsi" w:eastAsiaTheme="minorEastAsia" w:cstheme="minorBidi"/>
      <w:kern w:val="2"/>
      <w:sz w:val="21"/>
      <w:szCs w:val="22"/>
    </w:rPr>
  </w:style>
  <w:style w:type="paragraph" w:customStyle="1" w:styleId="202">
    <w:name w:val="Table Paragraph"/>
    <w:basedOn w:val="1"/>
    <w:qFormat/>
    <w:uiPriority w:val="1"/>
    <w:pPr>
      <w:autoSpaceDE w:val="0"/>
      <w:autoSpaceDN w:val="0"/>
      <w:jc w:val="left"/>
    </w:pPr>
    <w:rPr>
      <w:rFonts w:ascii="宋体" w:hAnsi="宋体" w:eastAsia="宋体" w:cs="宋体"/>
      <w:kern w:val="0"/>
      <w:sz w:val="22"/>
    </w:rPr>
  </w:style>
  <w:style w:type="paragraph" w:customStyle="1" w:styleId="203">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4">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5">
    <w:name w:val="font31"/>
    <w:basedOn w:val="40"/>
    <w:qFormat/>
    <w:uiPriority w:val="0"/>
    <w:rPr>
      <w:rFonts w:ascii="Calibri" w:hAnsi="Calibri" w:cs="Calibri"/>
      <w:color w:val="000000"/>
      <w:sz w:val="18"/>
      <w:szCs w:val="18"/>
      <w:u w:val="none"/>
    </w:rPr>
  </w:style>
  <w:style w:type="paragraph" w:customStyle="1" w:styleId="20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207">
    <w:name w:val="Table Normal"/>
    <w:unhideWhenUsed/>
    <w:qFormat/>
    <w:uiPriority w:val="0"/>
    <w:tblPr>
      <w:tblCellMar>
        <w:top w:w="0" w:type="dxa"/>
        <w:left w:w="0" w:type="dxa"/>
        <w:bottom w:w="0" w:type="dxa"/>
        <w:right w:w="0" w:type="dxa"/>
      </w:tblCellMar>
    </w:tblPr>
  </w:style>
  <w:style w:type="paragraph" w:customStyle="1" w:styleId="208">
    <w:name w:val="Normal Indent1"/>
    <w:next w:val="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209">
    <w:name w:val="字母编号列项"/>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1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1">
    <w:name w:val="字元 字元"/>
    <w:basedOn w:val="1"/>
    <w:qFormat/>
    <w:uiPriority w:val="0"/>
    <w:rPr>
      <w:rFonts w:ascii="Tahoma" w:hAnsi="Tahoma"/>
      <w:sz w:val="24"/>
      <w:szCs w:val="20"/>
    </w:rPr>
  </w:style>
  <w:style w:type="paragraph" w:customStyle="1" w:styleId="212">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3">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4">
    <w:name w:val="Table Text"/>
    <w:basedOn w:val="1"/>
    <w:semiHidden/>
    <w:qFormat/>
    <w:uiPriority w:val="0"/>
    <w:rPr>
      <w:rFonts w:ascii="宋体" w:hAnsi="宋体" w:eastAsia="宋体" w:cs="宋体"/>
      <w:sz w:val="24"/>
      <w:szCs w:val="24"/>
      <w:lang w:eastAsia="en-US"/>
    </w:rPr>
  </w:style>
  <w:style w:type="paragraph" w:customStyle="1" w:styleId="215">
    <w:name w:val="Normal_2"/>
    <w:qFormat/>
    <w:uiPriority w:val="0"/>
    <w:pPr>
      <w:widowControl w:val="0"/>
      <w:jc w:val="both"/>
    </w:pPr>
    <w:rPr>
      <w:rFonts w:ascii="Times New Roman" w:hAnsi="Times New Roman" w:eastAsia="宋体" w:cs="Times New Roman"/>
      <w:szCs w:val="24"/>
      <w:lang w:val="en-US" w:eastAsia="zh-CN" w:bidi="ar-SA"/>
    </w:rPr>
  </w:style>
  <w:style w:type="paragraph" w:customStyle="1" w:styleId="216">
    <w:name w:val="正文缩进2"/>
    <w:basedOn w:val="1"/>
    <w:autoRedefine/>
    <w:qFormat/>
    <w:uiPriority w:val="0"/>
    <w:pPr>
      <w:wordWrap w:val="0"/>
      <w:ind w:firstLine="480"/>
    </w:pPr>
    <w:rPr>
      <w:iCs/>
      <w:shd w:val="clear" w:color="auto" w:fill="FFFFFF" w:themeFill="background1"/>
      <w:lang w:val="zh-CN"/>
    </w:rPr>
  </w:style>
  <w:style w:type="paragraph" w:customStyle="1" w:styleId="217">
    <w:name w:val="正文1"/>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8">
    <w:name w:val="修订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19">
    <w:name w:val="列表段落1"/>
    <w:basedOn w:val="1"/>
    <w:qFormat/>
    <w:uiPriority w:val="34"/>
    <w:pPr>
      <w:adjustRightInd w:val="0"/>
      <w:spacing w:line="360" w:lineRule="auto"/>
      <w:ind w:firstLine="420" w:firstLineChars="200"/>
    </w:pPr>
    <w:rPr>
      <w:rFonts w:ascii="仿宋" w:hAnsi="仿宋" w:eastAsia="仿宋" w:cs="仿宋"/>
      <w:sz w:val="24"/>
      <w:szCs w:val="24"/>
      <w14:ligatures w14:val="standardContextual"/>
    </w:rPr>
  </w:style>
  <w:style w:type="paragraph" w:customStyle="1" w:styleId="220">
    <w:name w:val="表格正文"/>
    <w:qFormat/>
    <w:uiPriority w:val="0"/>
    <w:pPr>
      <w:widowControl w:val="0"/>
      <w:autoSpaceDE w:val="0"/>
      <w:autoSpaceDN w:val="0"/>
      <w:adjustRightInd w:val="0"/>
      <w:spacing w:line="360" w:lineRule="auto"/>
    </w:pPr>
    <w:rPr>
      <w:rFonts w:ascii="仿宋" w:hAnsi="仿宋" w:eastAsia="仿宋" w:cs="仿宋"/>
      <w:sz w:val="24"/>
      <w:szCs w:val="24"/>
      <w:lang w:val="en-US" w:eastAsia="zh-CN" w:bidi="ar-SA"/>
    </w:rPr>
  </w:style>
  <w:style w:type="character" w:customStyle="1" w:styleId="221">
    <w:name w:val="正文文本 字符1"/>
    <w:basedOn w:val="40"/>
    <w:qFormat/>
    <w:locked/>
    <w:uiPriority w:val="0"/>
    <w:rPr>
      <w:rFonts w:ascii="仿宋" w:hAnsi="仿宋" w:eastAsia="仿宋" w:cs="仿宋"/>
      <w:b/>
      <w:bCs/>
      <w:kern w:val="2"/>
      <w:sz w:val="24"/>
      <w:szCs w:val="24"/>
    </w:rPr>
  </w:style>
  <w:style w:type="paragraph" w:customStyle="1" w:styleId="222">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23">
    <w:name w:val="表格样式"/>
    <w:qFormat/>
    <w:uiPriority w:val="2"/>
    <w:pPr>
      <w:adjustRightInd w:val="0"/>
    </w:pPr>
    <w:rPr>
      <w:rFonts w:ascii="宋体" w:hAnsi="宋体" w:eastAsia="宋体" w:cs="宋体"/>
      <w:kern w:val="2"/>
      <w:sz w:val="21"/>
      <w:szCs w:val="21"/>
      <w:lang w:val="en-US" w:eastAsia="zh-CN" w:bidi="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0C109-E789-406A-BDBA-9506EB43D9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241</Pages>
  <Words>13112</Words>
  <Characters>14240</Characters>
  <Lines>1387</Lines>
  <Paragraphs>390</Paragraphs>
  <TotalTime>14</TotalTime>
  <ScaleCrop>false</ScaleCrop>
  <LinksUpToDate>false</LinksUpToDate>
  <CharactersWithSpaces>14348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2026-04-17T19:20:00Z</dcterms:created>
  <dc:creator>Administrator</dc:creator>
  <cp:lastModifiedBy>.</cp:lastModifiedBy>
  <cp:lastPrinted>2026-04-24T09:18:00Z</cp:lastPrinted>
  <dcterms:modified xsi:type="dcterms:W3CDTF">2026-06-11T06:57:24Z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0922CFF0136869C7AA18FC69829A8B61_43</vt:lpwstr>
  </property>
  <property fmtid="{D5CDD505-2E9C-101B-9397-08002B2CF9AE}" pid="4" name="KSOTemplateDocerSaveRecord">
    <vt:lpwstr>eyJoZGlkIjoiYzE5M2NlMWI0ZmI4MTMyOTFjNDg1ODY2YTdiMDE0NzAiLCJ1c2VySWQiOiIyMDc2NjcyMDcifQ==</vt:lpwstr>
  </property>
</Properties>
</file>