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color w:val="383940"/>
          <w:sz w:val="39"/>
          <w:szCs w:val="39"/>
        </w:rPr>
      </w:pPr>
      <w:r>
        <w:rPr>
          <w:b/>
          <w:i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新疆农业大学汽柴发动机尾气排放测试仪采购项目（二次）中标公告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一、项目编号：XZZB-2021024</w:t>
      </w: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（招标文件编号：XZZB-2021024）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二、项目名称：新疆农业大学汽柴发动机尾气排放测试仪采购项目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供应商名称：新疆千策科技有限公司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供应商地址：新疆乌鲁木齐经济开发区（头屯河区）高铁北六路99号丝绸之路经济带旅游集散中心11层KJ-149室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中标（成交）金额：9.4500000（万元）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11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2193"/>
        <w:gridCol w:w="1752"/>
        <w:gridCol w:w="1726"/>
        <w:gridCol w:w="1726"/>
        <w:gridCol w:w="1726"/>
        <w:gridCol w:w="2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17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220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新疆千策科技有限公司  </w:t>
            </w:r>
          </w:p>
        </w:tc>
        <w:tc>
          <w:tcPr>
            <w:tcW w:w="17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测试仪采购。  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/  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/  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1  </w:t>
            </w:r>
          </w:p>
        </w:tc>
        <w:tc>
          <w:tcPr>
            <w:tcW w:w="220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94500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杜燕、杨军平、吐尔逊·买买提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本项目代理费收费标准：参考国家计委关于《招标代理服务收费管理暂行办法》（计价格[2002]1980号）计取；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称：新疆农业大学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地址：农大东路311号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联系方式：吐老师、13609912952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称：新疆新咨工程咨询有限公司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址：新疆乌鲁木齐市水磨沟区六道湾路390号A2栋3-302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联系方式：蔡海波、0991-4600661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项目联系人：蔡海波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0991-4600661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0C27"/>
    <w:rsid w:val="3B5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2021-06-01T05:16:00Z</dcterms:created>
  <dc:creator>这给我设的</dc:creator>
  <cp:lastModifiedBy>这给我设的</cp:lastModifiedBy>
  <dcterms:modified xsi:type="dcterms:W3CDTF">2021-06-01T05:16:41Z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