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842E3">
      <w:pPr>
        <w:wordWrap w:val="0"/>
        <w:snapToGrid w:val="0"/>
        <w:spacing w:line="360" w:lineRule="auto"/>
        <w:jc w:val="right"/>
        <w:rPr>
          <w:rFonts w:ascii="仿宋_GB2312" w:hAnsi="仿宋" w:eastAsia="仿宋_GB2312"/>
          <w:color w:val="000000"/>
          <w:highlight w:val="none"/>
        </w:rPr>
      </w:pPr>
      <w:r>
        <w:rPr>
          <w:rFonts w:hint="eastAsia" w:ascii="仿宋_GB2312" w:hAnsi="仿宋" w:eastAsia="仿宋_GB2312"/>
          <w:color w:val="000000"/>
          <w:highlight w:val="none"/>
        </w:rPr>
        <w:t xml:space="preserve">                </w:t>
      </w:r>
    </w:p>
    <w:p w14:paraId="3E1588DA">
      <w:pPr>
        <w:wordWrap w:val="0"/>
        <w:snapToGrid w:val="0"/>
        <w:spacing w:line="360" w:lineRule="auto"/>
        <w:jc w:val="right"/>
        <w:rPr>
          <w:rFonts w:ascii="黑体" w:hAnsi="黑体" w:eastAsia="黑体"/>
          <w:color w:val="000000"/>
          <w:highlight w:val="none"/>
        </w:rPr>
      </w:pPr>
      <w:r>
        <w:rPr>
          <w:rFonts w:ascii="仿宋_GB2312" w:hAnsi="仿宋" w:eastAsia="仿宋_GB2312"/>
          <w:b/>
          <w:color w:val="000000"/>
          <w:kern w:val="16"/>
          <w:highlight w:val="none"/>
        </w:rPr>
        <w:pict>
          <v:shape id="_x0000_s1027" o:spid="_x0000_s1027" o:spt="136" alt="water" type="#_x0000_t136" style="position:absolute;left:0pt;margin-left:246.95pt;margin-top:11.3pt;height:19.25pt;width:206.55pt;mso-wrap-distance-left:9pt;mso-wrap-distance-right:9pt;z-index:-251655168;mso-width-relative:page;mso-height-relative:page;" fillcolor="#002060" filled="t" stroked="t" coordsize="21600,21600" wrapcoords="11206 0 4393 62 822 64 827 2325 820 4629 239 4631 244 6840 246 9639 244 12370 239 14375 820 14377 827 18214 822 21502 9399 21504 11242 21600 11258 21600 14928 21504 16396 21502 16435 21342 21142 21340 21180 21136 21213 20889 21240 20599 21262 20267 21279 19892 21290 19473 21296 19013 21297 18509 21297 2708 21353 2160 21234 972 19015 970 18998 356 15256 354 15208 64 11229 62 11222 0 11206 0" adj="10800">
            <v:path/>
            <v:fill type="gradient" on="t" color2="#FFFFFF" colors="0f #012D86;65536f #0E2557" focus="0%" focussize="0f,0f" focusposition="0f,0f" rotate="t">
              <o:fill type="gradientUnscaled" v:ext="backwardCompatible"/>
            </v:fill>
            <v:stroke weight="1.5pt" color="#99CCFF"/>
            <v:imagedata o:title=""/>
            <o:lock v:ext="edit" aspectratio="f"/>
            <v:textpath on="t" fitshape="t" fitpath="t" trim="t" xscale="f" string="中合安建工程管理有限公司" style="font-family:宋体;font-size:36pt;v-text-align:center;"/>
            <v:shadow on="t" obscured="f" color="#990000" opacity="65536f" offset="2pt,2pt" offset2="-2pt,-2pt" origin="0f,0f" matrix="65536f,0f,0f,65536f,0,0"/>
            <w10:wrap type="tight"/>
          </v:shape>
        </w:pict>
      </w:r>
      <w:r>
        <w:rPr>
          <w:rFonts w:hint="eastAsia" w:ascii="仿宋_GB2312" w:hAnsi="仿宋" w:eastAsia="仿宋_GB2312"/>
          <w:color w:val="000000"/>
          <w:highlight w:val="none"/>
        </w:rPr>
        <w:drawing>
          <wp:inline distT="0" distB="0" distL="114300" distR="114300">
            <wp:extent cx="981075" cy="619125"/>
            <wp:effectExtent l="0" t="0" r="9525" b="5715"/>
            <wp:docPr id="2" name="图片 2" descr="中合安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合安建"/>
                    <pic:cNvPicPr>
                      <a:picLocks noChangeAspect="1"/>
                    </pic:cNvPicPr>
                  </pic:nvPicPr>
                  <pic:blipFill>
                    <a:blip r:embed="rId15"/>
                    <a:stretch>
                      <a:fillRect/>
                    </a:stretch>
                  </pic:blipFill>
                  <pic:spPr>
                    <a:xfrm>
                      <a:off x="0" y="0"/>
                      <a:ext cx="981075" cy="619125"/>
                    </a:xfrm>
                    <a:prstGeom prst="rect">
                      <a:avLst/>
                    </a:prstGeom>
                  </pic:spPr>
                </pic:pic>
              </a:graphicData>
            </a:graphic>
          </wp:inline>
        </w:drawing>
      </w:r>
      <w:r>
        <w:rPr>
          <w:rFonts w:hint="eastAsia" w:ascii="仿宋_GB2312" w:hAnsi="仿宋" w:eastAsia="仿宋_GB2312"/>
          <w:color w:val="000000"/>
          <w:highlight w:val="none"/>
        </w:rPr>
        <w:t xml:space="preserve"> </w:t>
      </w:r>
    </w:p>
    <w:p w14:paraId="1990BFE5">
      <w:pPr>
        <w:shd w:val="clear"/>
        <w:wordWrap w:val="0"/>
        <w:snapToGrid w:val="0"/>
        <w:spacing w:line="360" w:lineRule="auto"/>
        <w:ind w:right="480"/>
        <w:jc w:val="right"/>
        <w:rPr>
          <w:rFonts w:hint="eastAsia" w:ascii="黑体" w:hAnsi="黑体" w:eastAsia="黑体"/>
          <w:color w:val="000000"/>
          <w:highlight w:val="none"/>
          <w:shd w:val="clear"/>
          <w:lang w:val="en-US" w:eastAsia="zh-CN"/>
        </w:rPr>
      </w:pPr>
      <w:r>
        <w:rPr>
          <w:rFonts w:hint="eastAsia" w:ascii="黑体" w:hAnsi="黑体" w:eastAsia="黑体"/>
          <w:color w:val="000000"/>
          <w:highlight w:val="none"/>
          <w:shd w:val="clear"/>
          <w:lang w:val="en-US" w:eastAsia="zh-CN"/>
        </w:rPr>
        <w:t xml:space="preserve">                 </w:t>
      </w:r>
    </w:p>
    <w:p w14:paraId="3C8A9904">
      <w:pPr>
        <w:shd w:val="clear"/>
        <w:wordWrap w:val="0"/>
        <w:snapToGrid w:val="0"/>
        <w:spacing w:line="360" w:lineRule="auto"/>
        <w:ind w:right="480"/>
        <w:jc w:val="right"/>
        <w:rPr>
          <w:rFonts w:hint="eastAsia" w:ascii="黑体" w:hAnsi="黑体" w:eastAsia="黑体"/>
          <w:color w:val="000000"/>
          <w:highlight w:val="none"/>
          <w:lang w:val="en-US" w:eastAsia="zh-CN"/>
        </w:rPr>
      </w:pPr>
      <w:r>
        <w:rPr>
          <w:rFonts w:hint="eastAsia" w:ascii="黑体" w:hAnsi="黑体" w:eastAsia="黑体"/>
          <w:color w:val="000000"/>
          <w:highlight w:val="none"/>
          <w:shd w:val="clear"/>
          <w:lang w:val="en-US" w:eastAsia="zh-CN"/>
        </w:rPr>
        <w:t xml:space="preserve"> </w:t>
      </w:r>
      <w:r>
        <w:rPr>
          <w:rFonts w:hint="eastAsia" w:ascii="黑体" w:hAnsi="黑体" w:eastAsia="黑体"/>
          <w:color w:val="000000"/>
          <w:highlight w:val="none"/>
          <w:shd w:val="clear"/>
        </w:rPr>
        <w:t>项目编号：</w:t>
      </w:r>
      <w:r>
        <w:rPr>
          <w:rFonts w:hint="eastAsia" w:ascii="黑体" w:hAnsi="黑体" w:eastAsia="黑体"/>
          <w:color w:val="000000"/>
          <w:highlight w:val="none"/>
          <w:shd w:val="clear"/>
          <w:lang w:eastAsia="zh-CN"/>
        </w:rPr>
        <w:t>2026ZHAJ-17（1）</w:t>
      </w:r>
    </w:p>
    <w:p w14:paraId="04C0DB56">
      <w:pPr>
        <w:snapToGrid w:val="0"/>
        <w:spacing w:line="360" w:lineRule="auto"/>
        <w:jc w:val="right"/>
        <w:rPr>
          <w:rFonts w:ascii="黑体" w:hAnsi="黑体" w:eastAsia="黑体"/>
          <w:color w:val="000000"/>
          <w:highlight w:val="none"/>
        </w:rPr>
      </w:pPr>
    </w:p>
    <w:p w14:paraId="7385CEC2">
      <w:pPr>
        <w:snapToGrid w:val="0"/>
        <w:spacing w:line="360" w:lineRule="auto"/>
        <w:jc w:val="center"/>
        <w:rPr>
          <w:rFonts w:hint="eastAsia" w:ascii="黑体" w:hAnsi="黑体" w:eastAsia="黑体"/>
          <w:color w:val="000000"/>
          <w:sz w:val="52"/>
          <w:szCs w:val="52"/>
          <w:highlight w:val="none"/>
          <w:lang w:eastAsia="zh-CN"/>
        </w:rPr>
      </w:pPr>
    </w:p>
    <w:p w14:paraId="63A3FC4D">
      <w:pPr>
        <w:snapToGrid w:val="0"/>
        <w:jc w:val="center"/>
        <w:rPr>
          <w:rFonts w:hint="eastAsia" w:ascii="黑体" w:hAnsi="黑体" w:eastAsia="黑体"/>
          <w:color w:val="000000"/>
          <w:sz w:val="78"/>
          <w:highlight w:val="none"/>
        </w:rPr>
      </w:pPr>
      <w:bookmarkStart w:id="381" w:name="_GoBack"/>
      <w:r>
        <w:rPr>
          <w:rFonts w:hint="eastAsia" w:ascii="黑体" w:hAnsi="黑体" w:eastAsia="黑体"/>
          <w:color w:val="000000"/>
          <w:sz w:val="52"/>
          <w:szCs w:val="52"/>
          <w:highlight w:val="none"/>
          <w:lang w:eastAsia="zh-CN"/>
        </w:rPr>
        <w:t>新疆农业大学老满城校区燃气报警器采购项目（二次）</w:t>
      </w:r>
      <w:bookmarkEnd w:id="381"/>
    </w:p>
    <w:p w14:paraId="69EF6826">
      <w:pPr>
        <w:pStyle w:val="5"/>
        <w:rPr>
          <w:rFonts w:hint="eastAsia"/>
        </w:rPr>
      </w:pPr>
    </w:p>
    <w:p w14:paraId="24C0099F">
      <w:pPr>
        <w:snapToGrid w:val="0"/>
        <w:jc w:val="center"/>
        <w:rPr>
          <w:rFonts w:hint="eastAsia" w:ascii="黑体" w:hAnsi="黑体" w:eastAsia="黑体"/>
          <w:color w:val="000000"/>
          <w:sz w:val="78"/>
          <w:highlight w:val="none"/>
        </w:rPr>
      </w:pPr>
    </w:p>
    <w:p w14:paraId="6B1BF1B6">
      <w:pPr>
        <w:snapToGrid w:val="0"/>
        <w:jc w:val="center"/>
        <w:rPr>
          <w:rFonts w:hint="eastAsia" w:ascii="黑体" w:hAnsi="黑体" w:eastAsia="黑体"/>
          <w:color w:val="000000"/>
          <w:sz w:val="78"/>
          <w:highlight w:val="none"/>
        </w:rPr>
      </w:pPr>
    </w:p>
    <w:p w14:paraId="65DE1DE7">
      <w:pPr>
        <w:snapToGrid w:val="0"/>
        <w:jc w:val="center"/>
        <w:rPr>
          <w:rFonts w:hint="eastAsia" w:ascii="黑体" w:hAnsi="黑体" w:eastAsia="黑体"/>
          <w:color w:val="000000"/>
          <w:sz w:val="78"/>
          <w:highlight w:val="none"/>
        </w:rPr>
      </w:pPr>
      <w:r>
        <w:rPr>
          <w:rFonts w:hint="eastAsia" w:ascii="黑体" w:hAnsi="黑体" w:eastAsia="黑体"/>
          <w:color w:val="000000"/>
          <w:sz w:val="78"/>
          <w:highlight w:val="none"/>
        </w:rPr>
        <w:t>招标文件</w:t>
      </w:r>
    </w:p>
    <w:p w14:paraId="5C291D88">
      <w:pPr>
        <w:snapToGrid w:val="0"/>
        <w:spacing w:line="360" w:lineRule="auto"/>
        <w:rPr>
          <w:rFonts w:hint="eastAsia" w:ascii="黑体" w:hAnsi="黑体" w:eastAsia="黑体"/>
          <w:color w:val="000000"/>
          <w:sz w:val="32"/>
          <w:highlight w:val="none"/>
        </w:rPr>
      </w:pPr>
    </w:p>
    <w:p w14:paraId="7E380E1C">
      <w:pPr>
        <w:rPr>
          <w:rFonts w:hint="eastAsia"/>
          <w:highlight w:val="none"/>
        </w:rPr>
      </w:pPr>
    </w:p>
    <w:p w14:paraId="33D01645">
      <w:pPr>
        <w:pStyle w:val="7"/>
        <w:rPr>
          <w:rFonts w:hint="eastAsia"/>
          <w:highlight w:val="none"/>
        </w:rPr>
      </w:pPr>
    </w:p>
    <w:p w14:paraId="14E39E38">
      <w:pPr>
        <w:pStyle w:val="7"/>
        <w:ind w:left="1480" w:hanging="640"/>
        <w:rPr>
          <w:rFonts w:hint="eastAsia" w:ascii="黑体" w:hAnsi="黑体" w:eastAsia="黑体"/>
          <w:sz w:val="32"/>
          <w:highlight w:val="none"/>
        </w:rPr>
      </w:pPr>
    </w:p>
    <w:p w14:paraId="1AE53D1A">
      <w:pPr>
        <w:snapToGrid w:val="0"/>
        <w:spacing w:line="360" w:lineRule="auto"/>
        <w:ind w:left="2240" w:hanging="2240" w:hangingChars="700"/>
        <w:rPr>
          <w:rFonts w:hint="eastAsia" w:ascii="黑体" w:hAnsi="黑体" w:eastAsia="黑体"/>
          <w:color w:val="000000"/>
          <w:sz w:val="32"/>
          <w:szCs w:val="32"/>
          <w:highlight w:val="none"/>
        </w:rPr>
      </w:pPr>
    </w:p>
    <w:p w14:paraId="696457AD">
      <w:pPr>
        <w:snapToGrid w:val="0"/>
        <w:spacing w:line="360" w:lineRule="auto"/>
        <w:ind w:left="2240" w:hanging="2240" w:hangingChars="700"/>
        <w:rPr>
          <w:rFonts w:hint="eastAsia" w:ascii="黑体" w:hAnsi="黑体" w:eastAsia="黑体"/>
          <w:color w:val="000000"/>
          <w:spacing w:val="0"/>
          <w:sz w:val="32"/>
          <w:szCs w:val="32"/>
          <w:highlight w:val="none"/>
        </w:rPr>
      </w:pPr>
      <w:r>
        <w:rPr>
          <w:rFonts w:hint="eastAsia" w:ascii="黑体" w:hAnsi="黑体" w:eastAsia="黑体"/>
          <w:color w:val="000000"/>
          <w:spacing w:val="0"/>
          <w:sz w:val="32"/>
          <w:szCs w:val="32"/>
          <w:highlight w:val="none"/>
        </w:rPr>
        <w:t xml:space="preserve">采 </w:t>
      </w:r>
      <w:r>
        <w:rPr>
          <w:rFonts w:hint="eastAsia" w:ascii="黑体" w:hAnsi="黑体" w:eastAsia="黑体"/>
          <w:color w:val="000000"/>
          <w:spacing w:val="0"/>
          <w:sz w:val="32"/>
          <w:szCs w:val="32"/>
          <w:highlight w:val="none"/>
          <w:lang w:val="en-US" w:eastAsia="zh-CN"/>
        </w:rPr>
        <w:t xml:space="preserve"> </w:t>
      </w:r>
      <w:r>
        <w:rPr>
          <w:rFonts w:hint="eastAsia" w:ascii="黑体" w:hAnsi="黑体" w:eastAsia="黑体"/>
          <w:color w:val="000000"/>
          <w:spacing w:val="0"/>
          <w:sz w:val="32"/>
          <w:szCs w:val="32"/>
          <w:highlight w:val="none"/>
        </w:rPr>
        <w:t xml:space="preserve"> 购  </w:t>
      </w:r>
      <w:r>
        <w:rPr>
          <w:rFonts w:hint="eastAsia" w:ascii="黑体" w:hAnsi="黑体" w:eastAsia="黑体"/>
          <w:color w:val="000000"/>
          <w:spacing w:val="0"/>
          <w:sz w:val="32"/>
          <w:szCs w:val="32"/>
          <w:highlight w:val="none"/>
          <w:lang w:val="en-US" w:eastAsia="zh-CN"/>
        </w:rPr>
        <w:t xml:space="preserve"> </w:t>
      </w:r>
      <w:r>
        <w:rPr>
          <w:rFonts w:hint="eastAsia" w:ascii="黑体" w:hAnsi="黑体" w:eastAsia="黑体"/>
          <w:color w:val="000000"/>
          <w:spacing w:val="0"/>
          <w:sz w:val="32"/>
          <w:szCs w:val="32"/>
          <w:highlight w:val="none"/>
        </w:rPr>
        <w:t>人：</w:t>
      </w:r>
      <w:r>
        <w:rPr>
          <w:rFonts w:hint="eastAsia" w:ascii="黑体" w:hAnsi="黑体" w:eastAsia="黑体" w:cs="Times New Roman"/>
          <w:color w:val="000000"/>
          <w:spacing w:val="0"/>
          <w:sz w:val="32"/>
          <w:szCs w:val="32"/>
          <w:highlight w:val="none"/>
          <w:lang w:eastAsia="zh-CN"/>
        </w:rPr>
        <w:t>新疆农业大学</w:t>
      </w:r>
    </w:p>
    <w:p w14:paraId="28F368C9">
      <w:pPr>
        <w:snapToGrid w:val="0"/>
        <w:spacing w:line="360" w:lineRule="auto"/>
        <w:rPr>
          <w:rFonts w:hint="eastAsia" w:ascii="黑体" w:hAnsi="黑体" w:eastAsia="黑体"/>
          <w:color w:val="000000"/>
          <w:spacing w:val="0"/>
          <w:sz w:val="32"/>
          <w:szCs w:val="32"/>
          <w:highlight w:val="none"/>
          <w:lang w:eastAsia="zh-CN"/>
        </w:rPr>
      </w:pPr>
      <w:r>
        <w:rPr>
          <w:rFonts w:hint="eastAsia" w:ascii="黑体" w:hAnsi="黑体" w:eastAsia="黑体"/>
          <w:color w:val="000000"/>
          <w:spacing w:val="0"/>
          <w:sz w:val="32"/>
          <w:szCs w:val="32"/>
          <w:highlight w:val="none"/>
        </w:rPr>
        <w:t>采购代理机构：</w:t>
      </w:r>
      <w:r>
        <w:rPr>
          <w:rFonts w:hint="eastAsia" w:ascii="黑体" w:hAnsi="黑体" w:eastAsia="黑体"/>
          <w:color w:val="000000"/>
          <w:spacing w:val="0"/>
          <w:sz w:val="32"/>
          <w:szCs w:val="32"/>
          <w:highlight w:val="none"/>
          <w:lang w:eastAsia="zh-CN"/>
        </w:rPr>
        <w:t>中合安建工程管理有限公司</w:t>
      </w:r>
    </w:p>
    <w:p w14:paraId="736F69A6">
      <w:pPr>
        <w:snapToGrid w:val="0"/>
        <w:spacing w:line="360" w:lineRule="auto"/>
        <w:jc w:val="left"/>
        <w:rPr>
          <w:rFonts w:hint="eastAsia" w:ascii="仿宋" w:hAnsi="仿宋" w:eastAsia="仿宋"/>
          <w:color w:val="000000"/>
          <w:spacing w:val="0"/>
          <w:highlight w:val="none"/>
        </w:rPr>
      </w:pPr>
      <w:r>
        <w:rPr>
          <w:rFonts w:hint="eastAsia" w:ascii="黑体" w:hAnsi="黑体" w:eastAsia="黑体"/>
          <w:color w:val="000000"/>
          <w:spacing w:val="0"/>
          <w:sz w:val="32"/>
          <w:szCs w:val="32"/>
          <w:highlight w:val="none"/>
        </w:rPr>
        <w:t>文件编制日期：202</w:t>
      </w:r>
      <w:r>
        <w:rPr>
          <w:rFonts w:hint="eastAsia" w:ascii="黑体" w:hAnsi="黑体" w:eastAsia="黑体"/>
          <w:color w:val="000000"/>
          <w:spacing w:val="0"/>
          <w:sz w:val="32"/>
          <w:szCs w:val="32"/>
          <w:highlight w:val="none"/>
          <w:lang w:val="en-US" w:eastAsia="zh-CN"/>
        </w:rPr>
        <w:t>6</w:t>
      </w:r>
      <w:r>
        <w:rPr>
          <w:rFonts w:hint="eastAsia" w:ascii="黑体" w:hAnsi="黑体" w:eastAsia="黑体"/>
          <w:color w:val="000000"/>
          <w:spacing w:val="0"/>
          <w:sz w:val="32"/>
          <w:szCs w:val="32"/>
          <w:highlight w:val="none"/>
        </w:rPr>
        <w:t>年</w:t>
      </w:r>
      <w:r>
        <w:rPr>
          <w:rFonts w:hint="eastAsia" w:ascii="黑体" w:hAnsi="黑体" w:eastAsia="黑体"/>
          <w:color w:val="000000"/>
          <w:spacing w:val="0"/>
          <w:sz w:val="32"/>
          <w:szCs w:val="32"/>
          <w:highlight w:val="none"/>
          <w:lang w:val="en-US" w:eastAsia="zh-CN"/>
        </w:rPr>
        <w:t>8</w:t>
      </w:r>
      <w:r>
        <w:rPr>
          <w:rFonts w:hint="eastAsia" w:ascii="黑体" w:hAnsi="黑体" w:eastAsia="黑体"/>
          <w:color w:val="000000"/>
          <w:spacing w:val="0"/>
          <w:sz w:val="32"/>
          <w:szCs w:val="32"/>
          <w:highlight w:val="none"/>
        </w:rPr>
        <w:t>月</w:t>
      </w:r>
    </w:p>
    <w:p w14:paraId="461EB3A8">
      <w:pPr>
        <w:tabs>
          <w:tab w:val="left" w:pos="1134"/>
          <w:tab w:val="left" w:pos="5481"/>
          <w:tab w:val="left" w:pos="5859"/>
        </w:tabs>
        <w:spacing w:line="360" w:lineRule="auto"/>
        <w:rPr>
          <w:rFonts w:hint="eastAsia" w:ascii="宋体" w:hAnsi="宋体" w:cs="宋体"/>
          <w:b/>
          <w:sz w:val="72"/>
          <w:szCs w:val="72"/>
          <w:highlight w:val="none"/>
        </w:rPr>
        <w:sectPr>
          <w:headerReference r:id="rId3" w:type="first"/>
          <w:pgSz w:w="11906" w:h="16838"/>
          <w:pgMar w:top="1440" w:right="1746" w:bottom="1440" w:left="1746" w:header="851" w:footer="552" w:gutter="0"/>
          <w:pgNumType w:fmt="decimal" w:start="1"/>
          <w:cols w:space="720" w:num="1"/>
          <w:titlePg/>
          <w:docGrid w:type="lines" w:linePitch="312" w:charSpace="0"/>
        </w:sectPr>
      </w:pPr>
    </w:p>
    <w:p w14:paraId="43181579">
      <w:pPr>
        <w:pStyle w:val="5"/>
        <w:rPr>
          <w:rStyle w:val="29"/>
          <w:rFonts w:hint="eastAsia" w:ascii="仿宋" w:hAnsi="仿宋" w:eastAsia="仿宋" w:cs="仿宋"/>
          <w:b/>
          <w:bCs/>
          <w:color w:val="000000"/>
          <w:sz w:val="56"/>
          <w:szCs w:val="56"/>
          <w:highlight w:val="none"/>
        </w:rPr>
      </w:pPr>
    </w:p>
    <w:p w14:paraId="136D58CE">
      <w:pPr>
        <w:rPr>
          <w:rFonts w:hint="eastAsia"/>
        </w:rPr>
      </w:pPr>
    </w:p>
    <w:p w14:paraId="79262BBC">
      <w:pPr>
        <w:jc w:val="center"/>
        <w:rPr>
          <w:rStyle w:val="29"/>
          <w:rFonts w:hint="eastAsia" w:ascii="仿宋" w:hAnsi="仿宋" w:eastAsia="仿宋" w:cs="仿宋"/>
          <w:b/>
          <w:bCs/>
          <w:color w:val="000000"/>
          <w:sz w:val="56"/>
          <w:szCs w:val="56"/>
          <w:highlight w:val="none"/>
        </w:rPr>
      </w:pPr>
      <w:r>
        <w:rPr>
          <w:rStyle w:val="29"/>
          <w:rFonts w:hint="eastAsia" w:ascii="仿宋" w:hAnsi="仿宋" w:eastAsia="仿宋" w:cs="仿宋"/>
          <w:b/>
          <w:bCs/>
          <w:color w:val="000000"/>
          <w:sz w:val="56"/>
          <w:szCs w:val="56"/>
          <w:highlight w:val="none"/>
        </w:rPr>
        <w:t>招标文件</w:t>
      </w:r>
    </w:p>
    <w:p w14:paraId="71DA88C8">
      <w:pPr>
        <w:pStyle w:val="5"/>
        <w:rPr>
          <w:rStyle w:val="29"/>
          <w:rFonts w:hint="eastAsia" w:ascii="仿宋" w:hAnsi="仿宋" w:eastAsia="仿宋" w:cs="仿宋"/>
          <w:b/>
          <w:bCs/>
          <w:color w:val="000000"/>
          <w:sz w:val="56"/>
          <w:szCs w:val="56"/>
          <w:highlight w:val="none"/>
        </w:rPr>
      </w:pPr>
    </w:p>
    <w:p w14:paraId="29356977">
      <w:pPr>
        <w:rPr>
          <w:rFonts w:hint="eastAsia"/>
        </w:rPr>
      </w:pPr>
    </w:p>
    <w:p w14:paraId="0B8585D7">
      <w:pPr>
        <w:pStyle w:val="10"/>
        <w:ind w:firstLine="280"/>
        <w:rPr>
          <w:rFonts w:hint="eastAsia"/>
          <w:highlight w:val="none"/>
        </w:rPr>
      </w:pPr>
    </w:p>
    <w:p w14:paraId="602EC9CC">
      <w:pPr>
        <w:rPr>
          <w:rFonts w:hint="eastAsia"/>
          <w:highlight w:val="none"/>
        </w:rPr>
      </w:pPr>
    </w:p>
    <w:p w14:paraId="385C92EC">
      <w:pPr>
        <w:tabs>
          <w:tab w:val="left" w:pos="2100"/>
        </w:tabs>
        <w:snapToGrid w:val="0"/>
        <w:spacing w:line="480" w:lineRule="auto"/>
        <w:ind w:left="2087" w:leftChars="-70" w:hanging="2255" w:hangingChars="702"/>
        <w:rPr>
          <w:rFonts w:hint="eastAsia" w:ascii="仿宋" w:hAnsi="仿宋" w:eastAsia="仿宋" w:cs="仿宋"/>
          <w:b/>
          <w:color w:val="000000"/>
          <w:spacing w:val="-20"/>
          <w:sz w:val="32"/>
          <w:szCs w:val="32"/>
          <w:highlight w:val="none"/>
          <w:lang w:eastAsia="zh-CN"/>
        </w:rPr>
      </w:pPr>
      <w:r>
        <w:rPr>
          <w:rFonts w:hint="eastAsia" w:ascii="仿宋" w:hAnsi="仿宋" w:eastAsia="仿宋" w:cs="仿宋"/>
          <w:b/>
          <w:color w:val="000000"/>
          <w:sz w:val="32"/>
          <w:szCs w:val="32"/>
          <w:highlight w:val="none"/>
        </w:rPr>
        <w:t>招标项目名称：</w:t>
      </w:r>
      <w:r>
        <w:rPr>
          <w:rFonts w:hint="eastAsia" w:ascii="仿宋" w:hAnsi="仿宋" w:eastAsia="仿宋" w:cs="仿宋"/>
          <w:b/>
          <w:color w:val="000000"/>
          <w:spacing w:val="-20"/>
          <w:sz w:val="32"/>
          <w:szCs w:val="32"/>
          <w:highlight w:val="none"/>
          <w:lang w:eastAsia="zh-CN"/>
        </w:rPr>
        <w:t>新疆农业大学老满城校区燃气报警器采购项目（二次）</w:t>
      </w:r>
    </w:p>
    <w:p w14:paraId="364E6E1D">
      <w:pPr>
        <w:tabs>
          <w:tab w:val="left" w:pos="2100"/>
        </w:tabs>
        <w:snapToGrid w:val="0"/>
        <w:spacing w:line="480" w:lineRule="auto"/>
        <w:ind w:left="2087" w:leftChars="-70" w:hanging="2255" w:hangingChars="702"/>
        <w:rPr>
          <w:rFonts w:hint="eastAsia" w:ascii="仿宋" w:hAnsi="仿宋" w:eastAsia="仿宋" w:cs="仿宋"/>
          <w:b/>
          <w:color w:val="000000"/>
          <w:spacing w:val="-20"/>
          <w:sz w:val="32"/>
          <w:szCs w:val="32"/>
          <w:highlight w:val="none"/>
          <w:lang w:eastAsia="zh-CN"/>
        </w:rPr>
      </w:pPr>
      <w:r>
        <w:rPr>
          <w:rFonts w:hint="eastAsia" w:ascii="仿宋" w:hAnsi="仿宋" w:eastAsia="仿宋" w:cs="仿宋"/>
          <w:b/>
          <w:color w:val="000000"/>
          <w:sz w:val="32"/>
          <w:szCs w:val="32"/>
          <w:highlight w:val="none"/>
        </w:rPr>
        <w:t>采购人（盖章）：</w:t>
      </w:r>
      <w:r>
        <w:rPr>
          <w:rFonts w:hint="eastAsia" w:ascii="仿宋" w:hAnsi="仿宋" w:eastAsia="仿宋" w:cs="仿宋"/>
          <w:b/>
          <w:color w:val="000000"/>
          <w:spacing w:val="-20"/>
          <w:sz w:val="32"/>
          <w:szCs w:val="32"/>
          <w:highlight w:val="none"/>
          <w:lang w:eastAsia="zh-CN"/>
        </w:rPr>
        <w:t>新疆农业大学</w:t>
      </w:r>
    </w:p>
    <w:p w14:paraId="639D30F3">
      <w:pPr>
        <w:tabs>
          <w:tab w:val="left" w:pos="2100"/>
        </w:tabs>
        <w:snapToGrid w:val="0"/>
        <w:spacing w:line="480" w:lineRule="auto"/>
        <w:ind w:left="2087" w:leftChars="-70" w:hanging="2255" w:hangingChars="702"/>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联系人：</w:t>
      </w:r>
      <w:r>
        <w:rPr>
          <w:rFonts w:hint="eastAsia" w:ascii="仿宋" w:hAnsi="仿宋" w:eastAsia="仿宋" w:cs="仿宋"/>
          <w:b/>
          <w:color w:val="000000"/>
          <w:sz w:val="32"/>
          <w:szCs w:val="32"/>
          <w:highlight w:val="none"/>
          <w:lang w:val="en-US" w:eastAsia="zh-CN"/>
        </w:rPr>
        <w:t xml:space="preserve"> 张华</w:t>
      </w:r>
      <w:r>
        <w:rPr>
          <w:rFonts w:hint="eastAsia" w:ascii="仿宋" w:hAnsi="仿宋" w:eastAsia="仿宋" w:cs="仿宋"/>
          <w:b/>
          <w:color w:val="000000"/>
          <w:sz w:val="32"/>
          <w:szCs w:val="32"/>
          <w:highlight w:val="none"/>
          <w:lang w:eastAsia="zh-CN"/>
        </w:rPr>
        <w:t>老师</w:t>
      </w:r>
    </w:p>
    <w:p w14:paraId="3BD772A1">
      <w:pPr>
        <w:tabs>
          <w:tab w:val="left" w:pos="2100"/>
        </w:tabs>
        <w:snapToGrid w:val="0"/>
        <w:spacing w:line="480" w:lineRule="auto"/>
        <w:ind w:left="2087" w:leftChars="-70" w:hanging="2255" w:hangingChars="702"/>
        <w:rPr>
          <w:rFonts w:hint="default"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rPr>
        <w:t>联系方式：</w:t>
      </w:r>
      <w:r>
        <w:rPr>
          <w:rFonts w:hint="eastAsia" w:ascii="仿宋" w:hAnsi="仿宋" w:eastAsia="仿宋" w:cs="仿宋"/>
          <w:b/>
          <w:color w:val="000000"/>
          <w:sz w:val="32"/>
          <w:szCs w:val="32"/>
          <w:highlight w:val="none"/>
          <w:lang w:val="en-US" w:eastAsia="zh-CN"/>
        </w:rPr>
        <w:t>13999857590</w:t>
      </w:r>
    </w:p>
    <w:p w14:paraId="6BD06D8D">
      <w:pPr>
        <w:tabs>
          <w:tab w:val="left" w:pos="2100"/>
        </w:tabs>
        <w:snapToGrid w:val="0"/>
        <w:spacing w:line="480" w:lineRule="auto"/>
        <w:ind w:left="2087" w:leftChars="-70" w:hanging="2255" w:hangingChars="702"/>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联系地址</w:t>
      </w:r>
      <w:r>
        <w:rPr>
          <w:rFonts w:hint="eastAsia" w:ascii="仿宋" w:hAnsi="仿宋" w:eastAsia="仿宋" w:cs="仿宋"/>
          <w:b/>
          <w:color w:val="000000"/>
          <w:sz w:val="32"/>
          <w:szCs w:val="32"/>
          <w:highlight w:val="none"/>
          <w:lang w:eastAsia="zh-CN"/>
        </w:rPr>
        <w:t>：乌鲁木齐市沙依巴克区八一街道农大东路311号</w:t>
      </w:r>
    </w:p>
    <w:p w14:paraId="11E1BB1E">
      <w:pPr>
        <w:pStyle w:val="10"/>
        <w:snapToGrid w:val="0"/>
        <w:ind w:firstLine="280"/>
        <w:rPr>
          <w:rFonts w:hint="eastAsia"/>
          <w:highlight w:val="none"/>
        </w:rPr>
      </w:pPr>
    </w:p>
    <w:p w14:paraId="54A06EF8">
      <w:pPr>
        <w:pStyle w:val="10"/>
        <w:spacing w:line="480" w:lineRule="auto"/>
        <w:ind w:firstLine="280"/>
        <w:rPr>
          <w:highlight w:val="none"/>
        </w:rPr>
      </w:pPr>
    </w:p>
    <w:p w14:paraId="037CBC5E">
      <w:pPr>
        <w:tabs>
          <w:tab w:val="left" w:pos="2100"/>
        </w:tabs>
        <w:snapToGrid w:val="0"/>
        <w:spacing w:line="480" w:lineRule="auto"/>
        <w:ind w:left="2087" w:leftChars="-70" w:hanging="2255" w:hangingChars="702"/>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采购代理机构（盖章）：</w:t>
      </w:r>
      <w:r>
        <w:rPr>
          <w:rFonts w:hint="eastAsia" w:ascii="仿宋" w:hAnsi="仿宋" w:eastAsia="仿宋" w:cs="仿宋"/>
          <w:b/>
          <w:color w:val="000000"/>
          <w:sz w:val="32"/>
          <w:szCs w:val="32"/>
          <w:highlight w:val="none"/>
          <w:lang w:eastAsia="zh-CN"/>
        </w:rPr>
        <w:t>中合安建工程管理有限公司</w:t>
      </w:r>
    </w:p>
    <w:p w14:paraId="65E4FD51">
      <w:pPr>
        <w:tabs>
          <w:tab w:val="left" w:pos="2100"/>
        </w:tabs>
        <w:snapToGrid w:val="0"/>
        <w:spacing w:line="480" w:lineRule="auto"/>
        <w:ind w:left="2087" w:leftChars="-70" w:hanging="2255" w:hangingChars="702"/>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法定代表人（盖章）：</w:t>
      </w:r>
      <w:r>
        <w:rPr>
          <w:rFonts w:hint="eastAsia" w:ascii="仿宋" w:hAnsi="仿宋" w:eastAsia="仿宋" w:cs="仿宋"/>
          <w:b/>
          <w:color w:val="000000"/>
          <w:sz w:val="32"/>
          <w:szCs w:val="32"/>
          <w:highlight w:val="none"/>
          <w:lang w:val="en-US" w:eastAsia="zh-CN"/>
        </w:rPr>
        <w:t>王蕾</w:t>
      </w:r>
    </w:p>
    <w:p w14:paraId="017C2410">
      <w:pPr>
        <w:tabs>
          <w:tab w:val="left" w:pos="2100"/>
        </w:tabs>
        <w:snapToGrid w:val="0"/>
        <w:spacing w:line="480" w:lineRule="auto"/>
        <w:ind w:left="2087" w:leftChars="-70" w:hanging="2255" w:hangingChars="702"/>
        <w:rPr>
          <w:rFonts w:hint="default"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rPr>
        <w:t>项目负责人：</w:t>
      </w:r>
      <w:r>
        <w:rPr>
          <w:rFonts w:hint="eastAsia" w:ascii="仿宋" w:hAnsi="仿宋" w:eastAsia="仿宋" w:cs="仿宋"/>
          <w:b/>
          <w:color w:val="000000"/>
          <w:sz w:val="32"/>
          <w:szCs w:val="32"/>
          <w:highlight w:val="none"/>
          <w:lang w:val="en-US" w:eastAsia="zh-CN"/>
        </w:rPr>
        <w:t>彭小倬、王荣荣</w:t>
      </w:r>
    </w:p>
    <w:p w14:paraId="1501E92F">
      <w:pPr>
        <w:tabs>
          <w:tab w:val="left" w:pos="2100"/>
        </w:tabs>
        <w:snapToGrid w:val="0"/>
        <w:spacing w:line="480" w:lineRule="auto"/>
        <w:ind w:left="2087" w:leftChars="-70" w:hanging="2255" w:hangingChars="702"/>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2"/>
          <w:szCs w:val="32"/>
          <w:highlight w:val="none"/>
        </w:rPr>
        <w:t>联系电话：</w:t>
      </w:r>
      <w:r>
        <w:rPr>
          <w:rFonts w:hint="eastAsia" w:ascii="仿宋" w:hAnsi="仿宋" w:eastAsia="仿宋" w:cs="仿宋"/>
          <w:b/>
          <w:color w:val="000000"/>
          <w:sz w:val="30"/>
          <w:szCs w:val="30"/>
          <w:highlight w:val="none"/>
          <w:lang w:eastAsia="zh-CN"/>
        </w:rPr>
        <w:t>13579881296</w:t>
      </w:r>
    </w:p>
    <w:p w14:paraId="02D84502">
      <w:pPr>
        <w:tabs>
          <w:tab w:val="left" w:pos="2100"/>
        </w:tabs>
        <w:snapToGrid w:val="0"/>
        <w:spacing w:line="480" w:lineRule="auto"/>
        <w:ind w:left="1764" w:leftChars="-70" w:hanging="1932" w:hangingChars="702"/>
        <w:rPr>
          <w:rFonts w:hint="eastAsia" w:ascii="仿宋" w:hAnsi="仿宋" w:eastAsia="仿宋" w:cs="仿宋"/>
          <w:b/>
          <w:color w:val="000000"/>
          <w:sz w:val="32"/>
          <w:szCs w:val="32"/>
          <w:highlight w:val="none"/>
        </w:rPr>
      </w:pPr>
      <w:r>
        <w:rPr>
          <w:rFonts w:hint="eastAsia" w:ascii="仿宋" w:hAnsi="仿宋" w:eastAsia="仿宋" w:cs="仿宋"/>
          <w:b/>
          <w:color w:val="000000"/>
          <w:spacing w:val="-23"/>
          <w:sz w:val="32"/>
          <w:szCs w:val="32"/>
          <w:highlight w:val="none"/>
        </w:rPr>
        <w:t>联系地址：</w:t>
      </w:r>
      <w:r>
        <w:rPr>
          <w:rFonts w:hint="eastAsia" w:ascii="仿宋" w:hAnsi="仿宋" w:eastAsia="仿宋" w:cs="仿宋"/>
          <w:b/>
          <w:color w:val="000000"/>
          <w:spacing w:val="-23"/>
          <w:sz w:val="32"/>
          <w:szCs w:val="32"/>
          <w:highlight w:val="none"/>
          <w:lang w:val="en-US" w:eastAsia="zh-CN"/>
        </w:rPr>
        <w:t>新疆</w:t>
      </w:r>
      <w:r>
        <w:rPr>
          <w:rFonts w:hint="eastAsia" w:ascii="仿宋" w:hAnsi="仿宋" w:eastAsia="仿宋" w:cs="仿宋"/>
          <w:b/>
          <w:color w:val="000000"/>
          <w:spacing w:val="-23"/>
          <w:sz w:val="32"/>
          <w:szCs w:val="32"/>
          <w:highlight w:val="none"/>
        </w:rPr>
        <w:t>乌鲁木齐市高新区（新市区）新医路165号汇文大厦1栋</w:t>
      </w:r>
      <w:r>
        <w:rPr>
          <w:rFonts w:hint="eastAsia" w:ascii="仿宋" w:hAnsi="仿宋" w:eastAsia="仿宋" w:cs="仿宋"/>
          <w:b/>
          <w:color w:val="000000"/>
          <w:spacing w:val="-23"/>
          <w:sz w:val="32"/>
          <w:szCs w:val="32"/>
          <w:highlight w:val="none"/>
          <w:lang w:val="en-US" w:eastAsia="zh-CN"/>
        </w:rPr>
        <w:t>6</w:t>
      </w:r>
      <w:r>
        <w:rPr>
          <w:rFonts w:hint="eastAsia" w:ascii="仿宋" w:hAnsi="仿宋" w:eastAsia="仿宋" w:cs="仿宋"/>
          <w:b/>
          <w:color w:val="000000"/>
          <w:spacing w:val="-23"/>
          <w:sz w:val="32"/>
          <w:szCs w:val="32"/>
          <w:highlight w:val="none"/>
        </w:rPr>
        <w:t>层A</w:t>
      </w:r>
    </w:p>
    <w:p w14:paraId="1A8183F5">
      <w:pPr>
        <w:pStyle w:val="10"/>
        <w:ind w:firstLine="280"/>
        <w:rPr>
          <w:rFonts w:hint="eastAsia"/>
          <w:highlight w:val="none"/>
        </w:rPr>
        <w:sectPr>
          <w:headerReference r:id="rId4" w:type="default"/>
          <w:footerReference r:id="rId5" w:type="default"/>
          <w:pgSz w:w="11907" w:h="16840"/>
          <w:pgMar w:top="1440" w:right="1531" w:bottom="1440" w:left="1531" w:header="720" w:footer="720" w:gutter="0"/>
          <w:pgNumType w:fmt="decimal" w:start="1"/>
          <w:cols w:space="720" w:num="1"/>
        </w:sectPr>
      </w:pPr>
    </w:p>
    <w:p w14:paraId="6BE75711">
      <w:pPr>
        <w:snapToGrid w:val="0"/>
        <w:spacing w:line="360" w:lineRule="auto"/>
        <w:jc w:val="center"/>
        <w:rPr>
          <w:rFonts w:hint="eastAsia" w:ascii="仿宋" w:hAnsi="仿宋" w:eastAsia="仿宋" w:cs="仿宋"/>
          <w:b/>
          <w:bCs w:val="0"/>
          <w:sz w:val="28"/>
          <w:szCs w:val="36"/>
          <w:highlight w:val="none"/>
        </w:rPr>
      </w:pPr>
      <w:r>
        <w:rPr>
          <w:rFonts w:hint="eastAsia" w:ascii="仿宋" w:hAnsi="仿宋" w:eastAsia="仿宋" w:cs="仿宋"/>
          <w:b/>
          <w:bCs/>
          <w:sz w:val="40"/>
          <w:szCs w:val="40"/>
          <w:highlight w:val="none"/>
        </w:rPr>
        <w:t>目 录</w:t>
      </w:r>
      <w:r>
        <w:rPr>
          <w:rFonts w:hint="eastAsia" w:ascii="仿宋" w:hAnsi="仿宋" w:eastAsia="仿宋" w:cs="仿宋"/>
          <w:b/>
          <w:bCs w:val="0"/>
          <w:sz w:val="48"/>
          <w:szCs w:val="48"/>
          <w:highlight w:val="none"/>
        </w:rPr>
        <w:fldChar w:fldCharType="begin"/>
      </w:r>
      <w:r>
        <w:rPr>
          <w:rFonts w:hint="eastAsia" w:ascii="仿宋" w:hAnsi="仿宋" w:eastAsia="仿宋" w:cs="仿宋"/>
          <w:b/>
          <w:bCs w:val="0"/>
          <w:sz w:val="48"/>
          <w:szCs w:val="48"/>
          <w:highlight w:val="none"/>
        </w:rPr>
        <w:instrText xml:space="preserve">TOC \o "1-1" \h \u </w:instrText>
      </w:r>
      <w:r>
        <w:rPr>
          <w:rFonts w:hint="eastAsia" w:ascii="仿宋" w:hAnsi="仿宋" w:eastAsia="仿宋" w:cs="仿宋"/>
          <w:b/>
          <w:bCs w:val="0"/>
          <w:sz w:val="48"/>
          <w:szCs w:val="48"/>
          <w:highlight w:val="none"/>
        </w:rPr>
        <w:fldChar w:fldCharType="separate"/>
      </w:r>
    </w:p>
    <w:p w14:paraId="2150D24D">
      <w:pPr>
        <w:pStyle w:val="15"/>
        <w:keepNext w:val="0"/>
        <w:keepLines w:val="0"/>
        <w:widowControl w:val="0"/>
        <w:tabs>
          <w:tab w:val="right" w:leader="dot" w:pos="8845"/>
        </w:tabs>
        <w:kinsoku/>
        <w:wordWrap/>
        <w:overflowPunct/>
        <w:topLinePunct w:val="0"/>
        <w:bidi w:val="0"/>
        <w:spacing w:line="360" w:lineRule="auto"/>
        <w:textAlignment w:val="auto"/>
        <w:rPr>
          <w:rFonts w:hint="eastAsia" w:ascii="仿宋" w:hAnsi="仿宋" w:eastAsia="仿宋" w:cs="仿宋"/>
          <w:b/>
          <w:bCs w:val="0"/>
          <w:sz w:val="28"/>
          <w:szCs w:val="44"/>
          <w:highlight w:val="none"/>
          <w:lang w:val="zh-CN"/>
        </w:rPr>
      </w:pPr>
      <w:r>
        <w:rPr>
          <w:rFonts w:hint="eastAsia" w:ascii="仿宋" w:hAnsi="仿宋" w:eastAsia="仿宋" w:cs="仿宋"/>
          <w:b/>
          <w:bCs w:val="0"/>
          <w:sz w:val="28"/>
          <w:szCs w:val="48"/>
          <w:highlight w:val="none"/>
        </w:rPr>
        <w:fldChar w:fldCharType="begin"/>
      </w:r>
      <w:r>
        <w:rPr>
          <w:rFonts w:hint="eastAsia" w:ascii="仿宋" w:hAnsi="仿宋" w:eastAsia="仿宋" w:cs="仿宋"/>
          <w:b/>
          <w:bCs w:val="0"/>
          <w:sz w:val="28"/>
          <w:szCs w:val="48"/>
          <w:highlight w:val="none"/>
        </w:rPr>
        <w:instrText xml:space="preserve"> HYPERLINK \l _Toc26297 </w:instrText>
      </w:r>
      <w:r>
        <w:rPr>
          <w:rFonts w:hint="eastAsia" w:ascii="仿宋" w:hAnsi="仿宋" w:eastAsia="仿宋" w:cs="仿宋"/>
          <w:b/>
          <w:bCs w:val="0"/>
          <w:sz w:val="28"/>
          <w:szCs w:val="48"/>
          <w:highlight w:val="none"/>
        </w:rPr>
        <w:fldChar w:fldCharType="separate"/>
      </w:r>
    </w:p>
    <w:sdt>
      <w:sdtPr>
        <w:rPr>
          <w:rFonts w:ascii="宋体" w:hAnsi="宋体" w:eastAsia="宋体" w:cs="Times New Roman"/>
          <w:sz w:val="21"/>
          <w:szCs w:val="24"/>
          <w:highlight w:val="none"/>
          <w:lang w:val="en-US" w:eastAsia="zh-CN" w:bidi="ar-SA"/>
        </w:rPr>
        <w:id w:val="147478543"/>
        <w15:color w:val="DBDBDB"/>
        <w:docPartObj>
          <w:docPartGallery w:val="Table of Contents"/>
          <w:docPartUnique/>
        </w:docPartObj>
      </w:sdtPr>
      <w:sdtEndPr>
        <w:rPr>
          <w:rFonts w:ascii="宋体" w:hAnsi="宋体" w:eastAsia="宋体" w:cs="Times New Roman"/>
          <w:sz w:val="21"/>
          <w:szCs w:val="24"/>
          <w:highlight w:val="none"/>
          <w:lang w:val="en-US" w:eastAsia="zh-CN" w:bidi="ar-SA"/>
        </w:rPr>
      </w:sdtEndPr>
      <w:sdtContent>
        <w:p w14:paraId="790EE74C">
          <w:pPr>
            <w:spacing w:before="0" w:beforeLines="0" w:after="0" w:afterLines="0" w:line="240" w:lineRule="auto"/>
            <w:ind w:left="0" w:leftChars="0" w:right="0" w:rightChars="0" w:firstLine="0" w:firstLineChars="0"/>
            <w:jc w:val="center"/>
            <w:rPr>
              <w:highlight w:val="none"/>
            </w:rPr>
          </w:pPr>
        </w:p>
        <w:p w14:paraId="369E9ACD">
          <w:pPr>
            <w:pStyle w:val="15"/>
            <w:tabs>
              <w:tab w:val="right" w:leader="dot" w:pos="8845"/>
            </w:tabs>
            <w:spacing w:line="480" w:lineRule="auto"/>
            <w:rPr>
              <w:rFonts w:hint="eastAsia" w:ascii="仿宋" w:hAnsi="仿宋" w:eastAsia="仿宋" w:cs="仿宋"/>
              <w:b/>
              <w:bCs/>
              <w:sz w:val="28"/>
              <w:szCs w:val="36"/>
              <w:highlight w:val="none"/>
            </w:rPr>
          </w:pPr>
          <w:r>
            <w:rPr>
              <w:highlight w:val="none"/>
            </w:rPr>
            <w:fldChar w:fldCharType="begin"/>
          </w:r>
          <w:r>
            <w:rPr>
              <w:highlight w:val="none"/>
            </w:rPr>
            <w:instrText xml:space="preserve">TOC \o "1-2" \h \u </w:instrText>
          </w:r>
          <w:r>
            <w:rPr>
              <w:highlight w:val="none"/>
            </w:rPr>
            <w:fldChar w:fldCharType="separate"/>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_Toc15373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rPr>
            <w:t>第一章  招标公告</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_Toc15373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1</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3B9B1271">
          <w:pPr>
            <w:pStyle w:val="15"/>
            <w:tabs>
              <w:tab w:val="right" w:leader="dot" w:pos="8845"/>
            </w:tabs>
            <w:spacing w:line="480" w:lineRule="auto"/>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_Toc23069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rPr>
            <w:t xml:space="preserve">第二章  </w:t>
          </w:r>
          <w:r>
            <w:rPr>
              <w:rFonts w:hint="eastAsia" w:ascii="仿宋" w:hAnsi="仿宋" w:eastAsia="仿宋" w:cs="仿宋"/>
              <w:b/>
              <w:bCs/>
              <w:sz w:val="28"/>
              <w:szCs w:val="44"/>
              <w:highlight w:val="none"/>
              <w:lang w:eastAsia="zh-CN"/>
            </w:rPr>
            <w:t>供应商</w:t>
          </w:r>
          <w:r>
            <w:rPr>
              <w:rFonts w:hint="eastAsia" w:ascii="仿宋" w:hAnsi="仿宋" w:eastAsia="仿宋" w:cs="仿宋"/>
              <w:b/>
              <w:bCs/>
              <w:sz w:val="28"/>
              <w:szCs w:val="44"/>
              <w:highlight w:val="none"/>
              <w:lang w:val="zh-CN"/>
            </w:rPr>
            <w:t>须知</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_Toc23069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5</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00D2EB52">
          <w:pPr>
            <w:pStyle w:val="15"/>
            <w:tabs>
              <w:tab w:val="right" w:leader="dot" w:pos="8845"/>
            </w:tabs>
            <w:spacing w:line="480" w:lineRule="auto"/>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_Toc13352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rPr>
            <w:t>第三章  评审办法（综合评分法）</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_Toc13352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25</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6B2BECEA">
          <w:pPr>
            <w:pStyle w:val="15"/>
            <w:tabs>
              <w:tab w:val="right" w:leader="dot" w:pos="8845"/>
            </w:tabs>
            <w:spacing w:line="480" w:lineRule="auto"/>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_Toc14983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lang w:val="zh-CN"/>
            </w:rPr>
            <w:t>第四章</w:t>
          </w:r>
          <w:r>
            <w:rPr>
              <w:rFonts w:hint="eastAsia" w:ascii="仿宋" w:hAnsi="仿宋" w:eastAsia="仿宋" w:cs="仿宋"/>
              <w:b/>
              <w:bCs/>
              <w:sz w:val="28"/>
              <w:szCs w:val="44"/>
              <w:highlight w:val="none"/>
              <w:lang w:val="en-US" w:eastAsia="zh-CN"/>
            </w:rPr>
            <w:t xml:space="preserve">  </w:t>
          </w:r>
          <w:r>
            <w:rPr>
              <w:rFonts w:hint="eastAsia" w:ascii="仿宋" w:hAnsi="仿宋" w:eastAsia="仿宋" w:cs="仿宋"/>
              <w:b/>
              <w:bCs/>
              <w:sz w:val="28"/>
              <w:szCs w:val="44"/>
              <w:highlight w:val="none"/>
            </w:rPr>
            <w:t>采购需求</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_Toc14983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32</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64326F48">
          <w:pPr>
            <w:pStyle w:val="15"/>
            <w:tabs>
              <w:tab w:val="right" w:leader="dot" w:pos="8845"/>
            </w:tabs>
            <w:spacing w:line="480" w:lineRule="auto"/>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_Toc5720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lang w:val="zh-CN"/>
            </w:rPr>
            <w:t>第五章 合同条款</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_Toc5720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35</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4C1A5E14">
          <w:pPr>
            <w:pStyle w:val="15"/>
            <w:tabs>
              <w:tab w:val="right" w:leader="dot" w:pos="8845"/>
            </w:tabs>
            <w:spacing w:line="480" w:lineRule="auto"/>
            <w:rPr>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_Toc12262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lang w:val="zh-CN"/>
            </w:rPr>
            <w:t>第六章  投标文件格式</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_Toc12262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52</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1535E1ED">
          <w:pPr>
            <w:rPr>
              <w:highlight w:val="none"/>
            </w:rPr>
          </w:pPr>
          <w:r>
            <w:rPr>
              <w:highlight w:val="none"/>
            </w:rPr>
            <w:fldChar w:fldCharType="end"/>
          </w:r>
        </w:p>
      </w:sdtContent>
    </w:sdt>
    <w:p w14:paraId="3325EE94">
      <w:pPr>
        <w:rPr>
          <w:highlight w:val="none"/>
        </w:rPr>
      </w:pPr>
    </w:p>
    <w:p w14:paraId="3A983FC2">
      <w:pPr>
        <w:pStyle w:val="15"/>
        <w:keepNext w:val="0"/>
        <w:keepLines w:val="0"/>
        <w:widowControl w:val="0"/>
        <w:tabs>
          <w:tab w:val="right" w:leader="dot" w:pos="8845"/>
        </w:tabs>
        <w:kinsoku/>
        <w:wordWrap/>
        <w:overflowPunct/>
        <w:topLinePunct w:val="0"/>
        <w:bidi w:val="0"/>
        <w:spacing w:line="360" w:lineRule="auto"/>
        <w:textAlignment w:val="auto"/>
        <w:rPr>
          <w:rFonts w:hint="eastAsia" w:ascii="仿宋" w:hAnsi="仿宋" w:eastAsia="仿宋" w:cs="仿宋"/>
          <w:b/>
          <w:bCs w:val="0"/>
          <w:sz w:val="28"/>
          <w:szCs w:val="36"/>
          <w:highlight w:val="none"/>
        </w:rPr>
      </w:pPr>
      <w:r>
        <w:rPr>
          <w:rFonts w:hint="eastAsia" w:ascii="仿宋" w:hAnsi="仿宋" w:eastAsia="仿宋" w:cs="仿宋"/>
          <w:b/>
          <w:bCs w:val="0"/>
          <w:sz w:val="28"/>
          <w:szCs w:val="48"/>
          <w:highlight w:val="none"/>
        </w:rPr>
        <w:fldChar w:fldCharType="end"/>
      </w:r>
    </w:p>
    <w:p w14:paraId="03D1281B">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val="0"/>
          <w:sz w:val="36"/>
          <w:szCs w:val="48"/>
          <w:highlight w:val="none"/>
        </w:rPr>
        <w:sectPr>
          <w:footerReference r:id="rId6" w:type="default"/>
          <w:pgSz w:w="11907" w:h="16840"/>
          <w:pgMar w:top="1440" w:right="1531" w:bottom="1440" w:left="1531" w:header="720" w:footer="720" w:gutter="0"/>
          <w:pgNumType w:fmt="decimal" w:start="1"/>
          <w:cols w:space="720" w:num="1"/>
        </w:sectPr>
      </w:pPr>
    </w:p>
    <w:p w14:paraId="17B3C8A1">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lang w:val="zh-CN" w:eastAsia="zh-CN"/>
        </w:rPr>
      </w:pPr>
      <w:r>
        <w:rPr>
          <w:rFonts w:hint="eastAsia" w:ascii="仿宋" w:hAnsi="仿宋" w:eastAsia="仿宋" w:cs="仿宋"/>
          <w:b/>
          <w:bCs w:val="0"/>
          <w:sz w:val="36"/>
          <w:szCs w:val="48"/>
          <w:highlight w:val="none"/>
        </w:rPr>
        <w:fldChar w:fldCharType="end"/>
      </w:r>
      <w:bookmarkStart w:id="0" w:name="_Toc24582"/>
      <w:bookmarkStart w:id="1" w:name="_Toc14741"/>
      <w:bookmarkStart w:id="2" w:name="_Toc20084"/>
      <w:bookmarkStart w:id="3" w:name="_Toc1041"/>
      <w:bookmarkStart w:id="4" w:name="_Toc26500"/>
      <w:bookmarkStart w:id="5" w:name="_Toc8038"/>
      <w:bookmarkStart w:id="6" w:name="_Toc15373"/>
      <w:bookmarkStart w:id="7" w:name="_Toc28779"/>
      <w:bookmarkStart w:id="8" w:name="_Toc28572"/>
      <w:bookmarkStart w:id="9" w:name="_Toc455"/>
      <w:r>
        <w:rPr>
          <w:rFonts w:hint="eastAsia" w:ascii="仿宋" w:hAnsi="仿宋" w:eastAsia="仿宋" w:cs="仿宋"/>
          <w:b/>
          <w:bCs/>
          <w:sz w:val="32"/>
          <w:szCs w:val="32"/>
          <w:highlight w:val="none"/>
        </w:rPr>
        <w:t>第一章  招标公告</w:t>
      </w:r>
      <w:bookmarkEnd w:id="0"/>
      <w:bookmarkEnd w:id="1"/>
      <w:bookmarkEnd w:id="2"/>
      <w:bookmarkEnd w:id="3"/>
      <w:bookmarkEnd w:id="4"/>
      <w:bookmarkEnd w:id="5"/>
      <w:bookmarkEnd w:id="6"/>
      <w:bookmarkEnd w:id="7"/>
      <w:bookmarkEnd w:id="8"/>
      <w:bookmarkEnd w:id="9"/>
    </w:p>
    <w:p w14:paraId="36EDAAE4">
      <w:pPr>
        <w:spacing w:line="360" w:lineRule="auto"/>
        <w:jc w:val="center"/>
        <w:rPr>
          <w:rFonts w:hint="eastAsia" w:ascii="仿宋" w:hAnsi="仿宋" w:eastAsia="仿宋" w:cs="宋体"/>
          <w:b/>
          <w:bCs/>
          <w:sz w:val="28"/>
          <w:szCs w:val="28"/>
          <w:highlight w:val="none"/>
        </w:rPr>
      </w:pPr>
      <w:r>
        <w:rPr>
          <w:rFonts w:hint="eastAsia" w:ascii="仿宋" w:hAnsi="仿宋" w:eastAsia="仿宋" w:cs="宋体"/>
          <w:b/>
          <w:bCs/>
          <w:sz w:val="28"/>
          <w:szCs w:val="28"/>
          <w:highlight w:val="none"/>
          <w:lang w:val="zh-CN"/>
        </w:rPr>
        <w:t>新疆农业大学老满城校区燃气报警器采购项目（二次）</w:t>
      </w:r>
      <w:r>
        <w:rPr>
          <w:rFonts w:hint="eastAsia" w:ascii="仿宋" w:hAnsi="仿宋" w:eastAsia="仿宋" w:cs="宋体"/>
          <w:b/>
          <w:bCs/>
          <w:sz w:val="28"/>
          <w:szCs w:val="28"/>
          <w:highlight w:val="none"/>
        </w:rPr>
        <w:t>公开招标公告</w:t>
      </w:r>
    </w:p>
    <w:tbl>
      <w:tblPr>
        <w:tblStyle w:val="2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1966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noWrap w:val="0"/>
            <w:vAlign w:val="top"/>
          </w:tcPr>
          <w:p w14:paraId="5269D2E3">
            <w:pPr>
              <w:pStyle w:val="5"/>
              <w:ind w:firstLine="480"/>
              <w:rPr>
                <w:rFonts w:hint="eastAsia" w:ascii="仿宋" w:hAnsi="仿宋" w:eastAsia="仿宋" w:cs="宋体"/>
                <w:kern w:val="0"/>
                <w:sz w:val="21"/>
                <w:szCs w:val="21"/>
                <w:highlight w:val="none"/>
              </w:rPr>
            </w:pPr>
            <w:r>
              <w:rPr>
                <w:rFonts w:hint="eastAsia" w:ascii="仿宋" w:hAnsi="仿宋" w:eastAsia="仿宋" w:cs="宋体"/>
                <w:kern w:val="0"/>
                <w:sz w:val="21"/>
                <w:szCs w:val="21"/>
                <w:highlight w:val="none"/>
              </w:rPr>
              <w:t>项目概况</w:t>
            </w:r>
          </w:p>
          <w:p w14:paraId="0186451E">
            <w:pPr>
              <w:pStyle w:val="5"/>
              <w:ind w:firstLine="480"/>
              <w:rPr>
                <w:rFonts w:hint="eastAsia" w:ascii="仿宋" w:hAnsi="仿宋" w:eastAsia="仿宋" w:cs="宋体"/>
                <w:kern w:val="0"/>
                <w:sz w:val="21"/>
                <w:szCs w:val="21"/>
                <w:highlight w:val="none"/>
              </w:rPr>
            </w:pPr>
            <w:r>
              <w:rPr>
                <w:rFonts w:hint="eastAsia" w:ascii="仿宋" w:hAnsi="仿宋" w:eastAsia="仿宋" w:cs="宋体"/>
                <w:kern w:val="0"/>
                <w:sz w:val="21"/>
                <w:szCs w:val="21"/>
                <w:highlight w:val="none"/>
                <w:lang w:eastAsia="zh-CN"/>
              </w:rPr>
              <w:t>新疆农业大学老满城校区燃气报警器采购项目（二次）的潜在投标人应在政采云平台线上获取招标文件</w:t>
            </w:r>
            <w:r>
              <w:rPr>
                <w:rFonts w:hint="eastAsia" w:ascii="仿宋" w:hAnsi="仿宋" w:eastAsia="仿宋" w:cs="宋体"/>
                <w:color w:val="auto"/>
                <w:sz w:val="21"/>
                <w:szCs w:val="21"/>
                <w:highlight w:val="none"/>
                <w:lang w:eastAsia="zh-CN"/>
              </w:rPr>
              <w:t>，并于2026年</w:t>
            </w:r>
            <w:r>
              <w:rPr>
                <w:rFonts w:hint="eastAsia" w:ascii="仿宋" w:hAnsi="仿宋" w:eastAsia="仿宋" w:cs="宋体"/>
                <w:color w:val="auto"/>
                <w:sz w:val="21"/>
                <w:szCs w:val="21"/>
                <w:highlight w:val="none"/>
                <w:lang w:val="en-US" w:eastAsia="zh-CN"/>
              </w:rPr>
              <w:t>9</w:t>
            </w:r>
            <w:r>
              <w:rPr>
                <w:rFonts w:hint="eastAsia" w:ascii="仿宋" w:hAnsi="仿宋" w:eastAsia="仿宋" w:cs="宋体"/>
                <w:color w:val="auto"/>
                <w:sz w:val="21"/>
                <w:szCs w:val="21"/>
                <w:highlight w:val="none"/>
                <w:lang w:eastAsia="zh-CN"/>
              </w:rPr>
              <w:t>月</w:t>
            </w:r>
            <w:r>
              <w:rPr>
                <w:rFonts w:hint="eastAsia" w:ascii="仿宋" w:hAnsi="仿宋" w:eastAsia="仿宋" w:cs="宋体"/>
                <w:color w:val="auto"/>
                <w:sz w:val="21"/>
                <w:szCs w:val="21"/>
                <w:highlight w:val="none"/>
                <w:lang w:val="en-US" w:eastAsia="zh-CN"/>
              </w:rPr>
              <w:t>7</w:t>
            </w:r>
            <w:r>
              <w:rPr>
                <w:rFonts w:hint="eastAsia" w:ascii="仿宋" w:hAnsi="仿宋" w:eastAsia="仿宋" w:cs="宋体"/>
                <w:color w:val="auto"/>
                <w:sz w:val="21"/>
                <w:szCs w:val="21"/>
                <w:highlight w:val="none"/>
                <w:lang w:eastAsia="zh-CN"/>
              </w:rPr>
              <w:t xml:space="preserve">日 11:00（北京时间）前提交投标文件。                            </w:t>
            </w:r>
          </w:p>
        </w:tc>
      </w:tr>
    </w:tbl>
    <w:p w14:paraId="6AF866E4">
      <w:pPr>
        <w:pStyle w:val="18"/>
        <w:widowControl/>
        <w:spacing w:before="0" w:beforeAutospacing="0" w:after="0" w:afterAutospacing="0" w:line="440" w:lineRule="exact"/>
        <w:jc w:val="both"/>
        <w:rPr>
          <w:rFonts w:hint="eastAsia" w:ascii="仿宋" w:hAnsi="仿宋" w:eastAsia="仿宋" w:cs="宋体"/>
          <w:color w:val="000000"/>
          <w:highlight w:val="none"/>
        </w:rPr>
      </w:pPr>
      <w:r>
        <w:rPr>
          <w:rStyle w:val="23"/>
          <w:rFonts w:hint="eastAsia" w:ascii="仿宋" w:hAnsi="仿宋" w:eastAsia="仿宋" w:cs="宋体"/>
          <w:color w:val="000000"/>
          <w:highlight w:val="none"/>
        </w:rPr>
        <w:t>一、项目基本情况</w:t>
      </w:r>
    </w:p>
    <w:p w14:paraId="1DEB0444">
      <w:pPr>
        <w:pStyle w:val="18"/>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rPr>
        <w:t>项目</w:t>
      </w:r>
      <w:r>
        <w:rPr>
          <w:rFonts w:hint="eastAsia" w:ascii="仿宋" w:hAnsi="仿宋" w:eastAsia="仿宋" w:cs="宋体"/>
          <w:color w:val="auto"/>
          <w:highlight w:val="none"/>
        </w:rPr>
        <w:t>编号</w:t>
      </w:r>
      <w:r>
        <w:rPr>
          <w:rFonts w:hint="eastAsia" w:ascii="仿宋" w:hAnsi="仿宋" w:eastAsia="仿宋" w:cs="宋体"/>
          <w:color w:val="auto"/>
          <w:highlight w:val="none"/>
          <w:lang w:eastAsia="zh-CN"/>
        </w:rPr>
        <w:t>：2026ZHAJ-17（1）</w:t>
      </w:r>
    </w:p>
    <w:p w14:paraId="7105D8BE">
      <w:pPr>
        <w:pStyle w:val="18"/>
        <w:widowControl/>
        <w:spacing w:before="0" w:beforeAutospacing="0" w:after="0" w:afterAutospacing="0" w:line="440" w:lineRule="exact"/>
        <w:ind w:left="480" w:leftChars="200" w:firstLine="0" w:firstLineChars="0"/>
        <w:jc w:val="both"/>
        <w:rPr>
          <w:rFonts w:hint="eastAsia" w:ascii="仿宋" w:hAnsi="仿宋" w:eastAsia="仿宋" w:cs="宋体"/>
          <w:kern w:val="0"/>
          <w:sz w:val="24"/>
          <w:highlight w:val="none"/>
          <w:lang w:eastAsia="zh-CN"/>
        </w:rPr>
      </w:pPr>
      <w:r>
        <w:rPr>
          <w:rFonts w:hint="eastAsia" w:ascii="仿宋" w:hAnsi="仿宋" w:eastAsia="仿宋" w:cs="宋体"/>
          <w:color w:val="000000"/>
          <w:highlight w:val="none"/>
        </w:rPr>
        <w:t>项目名称：</w:t>
      </w:r>
      <w:r>
        <w:rPr>
          <w:rFonts w:hint="eastAsia" w:ascii="仿宋" w:hAnsi="仿宋" w:eastAsia="仿宋" w:cs="宋体"/>
          <w:kern w:val="0"/>
          <w:sz w:val="24"/>
          <w:highlight w:val="none"/>
          <w:lang w:eastAsia="zh-CN"/>
        </w:rPr>
        <w:t>新疆农业大学老满城校区燃气报警器采购项目（二次）</w:t>
      </w:r>
    </w:p>
    <w:p w14:paraId="2BE2CCF3">
      <w:pPr>
        <w:pStyle w:val="18"/>
        <w:widowControl/>
        <w:spacing w:before="0" w:beforeAutospacing="0" w:after="0" w:afterAutospacing="0" w:line="440" w:lineRule="exact"/>
        <w:ind w:left="480" w:leftChars="200" w:firstLine="0" w:firstLineChars="0"/>
        <w:jc w:val="both"/>
        <w:rPr>
          <w:rFonts w:hint="default" w:ascii="仿宋" w:hAnsi="仿宋" w:eastAsia="仿宋" w:cs="宋体"/>
          <w:highlight w:val="none"/>
          <w:lang w:val="en-US" w:eastAsia="zh-CN"/>
        </w:rPr>
      </w:pPr>
      <w:r>
        <w:rPr>
          <w:rFonts w:hint="eastAsia" w:ascii="仿宋" w:hAnsi="仿宋" w:eastAsia="仿宋" w:cs="宋体"/>
          <w:highlight w:val="none"/>
          <w:lang w:eastAsia="zh-CN"/>
        </w:rPr>
        <w:t>采购方式：公开招标</w:t>
      </w:r>
      <w:r>
        <w:rPr>
          <w:rFonts w:hint="eastAsia" w:ascii="仿宋" w:hAnsi="仿宋" w:eastAsia="仿宋" w:cs="宋体"/>
          <w:highlight w:val="none"/>
          <w:lang w:val="en-US" w:eastAsia="zh-CN"/>
        </w:rPr>
        <w:t xml:space="preserve">     </w:t>
      </w:r>
    </w:p>
    <w:p w14:paraId="0BF59789">
      <w:pPr>
        <w:pStyle w:val="18"/>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rPr>
        <w:t>预算金额（元）：</w:t>
      </w:r>
      <w:r>
        <w:rPr>
          <w:rFonts w:hint="eastAsia" w:ascii="仿宋" w:hAnsi="仿宋" w:eastAsia="仿宋" w:cs="宋体"/>
          <w:color w:val="000000"/>
          <w:highlight w:val="none"/>
          <w:lang w:val="en-US" w:eastAsia="zh-CN"/>
        </w:rPr>
        <w:t>350000.00</w:t>
      </w:r>
    </w:p>
    <w:p w14:paraId="49A716DF">
      <w:pPr>
        <w:pStyle w:val="18"/>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rPr>
      </w:pPr>
      <w:r>
        <w:rPr>
          <w:rFonts w:hint="eastAsia" w:ascii="仿宋" w:hAnsi="仿宋" w:eastAsia="仿宋" w:cs="宋体"/>
          <w:color w:val="000000"/>
          <w:highlight w:val="none"/>
        </w:rPr>
        <w:t>最高限价（元）：</w:t>
      </w:r>
      <w:r>
        <w:rPr>
          <w:rFonts w:hint="eastAsia" w:ascii="仿宋" w:hAnsi="仿宋" w:eastAsia="仿宋" w:cs="宋体"/>
          <w:color w:val="000000"/>
          <w:highlight w:val="none"/>
          <w:lang w:val="en-US" w:eastAsia="zh-CN"/>
        </w:rPr>
        <w:t>350000.00</w:t>
      </w:r>
    </w:p>
    <w:p w14:paraId="5C617EAC">
      <w:pPr>
        <w:pStyle w:val="18"/>
        <w:keepNext w:val="0"/>
        <w:keepLines w:val="0"/>
        <w:pageBreakBefore w:val="0"/>
        <w:widowControl/>
        <w:kinsoku/>
        <w:wordWrap/>
        <w:overflowPunct/>
        <w:topLinePunct w:val="0"/>
        <w:autoSpaceDE/>
        <w:autoSpaceDN/>
        <w:bidi w:val="0"/>
        <w:snapToGrid w:val="0"/>
        <w:spacing w:before="0" w:beforeAutospacing="0" w:after="0" w:afterAutospacing="0" w:line="360" w:lineRule="auto"/>
        <w:ind w:left="480" w:leftChars="200" w:firstLine="0" w:firstLineChars="0"/>
        <w:jc w:val="both"/>
        <w:textAlignment w:val="auto"/>
        <w:rPr>
          <w:rFonts w:hint="eastAsia" w:ascii="仿宋" w:hAnsi="仿宋" w:eastAsia="仿宋" w:cs="宋体"/>
          <w:color w:val="000000"/>
          <w:highlight w:val="none"/>
        </w:rPr>
      </w:pPr>
      <w:r>
        <w:rPr>
          <w:rFonts w:hint="eastAsia" w:ascii="仿宋" w:hAnsi="仿宋" w:eastAsia="仿宋" w:cs="宋体"/>
          <w:color w:val="000000"/>
          <w:highlight w:val="none"/>
        </w:rPr>
        <w:t>采购需求：</w:t>
      </w:r>
    </w:p>
    <w:p w14:paraId="68EA2E2C">
      <w:pPr>
        <w:pStyle w:val="18"/>
        <w:keepNext w:val="0"/>
        <w:keepLines w:val="0"/>
        <w:pageBreakBefore w:val="0"/>
        <w:widowControl/>
        <w:kinsoku/>
        <w:wordWrap/>
        <w:overflowPunct/>
        <w:topLinePunct w:val="0"/>
        <w:autoSpaceDE/>
        <w:autoSpaceDN/>
        <w:bidi w:val="0"/>
        <w:snapToGrid w:val="0"/>
        <w:spacing w:before="0" w:beforeAutospacing="0" w:after="0" w:afterAutospacing="0" w:line="360" w:lineRule="auto"/>
        <w:ind w:left="480" w:leftChars="200" w:firstLine="0" w:firstLineChars="0"/>
        <w:jc w:val="both"/>
        <w:textAlignment w:val="auto"/>
        <w:rPr>
          <w:rFonts w:hint="eastAsia" w:ascii="仿宋" w:hAnsi="仿宋" w:eastAsia="仿宋" w:cs="宋体"/>
          <w:highlight w:val="none"/>
          <w:lang w:eastAsia="zh-CN"/>
        </w:rPr>
      </w:pPr>
      <w:r>
        <w:rPr>
          <w:rFonts w:hint="eastAsia" w:ascii="仿宋" w:hAnsi="仿宋" w:eastAsia="仿宋" w:cs="宋体"/>
          <w:highlight w:val="none"/>
          <w:lang w:eastAsia="zh-CN"/>
        </w:rPr>
        <w:t>标项名称:新疆农业大学老满城校区燃气报警器采购项目（二次）</w:t>
      </w:r>
      <w:r>
        <w:rPr>
          <w:rFonts w:hint="eastAsia" w:ascii="仿宋" w:hAnsi="仿宋" w:eastAsia="仿宋" w:cs="宋体"/>
          <w:highlight w:val="none"/>
          <w:lang w:eastAsia="zh-CN"/>
        </w:rPr>
        <w:br w:type="textWrapping"/>
      </w:r>
      <w:r>
        <w:rPr>
          <w:rFonts w:hint="eastAsia" w:ascii="仿宋" w:hAnsi="仿宋" w:eastAsia="仿宋" w:cs="宋体"/>
          <w:highlight w:val="none"/>
          <w:lang w:eastAsia="zh-CN"/>
        </w:rPr>
        <w:t>数量:1</w:t>
      </w:r>
      <w:r>
        <w:rPr>
          <w:rFonts w:hint="eastAsia" w:ascii="仿宋" w:hAnsi="仿宋" w:eastAsia="仿宋" w:cs="宋体"/>
          <w:highlight w:val="none"/>
          <w:lang w:eastAsia="zh-CN"/>
        </w:rPr>
        <w:br w:type="textWrapping"/>
      </w:r>
      <w:r>
        <w:rPr>
          <w:rFonts w:hint="eastAsia" w:ascii="仿宋" w:hAnsi="仿宋" w:eastAsia="仿宋" w:cs="宋体"/>
          <w:highlight w:val="none"/>
          <w:lang w:eastAsia="zh-CN"/>
        </w:rPr>
        <w:t>预算金额（元）:</w:t>
      </w:r>
      <w:r>
        <w:rPr>
          <w:rFonts w:hint="eastAsia" w:ascii="仿宋" w:hAnsi="仿宋" w:eastAsia="仿宋" w:cs="宋体"/>
          <w:highlight w:val="none"/>
          <w:lang w:val="en-US" w:eastAsia="zh-CN"/>
        </w:rPr>
        <w:t>350000.00</w:t>
      </w:r>
      <w:r>
        <w:rPr>
          <w:rFonts w:hint="eastAsia" w:ascii="仿宋" w:hAnsi="仿宋" w:eastAsia="仿宋" w:cs="宋体"/>
          <w:highlight w:val="none"/>
          <w:lang w:eastAsia="zh-CN"/>
        </w:rPr>
        <w:br w:type="textWrapping"/>
      </w:r>
      <w:r>
        <w:rPr>
          <w:rFonts w:hint="eastAsia" w:ascii="仿宋" w:hAnsi="仿宋" w:eastAsia="仿宋" w:cs="宋体"/>
          <w:highlight w:val="none"/>
          <w:lang w:eastAsia="zh-CN"/>
        </w:rPr>
        <w:t>单位： 项 </w:t>
      </w:r>
      <w:r>
        <w:rPr>
          <w:rFonts w:hint="eastAsia" w:ascii="仿宋" w:hAnsi="仿宋" w:eastAsia="仿宋" w:cs="宋体"/>
          <w:highlight w:val="none"/>
          <w:lang w:eastAsia="zh-CN"/>
        </w:rPr>
        <w:br w:type="textWrapping"/>
      </w:r>
      <w:r>
        <w:rPr>
          <w:rFonts w:hint="eastAsia" w:ascii="仿宋" w:hAnsi="仿宋" w:eastAsia="仿宋" w:cs="宋体"/>
          <w:highlight w:val="none"/>
          <w:lang w:eastAsia="zh-CN"/>
        </w:rPr>
        <w:t>简要规格描述或项目基本概况介绍、用途：</w:t>
      </w:r>
      <w:r>
        <w:rPr>
          <w:rFonts w:hint="eastAsia" w:ascii="仿宋" w:hAnsi="仿宋" w:eastAsia="仿宋" w:cs="宋体"/>
          <w:highlight w:val="none"/>
          <w:lang w:val="en-US" w:eastAsia="zh-CN"/>
        </w:rPr>
        <w:t>采购安装一批</w:t>
      </w:r>
      <w:r>
        <w:rPr>
          <w:rFonts w:hint="eastAsia" w:ascii="仿宋" w:hAnsi="仿宋" w:eastAsia="仿宋" w:cs="宋体"/>
          <w:highlight w:val="none"/>
          <w:lang w:eastAsia="zh-CN"/>
        </w:rPr>
        <w:t>燃气报警器</w:t>
      </w:r>
      <w:r>
        <w:rPr>
          <w:rFonts w:hint="eastAsia" w:ascii="仿宋" w:hAnsi="仿宋" w:eastAsia="仿宋" w:cs="宋体"/>
          <w:highlight w:val="none"/>
          <w:lang w:val="en-US" w:eastAsia="zh-CN"/>
        </w:rPr>
        <w:t>。</w:t>
      </w:r>
      <w:r>
        <w:rPr>
          <w:rFonts w:hint="eastAsia" w:ascii="仿宋" w:hAnsi="仿宋" w:eastAsia="仿宋" w:cs="宋体"/>
          <w:highlight w:val="none"/>
          <w:lang w:eastAsia="zh-CN"/>
        </w:rPr>
        <w:t>（具体参数详见第四章</w:t>
      </w:r>
      <w:r>
        <w:rPr>
          <w:rFonts w:hint="eastAsia" w:ascii="仿宋" w:hAnsi="仿宋" w:eastAsia="仿宋" w:cs="宋体"/>
          <w:highlight w:val="none"/>
          <w:lang w:val="en-US" w:eastAsia="zh-CN"/>
        </w:rPr>
        <w:t xml:space="preserve"> </w:t>
      </w:r>
      <w:r>
        <w:rPr>
          <w:rFonts w:hint="eastAsia" w:ascii="仿宋" w:hAnsi="仿宋" w:eastAsia="仿宋" w:cs="宋体"/>
          <w:highlight w:val="none"/>
          <w:lang w:eastAsia="zh-CN"/>
        </w:rPr>
        <w:t>采购需求）</w:t>
      </w:r>
    </w:p>
    <w:p w14:paraId="31762CBB">
      <w:pPr>
        <w:pStyle w:val="18"/>
        <w:keepNext w:val="0"/>
        <w:keepLines w:val="0"/>
        <w:pageBreakBefore w:val="0"/>
        <w:widowControl/>
        <w:kinsoku/>
        <w:wordWrap/>
        <w:overflowPunct/>
        <w:topLinePunct w:val="0"/>
        <w:autoSpaceDE/>
        <w:autoSpaceDN/>
        <w:bidi w:val="0"/>
        <w:snapToGrid w:val="0"/>
        <w:spacing w:before="0" w:beforeAutospacing="0" w:after="0" w:afterAutospacing="0" w:line="360" w:lineRule="auto"/>
        <w:ind w:left="480" w:leftChars="200" w:firstLine="0" w:firstLineChars="0"/>
        <w:jc w:val="both"/>
        <w:textAlignment w:val="auto"/>
        <w:rPr>
          <w:rFonts w:hint="eastAsia" w:ascii="仿宋" w:hAnsi="仿宋" w:eastAsia="仿宋" w:cs="宋体"/>
          <w:highlight w:val="none"/>
          <w:lang w:eastAsia="zh-CN"/>
        </w:rPr>
      </w:pPr>
      <w:r>
        <w:rPr>
          <w:rFonts w:hint="eastAsia" w:ascii="仿宋" w:hAnsi="仿宋" w:eastAsia="仿宋" w:cs="宋体"/>
          <w:highlight w:val="none"/>
          <w:lang w:eastAsia="zh-CN"/>
        </w:rPr>
        <w:t>备注：</w:t>
      </w:r>
      <w:r>
        <w:rPr>
          <w:rFonts w:hint="eastAsia" w:ascii="仿宋" w:hAnsi="仿宋" w:eastAsia="仿宋" w:cs="宋体"/>
          <w:highlight w:val="none"/>
          <w:lang w:val="en-US" w:eastAsia="zh-CN"/>
        </w:rPr>
        <w:t>/</w:t>
      </w:r>
    </w:p>
    <w:p w14:paraId="5BD6B7B4">
      <w:pPr>
        <w:pStyle w:val="18"/>
        <w:widowControl/>
        <w:adjustRightInd w:val="0"/>
        <w:snapToGrid w:val="0"/>
        <w:spacing w:before="0" w:beforeAutospacing="0" w:after="0" w:afterAutospacing="0" w:line="440" w:lineRule="atLeast"/>
        <w:ind w:left="480" w:leftChars="200" w:firstLine="0" w:firstLineChars="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lang w:eastAsia="zh-CN"/>
        </w:rPr>
        <w:t>合同履约期限：签订合同后</w:t>
      </w:r>
      <w:r>
        <w:rPr>
          <w:rFonts w:hint="eastAsia" w:ascii="仿宋" w:hAnsi="仿宋" w:eastAsia="仿宋" w:cs="宋体"/>
          <w:color w:val="000000"/>
          <w:highlight w:val="none"/>
          <w:lang w:val="en-US" w:eastAsia="zh-CN"/>
        </w:rPr>
        <w:t xml:space="preserve"> 15 </w:t>
      </w:r>
      <w:r>
        <w:rPr>
          <w:rFonts w:hint="eastAsia" w:ascii="仿宋" w:hAnsi="仿宋" w:eastAsia="仿宋" w:cs="宋体"/>
          <w:color w:val="000000"/>
          <w:highlight w:val="none"/>
          <w:lang w:eastAsia="zh-CN"/>
        </w:rPr>
        <w:t>天内完成供货、安装、调试以及与之配套的辅助工作，交付采购人使用。</w:t>
      </w:r>
    </w:p>
    <w:p w14:paraId="7B5C43F9">
      <w:pPr>
        <w:pStyle w:val="18"/>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highlight w:val="none"/>
        </w:rPr>
      </w:pPr>
      <w:r>
        <w:rPr>
          <w:rFonts w:hint="eastAsia" w:ascii="仿宋" w:hAnsi="仿宋" w:eastAsia="仿宋" w:cs="宋体"/>
          <w:color w:val="000000"/>
          <w:highlight w:val="none"/>
        </w:rPr>
        <w:t>本项目（</w:t>
      </w:r>
      <w:r>
        <w:rPr>
          <w:rFonts w:hint="eastAsia" w:ascii="仿宋" w:hAnsi="仿宋" w:eastAsia="仿宋" w:cs="宋体"/>
          <w:color w:val="000000"/>
          <w:highlight w:val="none"/>
          <w:lang w:eastAsia="zh-CN"/>
        </w:rPr>
        <w:t>否</w:t>
      </w:r>
      <w:r>
        <w:rPr>
          <w:rFonts w:hint="eastAsia" w:ascii="仿宋" w:hAnsi="仿宋" w:eastAsia="仿宋" w:cs="宋体"/>
          <w:color w:val="000000"/>
          <w:highlight w:val="none"/>
        </w:rPr>
        <w:t>）接受联合体投标。</w:t>
      </w:r>
    </w:p>
    <w:p w14:paraId="24E06F5D">
      <w:pPr>
        <w:pStyle w:val="18"/>
        <w:widowControl/>
        <w:numPr>
          <w:ilvl w:val="0"/>
          <w:numId w:val="1"/>
        </w:numPr>
        <w:spacing w:before="0" w:beforeAutospacing="0" w:after="0" w:afterAutospacing="0" w:line="440" w:lineRule="exact"/>
        <w:jc w:val="both"/>
        <w:rPr>
          <w:rStyle w:val="23"/>
          <w:rFonts w:hint="eastAsia" w:ascii="仿宋" w:hAnsi="仿宋" w:eastAsia="仿宋" w:cs="宋体"/>
          <w:color w:val="000000"/>
          <w:highlight w:val="none"/>
        </w:rPr>
      </w:pPr>
      <w:r>
        <w:rPr>
          <w:rStyle w:val="23"/>
          <w:rFonts w:hint="eastAsia" w:ascii="仿宋" w:hAnsi="仿宋" w:eastAsia="仿宋" w:cs="宋体"/>
          <w:color w:val="000000"/>
          <w:highlight w:val="none"/>
        </w:rPr>
        <w:t>申请人的资格要求</w:t>
      </w:r>
    </w:p>
    <w:p w14:paraId="56B6564C">
      <w:pPr>
        <w:pStyle w:val="18"/>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rPr>
        <w:t>1.满足《中华人民共和国政府采购法》第二十二条规定</w:t>
      </w:r>
      <w:r>
        <w:rPr>
          <w:rFonts w:hint="eastAsia" w:ascii="仿宋" w:hAnsi="仿宋" w:eastAsia="仿宋" w:cs="宋体"/>
          <w:color w:val="000000"/>
          <w:highlight w:val="none"/>
          <w:lang w:eastAsia="zh-CN"/>
        </w:rPr>
        <w:t>；</w:t>
      </w:r>
    </w:p>
    <w:p w14:paraId="07D74FE8">
      <w:pPr>
        <w:pStyle w:val="18"/>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auto"/>
          <w:highlight w:val="none"/>
          <w:lang w:eastAsia="zh-CN"/>
        </w:rPr>
      </w:pPr>
      <w:r>
        <w:rPr>
          <w:rFonts w:hint="eastAsia" w:ascii="仿宋" w:hAnsi="仿宋" w:eastAsia="仿宋" w:cs="宋体"/>
          <w:color w:val="000000"/>
          <w:highlight w:val="none"/>
        </w:rPr>
        <w:t>2.落实政府采购政策需满足的资格</w:t>
      </w:r>
      <w:r>
        <w:rPr>
          <w:rFonts w:hint="eastAsia" w:ascii="仿宋" w:hAnsi="仿宋" w:eastAsia="仿宋" w:cs="宋体"/>
          <w:color w:val="auto"/>
          <w:highlight w:val="none"/>
        </w:rPr>
        <w:t>要求：</w:t>
      </w:r>
      <w:r>
        <w:rPr>
          <w:rFonts w:hint="eastAsia" w:ascii="仿宋" w:hAnsi="仿宋" w:eastAsia="仿宋" w:cs="仿宋"/>
          <w:sz w:val="24"/>
          <w:szCs w:val="24"/>
          <w:highlight w:val="none"/>
        </w:rPr>
        <w:t>本项目专门面向中小企业</w:t>
      </w:r>
      <w:r>
        <w:rPr>
          <w:rFonts w:hint="eastAsia" w:ascii="仿宋" w:hAnsi="仿宋" w:eastAsia="仿宋" w:cs="仿宋"/>
          <w:sz w:val="24"/>
          <w:szCs w:val="24"/>
          <w:highlight w:val="none"/>
          <w:lang w:eastAsia="zh-CN"/>
        </w:rPr>
        <w:t>采购；</w:t>
      </w:r>
    </w:p>
    <w:p w14:paraId="5EDD6DCF">
      <w:pPr>
        <w:pStyle w:val="18"/>
        <w:widowControl/>
        <w:shd w:val="clear"/>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highlight w:val="none"/>
        </w:rPr>
      </w:pPr>
      <w:r>
        <w:rPr>
          <w:rFonts w:hint="eastAsia" w:ascii="仿宋" w:hAnsi="仿宋" w:eastAsia="仿宋" w:cs="宋体"/>
          <w:color w:val="000000"/>
          <w:highlight w:val="none"/>
        </w:rPr>
        <w:t>3.本项目的特定资格要求：</w:t>
      </w:r>
    </w:p>
    <w:p w14:paraId="00E08F98">
      <w:pPr>
        <w:pStyle w:val="18"/>
        <w:widowControl/>
        <w:shd w:val="clear"/>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lang w:eastAsia="zh-CN"/>
        </w:rPr>
        <w:t>（</w:t>
      </w:r>
      <w:r>
        <w:rPr>
          <w:rFonts w:hint="eastAsia" w:ascii="仿宋" w:hAnsi="仿宋" w:eastAsia="仿宋" w:cs="宋体"/>
          <w:color w:val="000000"/>
          <w:highlight w:val="none"/>
          <w:lang w:val="en-US" w:eastAsia="zh-CN"/>
        </w:rPr>
        <w:t>1</w:t>
      </w:r>
      <w:r>
        <w:rPr>
          <w:rFonts w:hint="eastAsia" w:ascii="仿宋" w:hAnsi="仿宋" w:eastAsia="仿宋" w:cs="宋体"/>
          <w:color w:val="000000"/>
          <w:highlight w:val="none"/>
          <w:lang w:eastAsia="zh-CN"/>
        </w:rPr>
        <w:t>）</w:t>
      </w:r>
      <w:r>
        <w:rPr>
          <w:rFonts w:hint="eastAsia" w:ascii="仿宋" w:hAnsi="仿宋" w:eastAsia="仿宋" w:cs="宋体"/>
          <w:color w:val="000000"/>
          <w:highlight w:val="none"/>
        </w:rPr>
        <w:t>供应商须持有企业注册所在地的市人民政府燃气管理部门（市住建局/市城管局）核发的《燃气燃烧器具安装维修企业资质证书》或消防设施工程专业承包贰级及以上资质及有效的安全生产许可证</w:t>
      </w:r>
      <w:r>
        <w:rPr>
          <w:rFonts w:hint="eastAsia" w:ascii="仿宋" w:hAnsi="仿宋" w:eastAsia="仿宋" w:cs="宋体"/>
          <w:color w:val="000000"/>
          <w:highlight w:val="none"/>
          <w:lang w:eastAsia="zh-CN"/>
        </w:rPr>
        <w:t>；</w:t>
      </w:r>
    </w:p>
    <w:p w14:paraId="1F5DD5B3">
      <w:pPr>
        <w:pStyle w:val="18"/>
        <w:widowControl/>
        <w:shd w:val="clear"/>
        <w:adjustRightInd w:val="0"/>
        <w:snapToGrid w:val="0"/>
        <w:spacing w:before="0" w:beforeAutospacing="0" w:after="0" w:afterAutospacing="0" w:line="440" w:lineRule="atLeast"/>
        <w:ind w:firstLine="480" w:firstLineChars="200"/>
        <w:jc w:val="both"/>
        <w:rPr>
          <w:rFonts w:hint="eastAsia" w:ascii="仿宋" w:hAnsi="仿宋" w:eastAsia="仿宋" w:cs="仿宋"/>
          <w:sz w:val="24"/>
          <w:szCs w:val="24"/>
          <w:lang w:val="en-US" w:eastAsia="zh-CN"/>
        </w:rPr>
      </w:pPr>
      <w:r>
        <w:rPr>
          <w:rFonts w:hint="eastAsia" w:ascii="仿宋" w:hAnsi="仿宋" w:eastAsia="仿宋" w:cs="宋体"/>
          <w:color w:val="000000"/>
          <w:highlight w:val="none"/>
          <w:lang w:eastAsia="zh-CN"/>
        </w:rPr>
        <w:t>（</w:t>
      </w:r>
      <w:r>
        <w:rPr>
          <w:rFonts w:hint="eastAsia" w:ascii="仿宋" w:hAnsi="仿宋" w:eastAsia="仿宋" w:cs="宋体"/>
          <w:color w:val="000000"/>
          <w:highlight w:val="none"/>
          <w:lang w:val="en-US" w:eastAsia="zh-CN"/>
        </w:rPr>
        <w:t>2</w:t>
      </w:r>
      <w:r>
        <w:rPr>
          <w:rFonts w:hint="eastAsia" w:ascii="仿宋" w:hAnsi="仿宋" w:eastAsia="仿宋" w:cs="宋体"/>
          <w:color w:val="000000"/>
          <w:highlight w:val="none"/>
          <w:lang w:eastAsia="zh-CN"/>
        </w:rPr>
        <w:t>）</w:t>
      </w:r>
      <w:r>
        <w:rPr>
          <w:rFonts w:hint="eastAsia" w:ascii="仿宋" w:hAnsi="仿宋" w:eastAsia="仿宋" w:cs="仿宋"/>
          <w:sz w:val="24"/>
          <w:szCs w:val="24"/>
          <w:lang w:eastAsia="zh-CN"/>
        </w:rPr>
        <w:t>供应商</w:t>
      </w:r>
      <w:r>
        <w:rPr>
          <w:rFonts w:hint="eastAsia" w:ascii="仿宋" w:hAnsi="仿宋" w:eastAsia="仿宋" w:cs="仿宋"/>
          <w:sz w:val="24"/>
          <w:szCs w:val="24"/>
        </w:rPr>
        <w:t>须在“信用中国”（www.creditchina.gov.cn）和中国政府采购网（www.ccgp.gov.cn）网站上未被列入失信被执行人、重大税收违法案件当事人名单以及政府采购严重违法失信行为记录名单（查询时间为自公告发布之日后）</w:t>
      </w:r>
      <w:r>
        <w:rPr>
          <w:rFonts w:hint="eastAsia" w:ascii="仿宋" w:hAnsi="仿宋" w:eastAsia="仿宋" w:cs="仿宋"/>
          <w:sz w:val="24"/>
          <w:szCs w:val="24"/>
          <w:lang w:val="en-US" w:eastAsia="zh-CN"/>
        </w:rPr>
        <w:t>;</w:t>
      </w:r>
    </w:p>
    <w:p w14:paraId="7AF122CC">
      <w:pPr>
        <w:pStyle w:val="18"/>
        <w:widowControl/>
        <w:shd w:val="clear"/>
        <w:adjustRightInd w:val="0"/>
        <w:snapToGrid w:val="0"/>
        <w:spacing w:before="0" w:beforeAutospacing="0" w:after="0" w:afterAutospacing="0" w:line="440" w:lineRule="atLeast"/>
        <w:ind w:firstLine="480" w:firstLineChars="200"/>
        <w:jc w:val="both"/>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w:t>
      </w:r>
      <w:r>
        <w:rPr>
          <w:rFonts w:hint="eastAsia" w:ascii="仿宋" w:hAnsi="仿宋" w:eastAsia="仿宋" w:cs="仿宋"/>
          <w:color w:val="000000"/>
          <w:highlight w:val="none"/>
          <w:lang w:val="en-US" w:eastAsia="zh-CN"/>
        </w:rPr>
        <w:t>3</w:t>
      </w:r>
      <w:r>
        <w:rPr>
          <w:rFonts w:hint="eastAsia" w:ascii="仿宋" w:hAnsi="仿宋" w:eastAsia="仿宋" w:cs="仿宋"/>
          <w:color w:val="000000"/>
          <w:highlight w:val="none"/>
          <w:lang w:eastAsia="zh-CN"/>
        </w:rPr>
        <w:t>）</w:t>
      </w:r>
      <w:r>
        <w:rPr>
          <w:rFonts w:hint="eastAsia" w:ascii="仿宋" w:hAnsi="仿宋" w:eastAsia="仿宋" w:cs="仿宋"/>
          <w:sz w:val="24"/>
          <w:szCs w:val="24"/>
          <w:lang w:val="en-US" w:eastAsia="zh-CN"/>
        </w:rPr>
        <w:t>其它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266C4D8">
      <w:pPr>
        <w:pStyle w:val="18"/>
        <w:widowControl/>
        <w:shd w:val="clear"/>
        <w:adjustRightInd w:val="0"/>
        <w:snapToGrid w:val="0"/>
        <w:spacing w:before="0" w:beforeAutospacing="0" w:after="0" w:afterAutospacing="0" w:line="440" w:lineRule="atLeast"/>
        <w:jc w:val="both"/>
        <w:rPr>
          <w:rFonts w:hint="eastAsia" w:ascii="仿宋" w:hAnsi="仿宋" w:eastAsia="仿宋" w:cs="宋体"/>
          <w:highlight w:val="none"/>
        </w:rPr>
      </w:pPr>
      <w:r>
        <w:rPr>
          <w:rStyle w:val="23"/>
          <w:rFonts w:hint="eastAsia" w:ascii="仿宋" w:hAnsi="仿宋" w:eastAsia="仿宋" w:cs="宋体"/>
          <w:highlight w:val="none"/>
        </w:rPr>
        <w:t>三、获取招标文件</w:t>
      </w:r>
    </w:p>
    <w:p w14:paraId="05EB4543">
      <w:pPr>
        <w:pStyle w:val="18"/>
        <w:widowControl/>
        <w:shd w:val="clear"/>
        <w:spacing w:before="0" w:beforeAutospacing="0" w:after="0" w:afterAutospacing="0" w:line="440" w:lineRule="exact"/>
        <w:ind w:firstLine="482" w:firstLineChars="200"/>
        <w:jc w:val="both"/>
        <w:rPr>
          <w:rFonts w:hint="eastAsia" w:ascii="仿宋" w:hAnsi="仿宋" w:eastAsia="仿宋" w:cs="宋体"/>
          <w:color w:val="FF0000"/>
          <w:highlight w:val="none"/>
        </w:rPr>
      </w:pPr>
      <w:r>
        <w:rPr>
          <w:rFonts w:hint="eastAsia" w:ascii="仿宋" w:hAnsi="仿宋" w:eastAsia="仿宋" w:cs="宋体"/>
          <w:b/>
          <w:bCs/>
          <w:color w:val="000000"/>
          <w:highlight w:val="none"/>
        </w:rPr>
        <w:t>时间：</w:t>
      </w:r>
      <w:r>
        <w:rPr>
          <w:rFonts w:hint="eastAsia" w:ascii="仿宋" w:hAnsi="仿宋" w:eastAsia="仿宋" w:cs="宋体"/>
          <w:color w:val="auto"/>
          <w:highlight w:val="none"/>
          <w:shd w:val="clear"/>
        </w:rPr>
        <w:t>202</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年</w:t>
      </w:r>
      <w:r>
        <w:rPr>
          <w:rFonts w:hint="eastAsia" w:ascii="仿宋" w:hAnsi="仿宋" w:eastAsia="仿宋" w:cs="宋体"/>
          <w:color w:val="auto"/>
          <w:highlight w:val="none"/>
          <w:shd w:val="clear"/>
          <w:lang w:val="en-US" w:eastAsia="zh-CN"/>
        </w:rPr>
        <w:t>8</w:t>
      </w:r>
      <w:r>
        <w:rPr>
          <w:rFonts w:hint="eastAsia" w:ascii="仿宋" w:hAnsi="仿宋" w:eastAsia="仿宋" w:cs="宋体"/>
          <w:color w:val="auto"/>
          <w:highlight w:val="none"/>
          <w:shd w:val="clear"/>
        </w:rPr>
        <w:t>月</w:t>
      </w:r>
      <w:r>
        <w:rPr>
          <w:rFonts w:hint="eastAsia" w:ascii="仿宋" w:hAnsi="仿宋" w:eastAsia="仿宋" w:cs="宋体"/>
          <w:color w:val="auto"/>
          <w:highlight w:val="none"/>
          <w:shd w:val="clear"/>
          <w:lang w:val="en-US" w:eastAsia="zh-CN"/>
        </w:rPr>
        <w:t>17</w:t>
      </w:r>
      <w:r>
        <w:rPr>
          <w:rFonts w:hint="eastAsia" w:ascii="仿宋" w:hAnsi="仿宋" w:eastAsia="仿宋" w:cs="宋体"/>
          <w:color w:val="auto"/>
          <w:highlight w:val="none"/>
          <w:shd w:val="clear"/>
        </w:rPr>
        <w:t>日至202</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年</w:t>
      </w:r>
      <w:r>
        <w:rPr>
          <w:rFonts w:hint="eastAsia" w:ascii="仿宋" w:hAnsi="仿宋" w:eastAsia="仿宋" w:cs="宋体"/>
          <w:color w:val="auto"/>
          <w:highlight w:val="none"/>
          <w:shd w:val="clear"/>
          <w:lang w:val="en-US" w:eastAsia="zh-CN"/>
        </w:rPr>
        <w:t>8</w:t>
      </w:r>
      <w:r>
        <w:rPr>
          <w:rFonts w:hint="eastAsia" w:ascii="仿宋" w:hAnsi="仿宋" w:eastAsia="仿宋" w:cs="宋体"/>
          <w:color w:val="auto"/>
          <w:highlight w:val="none"/>
          <w:shd w:val="clear"/>
        </w:rPr>
        <w:t>月</w:t>
      </w:r>
      <w:r>
        <w:rPr>
          <w:rFonts w:hint="eastAsia" w:ascii="仿宋" w:hAnsi="仿宋" w:eastAsia="仿宋" w:cs="宋体"/>
          <w:color w:val="auto"/>
          <w:highlight w:val="none"/>
          <w:shd w:val="clear"/>
          <w:lang w:val="en-US" w:eastAsia="zh-CN"/>
        </w:rPr>
        <w:t>24</w:t>
      </w:r>
      <w:r>
        <w:rPr>
          <w:rFonts w:hint="eastAsia" w:ascii="仿宋" w:hAnsi="仿宋" w:eastAsia="仿宋" w:cs="宋体"/>
          <w:color w:val="auto"/>
          <w:highlight w:val="none"/>
          <w:shd w:val="clear"/>
        </w:rPr>
        <w:t>日，</w:t>
      </w:r>
      <w:r>
        <w:rPr>
          <w:rFonts w:hint="eastAsia" w:ascii="仿宋" w:hAnsi="仿宋" w:eastAsia="仿宋" w:cs="宋体"/>
          <w:color w:val="auto"/>
          <w:highlight w:val="none"/>
        </w:rPr>
        <w:t>每天上午</w:t>
      </w:r>
      <w:r>
        <w:rPr>
          <w:rFonts w:hint="eastAsia" w:ascii="仿宋" w:hAnsi="仿宋" w:eastAsia="仿宋" w:cs="宋体"/>
          <w:color w:val="auto"/>
          <w:highlight w:val="none"/>
          <w:lang w:val="en-US" w:eastAsia="zh-CN"/>
        </w:rPr>
        <w:t>00</w:t>
      </w: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00</w:t>
      </w:r>
      <w:r>
        <w:rPr>
          <w:rFonts w:hint="eastAsia" w:ascii="仿宋" w:hAnsi="仿宋" w:eastAsia="仿宋" w:cs="宋体"/>
          <w:color w:val="auto"/>
          <w:highlight w:val="none"/>
        </w:rPr>
        <w:t>至1</w:t>
      </w:r>
      <w:r>
        <w:rPr>
          <w:rFonts w:hint="eastAsia" w:ascii="仿宋" w:hAnsi="仿宋" w:eastAsia="仿宋" w:cs="宋体"/>
          <w:color w:val="auto"/>
          <w:highlight w:val="none"/>
          <w:lang w:val="en-US" w:eastAsia="zh-CN"/>
        </w:rPr>
        <w:t>4</w:t>
      </w:r>
      <w:r>
        <w:rPr>
          <w:rFonts w:hint="eastAsia" w:ascii="仿宋" w:hAnsi="仿宋" w:eastAsia="仿宋" w:cs="宋体"/>
          <w:color w:val="auto"/>
          <w:highlight w:val="none"/>
        </w:rPr>
        <w:t>:00，下午1</w:t>
      </w:r>
      <w:r>
        <w:rPr>
          <w:rFonts w:hint="eastAsia" w:ascii="仿宋" w:hAnsi="仿宋" w:eastAsia="仿宋" w:cs="宋体"/>
          <w:color w:val="auto"/>
          <w:highlight w:val="none"/>
          <w:lang w:val="en-US" w:eastAsia="zh-CN"/>
        </w:rPr>
        <w:t>4</w:t>
      </w: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00</w:t>
      </w:r>
      <w:r>
        <w:rPr>
          <w:rFonts w:hint="eastAsia" w:ascii="仿宋" w:hAnsi="仿宋" w:eastAsia="仿宋" w:cs="宋体"/>
          <w:color w:val="auto"/>
          <w:highlight w:val="none"/>
        </w:rPr>
        <w:t>至</w:t>
      </w:r>
      <w:r>
        <w:rPr>
          <w:rFonts w:hint="eastAsia" w:ascii="仿宋" w:hAnsi="仿宋" w:eastAsia="仿宋" w:cs="宋体"/>
          <w:color w:val="auto"/>
          <w:highlight w:val="none"/>
          <w:lang w:val="en-US" w:eastAsia="zh-CN"/>
        </w:rPr>
        <w:t>23</w:t>
      </w: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59（北京时间，法定节假日除外）</w:t>
      </w:r>
    </w:p>
    <w:p w14:paraId="54CEA872">
      <w:pPr>
        <w:pStyle w:val="18"/>
        <w:widowControl/>
        <w:shd w:val="clear"/>
        <w:spacing w:before="0" w:beforeAutospacing="0" w:after="0" w:afterAutospacing="0" w:line="440" w:lineRule="exact"/>
        <w:ind w:firstLine="482" w:firstLineChars="200"/>
        <w:jc w:val="both"/>
        <w:rPr>
          <w:rFonts w:hint="eastAsia" w:ascii="仿宋" w:hAnsi="仿宋" w:eastAsia="仿宋" w:cs="宋体"/>
          <w:color w:val="000000"/>
          <w:highlight w:val="none"/>
          <w:lang w:eastAsia="zh-CN"/>
        </w:rPr>
      </w:pPr>
      <w:r>
        <w:rPr>
          <w:rFonts w:hint="eastAsia" w:ascii="仿宋" w:hAnsi="仿宋" w:eastAsia="仿宋" w:cs="宋体"/>
          <w:b/>
          <w:bCs/>
          <w:color w:val="000000"/>
          <w:highlight w:val="none"/>
          <w:lang w:eastAsia="zh-CN"/>
        </w:rPr>
        <w:t>地点</w:t>
      </w:r>
      <w:r>
        <w:rPr>
          <w:rFonts w:hint="eastAsia" w:ascii="仿宋" w:hAnsi="仿宋" w:eastAsia="仿宋" w:cs="宋体"/>
          <w:color w:val="000000"/>
          <w:highlight w:val="none"/>
          <w:lang w:eastAsia="zh-CN"/>
        </w:rPr>
        <w:t>：政采云平台线上。</w:t>
      </w:r>
    </w:p>
    <w:p w14:paraId="6DB7C9D0">
      <w:pPr>
        <w:pStyle w:val="18"/>
        <w:widowControl/>
        <w:shd w:val="clear"/>
        <w:spacing w:before="0" w:beforeAutospacing="0" w:after="0" w:afterAutospacing="0" w:line="440" w:lineRule="exact"/>
        <w:ind w:firstLine="482" w:firstLineChars="200"/>
        <w:jc w:val="both"/>
        <w:rPr>
          <w:rFonts w:hint="eastAsia" w:ascii="仿宋" w:hAnsi="仿宋" w:eastAsia="仿宋" w:cs="宋体"/>
          <w:color w:val="000000"/>
          <w:highlight w:val="none"/>
          <w:lang w:eastAsia="zh-CN"/>
        </w:rPr>
      </w:pPr>
      <w:r>
        <w:rPr>
          <w:rFonts w:hint="eastAsia" w:ascii="仿宋" w:hAnsi="仿宋" w:eastAsia="仿宋" w:cs="宋体"/>
          <w:b/>
          <w:bCs/>
          <w:color w:val="000000"/>
          <w:highlight w:val="none"/>
          <w:lang w:eastAsia="zh-CN"/>
        </w:rPr>
        <w:t>方式：</w:t>
      </w:r>
      <w:r>
        <w:rPr>
          <w:rFonts w:hint="eastAsia" w:ascii="仿宋" w:hAnsi="仿宋" w:eastAsia="仿宋" w:cs="宋体"/>
          <w:color w:val="000000"/>
          <w:highlight w:val="none"/>
          <w:lang w:eastAsia="zh-CN"/>
        </w:rPr>
        <w:t>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p>
    <w:p w14:paraId="0A3B43DE">
      <w:pPr>
        <w:pStyle w:val="18"/>
        <w:widowControl/>
        <w:shd w:val="clear"/>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rPr>
        <w:t>售价（元）：</w:t>
      </w:r>
      <w:r>
        <w:rPr>
          <w:rFonts w:hint="eastAsia" w:ascii="仿宋" w:hAnsi="仿宋" w:eastAsia="仿宋" w:cs="宋体"/>
          <w:color w:val="000000"/>
          <w:highlight w:val="none"/>
          <w:lang w:val="en-US" w:eastAsia="zh-CN"/>
        </w:rPr>
        <w:t>0</w:t>
      </w:r>
    </w:p>
    <w:p w14:paraId="2E286DAF">
      <w:pPr>
        <w:pStyle w:val="18"/>
        <w:widowControl/>
        <w:shd w:val="clear"/>
        <w:spacing w:before="0" w:beforeAutospacing="0" w:after="0" w:afterAutospacing="0" w:line="440" w:lineRule="exact"/>
        <w:jc w:val="both"/>
        <w:rPr>
          <w:rFonts w:hint="eastAsia" w:ascii="仿宋" w:hAnsi="仿宋" w:eastAsia="仿宋" w:cs="宋体"/>
          <w:highlight w:val="none"/>
        </w:rPr>
      </w:pPr>
      <w:r>
        <w:rPr>
          <w:rStyle w:val="23"/>
          <w:rFonts w:hint="eastAsia" w:ascii="仿宋" w:hAnsi="仿宋" w:eastAsia="仿宋" w:cs="宋体"/>
          <w:highlight w:val="none"/>
        </w:rPr>
        <w:t>四、提交投标文件截止时间、开标时间和地点</w:t>
      </w:r>
    </w:p>
    <w:p w14:paraId="0E3AA16D">
      <w:pPr>
        <w:pStyle w:val="18"/>
        <w:widowControl/>
        <w:shd w:val="clear"/>
        <w:spacing w:before="0" w:beforeAutospacing="0" w:after="0" w:afterAutospacing="0" w:line="440" w:lineRule="exact"/>
        <w:ind w:firstLine="480" w:firstLineChars="200"/>
        <w:jc w:val="both"/>
        <w:rPr>
          <w:rFonts w:hint="eastAsia" w:ascii="仿宋" w:hAnsi="仿宋" w:eastAsia="仿宋" w:cs="宋体"/>
          <w:color w:val="auto"/>
          <w:highlight w:val="none"/>
        </w:rPr>
      </w:pPr>
      <w:r>
        <w:rPr>
          <w:rFonts w:hint="eastAsia" w:ascii="仿宋" w:hAnsi="仿宋" w:eastAsia="仿宋" w:cs="宋体"/>
          <w:color w:val="000000"/>
          <w:highlight w:val="none"/>
          <w:lang w:eastAsia="zh-CN"/>
        </w:rPr>
        <w:t>提交投</w:t>
      </w:r>
      <w:r>
        <w:rPr>
          <w:rFonts w:hint="eastAsia" w:ascii="仿宋" w:hAnsi="仿宋" w:eastAsia="仿宋" w:cs="宋体"/>
          <w:color w:val="auto"/>
          <w:highlight w:val="none"/>
          <w:lang w:eastAsia="zh-CN"/>
        </w:rPr>
        <w:t>标文件</w:t>
      </w:r>
      <w:r>
        <w:rPr>
          <w:rFonts w:hint="eastAsia" w:ascii="仿宋" w:hAnsi="仿宋" w:eastAsia="仿宋" w:cs="宋体"/>
          <w:color w:val="auto"/>
          <w:highlight w:val="none"/>
        </w:rPr>
        <w:t>截止时间：</w:t>
      </w:r>
      <w:r>
        <w:rPr>
          <w:rFonts w:hint="eastAsia" w:ascii="仿宋" w:hAnsi="仿宋" w:eastAsia="仿宋" w:cs="宋体"/>
          <w:color w:val="auto"/>
          <w:highlight w:val="none"/>
          <w:shd w:val="clear"/>
        </w:rPr>
        <w:t>202</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年</w:t>
      </w:r>
      <w:r>
        <w:rPr>
          <w:rFonts w:hint="eastAsia" w:ascii="仿宋" w:hAnsi="仿宋" w:eastAsia="仿宋" w:cs="宋体"/>
          <w:color w:val="auto"/>
          <w:highlight w:val="none"/>
          <w:shd w:val="clear"/>
          <w:lang w:val="en-US" w:eastAsia="zh-CN"/>
        </w:rPr>
        <w:t>9</w:t>
      </w:r>
      <w:r>
        <w:rPr>
          <w:rFonts w:hint="eastAsia" w:ascii="仿宋" w:hAnsi="仿宋" w:eastAsia="仿宋" w:cs="宋体"/>
          <w:color w:val="auto"/>
          <w:highlight w:val="none"/>
          <w:shd w:val="clear"/>
        </w:rPr>
        <w:t>月</w:t>
      </w:r>
      <w:r>
        <w:rPr>
          <w:rFonts w:hint="eastAsia" w:ascii="仿宋" w:hAnsi="仿宋" w:eastAsia="仿宋" w:cs="宋体"/>
          <w:color w:val="auto"/>
          <w:highlight w:val="none"/>
          <w:shd w:val="clear"/>
          <w:lang w:val="en-US" w:eastAsia="zh-CN"/>
        </w:rPr>
        <w:t>7</w:t>
      </w:r>
      <w:r>
        <w:rPr>
          <w:rFonts w:hint="eastAsia" w:ascii="仿宋" w:hAnsi="仿宋" w:eastAsia="仿宋" w:cs="宋体"/>
          <w:color w:val="auto"/>
          <w:highlight w:val="none"/>
          <w:shd w:val="clear"/>
        </w:rPr>
        <w:t>日1</w:t>
      </w:r>
      <w:r>
        <w:rPr>
          <w:rFonts w:hint="eastAsia" w:ascii="仿宋" w:hAnsi="仿宋" w:eastAsia="仿宋" w:cs="宋体"/>
          <w:color w:val="auto"/>
          <w:highlight w:val="none"/>
          <w:shd w:val="clear"/>
          <w:lang w:val="en-US" w:eastAsia="zh-CN"/>
        </w:rPr>
        <w:t>1</w:t>
      </w:r>
      <w:r>
        <w:rPr>
          <w:rFonts w:hint="eastAsia" w:ascii="仿宋" w:hAnsi="仿宋" w:eastAsia="仿宋" w:cs="宋体"/>
          <w:color w:val="auto"/>
          <w:highlight w:val="none"/>
          <w:shd w:val="clear"/>
        </w:rPr>
        <w:t>：</w:t>
      </w:r>
      <w:r>
        <w:rPr>
          <w:rFonts w:hint="eastAsia" w:ascii="仿宋" w:hAnsi="仿宋" w:eastAsia="仿宋" w:cs="宋体"/>
          <w:color w:val="auto"/>
          <w:highlight w:val="none"/>
          <w:shd w:val="clear"/>
          <w:lang w:val="en-US" w:eastAsia="zh-CN"/>
        </w:rPr>
        <w:t>0</w:t>
      </w:r>
      <w:r>
        <w:rPr>
          <w:rFonts w:hint="eastAsia" w:ascii="仿宋" w:hAnsi="仿宋" w:eastAsia="仿宋" w:cs="宋体"/>
          <w:color w:val="auto"/>
          <w:highlight w:val="none"/>
          <w:shd w:val="clear"/>
        </w:rPr>
        <w:t>0</w:t>
      </w:r>
      <w:r>
        <w:rPr>
          <w:rFonts w:hint="eastAsia" w:ascii="仿宋" w:hAnsi="仿宋" w:eastAsia="仿宋" w:cs="宋体"/>
          <w:color w:val="auto"/>
          <w:highlight w:val="none"/>
        </w:rPr>
        <w:t>（北京时间）</w:t>
      </w:r>
    </w:p>
    <w:p w14:paraId="30FF1B0F">
      <w:pPr>
        <w:pStyle w:val="18"/>
        <w:widowControl/>
        <w:shd w:val="clear"/>
        <w:spacing w:before="0" w:beforeAutospacing="0" w:after="0" w:afterAutospacing="0" w:line="440" w:lineRule="exact"/>
        <w:ind w:firstLine="480" w:firstLineChars="200"/>
        <w:jc w:val="both"/>
        <w:rPr>
          <w:rFonts w:hint="eastAsia" w:ascii="仿宋" w:hAnsi="仿宋" w:eastAsia="仿宋" w:cs="宋体"/>
          <w:b w:val="0"/>
          <w:bCs w:val="0"/>
          <w:color w:val="000000"/>
          <w:highlight w:val="none"/>
          <w:lang w:eastAsia="zh-CN"/>
        </w:rPr>
      </w:pPr>
      <w:r>
        <w:rPr>
          <w:rFonts w:hint="eastAsia" w:ascii="仿宋" w:hAnsi="仿宋" w:eastAsia="仿宋" w:cs="宋体"/>
          <w:color w:val="auto"/>
          <w:highlight w:val="none"/>
        </w:rPr>
        <w:t xml:space="preserve">投标地点 </w:t>
      </w:r>
      <w:r>
        <w:rPr>
          <w:rFonts w:hint="eastAsia" w:ascii="仿宋" w:hAnsi="仿宋" w:eastAsia="仿宋" w:cs="宋体"/>
          <w:color w:val="auto"/>
          <w:highlight w:val="none"/>
          <w:lang w:eastAsia="zh-CN"/>
        </w:rPr>
        <w:t>：</w:t>
      </w:r>
      <w:r>
        <w:rPr>
          <w:rFonts w:hint="eastAsia" w:ascii="仿宋" w:hAnsi="仿宋" w:eastAsia="仿宋" w:cs="宋体"/>
          <w:b w:val="0"/>
          <w:bCs w:val="0"/>
          <w:color w:val="000000"/>
          <w:highlight w:val="none"/>
        </w:rPr>
        <w:t>请登录</w:t>
      </w:r>
      <w:r>
        <w:rPr>
          <w:rFonts w:hint="eastAsia" w:ascii="仿宋" w:hAnsi="仿宋" w:eastAsia="仿宋" w:cs="宋体"/>
          <w:b w:val="0"/>
          <w:bCs w:val="0"/>
          <w:color w:val="000000"/>
          <w:highlight w:val="none"/>
          <w:lang w:eastAsia="zh-CN"/>
        </w:rPr>
        <w:t>政采云</w:t>
      </w:r>
      <w:r>
        <w:rPr>
          <w:rFonts w:hint="eastAsia" w:ascii="仿宋" w:hAnsi="仿宋" w:eastAsia="仿宋" w:cs="宋体"/>
          <w:b w:val="0"/>
          <w:bCs w:val="0"/>
          <w:color w:val="000000"/>
          <w:highlight w:val="none"/>
        </w:rPr>
        <w:t>投标客户端</w:t>
      </w:r>
      <w:r>
        <w:rPr>
          <w:rFonts w:hint="eastAsia" w:ascii="仿宋" w:hAnsi="仿宋" w:eastAsia="仿宋" w:cs="宋体"/>
          <w:b w:val="0"/>
          <w:bCs w:val="0"/>
          <w:color w:val="000000"/>
          <w:highlight w:val="none"/>
          <w:lang w:eastAsia="zh-CN"/>
        </w:rPr>
        <w:t>投标</w:t>
      </w:r>
    </w:p>
    <w:p w14:paraId="4A72DD57">
      <w:pPr>
        <w:pStyle w:val="18"/>
        <w:widowControl/>
        <w:shd w:val="clear"/>
        <w:spacing w:before="0" w:beforeAutospacing="0" w:after="0" w:afterAutospacing="0" w:line="440" w:lineRule="exact"/>
        <w:ind w:firstLine="480" w:firstLineChars="200"/>
        <w:jc w:val="both"/>
        <w:rPr>
          <w:rFonts w:hint="eastAsia" w:ascii="仿宋" w:hAnsi="仿宋" w:eastAsia="仿宋" w:cs="宋体"/>
          <w:color w:val="auto"/>
          <w:highlight w:val="none"/>
        </w:rPr>
      </w:pPr>
      <w:r>
        <w:rPr>
          <w:rFonts w:hint="eastAsia" w:ascii="仿宋" w:hAnsi="仿宋" w:eastAsia="仿宋" w:cs="宋体"/>
          <w:color w:val="auto"/>
          <w:highlight w:val="none"/>
        </w:rPr>
        <w:t>开标时间：</w:t>
      </w:r>
      <w:r>
        <w:rPr>
          <w:rFonts w:hint="eastAsia" w:ascii="仿宋" w:hAnsi="仿宋" w:eastAsia="仿宋" w:cs="宋体"/>
          <w:color w:val="auto"/>
          <w:highlight w:val="none"/>
          <w:shd w:val="clear"/>
        </w:rPr>
        <w:t>202</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年</w:t>
      </w:r>
      <w:r>
        <w:rPr>
          <w:rFonts w:hint="eastAsia" w:ascii="仿宋" w:hAnsi="仿宋" w:eastAsia="仿宋" w:cs="宋体"/>
          <w:color w:val="auto"/>
          <w:highlight w:val="none"/>
          <w:shd w:val="clear"/>
          <w:lang w:val="en-US" w:eastAsia="zh-CN"/>
        </w:rPr>
        <w:t>9</w:t>
      </w:r>
      <w:r>
        <w:rPr>
          <w:rFonts w:hint="eastAsia" w:ascii="仿宋" w:hAnsi="仿宋" w:eastAsia="仿宋" w:cs="宋体"/>
          <w:color w:val="auto"/>
          <w:highlight w:val="none"/>
          <w:shd w:val="clear"/>
        </w:rPr>
        <w:t>月</w:t>
      </w:r>
      <w:r>
        <w:rPr>
          <w:rFonts w:hint="eastAsia" w:ascii="仿宋" w:hAnsi="仿宋" w:eastAsia="仿宋" w:cs="宋体"/>
          <w:color w:val="auto"/>
          <w:highlight w:val="none"/>
          <w:shd w:val="clear"/>
          <w:lang w:val="en-US" w:eastAsia="zh-CN"/>
        </w:rPr>
        <w:t>7</w:t>
      </w:r>
      <w:r>
        <w:rPr>
          <w:rFonts w:hint="eastAsia" w:ascii="仿宋" w:hAnsi="仿宋" w:eastAsia="仿宋" w:cs="宋体"/>
          <w:color w:val="auto"/>
          <w:highlight w:val="none"/>
          <w:shd w:val="clear"/>
        </w:rPr>
        <w:t>日1</w:t>
      </w:r>
      <w:r>
        <w:rPr>
          <w:rFonts w:hint="eastAsia" w:ascii="仿宋" w:hAnsi="仿宋" w:eastAsia="仿宋" w:cs="宋体"/>
          <w:color w:val="auto"/>
          <w:highlight w:val="none"/>
          <w:shd w:val="clear"/>
          <w:lang w:val="en-US" w:eastAsia="zh-CN"/>
        </w:rPr>
        <w:t>1</w:t>
      </w:r>
      <w:r>
        <w:rPr>
          <w:rFonts w:hint="eastAsia" w:ascii="仿宋" w:hAnsi="仿宋" w:eastAsia="仿宋" w:cs="宋体"/>
          <w:color w:val="auto"/>
          <w:highlight w:val="none"/>
          <w:shd w:val="clear"/>
        </w:rPr>
        <w:t>：</w:t>
      </w:r>
      <w:r>
        <w:rPr>
          <w:rFonts w:hint="eastAsia" w:ascii="仿宋" w:hAnsi="仿宋" w:eastAsia="仿宋" w:cs="宋体"/>
          <w:color w:val="auto"/>
          <w:highlight w:val="none"/>
          <w:shd w:val="clear"/>
          <w:lang w:val="en-US" w:eastAsia="zh-CN"/>
        </w:rPr>
        <w:t>0</w:t>
      </w:r>
      <w:r>
        <w:rPr>
          <w:rFonts w:hint="eastAsia" w:ascii="仿宋" w:hAnsi="仿宋" w:eastAsia="仿宋" w:cs="宋体"/>
          <w:color w:val="auto"/>
          <w:highlight w:val="none"/>
          <w:shd w:val="clear"/>
        </w:rPr>
        <w:t>0</w:t>
      </w:r>
      <w:r>
        <w:rPr>
          <w:rFonts w:hint="eastAsia" w:ascii="仿宋" w:hAnsi="仿宋" w:eastAsia="仿宋" w:cs="宋体"/>
          <w:color w:val="auto"/>
          <w:highlight w:val="none"/>
        </w:rPr>
        <w:t xml:space="preserve">（北京时间） </w:t>
      </w:r>
    </w:p>
    <w:p w14:paraId="7110BC20">
      <w:pPr>
        <w:pStyle w:val="18"/>
        <w:widowControl/>
        <w:shd w:val="clear"/>
        <w:spacing w:before="0" w:beforeAutospacing="0" w:after="0" w:afterAutospacing="0" w:line="440" w:lineRule="exact"/>
        <w:ind w:firstLine="480" w:firstLineChars="200"/>
        <w:jc w:val="both"/>
        <w:rPr>
          <w:rFonts w:hint="eastAsia" w:ascii="仿宋" w:hAnsi="仿宋" w:eastAsia="仿宋" w:cs="宋体"/>
          <w:color w:val="auto"/>
          <w:highlight w:val="none"/>
        </w:rPr>
      </w:pPr>
      <w:r>
        <w:rPr>
          <w:rFonts w:hint="eastAsia" w:ascii="仿宋" w:hAnsi="仿宋" w:eastAsia="仿宋" w:cs="宋体"/>
          <w:color w:val="auto"/>
          <w:highlight w:val="none"/>
        </w:rPr>
        <w:t>开标地点：</w:t>
      </w:r>
      <w:r>
        <w:rPr>
          <w:rFonts w:hint="eastAsia" w:ascii="仿宋" w:hAnsi="仿宋" w:eastAsia="仿宋" w:cs="仿宋"/>
          <w:sz w:val="24"/>
          <w:szCs w:val="24"/>
        </w:rPr>
        <w:t>投标人登录政采云平台https://www.zcygov.cn/，进入“项目采购-开标评标-右边选择对应项目点击“进入项目”进入开标大厅</w:t>
      </w:r>
    </w:p>
    <w:p w14:paraId="5B94855A">
      <w:pPr>
        <w:pStyle w:val="18"/>
        <w:spacing w:before="0" w:beforeAutospacing="0" w:after="0" w:afterAutospacing="0" w:line="480" w:lineRule="exact"/>
        <w:jc w:val="both"/>
        <w:rPr>
          <w:rFonts w:hint="eastAsia" w:ascii="仿宋" w:hAnsi="仿宋" w:eastAsia="仿宋" w:cs="仿宋"/>
          <w:color w:val="000000"/>
          <w:highlight w:val="none"/>
        </w:rPr>
      </w:pPr>
      <w:r>
        <w:rPr>
          <w:rStyle w:val="23"/>
          <w:rFonts w:hint="eastAsia" w:ascii="仿宋" w:hAnsi="仿宋" w:eastAsia="仿宋" w:cs="仿宋"/>
          <w:color w:val="000000"/>
          <w:highlight w:val="none"/>
        </w:rPr>
        <w:t>五、公告期限</w:t>
      </w:r>
    </w:p>
    <w:p w14:paraId="749764B3">
      <w:pPr>
        <w:pStyle w:val="18"/>
        <w:spacing w:before="0" w:beforeAutospacing="0" w:after="0" w:afterAutospacing="0" w:line="480" w:lineRule="exact"/>
        <w:ind w:firstLine="480" w:firstLineChars="200"/>
        <w:rPr>
          <w:rFonts w:hint="eastAsia" w:ascii="仿宋" w:hAnsi="仿宋" w:eastAsia="仿宋" w:cs="仿宋"/>
          <w:color w:val="000000"/>
          <w:highlight w:val="none"/>
        </w:rPr>
      </w:pPr>
      <w:r>
        <w:rPr>
          <w:rFonts w:hint="eastAsia" w:ascii="仿宋" w:hAnsi="仿宋" w:eastAsia="仿宋" w:cs="仿宋"/>
          <w:color w:val="000000"/>
          <w:highlight w:val="none"/>
        </w:rPr>
        <w:t>自本公告发布之日起5个工作日。</w:t>
      </w:r>
    </w:p>
    <w:p w14:paraId="3CC43D18">
      <w:pPr>
        <w:pStyle w:val="18"/>
        <w:spacing w:before="0" w:beforeAutospacing="0" w:after="0" w:afterAutospacing="0" w:line="480" w:lineRule="exact"/>
        <w:jc w:val="both"/>
        <w:rPr>
          <w:rFonts w:ascii="仿宋" w:hAnsi="仿宋" w:eastAsia="仿宋" w:cs="仿宋"/>
          <w:color w:val="000000"/>
          <w:highlight w:val="none"/>
        </w:rPr>
      </w:pPr>
      <w:r>
        <w:rPr>
          <w:rStyle w:val="23"/>
          <w:rFonts w:hint="eastAsia" w:ascii="仿宋" w:hAnsi="仿宋" w:eastAsia="仿宋" w:cs="仿宋"/>
          <w:color w:val="000000"/>
          <w:highlight w:val="none"/>
        </w:rPr>
        <w:t>六、其</w:t>
      </w:r>
      <w:r>
        <w:rPr>
          <w:rStyle w:val="23"/>
          <w:rFonts w:hint="eastAsia" w:ascii="仿宋" w:hAnsi="仿宋" w:eastAsia="仿宋" w:cs="仿宋"/>
          <w:color w:val="000000"/>
          <w:highlight w:val="none"/>
          <w:lang w:val="en-US" w:eastAsia="zh-CN"/>
        </w:rPr>
        <w:t>他</w:t>
      </w:r>
      <w:r>
        <w:rPr>
          <w:rStyle w:val="23"/>
          <w:rFonts w:hint="eastAsia" w:ascii="仿宋" w:hAnsi="仿宋" w:eastAsia="仿宋" w:cs="仿宋"/>
          <w:color w:val="000000"/>
          <w:highlight w:val="none"/>
        </w:rPr>
        <w:t>补充事宜</w:t>
      </w:r>
    </w:p>
    <w:p w14:paraId="1BCB2081">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本项目实行网上投标，采用电子投标文件。</w:t>
      </w:r>
    </w:p>
    <w:p w14:paraId="243266CD">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各供应商应在开标前确保成为正式注册入库供应商，并完成CA数字证书(符合国密标准)申领。因未注册入库、未办理CA数字证书等原因造成无法投标或投标失败等后果由供应商自行承担。如需咨询，请联系新疆-安信CA服务热线0991-7810912；翔晟CA服务热线025-66085508；新疆CA服务热线4000921999。</w:t>
      </w:r>
    </w:p>
    <w:p w14:paraId="354B084A">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供应商将政采云电子交易客户端下载、安装完成后，可通过账号密码或CA登录客户端进行投标文件的制作。在使用政采云投标客户端时，建议使用WIN7及以上操作系统。</w:t>
      </w:r>
    </w:p>
    <w:p w14:paraId="4FA936B9">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其他事项：</w:t>
      </w:r>
    </w:p>
    <w:p w14:paraId="209062F5">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（1）政采云投标客户端请至新疆政府采购网（http://www.ccgp-xinjiang.gov.cn/）下载专区查看，如有问题可拨打政采云客户服务热线95763进行咨询。</w:t>
      </w:r>
    </w:p>
    <w:p w14:paraId="79585619">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（2）供应商在开标时须使用制作加密电子投标文件所使用的CA锁及电脑，电脑须提前配置好浏览器（建议使用谷歌浏览器），以便开标时解锁。</w:t>
      </w:r>
    </w:p>
    <w:p w14:paraId="33CC5417">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14:paraId="4ABA359F">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red"/>
          <w:lang w:eastAsia="zh-CN"/>
        </w:rPr>
      </w:pPr>
      <w:r>
        <w:rPr>
          <w:rFonts w:hint="eastAsia" w:ascii="仿宋" w:hAnsi="仿宋" w:eastAsia="仿宋" w:cs="仿宋"/>
          <w:sz w:val="24"/>
          <w:szCs w:val="24"/>
          <w:lang w:eastAsia="zh-CN"/>
        </w:rPr>
        <w:t>（4）为了保证开评标顺利进行，政采云线上开标功能完全实现，供应商开</w:t>
      </w:r>
      <w:r>
        <w:rPr>
          <w:rFonts w:hint="eastAsia" w:ascii="仿宋" w:hAnsi="仿宋" w:eastAsia="仿宋" w:cs="仿宋"/>
          <w:sz w:val="24"/>
          <w:szCs w:val="24"/>
          <w:highlight w:val="none"/>
          <w:lang w:eastAsia="zh-CN"/>
        </w:rPr>
        <w:t>标所使用的电脑设备须具有视频及语音功能。</w:t>
      </w:r>
    </w:p>
    <w:p w14:paraId="2703C79D">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特别提示：</w:t>
      </w:r>
    </w:p>
    <w:p w14:paraId="0823BD42">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1、采购限额标准以上，200万元以下的货物和服务采购项目、400万元以下的工程采购项目，适宜由中小企业提供的，采购人应当专门面向中小企业采购。</w:t>
      </w:r>
    </w:p>
    <w:p w14:paraId="7D241651">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2、超过200万元的货物和服务采购项目，预留该部分采购项目预算总额的30%以上专门面向中小企业采购，其中预留给小微企业的比例不低于60%。</w:t>
      </w:r>
    </w:p>
    <w:p w14:paraId="2555083B">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3、超过400万元的工程采购项目中适宜由中小企业提供的，预留该部分采购项目预算总额的40%以上专门面向中小企业采购，其中预留给小微企业的比例不低于60%。</w:t>
      </w:r>
    </w:p>
    <w:p w14:paraId="5C01E20B">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724ED47A">
      <w:pPr>
        <w:pStyle w:val="18"/>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14:paraId="36580228">
      <w:pPr>
        <w:pStyle w:val="18"/>
        <w:widowControl/>
        <w:spacing w:before="0" w:beforeAutospacing="0" w:after="0" w:afterAutospacing="0" w:line="440" w:lineRule="exact"/>
        <w:ind w:firstLine="482" w:firstLineChars="200"/>
        <w:jc w:val="both"/>
        <w:rPr>
          <w:rFonts w:hint="eastAsia" w:ascii="仿宋" w:hAnsi="仿宋" w:eastAsia="仿宋" w:cs="宋体"/>
          <w:highlight w:val="none"/>
        </w:rPr>
      </w:pPr>
      <w:r>
        <w:rPr>
          <w:rStyle w:val="23"/>
          <w:rFonts w:hint="eastAsia" w:ascii="仿宋" w:hAnsi="仿宋" w:eastAsia="仿宋" w:cs="仿宋"/>
          <w:color w:val="000000"/>
          <w:highlight w:val="none"/>
        </w:rPr>
        <w:t>七、</w:t>
      </w:r>
      <w:r>
        <w:rPr>
          <w:rStyle w:val="23"/>
          <w:rFonts w:hint="eastAsia" w:ascii="仿宋" w:hAnsi="仿宋" w:eastAsia="仿宋" w:cs="宋体"/>
          <w:highlight w:val="none"/>
        </w:rPr>
        <w:t>对本次招标提出询问，请按以下方式联系</w:t>
      </w:r>
    </w:p>
    <w:p w14:paraId="20F56825">
      <w:pPr>
        <w:pStyle w:val="18"/>
        <w:widowControl/>
        <w:spacing w:before="0" w:beforeAutospacing="0" w:after="0" w:afterAutospacing="0" w:line="440" w:lineRule="exact"/>
        <w:ind w:firstLine="482" w:firstLineChars="200"/>
        <w:jc w:val="both"/>
        <w:rPr>
          <w:rFonts w:hint="eastAsia" w:ascii="仿宋" w:hAnsi="仿宋" w:eastAsia="仿宋" w:cs="宋体"/>
          <w:b/>
          <w:bCs/>
          <w:color w:val="000000"/>
          <w:highlight w:val="none"/>
        </w:rPr>
      </w:pPr>
      <w:r>
        <w:rPr>
          <w:rFonts w:hint="eastAsia" w:ascii="仿宋" w:hAnsi="仿宋" w:eastAsia="仿宋" w:cs="宋体"/>
          <w:b/>
          <w:bCs/>
          <w:color w:val="000000"/>
          <w:highlight w:val="none"/>
        </w:rPr>
        <w:t>1.采购人信息</w:t>
      </w:r>
    </w:p>
    <w:p w14:paraId="008D92F8">
      <w:pPr>
        <w:pStyle w:val="18"/>
        <w:widowControl/>
        <w:spacing w:before="0" w:beforeAutospacing="0" w:after="0" w:afterAutospacing="0" w:line="440" w:lineRule="exact"/>
        <w:ind w:firstLine="480" w:firstLineChars="200"/>
        <w:jc w:val="both"/>
        <w:rPr>
          <w:rFonts w:hint="eastAsia" w:ascii="仿宋" w:hAnsi="仿宋" w:eastAsia="仿宋" w:cs="宋体"/>
          <w:color w:val="000000"/>
          <w:highlight w:val="none"/>
        </w:rPr>
      </w:pPr>
      <w:r>
        <w:rPr>
          <w:rFonts w:hint="eastAsia" w:ascii="仿宋" w:hAnsi="仿宋" w:eastAsia="仿宋" w:cs="宋体"/>
          <w:color w:val="000000"/>
          <w:highlight w:val="none"/>
        </w:rPr>
        <w:t>名 称：</w:t>
      </w:r>
      <w:r>
        <w:rPr>
          <w:rFonts w:hint="eastAsia" w:ascii="仿宋" w:hAnsi="仿宋" w:eastAsia="仿宋" w:cs="宋体"/>
          <w:color w:val="000000"/>
          <w:highlight w:val="none"/>
          <w:lang w:eastAsia="zh-CN"/>
        </w:rPr>
        <w:t>新疆农业大学</w:t>
      </w:r>
    </w:p>
    <w:p w14:paraId="03BF00E1">
      <w:pPr>
        <w:pStyle w:val="18"/>
        <w:widowControl/>
        <w:spacing w:before="0" w:beforeAutospacing="0" w:after="0" w:afterAutospacing="0" w:line="440" w:lineRule="exac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rPr>
        <w:t>地 址：</w:t>
      </w:r>
      <w:r>
        <w:rPr>
          <w:rFonts w:hint="eastAsia" w:ascii="仿宋" w:hAnsi="仿宋" w:eastAsia="仿宋" w:cs="宋体"/>
          <w:color w:val="000000"/>
          <w:highlight w:val="none"/>
          <w:lang w:eastAsia="zh-CN"/>
        </w:rPr>
        <w:t>乌鲁木齐市沙依巴克区八一街道农大东路311号</w:t>
      </w:r>
    </w:p>
    <w:p w14:paraId="64BFE3F3">
      <w:pPr>
        <w:pStyle w:val="18"/>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rPr>
        <w:t>联系方式：</w:t>
      </w:r>
      <w:r>
        <w:rPr>
          <w:rFonts w:hint="eastAsia" w:ascii="仿宋" w:hAnsi="仿宋" w:eastAsia="仿宋" w:cs="宋体"/>
          <w:color w:val="000000"/>
          <w:highlight w:val="none"/>
          <w:lang w:val="en-US" w:eastAsia="zh-CN"/>
        </w:rPr>
        <w:t>13999857590</w:t>
      </w:r>
    </w:p>
    <w:p w14:paraId="10FA3E8E">
      <w:pPr>
        <w:pStyle w:val="18"/>
        <w:widowControl/>
        <w:spacing w:before="0" w:beforeAutospacing="0" w:after="0" w:afterAutospacing="0" w:line="440" w:lineRule="exact"/>
        <w:ind w:firstLine="482" w:firstLineChars="200"/>
        <w:jc w:val="both"/>
        <w:rPr>
          <w:rFonts w:hint="eastAsia" w:ascii="仿宋" w:hAnsi="仿宋" w:eastAsia="仿宋" w:cs="宋体"/>
          <w:b/>
          <w:bCs/>
          <w:color w:val="000000"/>
          <w:highlight w:val="none"/>
        </w:rPr>
      </w:pPr>
      <w:r>
        <w:rPr>
          <w:rFonts w:hint="eastAsia" w:ascii="仿宋" w:hAnsi="仿宋" w:eastAsia="仿宋" w:cs="宋体"/>
          <w:b/>
          <w:bCs/>
          <w:color w:val="000000"/>
          <w:highlight w:val="none"/>
        </w:rPr>
        <w:t>2.采购代理机构信息</w:t>
      </w:r>
    </w:p>
    <w:p w14:paraId="0FB24A6E">
      <w:pPr>
        <w:pStyle w:val="18"/>
        <w:widowControl/>
        <w:spacing w:before="0" w:beforeAutospacing="0" w:after="0" w:afterAutospacing="0" w:line="440" w:lineRule="exac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rPr>
        <w:t>名 称：</w:t>
      </w:r>
      <w:r>
        <w:rPr>
          <w:rFonts w:hint="eastAsia" w:ascii="仿宋" w:hAnsi="仿宋" w:eastAsia="仿宋" w:cs="宋体"/>
          <w:color w:val="000000"/>
          <w:highlight w:val="none"/>
          <w:lang w:eastAsia="zh-CN"/>
        </w:rPr>
        <w:t>中合安建工程管理有限公司</w:t>
      </w:r>
    </w:p>
    <w:p w14:paraId="2E90507B">
      <w:pPr>
        <w:pStyle w:val="18"/>
        <w:widowControl/>
        <w:spacing w:before="0" w:beforeAutospacing="0" w:after="0" w:afterAutospacing="0" w:line="440" w:lineRule="exac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rPr>
        <w:t>地</w:t>
      </w:r>
      <w:r>
        <w:rPr>
          <w:rFonts w:hint="eastAsia" w:ascii="仿宋" w:hAnsi="仿宋" w:eastAsia="仿宋" w:cs="宋体"/>
          <w:color w:val="000000"/>
          <w:highlight w:val="none"/>
          <w:lang w:eastAsia="zh-CN"/>
        </w:rPr>
        <w:t xml:space="preserve"> 址：新疆乌鲁木齐市高新区（新市区）新医路165号汇文大厦1栋</w:t>
      </w:r>
      <w:r>
        <w:rPr>
          <w:rFonts w:hint="eastAsia" w:ascii="仿宋" w:hAnsi="仿宋" w:eastAsia="仿宋" w:cs="宋体"/>
          <w:color w:val="000000"/>
          <w:highlight w:val="none"/>
          <w:lang w:val="en-US" w:eastAsia="zh-CN"/>
        </w:rPr>
        <w:t>6</w:t>
      </w:r>
      <w:r>
        <w:rPr>
          <w:rFonts w:hint="eastAsia" w:ascii="仿宋" w:hAnsi="仿宋" w:eastAsia="仿宋" w:cs="宋体"/>
          <w:color w:val="000000"/>
          <w:highlight w:val="none"/>
          <w:lang w:eastAsia="zh-CN"/>
        </w:rPr>
        <w:t>层A</w:t>
      </w:r>
    </w:p>
    <w:p w14:paraId="605722B2">
      <w:pPr>
        <w:pStyle w:val="18"/>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eastAsia="zh-CN"/>
        </w:rPr>
        <w:t>项目联系人：彭小倬、王荣荣</w:t>
      </w:r>
    </w:p>
    <w:p w14:paraId="70465DFC">
      <w:pPr>
        <w:pStyle w:val="18"/>
        <w:widowControl/>
        <w:spacing w:before="0" w:beforeAutospacing="0" w:after="0" w:afterAutospacing="0" w:line="440" w:lineRule="exact"/>
        <w:ind w:firstLine="480" w:firstLineChars="200"/>
        <w:jc w:val="both"/>
        <w:rPr>
          <w:rFonts w:hint="eastAsia" w:ascii="仿宋" w:hAnsi="仿宋" w:eastAsia="仿宋" w:cs="宋体"/>
          <w:color w:val="000000"/>
          <w:highlight w:val="none"/>
          <w:lang w:val="zh-CN" w:eastAsia="zh-CN"/>
        </w:rPr>
        <w:sectPr>
          <w:footerReference r:id="rId7" w:type="default"/>
          <w:pgSz w:w="11907" w:h="16840"/>
          <w:pgMar w:top="1440" w:right="1531" w:bottom="1440" w:left="1531" w:header="720" w:footer="720" w:gutter="0"/>
          <w:pgNumType w:fmt="decimal" w:start="1"/>
          <w:cols w:space="720" w:num="1"/>
        </w:sectPr>
      </w:pPr>
      <w:r>
        <w:rPr>
          <w:rFonts w:hint="eastAsia" w:ascii="仿宋" w:hAnsi="仿宋" w:eastAsia="仿宋" w:cs="宋体"/>
          <w:color w:val="000000"/>
          <w:highlight w:val="none"/>
          <w:lang w:eastAsia="zh-CN"/>
        </w:rPr>
        <w:t>联系方式：</w:t>
      </w:r>
      <w:r>
        <w:rPr>
          <w:rFonts w:hint="eastAsia" w:ascii="仿宋" w:hAnsi="仿宋" w:eastAsia="仿宋" w:cs="宋体"/>
          <w:color w:val="000000"/>
          <w:highlight w:val="none"/>
          <w:lang w:val="en-US" w:eastAsia="zh-CN"/>
        </w:rPr>
        <w:t>13579881296</w:t>
      </w:r>
    </w:p>
    <w:p w14:paraId="27E02713">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rPr>
      </w:pPr>
      <w:bookmarkStart w:id="10" w:name="_Toc14193"/>
      <w:bookmarkStart w:id="11" w:name="_Toc17662"/>
      <w:bookmarkStart w:id="12" w:name="_Toc29978"/>
      <w:bookmarkStart w:id="13" w:name="_Toc8591"/>
      <w:bookmarkStart w:id="14" w:name="_Toc20017"/>
      <w:bookmarkStart w:id="15" w:name="_Toc25806"/>
      <w:bookmarkStart w:id="16" w:name="_Toc24463"/>
      <w:bookmarkStart w:id="17" w:name="_Toc7741"/>
      <w:bookmarkStart w:id="18" w:name="_Toc23069"/>
      <w:r>
        <w:rPr>
          <w:rFonts w:hint="eastAsia" w:ascii="仿宋" w:hAnsi="仿宋" w:eastAsia="仿宋" w:cs="仿宋"/>
          <w:b/>
          <w:bCs/>
          <w:sz w:val="32"/>
          <w:szCs w:val="32"/>
          <w:highlight w:val="none"/>
        </w:rPr>
        <w:t>第二章</w:t>
      </w:r>
      <w:bookmarkStart w:id="19" w:name="_Toc45033358"/>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eastAsia="zh-CN"/>
        </w:rPr>
        <w:t>供应商</w:t>
      </w:r>
      <w:r>
        <w:rPr>
          <w:rFonts w:hint="eastAsia" w:ascii="仿宋" w:hAnsi="仿宋" w:eastAsia="仿宋" w:cs="仿宋"/>
          <w:b/>
          <w:bCs/>
          <w:sz w:val="32"/>
          <w:szCs w:val="32"/>
          <w:highlight w:val="none"/>
          <w:lang w:val="zh-CN"/>
        </w:rPr>
        <w:t>须知</w:t>
      </w:r>
      <w:bookmarkEnd w:id="10"/>
      <w:bookmarkEnd w:id="11"/>
      <w:bookmarkEnd w:id="12"/>
      <w:bookmarkEnd w:id="13"/>
      <w:bookmarkEnd w:id="14"/>
      <w:bookmarkEnd w:id="15"/>
      <w:bookmarkEnd w:id="16"/>
      <w:bookmarkEnd w:id="17"/>
      <w:bookmarkEnd w:id="18"/>
      <w:bookmarkEnd w:id="19"/>
    </w:p>
    <w:p w14:paraId="105153C8">
      <w:pPr>
        <w:spacing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供应商</w:t>
      </w:r>
      <w:r>
        <w:rPr>
          <w:rFonts w:hint="eastAsia" w:ascii="仿宋" w:hAnsi="仿宋" w:eastAsia="仿宋" w:cs="仿宋"/>
          <w:b/>
          <w:bCs/>
          <w:sz w:val="28"/>
          <w:szCs w:val="28"/>
          <w:highlight w:val="none"/>
        </w:rPr>
        <w:t>须知前附表</w:t>
      </w:r>
    </w:p>
    <w:tbl>
      <w:tblPr>
        <w:tblStyle w:val="20"/>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936"/>
        <w:gridCol w:w="6588"/>
      </w:tblGrid>
      <w:tr w14:paraId="64BBB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87" w:type="dxa"/>
            <w:noWrap w:val="0"/>
            <w:vAlign w:val="center"/>
          </w:tcPr>
          <w:p w14:paraId="25D20B41">
            <w:pPr>
              <w:snapToGrid w:val="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序号</w:t>
            </w:r>
          </w:p>
        </w:tc>
        <w:tc>
          <w:tcPr>
            <w:tcW w:w="1936" w:type="dxa"/>
            <w:noWrap w:val="0"/>
            <w:vAlign w:val="center"/>
          </w:tcPr>
          <w:p w14:paraId="3F0EC617">
            <w:pPr>
              <w:snapToGrid w:val="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条款名称</w:t>
            </w:r>
          </w:p>
        </w:tc>
        <w:tc>
          <w:tcPr>
            <w:tcW w:w="6588" w:type="dxa"/>
            <w:noWrap w:val="0"/>
            <w:vAlign w:val="center"/>
          </w:tcPr>
          <w:p w14:paraId="696B4113">
            <w:pPr>
              <w:snapToGrid w:val="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编列内容</w:t>
            </w:r>
          </w:p>
        </w:tc>
      </w:tr>
      <w:tr w14:paraId="736AF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87" w:type="dxa"/>
            <w:noWrap w:val="0"/>
            <w:vAlign w:val="center"/>
          </w:tcPr>
          <w:p w14:paraId="41FB8783">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1936" w:type="dxa"/>
            <w:noWrap w:val="0"/>
            <w:vAlign w:val="center"/>
          </w:tcPr>
          <w:p w14:paraId="64336837">
            <w:pPr>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项目名称及项目编</w:t>
            </w:r>
            <w:r>
              <w:rPr>
                <w:rFonts w:hint="eastAsia" w:ascii="仿宋" w:hAnsi="仿宋" w:eastAsia="仿宋" w:cs="仿宋"/>
                <w:sz w:val="21"/>
                <w:szCs w:val="21"/>
                <w:highlight w:val="none"/>
                <w:lang w:eastAsia="zh-CN"/>
              </w:rPr>
              <w:t>号</w:t>
            </w:r>
          </w:p>
        </w:tc>
        <w:tc>
          <w:tcPr>
            <w:tcW w:w="6588" w:type="dxa"/>
            <w:noWrap w:val="0"/>
            <w:vAlign w:val="center"/>
          </w:tcPr>
          <w:p w14:paraId="6EB1DB5B">
            <w:pPr>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项目名称：</w:t>
            </w:r>
            <w:r>
              <w:rPr>
                <w:rFonts w:hint="eastAsia" w:ascii="仿宋" w:hAnsi="仿宋" w:eastAsia="仿宋" w:cs="仿宋"/>
                <w:sz w:val="21"/>
                <w:szCs w:val="21"/>
                <w:highlight w:val="none"/>
                <w:lang w:eastAsia="zh-CN"/>
              </w:rPr>
              <w:t>新疆农业大学老满城校区燃气报警器采购项目（二次）</w:t>
            </w:r>
          </w:p>
          <w:p w14:paraId="62E663AD">
            <w:pPr>
              <w:snapToGrid w:val="0"/>
              <w:rPr>
                <w:rFonts w:hint="eastAsia" w:ascii="仿宋" w:hAnsi="仿宋" w:eastAsia="仿宋" w:cs="仿宋"/>
                <w:sz w:val="21"/>
                <w:szCs w:val="21"/>
                <w:highlight w:val="none"/>
                <w:lang w:val="en-US" w:eastAsia="zh-CN"/>
              </w:rPr>
            </w:pPr>
            <w:r>
              <w:rPr>
                <w:rFonts w:hint="eastAsia" w:ascii="仿宋" w:hAnsi="仿宋" w:eastAsia="仿宋" w:cs="仿宋"/>
                <w:color w:val="auto"/>
                <w:sz w:val="21"/>
                <w:szCs w:val="21"/>
                <w:highlight w:val="none"/>
              </w:rPr>
              <w:t>项目</w:t>
            </w:r>
            <w:r>
              <w:rPr>
                <w:rFonts w:hint="eastAsia" w:ascii="仿宋" w:hAnsi="仿宋" w:eastAsia="仿宋" w:cs="仿宋"/>
                <w:color w:val="auto"/>
                <w:sz w:val="21"/>
                <w:szCs w:val="21"/>
                <w:highlight w:val="none"/>
                <w:lang w:eastAsia="zh-CN"/>
              </w:rPr>
              <w:t>编号</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2026ZHAJ-17（1）</w:t>
            </w:r>
          </w:p>
        </w:tc>
      </w:tr>
      <w:tr w14:paraId="5252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887" w:type="dxa"/>
            <w:noWrap w:val="0"/>
            <w:vAlign w:val="center"/>
          </w:tcPr>
          <w:p w14:paraId="1FAD3D9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1936" w:type="dxa"/>
            <w:noWrap w:val="0"/>
            <w:vAlign w:val="center"/>
          </w:tcPr>
          <w:p w14:paraId="71ABA2F0">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采购人</w:t>
            </w:r>
          </w:p>
        </w:tc>
        <w:tc>
          <w:tcPr>
            <w:tcW w:w="6588" w:type="dxa"/>
            <w:noWrap w:val="0"/>
            <w:vAlign w:val="center"/>
          </w:tcPr>
          <w:p w14:paraId="0FD8B112">
            <w:pPr>
              <w:pStyle w:val="18"/>
              <w:widowControl/>
              <w:adjustRightInd w:val="0"/>
              <w:snapToGrid w:val="0"/>
              <w:spacing w:before="0" w:beforeAutospacing="0" w:after="0" w:afterAutospacing="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名称：</w:t>
            </w:r>
            <w:r>
              <w:rPr>
                <w:rFonts w:hint="eastAsia" w:ascii="仿宋" w:hAnsi="仿宋" w:eastAsia="仿宋" w:cs="仿宋"/>
                <w:color w:val="000000"/>
                <w:sz w:val="21"/>
                <w:szCs w:val="21"/>
                <w:highlight w:val="none"/>
                <w:lang w:eastAsia="zh-CN"/>
              </w:rPr>
              <w:t>新疆农业大学</w:t>
            </w:r>
          </w:p>
          <w:p w14:paraId="1A5DB833">
            <w:pPr>
              <w:snapToGrid w:val="0"/>
              <w:rPr>
                <w:rFonts w:hint="eastAsia" w:ascii="仿宋" w:hAnsi="仿宋" w:eastAsia="仿宋" w:cs="仿宋"/>
                <w:color w:val="auto"/>
                <w:sz w:val="21"/>
                <w:szCs w:val="21"/>
                <w:highlight w:val="none"/>
                <w:lang w:eastAsia="zh-CN"/>
              </w:rPr>
            </w:pPr>
            <w:r>
              <w:rPr>
                <w:rFonts w:hint="eastAsia" w:ascii="仿宋" w:hAnsi="仿宋" w:eastAsia="仿宋" w:cs="仿宋"/>
                <w:color w:val="000000"/>
                <w:sz w:val="21"/>
                <w:szCs w:val="21"/>
                <w:highlight w:val="none"/>
              </w:rPr>
              <w:t>地址</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乌鲁木齐市沙依巴克区八一街道农大东路311号</w:t>
            </w:r>
          </w:p>
          <w:p w14:paraId="0F5211D4">
            <w:pPr>
              <w:snapToGrid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val="en-US" w:eastAsia="zh-CN"/>
              </w:rPr>
              <w:t>张华</w:t>
            </w:r>
            <w:r>
              <w:rPr>
                <w:rFonts w:hint="eastAsia" w:ascii="仿宋" w:hAnsi="仿宋" w:eastAsia="仿宋" w:cs="仿宋"/>
                <w:color w:val="auto"/>
                <w:sz w:val="21"/>
                <w:szCs w:val="21"/>
                <w:highlight w:val="none"/>
                <w:lang w:eastAsia="zh-CN"/>
              </w:rPr>
              <w:t>老师</w:t>
            </w:r>
          </w:p>
          <w:p w14:paraId="51361D46">
            <w:pPr>
              <w:snapToGrid w:val="0"/>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rPr>
              <w:t>联系方式：</w:t>
            </w:r>
            <w:r>
              <w:rPr>
                <w:rFonts w:hint="eastAsia" w:ascii="仿宋" w:hAnsi="仿宋" w:eastAsia="仿宋" w:cs="仿宋"/>
                <w:color w:val="auto"/>
                <w:sz w:val="21"/>
                <w:szCs w:val="21"/>
                <w:highlight w:val="none"/>
                <w:lang w:val="en-US" w:eastAsia="zh-CN"/>
              </w:rPr>
              <w:t xml:space="preserve">13999857590 </w:t>
            </w:r>
          </w:p>
        </w:tc>
      </w:tr>
      <w:tr w14:paraId="59571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noWrap w:val="0"/>
            <w:vAlign w:val="center"/>
          </w:tcPr>
          <w:p w14:paraId="3247DC4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1936" w:type="dxa"/>
            <w:noWrap w:val="0"/>
            <w:vAlign w:val="center"/>
          </w:tcPr>
          <w:p w14:paraId="373E524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采购代理机构</w:t>
            </w:r>
          </w:p>
        </w:tc>
        <w:tc>
          <w:tcPr>
            <w:tcW w:w="6588" w:type="dxa"/>
            <w:noWrap w:val="0"/>
            <w:vAlign w:val="center"/>
          </w:tcPr>
          <w:p w14:paraId="1EAE073A">
            <w:pPr>
              <w:pStyle w:val="18"/>
              <w:widowControl/>
              <w:adjustRightInd w:val="0"/>
              <w:snapToGrid w:val="0"/>
              <w:spacing w:before="0" w:beforeAutospacing="0" w:after="0" w:afterAutospacing="0"/>
              <w:jc w:val="both"/>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名称：</w:t>
            </w:r>
            <w:r>
              <w:rPr>
                <w:rFonts w:hint="eastAsia" w:ascii="仿宋" w:hAnsi="仿宋" w:eastAsia="仿宋" w:cs="仿宋"/>
                <w:color w:val="000000"/>
                <w:sz w:val="21"/>
                <w:szCs w:val="21"/>
                <w:highlight w:val="none"/>
                <w:lang w:eastAsia="zh-CN"/>
              </w:rPr>
              <w:t>中合安建工程管理有限公司</w:t>
            </w:r>
          </w:p>
          <w:p w14:paraId="2014ACF3">
            <w:pPr>
              <w:pStyle w:val="18"/>
              <w:widowControl/>
              <w:adjustRightInd w:val="0"/>
              <w:snapToGrid w:val="0"/>
              <w:spacing w:before="0" w:beforeAutospacing="0" w:after="0" w:afterAutospacing="0"/>
              <w:jc w:val="both"/>
              <w:rPr>
                <w:rFonts w:hint="eastAsia" w:ascii="仿宋" w:hAnsi="仿宋" w:eastAsia="仿宋" w:cs="仿宋"/>
                <w:color w:val="auto"/>
                <w:sz w:val="21"/>
                <w:szCs w:val="21"/>
                <w:highlight w:val="none"/>
              </w:rPr>
            </w:pPr>
            <w:r>
              <w:rPr>
                <w:rFonts w:hint="eastAsia" w:ascii="仿宋" w:hAnsi="仿宋" w:eastAsia="仿宋" w:cs="仿宋"/>
                <w:color w:val="000000"/>
                <w:sz w:val="21"/>
                <w:szCs w:val="21"/>
                <w:highlight w:val="none"/>
              </w:rPr>
              <w:t>地址：</w:t>
            </w:r>
            <w:r>
              <w:rPr>
                <w:rFonts w:hint="eastAsia" w:ascii="仿宋" w:hAnsi="仿宋" w:eastAsia="仿宋" w:cs="仿宋"/>
                <w:sz w:val="21"/>
                <w:szCs w:val="21"/>
                <w:highlight w:val="none"/>
              </w:rPr>
              <w:t>新疆乌鲁木齐市高新区（新市区）新医路165号汇文大厦1栋</w:t>
            </w:r>
            <w:r>
              <w:rPr>
                <w:rFonts w:hint="eastAsia" w:ascii="仿宋" w:hAnsi="仿宋" w:eastAsia="仿宋" w:cs="仿宋"/>
                <w:sz w:val="21"/>
                <w:szCs w:val="21"/>
                <w:highlight w:val="none"/>
                <w:lang w:val="en-US" w:eastAsia="zh-CN"/>
              </w:rPr>
              <w:t>6</w:t>
            </w:r>
            <w:r>
              <w:rPr>
                <w:rFonts w:hint="eastAsia" w:ascii="仿宋" w:hAnsi="仿宋" w:eastAsia="仿宋" w:cs="仿宋"/>
                <w:color w:val="auto"/>
                <w:sz w:val="21"/>
                <w:szCs w:val="21"/>
                <w:highlight w:val="none"/>
              </w:rPr>
              <w:t>层A</w:t>
            </w:r>
          </w:p>
          <w:p w14:paraId="29E9B6DC">
            <w:pPr>
              <w:pStyle w:val="18"/>
              <w:widowControl/>
              <w:adjustRightInd w:val="0"/>
              <w:snapToGrid w:val="0"/>
              <w:spacing w:before="0" w:beforeAutospacing="0" w:after="0" w:afterAutospacing="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项目联系人：</w:t>
            </w:r>
            <w:r>
              <w:rPr>
                <w:rFonts w:hint="eastAsia" w:ascii="仿宋" w:hAnsi="仿宋" w:eastAsia="仿宋" w:cs="仿宋"/>
                <w:color w:val="auto"/>
                <w:sz w:val="21"/>
                <w:szCs w:val="21"/>
                <w:highlight w:val="none"/>
                <w:lang w:eastAsia="zh-CN"/>
              </w:rPr>
              <w:t>彭小倬、王荣荣</w:t>
            </w:r>
          </w:p>
          <w:p w14:paraId="2887664F">
            <w:pPr>
              <w:pStyle w:val="18"/>
              <w:widowControl/>
              <w:adjustRightInd w:val="0"/>
              <w:snapToGrid w:val="0"/>
              <w:spacing w:before="0" w:beforeAutospacing="0" w:after="0" w:afterAutospacing="0"/>
              <w:jc w:val="both"/>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rPr>
              <w:t>联系方式：</w:t>
            </w:r>
            <w:r>
              <w:rPr>
                <w:rFonts w:hint="eastAsia" w:ascii="仿宋" w:hAnsi="仿宋" w:eastAsia="仿宋" w:cs="仿宋"/>
                <w:color w:val="auto"/>
                <w:sz w:val="21"/>
                <w:szCs w:val="21"/>
                <w:highlight w:val="none"/>
                <w:lang w:eastAsia="zh-CN"/>
              </w:rPr>
              <w:t>13579881296</w:t>
            </w:r>
          </w:p>
        </w:tc>
      </w:tr>
      <w:tr w14:paraId="5363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noWrap w:val="0"/>
            <w:vAlign w:val="center"/>
          </w:tcPr>
          <w:p w14:paraId="428B93CF">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1936" w:type="dxa"/>
            <w:noWrap w:val="0"/>
            <w:vAlign w:val="center"/>
          </w:tcPr>
          <w:p w14:paraId="2128FC1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资金来源</w:t>
            </w:r>
          </w:p>
        </w:tc>
        <w:tc>
          <w:tcPr>
            <w:tcW w:w="6588" w:type="dxa"/>
            <w:noWrap w:val="0"/>
            <w:vAlign w:val="center"/>
          </w:tcPr>
          <w:p w14:paraId="5C36A54C">
            <w:pPr>
              <w:snapToGrid w:val="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财政资金</w:t>
            </w:r>
          </w:p>
        </w:tc>
      </w:tr>
      <w:tr w14:paraId="0756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87" w:type="dxa"/>
            <w:noWrap w:val="0"/>
            <w:vAlign w:val="center"/>
          </w:tcPr>
          <w:p w14:paraId="38212F6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1936" w:type="dxa"/>
            <w:noWrap w:val="0"/>
            <w:vAlign w:val="center"/>
          </w:tcPr>
          <w:p w14:paraId="4B530EE4">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采购预算</w:t>
            </w:r>
          </w:p>
        </w:tc>
        <w:tc>
          <w:tcPr>
            <w:tcW w:w="6588" w:type="dxa"/>
            <w:noWrap w:val="0"/>
            <w:vAlign w:val="center"/>
          </w:tcPr>
          <w:p w14:paraId="55AF17FD">
            <w:pPr>
              <w:widowControl/>
              <w:snapToGrid w:val="0"/>
              <w:jc w:val="both"/>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rPr>
              <w:t>350000.00元</w:t>
            </w:r>
          </w:p>
        </w:tc>
      </w:tr>
      <w:tr w14:paraId="76BF4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noWrap w:val="0"/>
            <w:vAlign w:val="center"/>
          </w:tcPr>
          <w:p w14:paraId="302CA94C">
            <w:pPr>
              <w:snapToGrid w:val="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w:t>
            </w:r>
          </w:p>
        </w:tc>
        <w:tc>
          <w:tcPr>
            <w:tcW w:w="1936" w:type="dxa"/>
            <w:noWrap w:val="0"/>
            <w:vAlign w:val="center"/>
          </w:tcPr>
          <w:p w14:paraId="744F86D3">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资金落实情况</w:t>
            </w:r>
          </w:p>
        </w:tc>
        <w:tc>
          <w:tcPr>
            <w:tcW w:w="6588" w:type="dxa"/>
            <w:noWrap w:val="0"/>
            <w:vAlign w:val="center"/>
          </w:tcPr>
          <w:p w14:paraId="5B719A7C">
            <w:pPr>
              <w:snapToGrid w:val="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已落实</w:t>
            </w:r>
          </w:p>
        </w:tc>
      </w:tr>
      <w:tr w14:paraId="1783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noWrap w:val="0"/>
            <w:vAlign w:val="center"/>
          </w:tcPr>
          <w:p w14:paraId="5A349B62">
            <w:pPr>
              <w:snapToGrid w:val="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w:t>
            </w:r>
          </w:p>
        </w:tc>
        <w:tc>
          <w:tcPr>
            <w:tcW w:w="1936" w:type="dxa"/>
            <w:noWrap w:val="0"/>
            <w:vAlign w:val="center"/>
          </w:tcPr>
          <w:p w14:paraId="0D52E796">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采购内容</w:t>
            </w:r>
          </w:p>
        </w:tc>
        <w:tc>
          <w:tcPr>
            <w:tcW w:w="6588" w:type="dxa"/>
            <w:noWrap w:val="0"/>
            <w:vAlign w:val="center"/>
          </w:tcPr>
          <w:p w14:paraId="600EC306">
            <w:pPr>
              <w:pStyle w:val="18"/>
              <w:widowControl/>
              <w:adjustRightInd w:val="0"/>
              <w:snapToGrid w:val="0"/>
              <w:spacing w:before="0" w:beforeAutospacing="0" w:after="0" w:afterAutospacing="0"/>
              <w:jc w:val="both"/>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rPr>
              <w:t>采购一批燃气报警器。（具体参数详见第四章 采购需求）</w:t>
            </w:r>
          </w:p>
        </w:tc>
      </w:tr>
      <w:tr w14:paraId="01147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noWrap w:val="0"/>
            <w:vAlign w:val="center"/>
          </w:tcPr>
          <w:p w14:paraId="7876C5D6">
            <w:pPr>
              <w:snapToGrid w:val="0"/>
              <w:jc w:val="center"/>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8</w:t>
            </w:r>
          </w:p>
        </w:tc>
        <w:tc>
          <w:tcPr>
            <w:tcW w:w="1936" w:type="dxa"/>
            <w:noWrap w:val="0"/>
            <w:vAlign w:val="center"/>
          </w:tcPr>
          <w:p w14:paraId="642B8D4B">
            <w:pPr>
              <w:snapToGrid w:val="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合同履约</w:t>
            </w:r>
            <w:r>
              <w:rPr>
                <w:rFonts w:hint="eastAsia" w:ascii="仿宋" w:hAnsi="仿宋" w:eastAsia="仿宋" w:cs="仿宋"/>
                <w:color w:val="000000"/>
                <w:sz w:val="21"/>
                <w:szCs w:val="21"/>
                <w:highlight w:val="none"/>
              </w:rPr>
              <w:t>期限</w:t>
            </w:r>
          </w:p>
        </w:tc>
        <w:tc>
          <w:tcPr>
            <w:tcW w:w="6588" w:type="dxa"/>
            <w:noWrap w:val="0"/>
            <w:vAlign w:val="center"/>
          </w:tcPr>
          <w:p w14:paraId="1F9AD030">
            <w:pPr>
              <w:snapToGrid w:val="0"/>
              <w:jc w:val="both"/>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bidi="ar-SA"/>
              </w:rPr>
              <w:t>签订合同后 15 天内完成供货、安装、调试以及与之配套的辅助工作，交付采购人使用。</w:t>
            </w:r>
          </w:p>
        </w:tc>
      </w:tr>
      <w:tr w14:paraId="4800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8" w:hRule="atLeast"/>
          <w:jc w:val="center"/>
        </w:trPr>
        <w:tc>
          <w:tcPr>
            <w:tcW w:w="887" w:type="dxa"/>
            <w:noWrap w:val="0"/>
            <w:vAlign w:val="center"/>
          </w:tcPr>
          <w:p w14:paraId="1690B466">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9</w:t>
            </w:r>
          </w:p>
        </w:tc>
        <w:tc>
          <w:tcPr>
            <w:tcW w:w="1936" w:type="dxa"/>
            <w:noWrap w:val="0"/>
            <w:vAlign w:val="center"/>
          </w:tcPr>
          <w:p w14:paraId="43996859">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资格条件</w:t>
            </w:r>
          </w:p>
        </w:tc>
        <w:tc>
          <w:tcPr>
            <w:tcW w:w="6588" w:type="dxa"/>
            <w:noWrap w:val="0"/>
            <w:vAlign w:val="center"/>
          </w:tcPr>
          <w:p w14:paraId="22B45C92">
            <w:pPr>
              <w:pStyle w:val="18"/>
              <w:widowControl/>
              <w:adjustRightInd w:val="0"/>
              <w:snapToGrid w:val="0"/>
              <w:spacing w:before="0" w:beforeAutospacing="0" w:after="0" w:afterAutospacing="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1.满足《中华人民共和国政府采购法》第二十二条规定：</w:t>
            </w:r>
          </w:p>
          <w:p w14:paraId="636BAB54">
            <w:pPr>
              <w:pStyle w:val="18"/>
              <w:widowControl/>
              <w:adjustRightInd w:val="0"/>
              <w:snapToGrid w:val="0"/>
              <w:spacing w:before="0" w:beforeAutospacing="0" w:after="0" w:afterAutospacing="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2.落实政府采购政策需满足的资格要求：本项目专门面向中小企业</w:t>
            </w:r>
            <w:r>
              <w:rPr>
                <w:rFonts w:hint="eastAsia" w:ascii="仿宋" w:hAnsi="仿宋" w:eastAsia="仿宋" w:cs="仿宋"/>
                <w:color w:val="auto"/>
                <w:sz w:val="21"/>
                <w:szCs w:val="21"/>
                <w:highlight w:val="none"/>
                <w:lang w:eastAsia="zh-CN"/>
              </w:rPr>
              <w:t>采购；</w:t>
            </w:r>
          </w:p>
          <w:p w14:paraId="6DBA4F9F">
            <w:pPr>
              <w:pStyle w:val="18"/>
              <w:widowControl/>
              <w:adjustRightInd w:val="0"/>
              <w:snapToGrid w:val="0"/>
              <w:spacing w:before="0" w:beforeAutospacing="0" w:after="0" w:afterAutospacing="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3.本项目的特定资格要求：</w:t>
            </w:r>
          </w:p>
          <w:p w14:paraId="64B4B6CC">
            <w:pPr>
              <w:pStyle w:val="18"/>
              <w:widowControl/>
              <w:adjustRightInd w:val="0"/>
              <w:snapToGrid w:val="0"/>
              <w:spacing w:before="0" w:beforeAutospacing="0" w:after="0" w:afterAutospacing="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供应商须持有企业注册所在地的市人民政府燃气管理部门（市住建局/市城管局）核发的《燃气燃烧器具安装维修企业资质证书》或消防设施工程专业承包贰级及以上资质及有效的安全生产许可证</w:t>
            </w:r>
            <w:r>
              <w:rPr>
                <w:rFonts w:hint="eastAsia" w:ascii="仿宋" w:hAnsi="仿宋" w:eastAsia="仿宋" w:cs="仿宋"/>
                <w:color w:val="auto"/>
                <w:sz w:val="21"/>
                <w:szCs w:val="21"/>
                <w:highlight w:val="none"/>
                <w:lang w:eastAsia="zh-CN"/>
              </w:rPr>
              <w:t>；</w:t>
            </w:r>
          </w:p>
          <w:p w14:paraId="43C77EA7">
            <w:pPr>
              <w:pStyle w:val="18"/>
              <w:widowControl/>
              <w:adjustRightInd w:val="0"/>
              <w:snapToGrid w:val="0"/>
              <w:spacing w:before="0" w:beforeAutospacing="0" w:after="0" w:afterAutospacing="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须在“信用中国”（www.creditchina.gov.cn）和中国政府采购网（www.ccgp.gov.cn）网站上未被列入失信被执行人、重大税收违法案件当事人名单以及政府采购严重违法失信行为记录名单（查询时间为自公告发布之日后）</w:t>
            </w:r>
            <w:r>
              <w:rPr>
                <w:rFonts w:hint="eastAsia" w:ascii="仿宋" w:hAnsi="仿宋" w:eastAsia="仿宋" w:cs="仿宋"/>
                <w:color w:val="auto"/>
                <w:sz w:val="21"/>
                <w:szCs w:val="21"/>
                <w:highlight w:val="none"/>
                <w:lang w:val="en-US" w:eastAsia="zh-CN"/>
              </w:rPr>
              <w:t>;</w:t>
            </w:r>
          </w:p>
          <w:p w14:paraId="21FD62C5">
            <w:pPr>
              <w:pStyle w:val="18"/>
              <w:widowControl/>
              <w:adjustRightInd w:val="0"/>
              <w:snapToGrid w:val="0"/>
              <w:spacing w:before="0" w:beforeAutospacing="0" w:after="0" w:afterAutospacing="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其它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r>
      <w:tr w14:paraId="3552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887" w:type="dxa"/>
            <w:noWrap w:val="0"/>
            <w:vAlign w:val="center"/>
          </w:tcPr>
          <w:p w14:paraId="5E9418E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10</w:t>
            </w:r>
          </w:p>
        </w:tc>
        <w:tc>
          <w:tcPr>
            <w:tcW w:w="1936" w:type="dxa"/>
            <w:noWrap w:val="0"/>
            <w:vAlign w:val="center"/>
          </w:tcPr>
          <w:p w14:paraId="73BABAF4">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是否接受联合体投标</w:t>
            </w:r>
          </w:p>
        </w:tc>
        <w:tc>
          <w:tcPr>
            <w:tcW w:w="6588" w:type="dxa"/>
            <w:noWrap w:val="0"/>
            <w:vAlign w:val="center"/>
          </w:tcPr>
          <w:p w14:paraId="04ADC4E8">
            <w:pPr>
              <w:snapToGrid w:val="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不接受</w:t>
            </w:r>
          </w:p>
        </w:tc>
      </w:tr>
      <w:tr w14:paraId="73B2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887" w:type="dxa"/>
            <w:noWrap w:val="0"/>
            <w:vAlign w:val="center"/>
          </w:tcPr>
          <w:p w14:paraId="627A235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11</w:t>
            </w:r>
          </w:p>
        </w:tc>
        <w:tc>
          <w:tcPr>
            <w:tcW w:w="1936" w:type="dxa"/>
            <w:noWrap w:val="0"/>
            <w:vAlign w:val="center"/>
          </w:tcPr>
          <w:p w14:paraId="606F1895">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付款方式</w:t>
            </w:r>
          </w:p>
        </w:tc>
        <w:tc>
          <w:tcPr>
            <w:tcW w:w="6588" w:type="dxa"/>
            <w:noWrap w:val="0"/>
            <w:vAlign w:val="center"/>
          </w:tcPr>
          <w:p w14:paraId="56FE339F">
            <w:pPr>
              <w:widowControl/>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1、付款币种：人民币支付。</w:t>
            </w:r>
          </w:p>
          <w:p w14:paraId="13E73CD9">
            <w:pPr>
              <w:widowControl/>
              <w:snapToGrid w:val="0"/>
              <w:rPr>
                <w:rFonts w:hint="eastAsia" w:ascii="仿宋" w:hAnsi="仿宋" w:eastAsia="仿宋" w:cs="仿宋"/>
                <w:color w:val="FF0000"/>
                <w:sz w:val="21"/>
                <w:szCs w:val="21"/>
                <w:highlight w:val="none"/>
                <w:lang w:eastAsia="zh-CN"/>
              </w:rPr>
            </w:pPr>
            <w:r>
              <w:rPr>
                <w:rFonts w:hint="eastAsia" w:ascii="仿宋" w:hAnsi="仿宋" w:eastAsia="仿宋" w:cs="仿宋"/>
                <w:color w:val="auto"/>
                <w:sz w:val="21"/>
                <w:szCs w:val="21"/>
                <w:highlight w:val="none"/>
              </w:rPr>
              <w:t>2、付款方式：</w:t>
            </w:r>
            <w:r>
              <w:rPr>
                <w:rFonts w:hint="eastAsia" w:ascii="仿宋" w:hAnsi="仿宋" w:eastAsia="仿宋" w:cs="仿宋"/>
                <w:color w:val="auto"/>
                <w:sz w:val="21"/>
                <w:szCs w:val="21"/>
                <w:highlight w:val="none"/>
                <w:lang w:val="en-US" w:eastAsia="zh-CN"/>
              </w:rPr>
              <w:t>合同签订支付预付款40%，安装调试完毕验收后支付60%</w:t>
            </w:r>
            <w:r>
              <w:rPr>
                <w:rFonts w:hint="default" w:ascii="仿宋" w:hAnsi="仿宋" w:eastAsia="仿宋" w:cs="仿宋"/>
                <w:color w:val="auto"/>
                <w:sz w:val="21"/>
                <w:szCs w:val="21"/>
                <w:highlight w:val="none"/>
                <w:lang w:val="en-US" w:eastAsia="zh-CN"/>
              </w:rPr>
              <w:t>。</w:t>
            </w:r>
          </w:p>
        </w:tc>
      </w:tr>
      <w:tr w14:paraId="3641F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87" w:type="dxa"/>
            <w:noWrap w:val="0"/>
            <w:vAlign w:val="center"/>
          </w:tcPr>
          <w:p w14:paraId="1A677B8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12</w:t>
            </w:r>
          </w:p>
        </w:tc>
        <w:tc>
          <w:tcPr>
            <w:tcW w:w="1936" w:type="dxa"/>
            <w:noWrap w:val="0"/>
            <w:vAlign w:val="center"/>
          </w:tcPr>
          <w:p w14:paraId="00FFD710">
            <w:pPr>
              <w:snapToGrid w:val="0"/>
              <w:jc w:val="center"/>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lang w:eastAsia="zh-CN"/>
              </w:rPr>
              <w:t>交货地点</w:t>
            </w:r>
          </w:p>
        </w:tc>
        <w:tc>
          <w:tcPr>
            <w:tcW w:w="6588" w:type="dxa"/>
            <w:shd w:val="clear" w:color="auto" w:fill="auto"/>
            <w:noWrap w:val="0"/>
            <w:vAlign w:val="center"/>
          </w:tcPr>
          <w:p w14:paraId="6CB7DE6E">
            <w:pPr>
              <w:snapToGrid w:val="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新疆农业大学</w:t>
            </w:r>
          </w:p>
        </w:tc>
      </w:tr>
      <w:tr w14:paraId="082B0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87" w:type="dxa"/>
            <w:noWrap w:val="0"/>
            <w:vAlign w:val="center"/>
          </w:tcPr>
          <w:p w14:paraId="2FBFA09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13</w:t>
            </w:r>
          </w:p>
        </w:tc>
        <w:tc>
          <w:tcPr>
            <w:tcW w:w="1936" w:type="dxa"/>
            <w:noWrap w:val="0"/>
            <w:vAlign w:val="center"/>
          </w:tcPr>
          <w:p w14:paraId="1B5382A6">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投标截止时间</w:t>
            </w:r>
          </w:p>
        </w:tc>
        <w:tc>
          <w:tcPr>
            <w:tcW w:w="6588" w:type="dxa"/>
            <w:shd w:val="clear" w:color="auto" w:fill="auto"/>
            <w:noWrap w:val="0"/>
            <w:vAlign w:val="center"/>
          </w:tcPr>
          <w:p w14:paraId="703CBCFE">
            <w:pPr>
              <w:snapToGrid w:val="0"/>
              <w:rPr>
                <w:rFonts w:hint="eastAsia" w:ascii="仿宋" w:hAnsi="仿宋" w:eastAsia="仿宋" w:cs="仿宋"/>
                <w:sz w:val="21"/>
                <w:szCs w:val="21"/>
                <w:highlight w:val="none"/>
              </w:rPr>
            </w:pPr>
            <w:r>
              <w:rPr>
                <w:rFonts w:hint="eastAsia" w:ascii="仿宋" w:hAnsi="仿宋" w:eastAsia="仿宋" w:cs="仿宋"/>
                <w:color w:val="000000"/>
                <w:sz w:val="21"/>
                <w:szCs w:val="21"/>
                <w:highlight w:val="none"/>
                <w:shd w:val="clear"/>
              </w:rPr>
              <w:t>202</w:t>
            </w:r>
            <w:r>
              <w:rPr>
                <w:rFonts w:hint="eastAsia" w:ascii="仿宋" w:hAnsi="仿宋" w:eastAsia="仿宋" w:cs="仿宋"/>
                <w:color w:val="000000"/>
                <w:sz w:val="21"/>
                <w:szCs w:val="21"/>
                <w:highlight w:val="none"/>
                <w:shd w:val="clear"/>
                <w:lang w:val="en-US" w:eastAsia="zh-CN"/>
              </w:rPr>
              <w:t>6</w:t>
            </w:r>
            <w:r>
              <w:rPr>
                <w:rFonts w:hint="eastAsia" w:ascii="仿宋" w:hAnsi="仿宋" w:eastAsia="仿宋" w:cs="仿宋"/>
                <w:color w:val="000000"/>
                <w:sz w:val="21"/>
                <w:szCs w:val="21"/>
                <w:highlight w:val="none"/>
                <w:shd w:val="clear"/>
              </w:rPr>
              <w:t>年</w:t>
            </w:r>
            <w:r>
              <w:rPr>
                <w:rFonts w:hint="eastAsia" w:ascii="仿宋" w:hAnsi="仿宋" w:eastAsia="仿宋" w:cs="仿宋"/>
                <w:color w:val="000000"/>
                <w:sz w:val="21"/>
                <w:szCs w:val="21"/>
                <w:highlight w:val="none"/>
                <w:shd w:val="clear"/>
                <w:lang w:val="en-US" w:eastAsia="zh-CN"/>
              </w:rPr>
              <w:t>9</w:t>
            </w:r>
            <w:r>
              <w:rPr>
                <w:rFonts w:hint="eastAsia" w:ascii="仿宋" w:hAnsi="仿宋" w:eastAsia="仿宋" w:cs="仿宋"/>
                <w:color w:val="000000"/>
                <w:sz w:val="21"/>
                <w:szCs w:val="21"/>
                <w:highlight w:val="none"/>
                <w:shd w:val="clear"/>
              </w:rPr>
              <w:t>月</w:t>
            </w:r>
            <w:r>
              <w:rPr>
                <w:rFonts w:hint="eastAsia" w:ascii="仿宋" w:hAnsi="仿宋" w:eastAsia="仿宋" w:cs="仿宋"/>
                <w:color w:val="000000"/>
                <w:sz w:val="21"/>
                <w:szCs w:val="21"/>
                <w:highlight w:val="none"/>
                <w:shd w:val="clear"/>
                <w:lang w:val="en-US" w:eastAsia="zh-CN"/>
              </w:rPr>
              <w:t>7</w:t>
            </w:r>
            <w:r>
              <w:rPr>
                <w:rFonts w:hint="eastAsia" w:ascii="仿宋" w:hAnsi="仿宋" w:eastAsia="仿宋" w:cs="仿宋"/>
                <w:color w:val="000000"/>
                <w:sz w:val="21"/>
                <w:szCs w:val="21"/>
                <w:highlight w:val="none"/>
                <w:shd w:val="clear"/>
              </w:rPr>
              <w:t>日1</w:t>
            </w:r>
            <w:r>
              <w:rPr>
                <w:rFonts w:hint="eastAsia" w:ascii="仿宋" w:hAnsi="仿宋" w:eastAsia="仿宋" w:cs="仿宋"/>
                <w:color w:val="000000"/>
                <w:sz w:val="21"/>
                <w:szCs w:val="21"/>
                <w:highlight w:val="none"/>
                <w:shd w:val="clear"/>
                <w:lang w:val="en-US" w:eastAsia="zh-CN"/>
              </w:rPr>
              <w:t>1</w:t>
            </w:r>
            <w:r>
              <w:rPr>
                <w:rFonts w:hint="eastAsia" w:ascii="仿宋" w:hAnsi="仿宋" w:eastAsia="仿宋" w:cs="仿宋"/>
                <w:color w:val="000000"/>
                <w:sz w:val="21"/>
                <w:szCs w:val="21"/>
                <w:highlight w:val="none"/>
                <w:shd w:val="clear"/>
              </w:rPr>
              <w:t>时</w:t>
            </w:r>
            <w:r>
              <w:rPr>
                <w:rFonts w:hint="eastAsia" w:ascii="仿宋" w:hAnsi="仿宋" w:eastAsia="仿宋" w:cs="仿宋"/>
                <w:color w:val="000000"/>
                <w:sz w:val="21"/>
                <w:szCs w:val="21"/>
                <w:highlight w:val="none"/>
                <w:shd w:val="clear"/>
                <w:lang w:val="en-US" w:eastAsia="zh-CN"/>
              </w:rPr>
              <w:t>0</w:t>
            </w:r>
            <w:r>
              <w:rPr>
                <w:rFonts w:hint="eastAsia" w:ascii="仿宋" w:hAnsi="仿宋" w:eastAsia="仿宋" w:cs="仿宋"/>
                <w:color w:val="000000"/>
                <w:sz w:val="21"/>
                <w:szCs w:val="21"/>
                <w:highlight w:val="none"/>
                <w:shd w:val="clear"/>
              </w:rPr>
              <w:t>0分</w:t>
            </w:r>
          </w:p>
        </w:tc>
      </w:tr>
      <w:tr w14:paraId="2394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87" w:type="dxa"/>
            <w:noWrap w:val="0"/>
            <w:vAlign w:val="center"/>
          </w:tcPr>
          <w:p w14:paraId="78EA5ED1">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14</w:t>
            </w:r>
          </w:p>
        </w:tc>
        <w:tc>
          <w:tcPr>
            <w:tcW w:w="1936" w:type="dxa"/>
            <w:noWrap w:val="0"/>
            <w:vAlign w:val="center"/>
          </w:tcPr>
          <w:p w14:paraId="17A43AE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确认收到招标文件修改的时间</w:t>
            </w:r>
          </w:p>
        </w:tc>
        <w:tc>
          <w:tcPr>
            <w:tcW w:w="6588" w:type="dxa"/>
            <w:noWrap w:val="0"/>
            <w:vAlign w:val="center"/>
          </w:tcPr>
          <w:p w14:paraId="7AEEA4BA">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招标文件修改发出后24小时以内</w:t>
            </w:r>
          </w:p>
        </w:tc>
      </w:tr>
      <w:tr w14:paraId="6987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87" w:type="dxa"/>
            <w:noWrap w:val="0"/>
            <w:vAlign w:val="center"/>
          </w:tcPr>
          <w:p w14:paraId="7063D6DD">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15</w:t>
            </w:r>
          </w:p>
        </w:tc>
        <w:tc>
          <w:tcPr>
            <w:tcW w:w="1936" w:type="dxa"/>
            <w:noWrap w:val="0"/>
            <w:vAlign w:val="center"/>
          </w:tcPr>
          <w:p w14:paraId="73B643AC">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最高限价</w:t>
            </w:r>
          </w:p>
        </w:tc>
        <w:tc>
          <w:tcPr>
            <w:tcW w:w="6588" w:type="dxa"/>
            <w:noWrap w:val="0"/>
            <w:vAlign w:val="center"/>
          </w:tcPr>
          <w:p w14:paraId="6703D9BF">
            <w:pPr>
              <w:snapToGrid w:val="0"/>
              <w:rPr>
                <w:rFonts w:hint="default"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val="en-US" w:bidi="ar-SA"/>
              </w:rPr>
              <w:t>☑有，</w:t>
            </w:r>
            <w:r>
              <w:rPr>
                <w:rFonts w:hint="eastAsia" w:ascii="仿宋" w:hAnsi="仿宋" w:eastAsia="仿宋" w:cs="仿宋"/>
                <w:color w:val="000000"/>
                <w:sz w:val="21"/>
                <w:szCs w:val="21"/>
                <w:highlight w:val="none"/>
                <w:lang w:val="en-US" w:eastAsia="zh-CN"/>
              </w:rPr>
              <w:t>350000.00元；</w:t>
            </w:r>
          </w:p>
          <w:p w14:paraId="24FDC89F">
            <w:pPr>
              <w:snapToGrid w:val="0"/>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rPr>
              <w:t>注：投标报价时报价不得超过各产品单价最高限价，否则按废标处理。</w:t>
            </w:r>
          </w:p>
        </w:tc>
      </w:tr>
      <w:tr w14:paraId="04E5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87" w:type="dxa"/>
            <w:noWrap w:val="0"/>
            <w:vAlign w:val="center"/>
          </w:tcPr>
          <w:p w14:paraId="03EDD5DC">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16</w:t>
            </w:r>
          </w:p>
        </w:tc>
        <w:tc>
          <w:tcPr>
            <w:tcW w:w="1936" w:type="dxa"/>
            <w:noWrap w:val="0"/>
            <w:vAlign w:val="center"/>
          </w:tcPr>
          <w:p w14:paraId="62D5C368">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投标有效期</w:t>
            </w:r>
          </w:p>
        </w:tc>
        <w:tc>
          <w:tcPr>
            <w:tcW w:w="6588" w:type="dxa"/>
            <w:noWrap w:val="0"/>
            <w:vAlign w:val="center"/>
          </w:tcPr>
          <w:p w14:paraId="2355D707">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90日历天（从投标截止之日算起）</w:t>
            </w:r>
          </w:p>
        </w:tc>
      </w:tr>
      <w:tr w14:paraId="465B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887" w:type="dxa"/>
            <w:noWrap w:val="0"/>
            <w:vAlign w:val="center"/>
          </w:tcPr>
          <w:p w14:paraId="5F7F4E07">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17</w:t>
            </w:r>
          </w:p>
        </w:tc>
        <w:tc>
          <w:tcPr>
            <w:tcW w:w="1936" w:type="dxa"/>
            <w:noWrap w:val="0"/>
            <w:vAlign w:val="center"/>
          </w:tcPr>
          <w:p w14:paraId="41DDB798">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投标保证金</w:t>
            </w:r>
          </w:p>
        </w:tc>
        <w:tc>
          <w:tcPr>
            <w:tcW w:w="6588" w:type="dxa"/>
            <w:noWrap w:val="0"/>
            <w:vAlign w:val="center"/>
          </w:tcPr>
          <w:p w14:paraId="1FC2EEF5">
            <w:pPr>
              <w:pStyle w:val="30"/>
              <w:adjustRightInd w:val="0"/>
              <w:snapToGrid w:val="0"/>
              <w:ind w:left="120" w:leftChars="50"/>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□不提供。</w:t>
            </w:r>
          </w:p>
          <w:p w14:paraId="5E6A70CE">
            <w:pPr>
              <w:pStyle w:val="30"/>
              <w:adjustRightInd w:val="0"/>
              <w:snapToGrid w:val="0"/>
              <w:ind w:left="120" w:leftChars="50"/>
              <w:rPr>
                <w:rFonts w:hint="eastAsia" w:ascii="仿宋" w:hAnsi="仿宋" w:eastAsia="仿宋" w:cs="仿宋"/>
                <w:sz w:val="21"/>
                <w:szCs w:val="21"/>
                <w:highlight w:val="none"/>
                <w:lang w:val="zh-CN" w:bidi="ar-SA"/>
              </w:rPr>
            </w:pPr>
            <w:r>
              <w:rPr>
                <w:rFonts w:hint="eastAsia" w:ascii="仿宋" w:hAnsi="仿宋" w:eastAsia="仿宋" w:cs="仿宋"/>
                <w:sz w:val="21"/>
                <w:szCs w:val="21"/>
                <w:highlight w:val="none"/>
                <w:lang w:val="en-US" w:eastAsia="zh-CN" w:bidi="ar-SA"/>
              </w:rPr>
              <w:t>☑</w:t>
            </w:r>
            <w:r>
              <w:rPr>
                <w:rFonts w:hint="eastAsia" w:ascii="仿宋" w:hAnsi="仿宋" w:eastAsia="仿宋" w:cs="仿宋"/>
                <w:sz w:val="21"/>
                <w:szCs w:val="21"/>
                <w:highlight w:val="none"/>
                <w:lang w:val="zh-CN" w:bidi="ar-SA"/>
              </w:rPr>
              <w:t>提供。</w:t>
            </w:r>
            <w:r>
              <w:rPr>
                <w:rFonts w:hint="eastAsia" w:ascii="仿宋" w:hAnsi="仿宋" w:eastAsia="仿宋" w:cs="仿宋"/>
                <w:sz w:val="21"/>
                <w:szCs w:val="21"/>
                <w:highlight w:val="none"/>
                <w:lang w:val="en-US" w:eastAsia="zh-CN" w:bidi="ar-SA"/>
              </w:rPr>
              <w:t>保证金</w:t>
            </w:r>
            <w:r>
              <w:rPr>
                <w:rFonts w:hint="eastAsia" w:ascii="仿宋" w:hAnsi="仿宋" w:eastAsia="仿宋" w:cs="仿宋"/>
                <w:sz w:val="21"/>
                <w:szCs w:val="21"/>
                <w:highlight w:val="none"/>
                <w:lang w:val="zh-CN" w:bidi="ar-SA"/>
              </w:rPr>
              <w:t>数额不得超过采购项目预算金额的</w:t>
            </w:r>
            <w:r>
              <w:rPr>
                <w:rFonts w:hint="eastAsia" w:ascii="仿宋" w:hAnsi="仿宋" w:eastAsia="仿宋" w:cs="仿宋"/>
                <w:sz w:val="21"/>
                <w:szCs w:val="21"/>
                <w:highlight w:val="none"/>
                <w:lang w:val="en-US" w:bidi="ar-SA"/>
              </w:rPr>
              <w:t>1</w:t>
            </w:r>
            <w:r>
              <w:rPr>
                <w:rFonts w:hint="eastAsia" w:ascii="仿宋" w:hAnsi="仿宋" w:eastAsia="仿宋" w:cs="仿宋"/>
                <w:sz w:val="21"/>
                <w:szCs w:val="21"/>
                <w:highlight w:val="none"/>
                <w:lang w:val="zh-CN" w:bidi="ar-SA"/>
              </w:rPr>
              <w:t>%。</w:t>
            </w:r>
          </w:p>
          <w:p w14:paraId="7F32AFEA">
            <w:pPr>
              <w:pStyle w:val="30"/>
              <w:adjustRightInd w:val="0"/>
              <w:snapToGrid w:val="0"/>
              <w:ind w:left="120" w:leftChars="50"/>
              <w:rPr>
                <w:rFonts w:hint="eastAsia" w:ascii="仿宋" w:hAnsi="仿宋" w:eastAsia="仿宋" w:cs="仿宋"/>
                <w:b/>
                <w:color w:val="auto"/>
                <w:kern w:val="0"/>
                <w:sz w:val="21"/>
                <w:szCs w:val="21"/>
                <w:highlight w:val="none"/>
              </w:rPr>
            </w:pPr>
            <w:r>
              <w:rPr>
                <w:rFonts w:hint="eastAsia" w:ascii="仿宋" w:hAnsi="仿宋" w:eastAsia="仿宋" w:cs="仿宋"/>
                <w:sz w:val="21"/>
                <w:szCs w:val="21"/>
                <w:highlight w:val="none"/>
                <w:lang w:val="zh-CN" w:bidi="ar-SA"/>
              </w:rPr>
              <w:t>投标保证金金额：</w:t>
            </w:r>
            <w:r>
              <w:rPr>
                <w:rFonts w:hint="eastAsia" w:ascii="仿宋" w:hAnsi="仿宋" w:eastAsia="仿宋" w:cs="仿宋"/>
                <w:sz w:val="21"/>
                <w:szCs w:val="21"/>
                <w:highlight w:val="none"/>
                <w:lang w:val="en-US" w:eastAsia="zh-CN" w:bidi="ar-SA"/>
              </w:rPr>
              <w:t>3500.00</w:t>
            </w:r>
            <w:r>
              <w:rPr>
                <w:rFonts w:hint="eastAsia" w:ascii="仿宋" w:hAnsi="仿宋" w:eastAsia="仿宋" w:cs="仿宋"/>
                <w:sz w:val="21"/>
                <w:szCs w:val="21"/>
                <w:highlight w:val="none"/>
                <w:lang w:val="zh-CN" w:bidi="ar-SA"/>
              </w:rPr>
              <w:t>元整（大写：</w:t>
            </w:r>
            <w:r>
              <w:rPr>
                <w:rFonts w:hint="eastAsia" w:ascii="仿宋" w:hAnsi="仿宋" w:eastAsia="仿宋" w:cs="仿宋"/>
                <w:sz w:val="21"/>
                <w:szCs w:val="21"/>
                <w:highlight w:val="none"/>
                <w:lang w:val="en-US" w:eastAsia="zh-CN" w:bidi="ar-SA"/>
              </w:rPr>
              <w:t>叁仟伍佰</w:t>
            </w:r>
            <w:r>
              <w:rPr>
                <w:rFonts w:hint="eastAsia" w:ascii="仿宋" w:hAnsi="仿宋" w:eastAsia="仿宋" w:cs="仿宋"/>
                <w:sz w:val="21"/>
                <w:szCs w:val="21"/>
                <w:highlight w:val="none"/>
                <w:lang w:val="zh-CN" w:bidi="ar-SA"/>
              </w:rPr>
              <w:t>元整）</w:t>
            </w:r>
          </w:p>
          <w:p w14:paraId="7309D8D3">
            <w:pPr>
              <w:pStyle w:val="30"/>
              <w:adjustRightInd w:val="0"/>
              <w:snapToGrid w:val="0"/>
              <w:ind w:left="120" w:leftChars="50"/>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bidi="ar-SA"/>
              </w:rPr>
              <w:t>代理机构名称：</w:t>
            </w:r>
            <w:r>
              <w:rPr>
                <w:rFonts w:hint="eastAsia" w:ascii="仿宋" w:hAnsi="仿宋" w:eastAsia="仿宋" w:cs="仿宋"/>
                <w:sz w:val="21"/>
                <w:szCs w:val="21"/>
                <w:highlight w:val="none"/>
                <w:lang w:val="en-US" w:eastAsia="zh-CN" w:bidi="ar-SA"/>
              </w:rPr>
              <w:t>中合安建工程管理有限公司新疆分公司</w:t>
            </w:r>
          </w:p>
          <w:p w14:paraId="2191B6ED">
            <w:pPr>
              <w:pStyle w:val="30"/>
              <w:adjustRightInd w:val="0"/>
              <w:snapToGrid w:val="0"/>
              <w:ind w:left="120" w:leftChars="50"/>
              <w:rPr>
                <w:rFonts w:hint="eastAsia" w:ascii="仿宋" w:hAnsi="仿宋" w:eastAsia="仿宋" w:cs="仿宋"/>
                <w:sz w:val="21"/>
                <w:szCs w:val="21"/>
                <w:highlight w:val="none"/>
                <w:lang w:val="en-US" w:bidi="ar-SA"/>
              </w:rPr>
            </w:pPr>
            <w:r>
              <w:rPr>
                <w:rFonts w:hint="eastAsia" w:ascii="仿宋" w:hAnsi="仿宋" w:eastAsia="仿宋" w:cs="仿宋"/>
                <w:sz w:val="21"/>
                <w:szCs w:val="21"/>
                <w:highlight w:val="none"/>
                <w:lang w:val="en-US" w:bidi="ar-SA"/>
              </w:rPr>
              <w:t>开户行：交通银行股份有限公司乌鲁木齐新医路支行</w:t>
            </w:r>
          </w:p>
          <w:p w14:paraId="7DFA8193">
            <w:pPr>
              <w:pStyle w:val="30"/>
              <w:adjustRightInd w:val="0"/>
              <w:snapToGrid w:val="0"/>
              <w:ind w:left="120" w:leftChars="50"/>
              <w:rPr>
                <w:rFonts w:hint="eastAsia" w:ascii="仿宋" w:hAnsi="仿宋" w:eastAsia="仿宋" w:cs="仿宋"/>
                <w:sz w:val="21"/>
                <w:szCs w:val="21"/>
                <w:highlight w:val="none"/>
                <w:lang w:val="en-US" w:bidi="ar-SA"/>
              </w:rPr>
            </w:pPr>
            <w:r>
              <w:rPr>
                <w:rFonts w:hint="eastAsia" w:ascii="仿宋" w:hAnsi="仿宋" w:eastAsia="仿宋" w:cs="仿宋"/>
                <w:sz w:val="21"/>
                <w:szCs w:val="21"/>
                <w:highlight w:val="none"/>
                <w:lang w:val="en-US" w:bidi="ar-SA"/>
              </w:rPr>
              <w:t>开户行行号：301881000139</w:t>
            </w:r>
          </w:p>
          <w:p w14:paraId="587640DD">
            <w:pPr>
              <w:pStyle w:val="30"/>
              <w:adjustRightInd w:val="0"/>
              <w:snapToGrid w:val="0"/>
              <w:ind w:left="120" w:leftChars="50"/>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bidi="ar-SA"/>
              </w:rPr>
              <w:t>账号：651651005015003167990</w:t>
            </w:r>
            <w:r>
              <w:rPr>
                <w:rFonts w:hint="eastAsia" w:ascii="仿宋" w:hAnsi="仿宋" w:eastAsia="仿宋" w:cs="仿宋"/>
                <w:sz w:val="21"/>
                <w:szCs w:val="21"/>
                <w:highlight w:val="none"/>
                <w:lang w:val="en-US" w:bidi="ar-SA"/>
              </w:rPr>
              <w:br w:type="textWrapping"/>
            </w:r>
            <w:r>
              <w:rPr>
                <w:rFonts w:hint="eastAsia" w:ascii="仿宋" w:hAnsi="仿宋" w:eastAsia="仿宋" w:cs="仿宋"/>
                <w:sz w:val="21"/>
                <w:szCs w:val="21"/>
                <w:highlight w:val="none"/>
                <w:lang w:val="en-US" w:bidi="ar-SA"/>
              </w:rPr>
              <w:t>地址：新疆乌鲁木齐高新区（新市区）新医路165号汇文大厦1栋6层</w:t>
            </w:r>
            <w:r>
              <w:rPr>
                <w:rFonts w:hint="eastAsia" w:ascii="仿宋" w:hAnsi="仿宋" w:eastAsia="仿宋" w:cs="仿宋"/>
                <w:sz w:val="21"/>
                <w:szCs w:val="21"/>
                <w:highlight w:val="none"/>
                <w:lang w:val="en-US" w:eastAsia="zh-CN" w:bidi="ar-SA"/>
              </w:rPr>
              <w:t>B</w:t>
            </w:r>
          </w:p>
          <w:p w14:paraId="1C2600A7">
            <w:pPr>
              <w:pStyle w:val="30"/>
              <w:adjustRightInd w:val="0"/>
              <w:snapToGrid w:val="0"/>
              <w:ind w:left="120" w:leftChars="50"/>
              <w:rPr>
                <w:rFonts w:hint="eastAsia" w:ascii="仿宋" w:hAnsi="仿宋" w:eastAsia="仿宋" w:cs="仿宋"/>
                <w:sz w:val="21"/>
                <w:szCs w:val="21"/>
                <w:highlight w:val="none"/>
                <w:lang w:val="zh-CN" w:bidi="ar-SA"/>
              </w:rPr>
            </w:pPr>
            <w:r>
              <w:rPr>
                <w:rFonts w:hint="eastAsia" w:ascii="仿宋" w:hAnsi="仿宋" w:eastAsia="仿宋" w:cs="仿宋"/>
                <w:sz w:val="21"/>
                <w:szCs w:val="21"/>
                <w:highlight w:val="none"/>
                <w:lang w:val="zh-CN" w:bidi="ar-SA"/>
              </w:rPr>
              <w:t>投标保证金缴纳形式：</w:t>
            </w:r>
            <w:r>
              <w:rPr>
                <w:rFonts w:hint="eastAsia" w:ascii="仿宋" w:hAnsi="仿宋" w:eastAsia="仿宋" w:cs="仿宋"/>
                <w:sz w:val="21"/>
                <w:szCs w:val="21"/>
                <w:highlight w:val="none"/>
                <w:lang w:val="en-US" w:eastAsia="zh-CN" w:bidi="ar-SA"/>
              </w:rPr>
              <w:t>支票、汇票、本票或者金融机构、担保机构出具的保函等非现金形式提交</w:t>
            </w:r>
            <w:r>
              <w:rPr>
                <w:rFonts w:hint="eastAsia" w:ascii="仿宋" w:hAnsi="仿宋" w:eastAsia="仿宋" w:cs="仿宋"/>
                <w:sz w:val="21"/>
                <w:szCs w:val="21"/>
                <w:highlight w:val="none"/>
                <w:lang w:val="zh-CN" w:eastAsia="zh-CN" w:bidi="ar-SA"/>
              </w:rPr>
              <w:t>。</w:t>
            </w:r>
          </w:p>
          <w:p w14:paraId="12A4759F">
            <w:pPr>
              <w:pStyle w:val="30"/>
              <w:adjustRightInd w:val="0"/>
              <w:snapToGrid w:val="0"/>
              <w:ind w:left="120" w:leftChars="50" w:firstLine="420"/>
              <w:rPr>
                <w:rFonts w:hint="eastAsia" w:ascii="仿宋" w:hAnsi="仿宋" w:eastAsia="仿宋" w:cs="仿宋"/>
                <w:sz w:val="21"/>
                <w:szCs w:val="21"/>
                <w:highlight w:val="none"/>
                <w:lang w:val="zh-CN" w:bidi="ar-SA"/>
              </w:rPr>
            </w:pPr>
            <w:r>
              <w:rPr>
                <w:rFonts w:hint="eastAsia" w:ascii="仿宋" w:hAnsi="仿宋" w:eastAsia="仿宋" w:cs="仿宋"/>
                <w:sz w:val="21"/>
                <w:szCs w:val="21"/>
                <w:highlight w:val="none"/>
                <w:lang w:val="zh-CN" w:bidi="ar-SA"/>
              </w:rPr>
              <w:t>各供应商缴纳投标保证金时需在附加信息及用途栏内注明投标保证金、项目名称；投标保证金于投标截止时间前确认到账，若供应商未按照上述规定缴纳投标保证金,</w:t>
            </w:r>
            <w:r>
              <w:rPr>
                <w:rFonts w:hint="eastAsia" w:ascii="仿宋" w:hAnsi="仿宋" w:eastAsia="仿宋" w:cs="仿宋"/>
                <w:sz w:val="21"/>
                <w:szCs w:val="21"/>
                <w:highlight w:val="none"/>
                <w:lang w:val="en-US" w:eastAsia="zh-CN" w:bidi="ar-SA"/>
              </w:rPr>
              <w:t>招标文件</w:t>
            </w:r>
            <w:r>
              <w:rPr>
                <w:rFonts w:hint="eastAsia" w:ascii="仿宋" w:hAnsi="仿宋" w:eastAsia="仿宋" w:cs="仿宋"/>
                <w:sz w:val="21"/>
                <w:szCs w:val="21"/>
                <w:highlight w:val="none"/>
                <w:lang w:val="zh-CN" w:bidi="ar-SA"/>
              </w:rPr>
              <w:t>将被拒绝评审。</w:t>
            </w:r>
          </w:p>
          <w:p w14:paraId="111B9A4D">
            <w:pPr>
              <w:pStyle w:val="30"/>
              <w:adjustRightInd w:val="0"/>
              <w:snapToGrid w:val="0"/>
              <w:rPr>
                <w:rFonts w:hint="eastAsia" w:ascii="仿宋" w:hAnsi="仿宋" w:eastAsia="仿宋" w:cs="仿宋"/>
                <w:sz w:val="21"/>
                <w:szCs w:val="21"/>
                <w:highlight w:val="none"/>
                <w:lang w:val="zh-CN" w:eastAsia="zh-CN" w:bidi="ar-SA"/>
              </w:rPr>
            </w:pPr>
            <w:r>
              <w:rPr>
                <w:rFonts w:hint="eastAsia" w:ascii="仿宋" w:hAnsi="仿宋" w:eastAsia="仿宋" w:cs="仿宋"/>
                <w:b/>
                <w:bCs/>
                <w:sz w:val="21"/>
                <w:szCs w:val="21"/>
                <w:highlight w:val="none"/>
                <w:lang w:val="zh-CN" w:eastAsia="zh-CN" w:bidi="ar-SA"/>
              </w:rPr>
              <w:t>注：已参与本项目一次投标的供应商，如继续参与本项目二次投标，以转账、电汇形式缴纳至我单位投标保证金账户的投标保证金可延用。</w:t>
            </w:r>
          </w:p>
        </w:tc>
      </w:tr>
      <w:tr w14:paraId="5FA49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noWrap w:val="0"/>
            <w:vAlign w:val="center"/>
          </w:tcPr>
          <w:p w14:paraId="7944222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18</w:t>
            </w:r>
          </w:p>
        </w:tc>
        <w:tc>
          <w:tcPr>
            <w:tcW w:w="1936" w:type="dxa"/>
            <w:noWrap w:val="0"/>
            <w:vAlign w:val="center"/>
          </w:tcPr>
          <w:p w14:paraId="31631C6D">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w:t>
            </w:r>
          </w:p>
        </w:tc>
        <w:tc>
          <w:tcPr>
            <w:tcW w:w="6588" w:type="dxa"/>
            <w:noWrap w:val="0"/>
            <w:vAlign w:val="center"/>
          </w:tcPr>
          <w:p w14:paraId="5C9454BA">
            <w:pPr>
              <w:pStyle w:val="12"/>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履约保证金金额：</w:t>
            </w:r>
            <w:r>
              <w:rPr>
                <w:rFonts w:hint="eastAsia" w:ascii="仿宋" w:hAnsi="仿宋" w:eastAsia="仿宋" w:cs="仿宋"/>
                <w:b/>
                <w:bCs/>
                <w:sz w:val="21"/>
                <w:szCs w:val="21"/>
                <w:highlight w:val="none"/>
                <w:lang w:val="en-US" w:eastAsia="zh-CN"/>
              </w:rPr>
              <w:t>无</w:t>
            </w:r>
          </w:p>
          <w:p w14:paraId="2179CAB4">
            <w:pPr>
              <w:pStyle w:val="12"/>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缴纳期限：</w:t>
            </w:r>
            <w:r>
              <w:rPr>
                <w:rFonts w:hint="eastAsia" w:ascii="仿宋" w:hAnsi="仿宋" w:eastAsia="仿宋" w:cs="仿宋"/>
                <w:sz w:val="21"/>
                <w:szCs w:val="21"/>
                <w:highlight w:val="none"/>
                <w:lang w:eastAsia="zh-CN"/>
              </w:rPr>
              <w:t>中标</w:t>
            </w:r>
            <w:r>
              <w:rPr>
                <w:rFonts w:hint="eastAsia" w:ascii="仿宋" w:hAnsi="仿宋" w:eastAsia="仿宋" w:cs="仿宋"/>
                <w:sz w:val="21"/>
                <w:szCs w:val="21"/>
                <w:highlight w:val="none"/>
              </w:rPr>
              <w:t>人自领取中标通知书1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rPr>
              <w:t>日内并在合同签订之日前，向采购人缴纳履约保证金。</w:t>
            </w:r>
          </w:p>
          <w:p w14:paraId="22952745">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缴纳方式：</w:t>
            </w:r>
            <w:r>
              <w:rPr>
                <w:rFonts w:hint="eastAsia" w:ascii="仿宋" w:hAnsi="仿宋" w:eastAsia="仿宋" w:cs="仿宋"/>
                <w:kern w:val="0"/>
                <w:sz w:val="21"/>
                <w:szCs w:val="21"/>
                <w:highlight w:val="none"/>
                <w:u w:val="single"/>
              </w:rPr>
              <w:t>履约保函或银行保函或保险公司或担保公司</w:t>
            </w:r>
            <w:r>
              <w:rPr>
                <w:rFonts w:hint="eastAsia" w:ascii="仿宋" w:hAnsi="仿宋" w:eastAsia="仿宋" w:cs="仿宋"/>
                <w:color w:val="000000"/>
                <w:kern w:val="0"/>
                <w:sz w:val="21"/>
                <w:szCs w:val="21"/>
                <w:highlight w:val="none"/>
                <w:lang w:val="en-US" w:eastAsia="zh-CN" w:bidi="ar-SA"/>
              </w:rPr>
              <w:t>（非现金形式</w:t>
            </w:r>
            <w:r>
              <w:rPr>
                <w:rFonts w:hint="eastAsia" w:ascii="仿宋" w:hAnsi="仿宋" w:eastAsia="仿宋" w:cs="仿宋"/>
                <w:sz w:val="21"/>
                <w:szCs w:val="21"/>
                <w:highlight w:val="none"/>
              </w:rPr>
              <w:t>提供）</w:t>
            </w:r>
          </w:p>
        </w:tc>
      </w:tr>
      <w:tr w14:paraId="7BEC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887" w:type="dxa"/>
            <w:noWrap w:val="0"/>
            <w:vAlign w:val="center"/>
          </w:tcPr>
          <w:p w14:paraId="75048622">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19</w:t>
            </w:r>
          </w:p>
        </w:tc>
        <w:tc>
          <w:tcPr>
            <w:tcW w:w="1936" w:type="dxa"/>
            <w:noWrap w:val="0"/>
            <w:vAlign w:val="center"/>
          </w:tcPr>
          <w:p w14:paraId="14644B2C">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踏勘现场</w:t>
            </w:r>
          </w:p>
        </w:tc>
        <w:tc>
          <w:tcPr>
            <w:tcW w:w="6588" w:type="dxa"/>
            <w:noWrap w:val="0"/>
            <w:vAlign w:val="center"/>
          </w:tcPr>
          <w:p w14:paraId="41E11ACA">
            <w:pPr>
              <w:pStyle w:val="5"/>
              <w:spacing w:line="360" w:lineRule="auto"/>
              <w:ind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sym w:font="Wingdings" w:char="00A8"/>
            </w:r>
            <w:r>
              <w:rPr>
                <w:rFonts w:hint="eastAsia" w:ascii="仿宋" w:hAnsi="仿宋" w:eastAsia="仿宋" w:cs="仿宋"/>
                <w:sz w:val="21"/>
                <w:szCs w:val="21"/>
                <w:highlight w:val="none"/>
              </w:rPr>
              <w:t>组织</w:t>
            </w:r>
          </w:p>
          <w:p w14:paraId="3D127533">
            <w:pPr>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sym w:font="Wingdings" w:char="00FE"/>
            </w:r>
            <w:r>
              <w:rPr>
                <w:rFonts w:hint="eastAsia" w:ascii="仿宋" w:hAnsi="仿宋" w:eastAsia="仿宋" w:cs="仿宋"/>
                <w:sz w:val="21"/>
                <w:szCs w:val="21"/>
                <w:highlight w:val="none"/>
                <w:lang w:eastAsia="zh-CN"/>
              </w:rPr>
              <w:t>不组织</w:t>
            </w:r>
          </w:p>
        </w:tc>
      </w:tr>
      <w:tr w14:paraId="2D1A3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14:paraId="338AD6A4">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20</w:t>
            </w:r>
          </w:p>
        </w:tc>
        <w:tc>
          <w:tcPr>
            <w:tcW w:w="1936" w:type="dxa"/>
            <w:noWrap w:val="0"/>
            <w:vAlign w:val="center"/>
          </w:tcPr>
          <w:p w14:paraId="690FE974">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投标文件份数</w:t>
            </w:r>
          </w:p>
        </w:tc>
        <w:tc>
          <w:tcPr>
            <w:tcW w:w="6588" w:type="dxa"/>
            <w:noWrap w:val="0"/>
            <w:vAlign w:val="center"/>
          </w:tcPr>
          <w:p w14:paraId="38E9CCCC">
            <w:pPr>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采用不见面开标：</w:t>
            </w:r>
          </w:p>
          <w:p w14:paraId="7E3AC030">
            <w:pPr>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1．本项目采用不见面开标、供应商需要递交电子投标文件，加密的电子投标文件，在投标截止时间前通过政采云平台上传到指定位置。</w:t>
            </w:r>
          </w:p>
          <w:p w14:paraId="0DC29BF3">
            <w:pPr>
              <w:snapToGrid w:val="0"/>
              <w:rPr>
                <w:rFonts w:hint="eastAsia" w:ascii="仿宋" w:hAnsi="仿宋" w:eastAsia="仿宋" w:cs="仿宋"/>
                <w:color w:val="auto"/>
                <w:kern w:val="2"/>
                <w:sz w:val="21"/>
                <w:szCs w:val="21"/>
                <w:highlight w:val="none"/>
              </w:rPr>
            </w:pPr>
            <w:r>
              <w:rPr>
                <w:rFonts w:hint="eastAsia" w:ascii="仿宋" w:hAnsi="仿宋" w:eastAsia="仿宋" w:cs="仿宋"/>
                <w:b/>
                <w:bCs/>
                <w:color w:val="auto"/>
                <w:kern w:val="0"/>
                <w:sz w:val="21"/>
                <w:szCs w:val="21"/>
                <w:highlight w:val="none"/>
                <w:lang w:val="en-US" w:eastAsia="zh-CN" w:bidi="ar-SA"/>
              </w:rPr>
              <w:t>2.中标结果公示后，中标单位在领取中标通知书时须递交纸质投标文件及电子版投标文件（均须已上传电子加密文件保持一致）三份。</w:t>
            </w:r>
          </w:p>
        </w:tc>
      </w:tr>
      <w:tr w14:paraId="39C32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87" w:type="dxa"/>
            <w:noWrap w:val="0"/>
            <w:vAlign w:val="center"/>
          </w:tcPr>
          <w:p w14:paraId="5E793AD3">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21</w:t>
            </w:r>
          </w:p>
        </w:tc>
        <w:tc>
          <w:tcPr>
            <w:tcW w:w="1936" w:type="dxa"/>
            <w:noWrap w:val="0"/>
            <w:vAlign w:val="center"/>
          </w:tcPr>
          <w:p w14:paraId="3639D4A3">
            <w:pPr>
              <w:keepNext w:val="0"/>
              <w:keepLines w:val="0"/>
              <w:suppressLineNumbers w:val="0"/>
              <w:snapToGrid w:val="0"/>
              <w:spacing w:before="0" w:beforeAutospacing="0" w:after="0" w:afterAutospacing="0"/>
              <w:ind w:left="0" w:leftChars="0" w:right="0" w:right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开标时间及</w:t>
            </w:r>
            <w:r>
              <w:rPr>
                <w:rFonts w:hint="eastAsia" w:ascii="仿宋" w:hAnsi="仿宋" w:eastAsia="仿宋" w:cs="仿宋"/>
                <w:sz w:val="21"/>
                <w:szCs w:val="21"/>
                <w:highlight w:val="none"/>
              </w:rPr>
              <w:t>地点</w:t>
            </w:r>
          </w:p>
        </w:tc>
        <w:tc>
          <w:tcPr>
            <w:tcW w:w="6588" w:type="dxa"/>
            <w:noWrap w:val="0"/>
            <w:vAlign w:val="center"/>
          </w:tcPr>
          <w:p w14:paraId="480D65D3">
            <w:pPr>
              <w:pStyle w:val="30"/>
              <w:keepNext w:val="0"/>
              <w:keepLines w:val="0"/>
              <w:suppressLineNumbers w:val="0"/>
              <w:tabs>
                <w:tab w:val="left" w:pos="1161"/>
              </w:tabs>
              <w:adjustRightInd w:val="0"/>
              <w:snapToGrid w:val="0"/>
              <w:spacing w:before="0" w:beforeAutospacing="0" w:after="0" w:afterAutospacing="0"/>
              <w:ind w:left="0" w:right="9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sym w:font="Wingdings 2" w:char="0052"/>
            </w:r>
            <w:r>
              <w:rPr>
                <w:rFonts w:hint="eastAsia" w:ascii="仿宋" w:hAnsi="仿宋" w:eastAsia="仿宋" w:cs="仿宋"/>
                <w:color w:val="000000"/>
                <w:sz w:val="21"/>
                <w:szCs w:val="21"/>
                <w:highlight w:val="none"/>
              </w:rPr>
              <w:t>采用不见面开标：</w:t>
            </w:r>
          </w:p>
          <w:p w14:paraId="026BBBFE">
            <w:pPr>
              <w:pStyle w:val="30"/>
              <w:keepNext w:val="0"/>
              <w:keepLines w:val="0"/>
              <w:suppressLineNumbers w:val="0"/>
              <w:tabs>
                <w:tab w:val="left" w:pos="1161"/>
              </w:tabs>
              <w:adjustRightInd w:val="0"/>
              <w:snapToGrid w:val="0"/>
              <w:spacing w:before="0" w:beforeAutospacing="0" w:after="0" w:afterAutospacing="0"/>
              <w:ind w:left="0" w:right="9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开标时间：202</w:t>
            </w:r>
            <w:r>
              <w:rPr>
                <w:rFonts w:hint="eastAsia" w:ascii="仿宋" w:hAnsi="仿宋" w:eastAsia="仿宋" w:cs="仿宋"/>
                <w:color w:val="000000"/>
                <w:sz w:val="21"/>
                <w:szCs w:val="21"/>
                <w:highlight w:val="none"/>
                <w:lang w:val="en-US" w:eastAsia="zh-CN"/>
              </w:rPr>
              <w:t>6</w:t>
            </w:r>
            <w:r>
              <w:rPr>
                <w:rFonts w:hint="eastAsia" w:ascii="仿宋" w:hAnsi="仿宋" w:eastAsia="仿宋" w:cs="仿宋"/>
                <w:color w:val="000000"/>
                <w:sz w:val="21"/>
                <w:szCs w:val="21"/>
                <w:highlight w:val="none"/>
              </w:rPr>
              <w:t>年</w:t>
            </w:r>
            <w:r>
              <w:rPr>
                <w:rFonts w:hint="eastAsia" w:ascii="仿宋" w:hAnsi="仿宋" w:eastAsia="仿宋" w:cs="仿宋"/>
                <w:color w:val="000000"/>
                <w:sz w:val="21"/>
                <w:szCs w:val="21"/>
                <w:highlight w:val="none"/>
                <w:lang w:val="en-US" w:eastAsia="zh-CN"/>
              </w:rPr>
              <w:t>9</w:t>
            </w:r>
            <w:r>
              <w:rPr>
                <w:rFonts w:hint="eastAsia" w:ascii="仿宋" w:hAnsi="仿宋" w:eastAsia="仿宋" w:cs="仿宋"/>
                <w:color w:val="000000"/>
                <w:sz w:val="21"/>
                <w:szCs w:val="21"/>
                <w:highlight w:val="none"/>
              </w:rPr>
              <w:t>月</w:t>
            </w:r>
            <w:r>
              <w:rPr>
                <w:rFonts w:hint="eastAsia" w:ascii="仿宋" w:hAnsi="仿宋" w:eastAsia="仿宋" w:cs="仿宋"/>
                <w:color w:val="000000"/>
                <w:sz w:val="21"/>
                <w:szCs w:val="21"/>
                <w:highlight w:val="none"/>
                <w:lang w:val="en-US" w:eastAsia="zh-CN"/>
              </w:rPr>
              <w:t>7</w:t>
            </w:r>
            <w:r>
              <w:rPr>
                <w:rFonts w:hint="eastAsia" w:ascii="仿宋" w:hAnsi="仿宋" w:eastAsia="仿宋" w:cs="仿宋"/>
                <w:color w:val="000000"/>
                <w:sz w:val="21"/>
                <w:szCs w:val="21"/>
                <w:highlight w:val="none"/>
              </w:rPr>
              <w:t>日1</w:t>
            </w: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val="en-US" w:eastAsia="zh-CN"/>
              </w:rPr>
              <w:t>0</w:t>
            </w:r>
            <w:r>
              <w:rPr>
                <w:rFonts w:hint="eastAsia" w:ascii="仿宋" w:hAnsi="仿宋" w:eastAsia="仿宋" w:cs="仿宋"/>
                <w:color w:val="000000"/>
                <w:sz w:val="21"/>
                <w:szCs w:val="21"/>
                <w:highlight w:val="none"/>
              </w:rPr>
              <w:t>0（北京时间）</w:t>
            </w:r>
          </w:p>
          <w:p w14:paraId="66C036BE">
            <w:pPr>
              <w:pStyle w:val="30"/>
              <w:keepNext w:val="0"/>
              <w:keepLines w:val="0"/>
              <w:suppressLineNumbers w:val="0"/>
              <w:tabs>
                <w:tab w:val="left" w:pos="1161"/>
              </w:tabs>
              <w:adjustRightInd w:val="0"/>
              <w:snapToGrid w:val="0"/>
              <w:spacing w:before="0" w:beforeAutospacing="0" w:after="0" w:afterAutospacing="0"/>
              <w:ind w:left="0" w:right="98"/>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开标地点：投标人登录</w:t>
            </w:r>
            <w:r>
              <w:rPr>
                <w:rFonts w:hint="eastAsia" w:ascii="仿宋" w:hAnsi="仿宋" w:eastAsia="仿宋" w:cs="仿宋"/>
                <w:color w:val="000000"/>
                <w:sz w:val="21"/>
                <w:szCs w:val="21"/>
                <w:highlight w:val="none"/>
                <w:lang w:eastAsia="zh-CN"/>
              </w:rPr>
              <w:t>政采云平台https://www.zcygov.cn/</w:t>
            </w:r>
            <w:r>
              <w:rPr>
                <w:rFonts w:hint="eastAsia" w:ascii="仿宋" w:hAnsi="仿宋" w:eastAsia="仿宋" w:cs="仿宋"/>
                <w:color w:val="000000"/>
                <w:sz w:val="21"/>
                <w:szCs w:val="21"/>
                <w:highlight w:val="none"/>
              </w:rPr>
              <w:t>，进入项目采购-开标评标-右边选择对应项目点击“进入项目”进入开标大厅。</w:t>
            </w:r>
          </w:p>
          <w:p w14:paraId="2D7D8BC1">
            <w:pPr>
              <w:pStyle w:val="30"/>
              <w:keepNext w:val="0"/>
              <w:keepLines w:val="0"/>
              <w:suppressLineNumbers w:val="0"/>
              <w:tabs>
                <w:tab w:val="left" w:pos="1161"/>
              </w:tabs>
              <w:adjustRightInd w:val="0"/>
              <w:snapToGrid w:val="0"/>
              <w:spacing w:before="0" w:beforeAutospacing="0" w:after="0" w:afterAutospacing="0"/>
              <w:ind w:left="0" w:right="9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不见面开标默认解密时长：30分钟（过时未进行解密的投标文件，开标现场不进行解密时间延长。）</w:t>
            </w:r>
          </w:p>
          <w:p w14:paraId="743F3BE0">
            <w:pPr>
              <w:pStyle w:val="30"/>
              <w:keepNext w:val="0"/>
              <w:keepLines w:val="0"/>
              <w:suppressLineNumbers w:val="0"/>
              <w:tabs>
                <w:tab w:val="left" w:pos="1161"/>
              </w:tabs>
              <w:adjustRightInd w:val="0"/>
              <w:snapToGrid w:val="0"/>
              <w:spacing w:before="0" w:beforeAutospacing="0" w:after="0" w:afterAutospacing="0"/>
              <w:ind w:left="0" w:leftChars="0" w:right="98" w:rightChars="0"/>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注：开标当日仅需在任意地点通过</w:t>
            </w:r>
            <w:r>
              <w:rPr>
                <w:rFonts w:hint="eastAsia" w:ascii="仿宋" w:hAnsi="仿宋" w:eastAsia="仿宋" w:cs="仿宋"/>
                <w:color w:val="000000"/>
                <w:sz w:val="21"/>
                <w:szCs w:val="21"/>
                <w:highlight w:val="none"/>
                <w:lang w:eastAsia="zh-CN"/>
              </w:rPr>
              <w:t>政采云</w:t>
            </w:r>
            <w:r>
              <w:rPr>
                <w:rFonts w:hint="eastAsia" w:ascii="仿宋" w:hAnsi="仿宋" w:eastAsia="仿宋" w:cs="仿宋"/>
                <w:color w:val="000000"/>
                <w:sz w:val="21"/>
                <w:szCs w:val="21"/>
                <w:highlight w:val="none"/>
              </w:rPr>
              <w:t>平台不见面开标系统（登录地址详见网站操作手册）完成远程解密、提疑澄清、开标、结果公布等交互环节。供应商必须在规定的时间内使用能正确解密投标文件的“CA锁”完成远程解密，因供应商原因未能解密、解密失败或解密超时，视为供应商撤销其投标文件，系统内投标文件将被退回；因网上招投标平台发生故障，导致无法按时完成投标文件解密或开、评标工作无法进行的，可根据实际情况相应延迟解密时间或调整开、评标时间。（友情提示：若供应商已领取副锁（含多把副锁）请注意正副锁的使用差别，务必使用生成投标文件的那把锁解密）</w:t>
            </w:r>
            <w:r>
              <w:rPr>
                <w:rFonts w:hint="eastAsia" w:ascii="仿宋" w:hAnsi="仿宋" w:eastAsia="仿宋" w:cs="仿宋"/>
                <w:color w:val="000000"/>
                <w:sz w:val="21"/>
                <w:szCs w:val="21"/>
                <w:highlight w:val="none"/>
                <w:lang w:eastAsia="zh-CN"/>
              </w:rPr>
              <w:t>。</w:t>
            </w:r>
          </w:p>
        </w:tc>
      </w:tr>
      <w:tr w14:paraId="0A8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87" w:type="dxa"/>
            <w:noWrap w:val="0"/>
            <w:vAlign w:val="center"/>
          </w:tcPr>
          <w:p w14:paraId="6EFF2585">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22</w:t>
            </w:r>
          </w:p>
        </w:tc>
        <w:tc>
          <w:tcPr>
            <w:tcW w:w="1936" w:type="dxa"/>
            <w:noWrap w:val="0"/>
            <w:vAlign w:val="center"/>
          </w:tcPr>
          <w:p w14:paraId="30F895A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是否退还投标</w:t>
            </w:r>
          </w:p>
          <w:p w14:paraId="2ED29D81">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文件</w:t>
            </w:r>
          </w:p>
        </w:tc>
        <w:tc>
          <w:tcPr>
            <w:tcW w:w="6588" w:type="dxa"/>
            <w:noWrap w:val="0"/>
            <w:vAlign w:val="center"/>
          </w:tcPr>
          <w:p w14:paraId="51CEB796">
            <w:pPr>
              <w:snapToGrid w:val="0"/>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sym w:font="Wingdings" w:char="00A8"/>
            </w:r>
            <w:r>
              <w:rPr>
                <w:rFonts w:hint="eastAsia" w:ascii="仿宋" w:hAnsi="仿宋" w:eastAsia="仿宋" w:cs="仿宋"/>
                <w:kern w:val="2"/>
                <w:sz w:val="21"/>
                <w:szCs w:val="21"/>
                <w:highlight w:val="none"/>
              </w:rPr>
              <w:t xml:space="preserve">  是</w:t>
            </w:r>
          </w:p>
          <w:p w14:paraId="6B21624B">
            <w:pPr>
              <w:snapToGrid w:val="0"/>
              <w:rPr>
                <w:rFonts w:hint="eastAsia" w:ascii="仿宋" w:hAnsi="仿宋" w:eastAsia="仿宋" w:cs="仿宋"/>
                <w:color w:val="000000"/>
                <w:sz w:val="21"/>
                <w:szCs w:val="21"/>
                <w:highlight w:val="none"/>
              </w:rPr>
            </w:pPr>
            <w:r>
              <w:rPr>
                <w:rFonts w:hint="eastAsia" w:ascii="仿宋" w:hAnsi="仿宋" w:eastAsia="仿宋" w:cs="仿宋"/>
                <w:kern w:val="2"/>
                <w:sz w:val="21"/>
                <w:szCs w:val="21"/>
                <w:highlight w:val="none"/>
              </w:rPr>
              <w:sym w:font="Wingdings" w:char="00FE"/>
            </w:r>
            <w:r>
              <w:rPr>
                <w:rFonts w:hint="eastAsia" w:ascii="仿宋" w:hAnsi="仿宋" w:eastAsia="仿宋" w:cs="仿宋"/>
                <w:kern w:val="2"/>
                <w:sz w:val="21"/>
                <w:szCs w:val="21"/>
                <w:highlight w:val="none"/>
              </w:rPr>
              <w:t xml:space="preserve">  否</w:t>
            </w:r>
          </w:p>
        </w:tc>
      </w:tr>
      <w:tr w14:paraId="11B4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87" w:type="dxa"/>
            <w:noWrap w:val="0"/>
            <w:vAlign w:val="center"/>
          </w:tcPr>
          <w:p w14:paraId="7AD0C73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23</w:t>
            </w:r>
          </w:p>
        </w:tc>
        <w:tc>
          <w:tcPr>
            <w:tcW w:w="1936" w:type="dxa"/>
            <w:noWrap w:val="0"/>
            <w:vAlign w:val="center"/>
          </w:tcPr>
          <w:p w14:paraId="2CFC14D6">
            <w:pPr>
              <w:snapToGrid w:val="0"/>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报价说明</w:t>
            </w:r>
          </w:p>
        </w:tc>
        <w:tc>
          <w:tcPr>
            <w:tcW w:w="6588" w:type="dxa"/>
            <w:noWrap w:val="0"/>
            <w:vAlign w:val="center"/>
          </w:tcPr>
          <w:p w14:paraId="520EAADE">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投标报价方式：直接报价，</w:t>
            </w:r>
          </w:p>
          <w:p w14:paraId="6F581570">
            <w:pPr>
              <w:snapToGrid w:val="0"/>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供应商的投标报价不得超过最高限价，否则其投标将被拒绝。</w:t>
            </w:r>
          </w:p>
        </w:tc>
      </w:tr>
      <w:tr w14:paraId="1D92C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noWrap w:val="0"/>
            <w:vAlign w:val="center"/>
          </w:tcPr>
          <w:p w14:paraId="1F70149E">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24</w:t>
            </w:r>
          </w:p>
        </w:tc>
        <w:tc>
          <w:tcPr>
            <w:tcW w:w="1936" w:type="dxa"/>
            <w:noWrap w:val="0"/>
            <w:vAlign w:val="center"/>
          </w:tcPr>
          <w:p w14:paraId="1F9A8EB1">
            <w:pPr>
              <w:pStyle w:val="30"/>
              <w:adjustRightInd w:val="0"/>
              <w:snapToGrid w:val="0"/>
              <w:ind w:right="141" w:right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0"/>
                <w:sz w:val="21"/>
                <w:szCs w:val="21"/>
                <w:highlight w:val="none"/>
                <w:lang w:val="en-US" w:bidi="ar-SA"/>
              </w:rPr>
              <w:t>答疑接受时间</w:t>
            </w:r>
          </w:p>
        </w:tc>
        <w:tc>
          <w:tcPr>
            <w:tcW w:w="6588" w:type="dxa"/>
            <w:noWrap w:val="0"/>
            <w:vAlign w:val="center"/>
          </w:tcPr>
          <w:p w14:paraId="3AA43105">
            <w:pPr>
              <w:keepNext w:val="0"/>
              <w:keepLines w:val="0"/>
              <w:suppressLineNumbers w:val="0"/>
              <w:snapToGrid w:val="0"/>
              <w:spacing w:before="0" w:beforeAutospacing="0" w:after="0" w:afterAutospacing="0"/>
              <w:ind w:left="0" w:right="0"/>
              <w:jc w:val="lef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投标截止时间15天前接受投标人疑问或澄清要求（逾期不予受理）。</w:t>
            </w:r>
          </w:p>
          <w:p w14:paraId="7CE45B0B">
            <w:pPr>
              <w:snapToGrid w:val="0"/>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联系人：</w:t>
            </w:r>
            <w:r>
              <w:rPr>
                <w:rFonts w:hint="eastAsia" w:ascii="仿宋" w:hAnsi="仿宋" w:eastAsia="仿宋" w:cs="仿宋"/>
                <w:color w:val="auto"/>
                <w:kern w:val="2"/>
                <w:sz w:val="21"/>
                <w:szCs w:val="21"/>
                <w:highlight w:val="none"/>
                <w:lang w:eastAsia="zh-CN"/>
              </w:rPr>
              <w:t>彭小倬、王荣荣</w:t>
            </w:r>
          </w:p>
          <w:p w14:paraId="1603717D">
            <w:pPr>
              <w:keepNext w:val="0"/>
              <w:keepLines w:val="0"/>
              <w:suppressLineNumbers w:val="0"/>
              <w:snapToGrid w:val="0"/>
              <w:spacing w:before="0" w:beforeAutospacing="0" w:after="0" w:afterAutospacing="0"/>
              <w:ind w:left="0" w:right="0"/>
              <w:jc w:val="left"/>
              <w:rPr>
                <w:rFonts w:hint="eastAsia" w:ascii="仿宋" w:hAnsi="仿宋" w:eastAsia="仿宋" w:cs="仿宋"/>
                <w:kern w:val="2"/>
                <w:sz w:val="21"/>
                <w:szCs w:val="21"/>
                <w:highlight w:val="none"/>
                <w:lang w:eastAsia="zh-CN"/>
              </w:rPr>
            </w:pPr>
            <w:r>
              <w:rPr>
                <w:rFonts w:hint="eastAsia" w:ascii="仿宋" w:hAnsi="仿宋" w:eastAsia="仿宋" w:cs="仿宋"/>
                <w:kern w:val="2"/>
                <w:sz w:val="21"/>
                <w:szCs w:val="21"/>
                <w:highlight w:val="none"/>
              </w:rPr>
              <w:t>联系电话：</w:t>
            </w:r>
            <w:r>
              <w:rPr>
                <w:rFonts w:hint="eastAsia" w:ascii="仿宋" w:hAnsi="仿宋" w:eastAsia="仿宋" w:cs="仿宋"/>
                <w:kern w:val="2"/>
                <w:sz w:val="21"/>
                <w:szCs w:val="21"/>
                <w:highlight w:val="none"/>
                <w:lang w:eastAsia="zh-CN"/>
              </w:rPr>
              <w:t>13579881296</w:t>
            </w:r>
          </w:p>
          <w:p w14:paraId="1D5051F9">
            <w:pPr>
              <w:keepNext w:val="0"/>
              <w:keepLines w:val="0"/>
              <w:suppressLineNumbers w:val="0"/>
              <w:snapToGrid w:val="0"/>
              <w:spacing w:before="0" w:beforeAutospacing="0" w:after="0" w:afterAutospacing="0"/>
              <w:ind w:left="0" w:right="0"/>
              <w:jc w:val="left"/>
              <w:rPr>
                <w:rFonts w:hint="eastAsia" w:ascii="仿宋" w:hAnsi="仿宋" w:eastAsia="仿宋" w:cs="仿宋"/>
                <w:color w:val="000000"/>
                <w:sz w:val="21"/>
                <w:szCs w:val="21"/>
                <w:highlight w:val="none"/>
                <w:lang w:val="zh-CN" w:eastAsia="zh-CN" w:bidi="ar-SA"/>
              </w:rPr>
            </w:pPr>
            <w:r>
              <w:rPr>
                <w:rFonts w:hint="eastAsia" w:ascii="仿宋" w:hAnsi="仿宋" w:eastAsia="仿宋" w:cs="仿宋"/>
                <w:color w:val="000000"/>
                <w:sz w:val="21"/>
                <w:szCs w:val="21"/>
                <w:highlight w:val="none"/>
                <w:lang w:val="en-US" w:eastAsia="zh-CN" w:bidi="ar-SA"/>
              </w:rPr>
              <w:t>提交方式：政采云平台https://www.zcygov.cn/</w:t>
            </w:r>
          </w:p>
          <w:p w14:paraId="111EAB10">
            <w:pPr>
              <w:pStyle w:val="30"/>
              <w:adjustRightInd w:val="0"/>
              <w:snapToGrid w:val="0"/>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bidi="ar-SA"/>
              </w:rPr>
              <w:t>注：澄清、修改文件发出后，</w:t>
            </w:r>
            <w:r>
              <w:rPr>
                <w:rFonts w:hint="eastAsia" w:ascii="仿宋" w:hAnsi="仿宋" w:eastAsia="仿宋" w:cs="仿宋"/>
                <w:sz w:val="21"/>
                <w:szCs w:val="21"/>
                <w:highlight w:val="none"/>
                <w:lang w:val="en-US" w:eastAsia="zh-CN" w:bidi="ar-SA"/>
              </w:rPr>
              <w:t>供应商</w:t>
            </w:r>
            <w:r>
              <w:rPr>
                <w:rFonts w:hint="eastAsia" w:ascii="仿宋" w:hAnsi="仿宋" w:eastAsia="仿宋" w:cs="仿宋"/>
                <w:sz w:val="21"/>
                <w:szCs w:val="21"/>
                <w:highlight w:val="none"/>
                <w:lang w:val="en-US" w:bidi="ar-SA"/>
              </w:rPr>
              <w:t>必须使用最新的澄清文件制作投标文件。</w:t>
            </w:r>
          </w:p>
        </w:tc>
      </w:tr>
      <w:tr w14:paraId="1B70B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87" w:type="dxa"/>
            <w:noWrap w:val="0"/>
            <w:vAlign w:val="center"/>
          </w:tcPr>
          <w:p w14:paraId="50175B57">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25</w:t>
            </w:r>
          </w:p>
        </w:tc>
        <w:tc>
          <w:tcPr>
            <w:tcW w:w="1936" w:type="dxa"/>
            <w:noWrap w:val="0"/>
            <w:vAlign w:val="center"/>
          </w:tcPr>
          <w:p w14:paraId="523588FA">
            <w:pPr>
              <w:snapToGrid w:val="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评标委员会的</w:t>
            </w:r>
          </w:p>
          <w:p w14:paraId="1E6FD4B7">
            <w:pPr>
              <w:snapToGrid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rPr>
              <w:t>组成</w:t>
            </w:r>
          </w:p>
        </w:tc>
        <w:tc>
          <w:tcPr>
            <w:tcW w:w="6588" w:type="dxa"/>
            <w:noWrap w:val="0"/>
            <w:vAlign w:val="center"/>
          </w:tcPr>
          <w:p w14:paraId="559F649E">
            <w:pPr>
              <w:keepNext w:val="0"/>
              <w:keepLines w:val="0"/>
              <w:suppressLineNumbers w:val="0"/>
              <w:snapToGrid w:val="0"/>
              <w:spacing w:before="0" w:beforeAutospacing="0" w:after="0" w:afterAutospacing="0"/>
              <w:ind w:left="0" w:right="0"/>
              <w:jc w:val="lef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评审小组人员组成：由采购人代表和评审专家共5人以上单数组成，其中评审专家人数不得少于评审小组成员总数的2/3。</w:t>
            </w:r>
          </w:p>
          <w:p w14:paraId="0E9138E2">
            <w:pPr>
              <w:keepNext w:val="0"/>
              <w:keepLines w:val="0"/>
              <w:suppressLineNumbers w:val="0"/>
              <w:snapToGrid w:val="0"/>
              <w:spacing w:before="0" w:beforeAutospacing="0" w:after="0" w:afterAutospacing="0"/>
              <w:ind w:left="0" w:right="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评审专家确定方式：政采云专家库随机抽取。</w:t>
            </w:r>
          </w:p>
        </w:tc>
      </w:tr>
      <w:tr w14:paraId="2BDC5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87" w:type="dxa"/>
            <w:noWrap w:val="0"/>
            <w:vAlign w:val="center"/>
          </w:tcPr>
          <w:p w14:paraId="45C2F76F">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26</w:t>
            </w:r>
          </w:p>
        </w:tc>
        <w:tc>
          <w:tcPr>
            <w:tcW w:w="1936" w:type="dxa"/>
            <w:noWrap w:val="0"/>
            <w:vAlign w:val="center"/>
          </w:tcPr>
          <w:p w14:paraId="682142DB">
            <w:pPr>
              <w:snapToGrid w:val="0"/>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是否为专门面向中小企业采购</w:t>
            </w:r>
          </w:p>
        </w:tc>
        <w:tc>
          <w:tcPr>
            <w:tcW w:w="6588" w:type="dxa"/>
            <w:noWrap w:val="0"/>
            <w:vAlign w:val="center"/>
          </w:tcPr>
          <w:p w14:paraId="2A4CFA7B">
            <w:pPr>
              <w:snapToGrid w:val="0"/>
              <w:rPr>
                <w:rFonts w:hint="eastAsia" w:ascii="仿宋" w:hAnsi="仿宋" w:eastAsia="仿宋" w:cs="仿宋"/>
                <w:sz w:val="21"/>
                <w:szCs w:val="21"/>
                <w:highlight w:val="none"/>
                <w:lang w:val="en-US" w:eastAsia="zh-CN" w:bidi="ar-SA"/>
              </w:rPr>
            </w:pPr>
            <w:r>
              <w:rPr>
                <w:rFonts w:hint="eastAsia" w:ascii="仿宋" w:hAnsi="仿宋" w:eastAsia="仿宋" w:cs="仿宋"/>
                <w:b/>
                <w:bCs/>
                <w:color w:val="auto"/>
                <w:sz w:val="21"/>
                <w:szCs w:val="21"/>
                <w:highlight w:val="none"/>
              </w:rPr>
              <w:t>本项目</w:t>
            </w:r>
            <w:r>
              <w:rPr>
                <w:rFonts w:hint="eastAsia" w:ascii="仿宋" w:hAnsi="仿宋" w:eastAsia="仿宋" w:cs="仿宋"/>
                <w:b/>
                <w:bCs/>
                <w:color w:val="auto"/>
                <w:sz w:val="21"/>
                <w:szCs w:val="21"/>
                <w:highlight w:val="none"/>
                <w:lang w:eastAsia="zh-CN"/>
              </w:rPr>
              <w:t>为</w:t>
            </w:r>
            <w:r>
              <w:rPr>
                <w:rFonts w:hint="eastAsia" w:ascii="仿宋" w:hAnsi="仿宋" w:eastAsia="仿宋" w:cs="仿宋"/>
                <w:b/>
                <w:bCs/>
                <w:color w:val="auto"/>
                <w:sz w:val="21"/>
                <w:szCs w:val="21"/>
                <w:highlight w:val="none"/>
              </w:rPr>
              <w:t>专门面向中小企业（含中型、小型、微型企业）采购项目，根据《政府采购促进中小企业发展管理办法》（财库[2020]46号）</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sz w:val="21"/>
                <w:szCs w:val="21"/>
                <w:highlight w:val="none"/>
                <w:lang w:val="en-US" w:eastAsia="zh-CN"/>
              </w:rPr>
              <w:t>《关于进一步加大政府采购支持中小企业力度的通知》财库〔2022〕19号）的规定，对符合条件的小微企业不再</w:t>
            </w:r>
            <w:r>
              <w:rPr>
                <w:rFonts w:hint="eastAsia" w:ascii="仿宋" w:hAnsi="仿宋" w:eastAsia="仿宋" w:cs="仿宋"/>
                <w:b/>
                <w:bCs/>
                <w:color w:val="auto"/>
                <w:sz w:val="21"/>
                <w:szCs w:val="21"/>
                <w:highlight w:val="none"/>
              </w:rPr>
              <w:t>执行价格评审优惠</w:t>
            </w:r>
            <w:r>
              <w:rPr>
                <w:rFonts w:hint="eastAsia" w:ascii="仿宋" w:hAnsi="仿宋" w:eastAsia="仿宋" w:cs="仿宋"/>
                <w:b/>
                <w:bCs/>
                <w:color w:val="auto"/>
                <w:sz w:val="21"/>
                <w:szCs w:val="21"/>
                <w:highlight w:val="none"/>
                <w:lang w:val="en-US" w:eastAsia="zh-CN"/>
              </w:rPr>
              <w:t>。</w:t>
            </w:r>
          </w:p>
        </w:tc>
      </w:tr>
      <w:tr w14:paraId="1D7A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887" w:type="dxa"/>
            <w:noWrap w:val="0"/>
            <w:vAlign w:val="center"/>
          </w:tcPr>
          <w:p w14:paraId="6B515855">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27</w:t>
            </w:r>
          </w:p>
        </w:tc>
        <w:tc>
          <w:tcPr>
            <w:tcW w:w="1936" w:type="dxa"/>
            <w:noWrap w:val="0"/>
            <w:vAlign w:val="center"/>
          </w:tcPr>
          <w:p w14:paraId="6739F088">
            <w:pPr>
              <w:snapToGrid w:val="0"/>
              <w:jc w:val="center"/>
              <w:rPr>
                <w:rFonts w:hint="eastAsia" w:ascii="仿宋" w:hAnsi="仿宋" w:eastAsia="仿宋" w:cs="仿宋"/>
                <w:bCs/>
                <w:sz w:val="21"/>
                <w:szCs w:val="21"/>
                <w:highlight w:val="none"/>
                <w:lang w:val="en-US" w:eastAsia="zh-CN" w:bidi="ar-SA"/>
              </w:rPr>
            </w:pPr>
            <w:r>
              <w:rPr>
                <w:rFonts w:hint="eastAsia" w:ascii="仿宋" w:hAnsi="仿宋" w:eastAsia="仿宋" w:cs="仿宋"/>
                <w:bCs/>
                <w:sz w:val="21"/>
                <w:szCs w:val="21"/>
                <w:highlight w:val="none"/>
              </w:rPr>
              <w:t>低于成本价不正当竞争预防措施</w:t>
            </w:r>
          </w:p>
        </w:tc>
        <w:tc>
          <w:tcPr>
            <w:tcW w:w="6588" w:type="dxa"/>
            <w:noWrap w:val="0"/>
            <w:vAlign w:val="center"/>
          </w:tcPr>
          <w:p w14:paraId="2F77E152">
            <w:pPr>
              <w:snapToGrid w:val="0"/>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低于成本价不正当竞争预防措施</w:t>
            </w:r>
            <w:r>
              <w:rPr>
                <w:rFonts w:hint="eastAsia" w:ascii="仿宋" w:hAnsi="仿宋" w:eastAsia="仿宋" w:cs="仿宋"/>
                <w:bCs/>
                <w:sz w:val="21"/>
                <w:szCs w:val="21"/>
                <w:highlight w:val="none"/>
                <w:lang w:eastAsia="zh-CN"/>
              </w:rPr>
              <w:t>：财库〔2026〕2号</w:t>
            </w:r>
          </w:p>
          <w:p w14:paraId="7C1F114C">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（一）评审中出现下列情形之一的，评审委员会应当启动异常低价投标（响应）审查程序：</w:t>
            </w:r>
          </w:p>
          <w:p w14:paraId="466D74F9">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55F64200">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63A78B7C">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3.投标（响应）报价低于采购项目最高限价45%的，即投标（响应）报价&lt;采购项目最高限价×45%；</w:t>
            </w:r>
          </w:p>
          <w:p w14:paraId="110FB143">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4.评审委员会基于专业判断，认为供应商报价过低，有可能影响产品质量或者不能诚信履约的其他情形。</w:t>
            </w:r>
          </w:p>
          <w:p w14:paraId="06527FB5">
            <w:pPr>
              <w:snapToGrid w:val="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采购人可以结合具体项目实际情况，提高上述第1项至第3项中启动异常低价投标（响应）审查的数值标准，但是最高不得超过65%。</w:t>
            </w:r>
          </w:p>
          <w:p w14:paraId="24976724">
            <w:pPr>
              <w:snapToGrid w:val="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相关法律法规对供应商报价有规定的，从其规定。</w:t>
            </w:r>
          </w:p>
          <w:p w14:paraId="5297C6D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ED9DFF5">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46E78E5">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4D78C3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14:paraId="0AF6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noWrap w:val="0"/>
            <w:vAlign w:val="center"/>
          </w:tcPr>
          <w:p w14:paraId="6BF97A18">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28</w:t>
            </w:r>
          </w:p>
        </w:tc>
        <w:tc>
          <w:tcPr>
            <w:tcW w:w="1936" w:type="dxa"/>
            <w:noWrap w:val="0"/>
            <w:vAlign w:val="center"/>
          </w:tcPr>
          <w:p w14:paraId="334FAB5C">
            <w:pPr>
              <w:pStyle w:val="30"/>
              <w:adjustRightInd w:val="0"/>
              <w:snapToGrid w:val="0"/>
              <w:ind w:right="141" w:right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bidi="ar-SA"/>
              </w:rPr>
              <w:t>招标代理服务费</w:t>
            </w:r>
          </w:p>
        </w:tc>
        <w:tc>
          <w:tcPr>
            <w:tcW w:w="6588" w:type="dxa"/>
            <w:noWrap w:val="0"/>
            <w:vAlign w:val="center"/>
          </w:tcPr>
          <w:p w14:paraId="4414A347">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参照国家计委计价格【2002】1980号、发改办价格【2003】857号、【2011】534号文计取，不足3000元按3000元计取，本项目招标代理服务费由中标供应商支付。</w:t>
            </w:r>
          </w:p>
          <w:p w14:paraId="4510A79A">
            <w:pPr>
              <w:snapToGrid w:val="0"/>
              <w:ind w:firstLine="420" w:firstLineChars="200"/>
              <w:rPr>
                <w:rFonts w:hint="eastAsia" w:ascii="仿宋" w:hAnsi="仿宋" w:eastAsia="仿宋" w:cs="仿宋"/>
                <w:kern w:val="2"/>
                <w:sz w:val="21"/>
                <w:szCs w:val="21"/>
                <w:highlight w:val="none"/>
                <w:lang w:val="en-US" w:eastAsia="zh-CN" w:bidi="ar-SA"/>
              </w:rPr>
            </w:pPr>
            <w:r>
              <w:rPr>
                <w:rFonts w:hint="eastAsia" w:ascii="仿宋" w:hAnsi="仿宋" w:eastAsia="仿宋" w:cs="仿宋"/>
                <w:bCs/>
                <w:sz w:val="21"/>
                <w:szCs w:val="21"/>
                <w:highlight w:val="none"/>
                <w:lang w:val="en-US" w:eastAsia="zh-CN"/>
              </w:rPr>
              <w:t>中标人须在领取中标通知书时一次性付清招标代理服务费。</w:t>
            </w:r>
          </w:p>
        </w:tc>
      </w:tr>
      <w:tr w14:paraId="6810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87" w:type="dxa"/>
            <w:noWrap w:val="0"/>
            <w:vAlign w:val="center"/>
          </w:tcPr>
          <w:p w14:paraId="47C7542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29</w:t>
            </w:r>
          </w:p>
        </w:tc>
        <w:tc>
          <w:tcPr>
            <w:tcW w:w="1936" w:type="dxa"/>
            <w:shd w:val="clear" w:color="auto" w:fill="auto"/>
            <w:noWrap w:val="0"/>
            <w:vAlign w:val="center"/>
          </w:tcPr>
          <w:p w14:paraId="781BA8F6">
            <w:pPr>
              <w:pStyle w:val="4"/>
              <w:keepNext w:val="0"/>
              <w:keepLines w:val="0"/>
              <w:suppressLineNumbers w:val="0"/>
              <w:spacing w:before="0" w:beforeAutospacing="0" w:after="0" w:afterAutospacing="0"/>
              <w:ind w:left="0" w:leftChars="0" w:right="0" w:rightChars="0"/>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政府采购政策支持</w:t>
            </w:r>
          </w:p>
        </w:tc>
        <w:tc>
          <w:tcPr>
            <w:tcW w:w="6588" w:type="dxa"/>
            <w:shd w:val="clear" w:color="auto" w:fill="auto"/>
            <w:noWrap w:val="0"/>
            <w:vAlign w:val="center"/>
          </w:tcPr>
          <w:p w14:paraId="42BE233C">
            <w:pPr>
              <w:snapToGrid w:val="0"/>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关于落实中小企业政府采购政策：</w:t>
            </w:r>
          </w:p>
          <w:p w14:paraId="5EB83D6B">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因本项目为不专门面向中小企业采购项目,不再给予符合条件的小微企业价格扣除；</w:t>
            </w:r>
          </w:p>
          <w:p w14:paraId="04A7596A">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w:t>
            </w:r>
            <w:r>
              <w:rPr>
                <w:rFonts w:hint="eastAsia" w:ascii="仿宋" w:hAnsi="仿宋" w:eastAsia="仿宋" w:cs="仿宋"/>
                <w:b/>
                <w:bCs w:val="0"/>
                <w:sz w:val="21"/>
                <w:szCs w:val="21"/>
                <w:highlight w:val="none"/>
                <w:u w:val="single"/>
                <w:lang w:val="en-US" w:eastAsia="zh-CN"/>
              </w:rPr>
              <w:t>工业</w:t>
            </w:r>
            <w:r>
              <w:rPr>
                <w:rFonts w:hint="eastAsia" w:ascii="仿宋" w:hAnsi="仿宋" w:eastAsia="仿宋" w:cs="仿宋"/>
                <w:bCs/>
                <w:sz w:val="21"/>
                <w:szCs w:val="21"/>
                <w:highlight w:val="none"/>
                <w:lang w:val="en-US" w:eastAsia="zh-CN"/>
              </w:rPr>
              <w:t>，符合中小微型企业应按照招标文件格式要求提供《中小企业声明函》（见格式），（监狱企业、残疾人福利性单位视同为中小企业）。</w:t>
            </w:r>
          </w:p>
          <w:p w14:paraId="3733D2A8">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2.依据本办法规定享受扶持政策获得政府采购合同的，小微企业不得将合同分包给大中型企业，中型企业不得将合同分包给大型企业。）</w:t>
            </w:r>
          </w:p>
          <w:p w14:paraId="6E8688E7">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14:paraId="75AB7C54">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802DF55">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(2)在政府采购活动中，供应商提供的货物、工程或者服务符合下列情形的，享受本办法规定的中小企业扶持政策：</w:t>
            </w:r>
          </w:p>
          <w:p w14:paraId="43511455">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(一) 在货物采购项目中，货物由中小企业制造，即货物由中小企业生产且使用该中小企业商号或者注册商标；</w:t>
            </w:r>
          </w:p>
          <w:p w14:paraId="58562B46">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(二) 在工程采购项目中，工程由中小企业承建，即工程施工单位为中小企业；</w:t>
            </w:r>
          </w:p>
          <w:p w14:paraId="311C542E">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(三) 在服务采购项目中，服务由中小企业承接，即提供服务的人员为中小企业依照《中华人民共和国劳动合同法》订立劳动合同的从业人员。</w:t>
            </w:r>
          </w:p>
          <w:p w14:paraId="6CE0F84B">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在货物采购项目中，供应商提供的货物既有中小企业制造货物，也有大型企业制造货物的，不享受本办法规定的中小企业扶持政策。</w:t>
            </w:r>
          </w:p>
          <w:p w14:paraId="43F43E07">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以联合体形式参加政府采购活动，联合体各方均为中小企业的，联合体视同中小企业。其中，联合体各方均为小微企业的，联合体视同小微企业。</w:t>
            </w:r>
          </w:p>
          <w:p w14:paraId="3FCBDE5A">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(3)依据本办法规定享受扶持政策获得政府采购合同的，小微企业不得将合同分包给大中型企业，中型企业不得将合同分包给大型企业。</w:t>
            </w:r>
          </w:p>
          <w:p w14:paraId="7C5EBFE9">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(4)提供由省级以上监狱管理局、戒毒管理局(含新疆生产建设兵团)出具的属于监狱企业证明文件(扫描件) 的，视同为小型和微型企业。</w:t>
            </w:r>
          </w:p>
          <w:p w14:paraId="0E7D7B15">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(5)符合享受政府采购支持政策的残疾人福利性单位条件且提供《残疾人福利性单位声明函》的，视同为小型和微型企业。</w:t>
            </w:r>
          </w:p>
          <w:p w14:paraId="72854F6B">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(6)</w:t>
            </w:r>
            <w:r>
              <w:rPr>
                <w:rFonts w:hint="eastAsia" w:ascii="仿宋" w:hAnsi="仿宋" w:eastAsia="仿宋" w:cs="仿宋"/>
                <w:b/>
                <w:bCs w:val="0"/>
                <w:sz w:val="21"/>
                <w:szCs w:val="21"/>
                <w:highlight w:val="none"/>
                <w:lang w:val="en-US" w:eastAsia="zh-CN"/>
              </w:rPr>
              <w:t>本采购项目中小企业划分标准所属行业为：工业。</w:t>
            </w:r>
            <w:r>
              <w:rPr>
                <w:rFonts w:hint="eastAsia" w:ascii="仿宋" w:hAnsi="仿宋" w:eastAsia="仿宋" w:cs="仿宋"/>
                <w:bCs/>
                <w:sz w:val="21"/>
                <w:szCs w:val="21"/>
                <w:highlight w:val="none"/>
                <w:lang w:val="en-US" w:eastAsia="zh-CN"/>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5B18CBC">
            <w:pPr>
              <w:snapToGrid w:val="0"/>
              <w:ind w:firstLine="442" w:firstLineChars="200"/>
              <w:rPr>
                <w:rFonts w:hint="eastAsia" w:ascii="仿宋" w:hAnsi="仿宋" w:eastAsia="仿宋" w:cs="仿宋"/>
                <w:sz w:val="21"/>
                <w:szCs w:val="21"/>
                <w:highlight w:val="none"/>
                <w:lang w:val="en-US" w:eastAsia="zh-CN" w:bidi="ar-SA"/>
              </w:rPr>
            </w:pPr>
            <w:r>
              <w:rPr>
                <w:rFonts w:hint="eastAsia" w:ascii="仿宋" w:hAnsi="仿宋" w:eastAsia="仿宋" w:cs="仿宋"/>
                <w:b/>
                <w:bCs w:val="0"/>
                <w:sz w:val="22"/>
                <w:szCs w:val="22"/>
                <w:highlight w:val="none"/>
                <w:lang w:val="en-US" w:eastAsia="zh-CN"/>
              </w:rPr>
              <w:t>（供应商应在中小企业声明函中按照采购货物名称逐个填写制造商信息，且制造商均为中小微企业，如未按要求填写，将被否决本次投标）</w:t>
            </w:r>
          </w:p>
        </w:tc>
      </w:tr>
      <w:tr w14:paraId="2269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887" w:type="dxa"/>
            <w:noWrap w:val="0"/>
            <w:vAlign w:val="center"/>
          </w:tcPr>
          <w:p w14:paraId="3C2100C5">
            <w:pPr>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30</w:t>
            </w:r>
          </w:p>
        </w:tc>
        <w:tc>
          <w:tcPr>
            <w:tcW w:w="1936" w:type="dxa"/>
            <w:shd w:val="clear" w:color="auto" w:fill="auto"/>
            <w:noWrap w:val="0"/>
            <w:vAlign w:val="center"/>
          </w:tcPr>
          <w:p w14:paraId="2A63086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bidi="ar-SA"/>
              </w:rPr>
              <w:t>关于在政府采购中实施本国产品标准及相关政策的通知</w:t>
            </w:r>
          </w:p>
        </w:tc>
        <w:tc>
          <w:tcPr>
            <w:tcW w:w="6588" w:type="dxa"/>
            <w:shd w:val="clear" w:color="auto" w:fill="auto"/>
            <w:noWrap w:val="0"/>
            <w:vAlign w:val="center"/>
          </w:tcPr>
          <w:p w14:paraId="067FC948">
            <w:pPr>
              <w:snapToGrid w:val="0"/>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国务院办公厅印发的《关于在政府采购中实施本国产品标准及相关政策的通知》（以下简称《通知》）：国办发〔2025〕34号</w:t>
            </w:r>
          </w:p>
          <w:p w14:paraId="5E7EAD76">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在政府采购活动中，对同时有本国产品和非本国产品参与竞争的项目，对本国产品报价给予20%的价格扣除，并以扣除后的价格参与评审。</w:t>
            </w:r>
          </w:p>
          <w:p w14:paraId="41C22414">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本国产品”是指：一是在中国境内生产，实现从原材料、组件到产品的属性改变。二是产品在中国境内生产的组件成本占比应当达到规定比例。三是对特定产品，在满足上述条件的基础上，还须符合由财政部会同行业主管部门确定的其关键组件、关键工序在中国境内生产、完成等要求。</w:t>
            </w:r>
          </w:p>
        </w:tc>
      </w:tr>
      <w:tr w14:paraId="740D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887" w:type="dxa"/>
            <w:noWrap w:val="0"/>
            <w:vAlign w:val="center"/>
          </w:tcPr>
          <w:p w14:paraId="7752F7FF">
            <w:pPr>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30</w:t>
            </w:r>
          </w:p>
        </w:tc>
        <w:tc>
          <w:tcPr>
            <w:tcW w:w="8524" w:type="dxa"/>
            <w:gridSpan w:val="2"/>
            <w:noWrap w:val="0"/>
            <w:vAlign w:val="center"/>
          </w:tcPr>
          <w:p w14:paraId="11D78762">
            <w:pPr>
              <w:snapToGrid w:val="0"/>
              <w:ind w:firstLine="422" w:firstLineChars="200"/>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本项规定为公开招标87号令货物类招标，在使用综合评分法的采购项目中，提供相同品牌产品且通过资格审查、符合性审查的不同投标人，按一家投标人计算，评审后得分最高的同品牌投标人获得中标人推荐资格；评审得分相同的，由采购人或评标委员会按照招标文件规定的方式确定一个投标人获得中标人推荐资格，招标文件未规定的采取随机抽取方式确定。</w:t>
            </w:r>
          </w:p>
          <w:p w14:paraId="66687A6C">
            <w:pPr>
              <w:snapToGrid w:val="0"/>
              <w:ind w:firstLine="422" w:firstLineChars="200"/>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非单一产品采购项目中，采购人应根据采购项目的技术构成和产品价格比重合理确定核心产品，并在招标文件中明确载明。多家投标人提供的核心产品品牌相同的，按前两款规定处理。</w:t>
            </w:r>
          </w:p>
        </w:tc>
      </w:tr>
      <w:tr w14:paraId="2129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87" w:type="dxa"/>
            <w:noWrap w:val="0"/>
            <w:vAlign w:val="center"/>
          </w:tcPr>
          <w:p w14:paraId="74E1445B">
            <w:pPr>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31</w:t>
            </w:r>
          </w:p>
        </w:tc>
        <w:tc>
          <w:tcPr>
            <w:tcW w:w="8524" w:type="dxa"/>
            <w:gridSpan w:val="2"/>
            <w:noWrap w:val="0"/>
            <w:vAlign w:val="center"/>
          </w:tcPr>
          <w:p w14:paraId="585A1C4C">
            <w:pPr>
              <w:snapToGrid w:val="0"/>
              <w:rPr>
                <w:rFonts w:hint="eastAsia" w:ascii="仿宋" w:hAnsi="仿宋" w:eastAsia="仿宋" w:cs="仿宋"/>
                <w:b/>
                <w:bCs/>
                <w:sz w:val="21"/>
                <w:szCs w:val="21"/>
                <w:highlight w:val="none"/>
                <w:lang w:val="en-US" w:eastAsia="zh-CN"/>
              </w:rPr>
            </w:pPr>
            <w:r>
              <w:rPr>
                <w:rFonts w:hint="eastAsia" w:ascii="仿宋" w:hAnsi="仿宋" w:eastAsia="仿宋" w:cs="仿宋"/>
                <w:b/>
                <w:bCs/>
                <w:i w:val="0"/>
                <w:iCs w:val="0"/>
                <w:color w:val="000000"/>
                <w:kern w:val="0"/>
                <w:sz w:val="21"/>
                <w:szCs w:val="21"/>
                <w:u w:val="none"/>
                <w:lang w:val="en-US" w:eastAsia="zh-CN" w:bidi="ar"/>
              </w:rPr>
              <w:t>本次采购核心产品为：可燃气体探测器</w:t>
            </w:r>
          </w:p>
        </w:tc>
      </w:tr>
      <w:tr w14:paraId="078C2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87" w:type="dxa"/>
            <w:noWrap w:val="0"/>
            <w:vAlign w:val="center"/>
          </w:tcPr>
          <w:p w14:paraId="101A2DD2">
            <w:pPr>
              <w:snapToGrid w:val="0"/>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32</w:t>
            </w:r>
          </w:p>
        </w:tc>
        <w:tc>
          <w:tcPr>
            <w:tcW w:w="8524" w:type="dxa"/>
            <w:gridSpan w:val="2"/>
            <w:noWrap w:val="0"/>
            <w:vAlign w:val="center"/>
          </w:tcPr>
          <w:p w14:paraId="57E72BB1">
            <w:pPr>
              <w:spacing w:line="240" w:lineRule="auto"/>
              <w:ind w:firstLine="422" w:firstLineChars="200"/>
              <w:rPr>
                <w:rFonts w:hint="eastAsia" w:ascii="仿宋" w:hAnsi="仿宋" w:eastAsia="仿宋" w:cs="仿宋"/>
                <w:b/>
                <w:sz w:val="21"/>
                <w:szCs w:val="21"/>
                <w:highlight w:val="none"/>
              </w:rPr>
            </w:pPr>
            <w:r>
              <w:rPr>
                <w:rFonts w:hint="eastAsia" w:ascii="仿宋" w:hAnsi="仿宋" w:eastAsia="仿宋" w:cs="仿宋"/>
                <w:b/>
                <w:sz w:val="21"/>
                <w:szCs w:val="21"/>
                <w:highlight w:val="none"/>
              </w:rPr>
              <w:t>1、投标人</w:t>
            </w:r>
            <w:r>
              <w:rPr>
                <w:rFonts w:hint="eastAsia" w:ascii="仿宋" w:hAnsi="仿宋" w:eastAsia="仿宋" w:cs="仿宋"/>
                <w:b/>
                <w:sz w:val="21"/>
                <w:szCs w:val="21"/>
                <w:highlight w:val="none"/>
                <w:lang w:val="en-US" w:eastAsia="zh-CN"/>
              </w:rPr>
              <w:t>要</w:t>
            </w:r>
            <w:r>
              <w:rPr>
                <w:rFonts w:hint="eastAsia" w:ascii="仿宋" w:hAnsi="仿宋" w:eastAsia="仿宋" w:cs="仿宋"/>
                <w:b/>
                <w:sz w:val="21"/>
                <w:szCs w:val="21"/>
                <w:highlight w:val="none"/>
              </w:rPr>
              <w:t>认真查看招标文件中的每一个条款及要求，因误读招标文件而造成的后果，招标人概不负责。</w:t>
            </w:r>
          </w:p>
          <w:p w14:paraId="2E234259">
            <w:pPr>
              <w:snapToGrid w:val="0"/>
              <w:ind w:firstLine="422" w:firstLineChars="200"/>
              <w:rPr>
                <w:rFonts w:hint="eastAsia" w:ascii="仿宋" w:hAnsi="仿宋" w:eastAsia="仿宋" w:cs="仿宋"/>
                <w:b/>
                <w:sz w:val="21"/>
                <w:szCs w:val="21"/>
                <w:highlight w:val="none"/>
              </w:rPr>
            </w:pPr>
            <w:r>
              <w:rPr>
                <w:rFonts w:hint="eastAsia" w:ascii="仿宋" w:hAnsi="仿宋" w:eastAsia="仿宋" w:cs="仿宋"/>
                <w:b/>
                <w:sz w:val="21"/>
                <w:szCs w:val="21"/>
                <w:highlight w:val="none"/>
              </w:rPr>
              <w:t>2、投标文件中有弄虚作假的内容，其投标文件作废。（如假证书、假业绩、隐瞒不良行为记录、夸大荣誉、使用非本单位在职员工的相关证件及不符合招标文件规定的条款等）；在签订合同之前，招标人如发现投标人的投标文件有弄虚作假内容，招标人可拒绝与其签订合同，并将其列入政府采购黑名单库。</w:t>
            </w:r>
          </w:p>
          <w:p w14:paraId="429B7BE2">
            <w:pPr>
              <w:snapToGrid w:val="0"/>
              <w:ind w:firstLine="422" w:firstLineChars="200"/>
              <w:rPr>
                <w:rFonts w:hint="default" w:eastAsia="宋体"/>
                <w:b/>
                <w:sz w:val="24"/>
                <w:szCs w:val="24"/>
                <w:highlight w:val="none"/>
                <w:lang w:val="en-US" w:eastAsia="zh-CN"/>
              </w:rPr>
            </w:pPr>
            <w:r>
              <w:rPr>
                <w:rFonts w:hint="eastAsia" w:ascii="仿宋" w:hAnsi="仿宋" w:eastAsia="仿宋" w:cs="仿宋"/>
                <w:b/>
                <w:sz w:val="21"/>
                <w:szCs w:val="21"/>
                <w:highlight w:val="none"/>
                <w:lang w:val="en-US" w:eastAsia="zh-CN"/>
              </w:rPr>
              <w:t>3、</w:t>
            </w:r>
            <w:r>
              <w:rPr>
                <w:rFonts w:hint="eastAsia" w:ascii="仿宋" w:hAnsi="仿宋" w:eastAsia="仿宋" w:cs="仿宋"/>
                <w:b/>
                <w:sz w:val="21"/>
                <w:szCs w:val="21"/>
                <w:highlight w:val="none"/>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w:t>
            </w:r>
            <w:r>
              <w:rPr>
                <w:rFonts w:hint="eastAsia" w:ascii="仿宋" w:hAnsi="仿宋" w:eastAsia="仿宋" w:cs="仿宋"/>
                <w:b/>
                <w:sz w:val="21"/>
                <w:szCs w:val="21"/>
                <w:highlight w:val="none"/>
                <w:lang w:eastAsia="zh-CN"/>
              </w:rPr>
              <w:t>和</w:t>
            </w:r>
            <w:r>
              <w:rPr>
                <w:rFonts w:hint="eastAsia" w:ascii="仿宋" w:hAnsi="仿宋" w:eastAsia="仿宋" w:cs="仿宋"/>
                <w:b/>
                <w:sz w:val="21"/>
                <w:szCs w:val="21"/>
                <w:highlight w:val="none"/>
                <w:lang w:val="en-US" w:eastAsia="zh-CN"/>
              </w:rPr>
              <w:t>产品使用。</w:t>
            </w:r>
          </w:p>
        </w:tc>
      </w:tr>
    </w:tbl>
    <w:p w14:paraId="0E543EAE">
      <w:pPr>
        <w:spacing w:line="440" w:lineRule="exact"/>
        <w:rPr>
          <w:rFonts w:hint="eastAsia" w:ascii="仿宋" w:hAnsi="仿宋" w:eastAsia="仿宋" w:cs="宋体"/>
          <w:b/>
          <w:highlight w:val="none"/>
        </w:rPr>
      </w:pPr>
      <w:r>
        <w:rPr>
          <w:rFonts w:hint="eastAsia" w:ascii="仿宋" w:hAnsi="仿宋" w:eastAsia="仿宋" w:cs="宋体"/>
          <w:b/>
          <w:highlight w:val="none"/>
        </w:rPr>
        <w:t>注：本表内容与招标文件其它内容不一致的，应当以本表内容为准。</w:t>
      </w:r>
    </w:p>
    <w:p w14:paraId="61A08711">
      <w:pPr>
        <w:spacing w:line="360" w:lineRule="auto"/>
        <w:jc w:val="both"/>
        <w:rPr>
          <w:rFonts w:hint="eastAsia" w:ascii="仿宋" w:hAnsi="仿宋" w:eastAsia="仿宋" w:cs="仿宋"/>
          <w:b/>
          <w:bCs/>
          <w:kern w:val="2"/>
          <w:highlight w:val="none"/>
        </w:rPr>
      </w:pPr>
      <w:r>
        <w:rPr>
          <w:rFonts w:hint="eastAsia" w:ascii="仿宋" w:hAnsi="仿宋" w:eastAsia="仿宋" w:cs="宋体"/>
          <w:b/>
          <w:highlight w:val="none"/>
        </w:rPr>
        <w:t>本表中“</w:t>
      </w:r>
      <w:r>
        <w:rPr>
          <w:rFonts w:hint="eastAsia" w:ascii="仿宋" w:hAnsi="仿宋" w:eastAsia="仿宋" w:cs="宋体"/>
          <w:b/>
          <w:highlight w:val="none"/>
        </w:rPr>
        <w:fldChar w:fldCharType="begin"/>
      </w:r>
      <w:r>
        <w:rPr>
          <w:rFonts w:hint="eastAsia" w:ascii="仿宋" w:hAnsi="仿宋" w:eastAsia="仿宋" w:cs="宋体"/>
          <w:b/>
          <w:highlight w:val="none"/>
        </w:rPr>
        <w:instrText xml:space="preserve"> eq \o\ac(□,√)</w:instrText>
      </w:r>
      <w:r>
        <w:rPr>
          <w:rFonts w:hint="eastAsia" w:ascii="仿宋" w:hAnsi="仿宋" w:eastAsia="仿宋" w:cs="宋体"/>
          <w:b/>
          <w:highlight w:val="none"/>
        </w:rPr>
        <w:fldChar w:fldCharType="end"/>
      </w:r>
      <w:r>
        <w:rPr>
          <w:rFonts w:hint="eastAsia" w:ascii="仿宋" w:hAnsi="仿宋" w:eastAsia="仿宋" w:cs="宋体"/>
          <w:b/>
          <w:highlight w:val="none"/>
        </w:rPr>
        <w:t>”标示选择使用该项，“□”标示不选择使用该项。</w:t>
      </w:r>
    </w:p>
    <w:p w14:paraId="02E038B6">
      <w:pPr>
        <w:spacing w:line="360" w:lineRule="auto"/>
        <w:jc w:val="both"/>
        <w:rPr>
          <w:rFonts w:hint="eastAsia" w:ascii="仿宋" w:hAnsi="仿宋" w:eastAsia="仿宋" w:cs="仿宋"/>
          <w:b/>
          <w:bCs/>
          <w:kern w:val="2"/>
          <w:highlight w:val="none"/>
        </w:rPr>
        <w:sectPr>
          <w:pgSz w:w="11907" w:h="16840"/>
          <w:pgMar w:top="1440" w:right="1474" w:bottom="1440" w:left="1474" w:header="720" w:footer="720" w:gutter="0"/>
          <w:pgNumType w:fmt="decimal"/>
          <w:cols w:space="720" w:num="1"/>
        </w:sectPr>
      </w:pPr>
    </w:p>
    <w:p w14:paraId="1E129629">
      <w:pPr>
        <w:snapToGrid w:val="0"/>
        <w:spacing w:line="360" w:lineRule="auto"/>
        <w:jc w:val="center"/>
        <w:rPr>
          <w:rFonts w:hint="eastAsia" w:ascii="仿宋" w:hAnsi="仿宋" w:eastAsia="仿宋" w:cs="仿宋"/>
          <w:b/>
          <w:bCs/>
          <w:kern w:val="2"/>
          <w:sz w:val="28"/>
          <w:szCs w:val="28"/>
          <w:highlight w:val="none"/>
        </w:rPr>
      </w:pPr>
      <w:bookmarkStart w:id="20" w:name="_Toc31913"/>
      <w:bookmarkStart w:id="21" w:name="_Toc29747"/>
      <w:bookmarkStart w:id="22" w:name="_Toc1688"/>
      <w:bookmarkStart w:id="23" w:name="_Toc11575"/>
      <w:bookmarkStart w:id="24" w:name="_Toc31592"/>
      <w:bookmarkStart w:id="25" w:name="_Toc3227"/>
      <w:bookmarkStart w:id="26" w:name="_Toc11862"/>
      <w:bookmarkStart w:id="27" w:name="_Toc16822"/>
      <w:bookmarkStart w:id="28" w:name="_Toc6044"/>
      <w:bookmarkStart w:id="29" w:name="_Toc45033359"/>
      <w:r>
        <w:rPr>
          <w:rFonts w:hint="eastAsia" w:ascii="仿宋" w:hAnsi="仿宋" w:eastAsia="仿宋" w:cs="仿宋"/>
          <w:b/>
          <w:bCs/>
          <w:kern w:val="2"/>
          <w:sz w:val="28"/>
          <w:szCs w:val="28"/>
          <w:highlight w:val="none"/>
          <w:lang w:val="zh-CN"/>
        </w:rPr>
        <w:t>一、总</w:t>
      </w:r>
      <w:r>
        <w:rPr>
          <w:rFonts w:hint="eastAsia" w:ascii="仿宋" w:hAnsi="仿宋" w:eastAsia="仿宋" w:cs="仿宋"/>
          <w:b/>
          <w:bCs/>
          <w:kern w:val="2"/>
          <w:sz w:val="28"/>
          <w:szCs w:val="28"/>
          <w:highlight w:val="none"/>
        </w:rPr>
        <w:t xml:space="preserve">    </w:t>
      </w:r>
      <w:r>
        <w:rPr>
          <w:rFonts w:hint="eastAsia" w:ascii="仿宋" w:hAnsi="仿宋" w:eastAsia="仿宋" w:cs="仿宋"/>
          <w:b/>
          <w:bCs/>
          <w:kern w:val="2"/>
          <w:sz w:val="28"/>
          <w:szCs w:val="28"/>
          <w:highlight w:val="none"/>
          <w:lang w:val="zh-CN"/>
        </w:rPr>
        <w:t>则</w:t>
      </w:r>
    </w:p>
    <w:p w14:paraId="326D8932">
      <w:pPr>
        <w:snapToGrid w:val="0"/>
        <w:spacing w:line="360" w:lineRule="auto"/>
        <w:ind w:firstLine="482" w:firstLineChars="200"/>
        <w:rPr>
          <w:rFonts w:hint="eastAsia" w:ascii="仿宋" w:hAnsi="仿宋" w:eastAsia="仿宋" w:cs="仿宋"/>
          <w:bCs/>
          <w:kern w:val="2"/>
          <w:sz w:val="28"/>
          <w:szCs w:val="28"/>
          <w:highlight w:val="none"/>
        </w:rPr>
      </w:pPr>
      <w:r>
        <w:rPr>
          <w:rFonts w:hint="eastAsia" w:ascii="仿宋" w:hAnsi="仿宋" w:eastAsia="仿宋" w:cs="仿宋"/>
          <w:b/>
          <w:bCs/>
          <w:kern w:val="2"/>
          <w:highlight w:val="none"/>
        </w:rPr>
        <w:t>1.</w:t>
      </w:r>
      <w:r>
        <w:rPr>
          <w:rFonts w:hint="eastAsia" w:ascii="仿宋" w:hAnsi="仿宋" w:eastAsia="仿宋" w:cs="仿宋"/>
          <w:b/>
          <w:bCs/>
          <w:kern w:val="2"/>
          <w:highlight w:val="none"/>
          <w:lang w:val="zh-CN"/>
        </w:rPr>
        <w:t>适用范围</w:t>
      </w:r>
    </w:p>
    <w:p w14:paraId="7E02D624">
      <w:pPr>
        <w:snapToGrid w:val="0"/>
        <w:spacing w:line="360" w:lineRule="auto"/>
        <w:ind w:firstLine="464" w:firstLineChars="200"/>
        <w:rPr>
          <w:rFonts w:hint="eastAsia" w:ascii="仿宋" w:hAnsi="仿宋" w:eastAsia="仿宋" w:cs="仿宋"/>
          <w:spacing w:val="-4"/>
          <w:highlight w:val="none"/>
        </w:rPr>
      </w:pPr>
      <w:r>
        <w:rPr>
          <w:rFonts w:hint="eastAsia" w:ascii="仿宋" w:hAnsi="仿宋" w:eastAsia="仿宋" w:cs="仿宋"/>
          <w:spacing w:val="-4"/>
          <w:highlight w:val="none"/>
        </w:rPr>
        <w:t>1.1</w:t>
      </w:r>
      <w:r>
        <w:rPr>
          <w:rFonts w:hint="eastAsia" w:ascii="仿宋" w:hAnsi="仿宋" w:eastAsia="仿宋" w:cs="仿宋"/>
          <w:highlight w:val="none"/>
        </w:rPr>
        <w:t>本招标文件适用于本次招标采购项目的招标投标</w:t>
      </w:r>
      <w:r>
        <w:rPr>
          <w:rFonts w:hint="eastAsia" w:ascii="仿宋" w:hAnsi="仿宋" w:eastAsia="仿宋" w:cs="仿宋"/>
          <w:spacing w:val="-4"/>
          <w:highlight w:val="none"/>
        </w:rPr>
        <w:t>。</w:t>
      </w:r>
    </w:p>
    <w:p w14:paraId="7ECDD0FE">
      <w:pPr>
        <w:snapToGrid w:val="0"/>
        <w:spacing w:line="360" w:lineRule="auto"/>
        <w:ind w:firstLine="482" w:firstLineChars="200"/>
        <w:rPr>
          <w:rFonts w:hint="eastAsia" w:ascii="仿宋" w:hAnsi="仿宋" w:eastAsia="仿宋" w:cs="仿宋"/>
          <w:b/>
          <w:bCs/>
          <w:kern w:val="2"/>
          <w:highlight w:val="none"/>
        </w:rPr>
      </w:pPr>
      <w:r>
        <w:rPr>
          <w:rFonts w:hint="eastAsia" w:ascii="仿宋" w:hAnsi="仿宋" w:eastAsia="仿宋" w:cs="仿宋"/>
          <w:b/>
          <w:bCs/>
          <w:kern w:val="2"/>
          <w:highlight w:val="none"/>
        </w:rPr>
        <w:t>2.定义</w:t>
      </w:r>
    </w:p>
    <w:p w14:paraId="130EDCD8">
      <w:pPr>
        <w:snapToGrid w:val="0"/>
        <w:spacing w:line="360" w:lineRule="auto"/>
        <w:ind w:firstLine="480" w:firstLineChars="200"/>
        <w:rPr>
          <w:rFonts w:hint="eastAsia" w:ascii="仿宋" w:hAnsi="仿宋" w:eastAsia="仿宋" w:cs="仿宋"/>
          <w:highlight w:val="none"/>
          <w:lang w:val="zh-CN"/>
        </w:rPr>
      </w:pPr>
      <w:r>
        <w:rPr>
          <w:rFonts w:hint="eastAsia" w:ascii="仿宋" w:hAnsi="仿宋" w:eastAsia="仿宋" w:cs="仿宋"/>
          <w:highlight w:val="none"/>
          <w:lang w:val="zh-CN"/>
        </w:rPr>
        <w:t>2.1</w:t>
      </w:r>
      <w:r>
        <w:rPr>
          <w:rFonts w:hint="eastAsia" w:ascii="仿宋" w:hAnsi="仿宋" w:eastAsia="仿宋" w:cs="仿宋"/>
          <w:highlight w:val="none"/>
        </w:rPr>
        <w:t>“采购人”名称见本招标文件“</w:t>
      </w:r>
      <w:r>
        <w:rPr>
          <w:rFonts w:hint="eastAsia" w:ascii="仿宋" w:hAnsi="仿宋" w:eastAsia="仿宋" w:cs="仿宋"/>
          <w:highlight w:val="none"/>
          <w:lang w:eastAsia="zh-CN"/>
        </w:rPr>
        <w:t>供应商</w:t>
      </w:r>
      <w:r>
        <w:rPr>
          <w:rFonts w:hint="eastAsia" w:ascii="仿宋" w:hAnsi="仿宋" w:eastAsia="仿宋" w:cs="仿宋"/>
          <w:highlight w:val="none"/>
        </w:rPr>
        <w:t>须知前附表”中第2项。</w:t>
      </w:r>
    </w:p>
    <w:p w14:paraId="3AC4C0CE">
      <w:pPr>
        <w:tabs>
          <w:tab w:val="left" w:pos="540"/>
        </w:tabs>
        <w:snapToGrid w:val="0"/>
        <w:spacing w:line="360" w:lineRule="auto"/>
        <w:ind w:firstLine="460" w:firstLineChars="192"/>
        <w:rPr>
          <w:rFonts w:hint="eastAsia" w:ascii="仿宋" w:hAnsi="仿宋" w:eastAsia="仿宋" w:cs="仿宋"/>
          <w:spacing w:val="-4"/>
          <w:highlight w:val="none"/>
        </w:rPr>
      </w:pPr>
      <w:r>
        <w:rPr>
          <w:rFonts w:hint="eastAsia" w:ascii="仿宋" w:hAnsi="仿宋" w:eastAsia="仿宋" w:cs="仿宋"/>
          <w:highlight w:val="none"/>
        </w:rPr>
        <w:t>2.2 “采购代理机构”名称见本招标文件“</w:t>
      </w:r>
      <w:r>
        <w:rPr>
          <w:rFonts w:hint="eastAsia" w:ascii="仿宋" w:hAnsi="仿宋" w:eastAsia="仿宋" w:cs="仿宋"/>
          <w:highlight w:val="none"/>
          <w:lang w:eastAsia="zh-CN"/>
        </w:rPr>
        <w:t>供应商</w:t>
      </w:r>
      <w:r>
        <w:rPr>
          <w:rFonts w:hint="eastAsia" w:ascii="仿宋" w:hAnsi="仿宋" w:eastAsia="仿宋" w:cs="仿宋"/>
          <w:highlight w:val="none"/>
        </w:rPr>
        <w:t>须知前附表”中第3项</w:t>
      </w:r>
      <w:r>
        <w:rPr>
          <w:rFonts w:hint="eastAsia" w:ascii="仿宋" w:hAnsi="仿宋" w:eastAsia="仿宋" w:cs="仿宋"/>
          <w:spacing w:val="-4"/>
          <w:highlight w:val="none"/>
        </w:rPr>
        <w:t>；</w:t>
      </w:r>
    </w:p>
    <w:p w14:paraId="0588276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2.3“</w:t>
      </w:r>
      <w:r>
        <w:rPr>
          <w:rFonts w:hint="eastAsia" w:ascii="仿宋" w:hAnsi="仿宋" w:eastAsia="仿宋" w:cs="仿宋"/>
          <w:highlight w:val="none"/>
          <w:lang w:eastAsia="zh-CN"/>
        </w:rPr>
        <w:t>供应商</w:t>
      </w:r>
      <w:r>
        <w:rPr>
          <w:rFonts w:hint="eastAsia" w:ascii="仿宋" w:hAnsi="仿宋" w:eastAsia="仿宋" w:cs="仿宋"/>
          <w:highlight w:val="none"/>
        </w:rPr>
        <w:t>”指符合招标文件规定并参加投标的</w:t>
      </w:r>
      <w:r>
        <w:rPr>
          <w:rFonts w:hint="eastAsia" w:ascii="仿宋" w:hAnsi="仿宋" w:eastAsia="仿宋" w:cs="仿宋"/>
          <w:highlight w:val="none"/>
          <w:lang w:eastAsia="zh-CN"/>
        </w:rPr>
        <w:t>供应商</w:t>
      </w:r>
      <w:r>
        <w:rPr>
          <w:rFonts w:hint="eastAsia" w:ascii="仿宋" w:hAnsi="仿宋" w:eastAsia="仿宋" w:cs="仿宋"/>
          <w:highlight w:val="none"/>
        </w:rPr>
        <w:t>；</w:t>
      </w:r>
    </w:p>
    <w:p w14:paraId="1E6D0B3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2.4“招标货物”指招标文件第</w:t>
      </w:r>
      <w:r>
        <w:rPr>
          <w:rFonts w:hint="eastAsia" w:ascii="仿宋" w:hAnsi="仿宋" w:eastAsia="仿宋" w:cs="仿宋"/>
          <w:highlight w:val="none"/>
          <w:lang w:eastAsia="zh-CN"/>
        </w:rPr>
        <w:t>四章</w:t>
      </w:r>
      <w:r>
        <w:rPr>
          <w:rFonts w:hint="eastAsia" w:ascii="仿宋" w:hAnsi="仿宋" w:eastAsia="仿宋" w:cs="仿宋"/>
          <w:highlight w:val="none"/>
        </w:rPr>
        <w:t>所述所有货物；</w:t>
      </w:r>
    </w:p>
    <w:p w14:paraId="3CE9730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2.5“</w:t>
      </w:r>
      <w:r>
        <w:rPr>
          <w:rFonts w:hint="eastAsia" w:ascii="仿宋" w:hAnsi="仿宋" w:eastAsia="仿宋" w:cs="仿宋"/>
          <w:highlight w:val="none"/>
          <w:lang w:eastAsia="zh-CN"/>
        </w:rPr>
        <w:t>供应商</w:t>
      </w:r>
      <w:r>
        <w:rPr>
          <w:rFonts w:hint="eastAsia" w:ascii="仿宋" w:hAnsi="仿宋" w:eastAsia="仿宋" w:cs="仿宋"/>
          <w:highlight w:val="none"/>
        </w:rPr>
        <w:t>公章”在投标文件中指与</w:t>
      </w:r>
      <w:r>
        <w:rPr>
          <w:rFonts w:hint="eastAsia" w:ascii="仿宋" w:hAnsi="仿宋" w:eastAsia="仿宋" w:cs="仿宋"/>
          <w:highlight w:val="none"/>
          <w:lang w:eastAsia="zh-CN"/>
        </w:rPr>
        <w:t>供应商</w:t>
      </w:r>
      <w:r>
        <w:rPr>
          <w:rFonts w:hint="eastAsia" w:ascii="仿宋" w:hAnsi="仿宋" w:eastAsia="仿宋" w:cs="仿宋"/>
          <w:highlight w:val="none"/>
        </w:rPr>
        <w:t>标准公章一致的</w:t>
      </w:r>
      <w:r>
        <w:rPr>
          <w:rFonts w:hint="eastAsia" w:ascii="仿宋" w:hAnsi="仿宋" w:eastAsia="仿宋" w:cs="仿宋"/>
          <w:highlight w:val="none"/>
          <w:lang w:eastAsia="zh-CN"/>
        </w:rPr>
        <w:t>供应商</w:t>
      </w:r>
      <w:r>
        <w:rPr>
          <w:rFonts w:hint="eastAsia" w:ascii="仿宋" w:hAnsi="仿宋" w:eastAsia="仿宋" w:cs="仿宋"/>
          <w:highlight w:val="none"/>
        </w:rPr>
        <w:t>签章。</w:t>
      </w:r>
    </w:p>
    <w:p w14:paraId="0C9321EE">
      <w:pPr>
        <w:snapToGrid w:val="0"/>
        <w:spacing w:line="360" w:lineRule="auto"/>
        <w:ind w:firstLine="482" w:firstLineChars="200"/>
        <w:rPr>
          <w:rFonts w:hint="eastAsia" w:ascii="仿宋" w:hAnsi="仿宋" w:eastAsia="仿宋" w:cs="仿宋"/>
          <w:b/>
          <w:bCs/>
          <w:kern w:val="2"/>
          <w:highlight w:val="none"/>
        </w:rPr>
      </w:pPr>
      <w:r>
        <w:rPr>
          <w:rFonts w:hint="eastAsia" w:ascii="仿宋" w:hAnsi="仿宋" w:eastAsia="仿宋" w:cs="仿宋"/>
          <w:b/>
          <w:bCs/>
          <w:kern w:val="2"/>
          <w:highlight w:val="none"/>
        </w:rPr>
        <w:t>3.</w:t>
      </w:r>
      <w:r>
        <w:rPr>
          <w:rFonts w:hint="eastAsia" w:ascii="仿宋" w:hAnsi="仿宋" w:eastAsia="仿宋" w:cs="仿宋"/>
          <w:b/>
          <w:bCs/>
          <w:kern w:val="2"/>
          <w:highlight w:val="none"/>
          <w:lang w:val="zh-CN"/>
        </w:rPr>
        <w:t>合格的供应商</w:t>
      </w:r>
    </w:p>
    <w:p w14:paraId="375DD825">
      <w:pPr>
        <w:snapToGrid w:val="0"/>
        <w:spacing w:line="360" w:lineRule="auto"/>
        <w:ind w:firstLine="484" w:firstLineChars="202"/>
        <w:jc w:val="both"/>
        <w:rPr>
          <w:rFonts w:hint="eastAsia" w:ascii="仿宋" w:hAnsi="仿宋" w:eastAsia="仿宋" w:cs="仿宋"/>
          <w:kern w:val="2"/>
          <w:highlight w:val="none"/>
        </w:rPr>
      </w:pPr>
      <w:r>
        <w:rPr>
          <w:rFonts w:hint="eastAsia" w:ascii="仿宋" w:hAnsi="仿宋" w:eastAsia="仿宋" w:cs="仿宋"/>
          <w:kern w:val="2"/>
          <w:highlight w:val="none"/>
        </w:rPr>
        <w:t>3.1</w:t>
      </w:r>
      <w:r>
        <w:rPr>
          <w:rFonts w:hint="eastAsia" w:ascii="仿宋" w:hAnsi="仿宋" w:eastAsia="仿宋" w:cs="仿宋"/>
          <w:b/>
          <w:bCs/>
          <w:kern w:val="2"/>
          <w:highlight w:val="none"/>
        </w:rPr>
        <w:t xml:space="preserve"> </w:t>
      </w:r>
      <w:r>
        <w:rPr>
          <w:rFonts w:hint="eastAsia" w:ascii="仿宋" w:hAnsi="仿宋" w:eastAsia="仿宋" w:cs="仿宋"/>
          <w:kern w:val="2"/>
          <w:highlight w:val="none"/>
          <w:lang w:val="zh-CN"/>
        </w:rPr>
        <w:t>本次采购采取</w:t>
      </w:r>
      <w:r>
        <w:rPr>
          <w:rFonts w:hint="eastAsia" w:ascii="仿宋" w:hAnsi="仿宋" w:eastAsia="仿宋" w:cs="仿宋"/>
          <w:kern w:val="2"/>
          <w:highlight w:val="none"/>
        </w:rPr>
        <w:t>公开招标</w:t>
      </w:r>
      <w:r>
        <w:rPr>
          <w:rFonts w:hint="eastAsia" w:ascii="仿宋" w:hAnsi="仿宋" w:eastAsia="仿宋" w:cs="仿宋"/>
          <w:kern w:val="2"/>
          <w:highlight w:val="none"/>
          <w:lang w:val="zh-CN"/>
        </w:rPr>
        <w:t>的方式。</w:t>
      </w:r>
    </w:p>
    <w:p w14:paraId="0526BB4E">
      <w:pPr>
        <w:tabs>
          <w:tab w:val="left" w:pos="0"/>
        </w:tabs>
        <w:snapToGrid w:val="0"/>
        <w:spacing w:line="360" w:lineRule="auto"/>
        <w:ind w:firstLine="480" w:firstLineChars="200"/>
        <w:jc w:val="both"/>
        <w:rPr>
          <w:rFonts w:ascii="仿宋" w:hAnsi="仿宋" w:eastAsia="仿宋" w:cs="仿宋"/>
          <w:highlight w:val="none"/>
        </w:rPr>
      </w:pPr>
      <w:r>
        <w:rPr>
          <w:rFonts w:hint="eastAsia" w:ascii="仿宋" w:hAnsi="仿宋" w:eastAsia="仿宋" w:cs="仿宋"/>
          <w:kern w:val="2"/>
          <w:highlight w:val="none"/>
        </w:rPr>
        <w:t>3.2</w:t>
      </w:r>
      <w:r>
        <w:rPr>
          <w:rFonts w:hint="eastAsia" w:ascii="仿宋" w:hAnsi="仿宋" w:eastAsia="仿宋" w:cs="仿宋"/>
          <w:b/>
          <w:bCs/>
          <w:kern w:val="2"/>
          <w:highlight w:val="none"/>
        </w:rPr>
        <w:t xml:space="preserve"> </w:t>
      </w:r>
      <w:r>
        <w:rPr>
          <w:rFonts w:hint="eastAsia" w:ascii="仿宋" w:hAnsi="仿宋" w:eastAsia="仿宋" w:cs="仿宋"/>
          <w:bCs/>
          <w:kern w:val="2"/>
          <w:highlight w:val="none"/>
          <w:lang w:val="zh-CN"/>
        </w:rPr>
        <w:t>供应商</w:t>
      </w:r>
      <w:r>
        <w:rPr>
          <w:rFonts w:hint="eastAsia" w:ascii="仿宋" w:hAnsi="仿宋" w:eastAsia="仿宋" w:cs="仿宋"/>
          <w:kern w:val="2"/>
          <w:highlight w:val="none"/>
          <w:lang w:val="zh-CN"/>
        </w:rPr>
        <w:t>的资格要求:</w:t>
      </w:r>
      <w:r>
        <w:rPr>
          <w:rFonts w:hint="eastAsia" w:ascii="仿宋" w:hAnsi="仿宋" w:eastAsia="仿宋" w:cs="仿宋"/>
          <w:highlight w:val="none"/>
        </w:rPr>
        <w:t>详见</w:t>
      </w:r>
      <w:r>
        <w:rPr>
          <w:rFonts w:hint="eastAsia" w:ascii="仿宋" w:hAnsi="仿宋" w:eastAsia="仿宋" w:cs="仿宋"/>
          <w:highlight w:val="none"/>
          <w:lang w:eastAsia="zh-CN"/>
        </w:rPr>
        <w:t>供应商</w:t>
      </w:r>
      <w:r>
        <w:rPr>
          <w:rFonts w:hint="eastAsia" w:ascii="仿宋" w:hAnsi="仿宋" w:eastAsia="仿宋" w:cs="仿宋"/>
          <w:highlight w:val="none"/>
        </w:rPr>
        <w:t>须知前附表第9项；</w:t>
      </w:r>
    </w:p>
    <w:p w14:paraId="096052C9">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highlight w:val="none"/>
        </w:rPr>
        <w:t xml:space="preserve">3.3 </w:t>
      </w:r>
      <w:r>
        <w:rPr>
          <w:rFonts w:hint="eastAsia" w:ascii="仿宋" w:hAnsi="仿宋" w:eastAsia="仿宋" w:cs="仿宋"/>
          <w:highlight w:val="none"/>
          <w:lang w:eastAsia="zh-CN"/>
        </w:rPr>
        <w:t>供应商</w:t>
      </w:r>
      <w:r>
        <w:rPr>
          <w:rFonts w:hint="eastAsia" w:ascii="仿宋" w:hAnsi="仿宋" w:eastAsia="仿宋" w:cs="仿宋"/>
          <w:highlight w:val="none"/>
        </w:rPr>
        <w:t>之间如果存在下列情形之一的，不得同时参加同一包（标段）或者不分包（标段）的同一项目</w:t>
      </w:r>
      <w:r>
        <w:rPr>
          <w:rFonts w:hint="eastAsia" w:ascii="仿宋" w:hAnsi="仿宋" w:eastAsia="仿宋" w:cs="仿宋"/>
          <w:kern w:val="2"/>
          <w:highlight w:val="none"/>
          <w:lang w:val="zh-CN"/>
        </w:rPr>
        <w:t>投标：</w:t>
      </w:r>
    </w:p>
    <w:p w14:paraId="2FA08CD1">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3.3.1 法定代表人为同一个人的两个及两个以上法人；</w:t>
      </w:r>
    </w:p>
    <w:p w14:paraId="3C1C9EE6">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3.3.2 母公司、全资子公司及其控股公司；</w:t>
      </w:r>
    </w:p>
    <w:p w14:paraId="34E7EE63">
      <w:pPr>
        <w:tabs>
          <w:tab w:val="left" w:pos="0"/>
        </w:tabs>
        <w:snapToGrid w:val="0"/>
        <w:spacing w:line="360" w:lineRule="auto"/>
        <w:ind w:firstLine="480" w:firstLineChars="200"/>
        <w:jc w:val="both"/>
        <w:rPr>
          <w:rFonts w:hint="default" w:ascii="仿宋" w:hAnsi="仿宋" w:eastAsia="仿宋" w:cs="仿宋"/>
          <w:kern w:val="2"/>
          <w:highlight w:val="none"/>
          <w:lang w:val="en-US" w:eastAsia="zh-CN"/>
        </w:rPr>
      </w:pPr>
      <w:r>
        <w:rPr>
          <w:rFonts w:hint="eastAsia" w:ascii="仿宋" w:hAnsi="仿宋" w:eastAsia="仿宋" w:cs="仿宋"/>
          <w:kern w:val="2"/>
          <w:highlight w:val="none"/>
          <w:lang w:val="en-US" w:eastAsia="zh-CN"/>
        </w:rPr>
        <w:t>3.3.3 单位负责人为同一人或者存在控股、管理关系的不同供应商，不得参加同一合同项下的政府采购活动。</w:t>
      </w:r>
    </w:p>
    <w:p w14:paraId="5A51E594">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3.3.</w:t>
      </w:r>
      <w:r>
        <w:rPr>
          <w:rFonts w:hint="eastAsia" w:ascii="仿宋" w:hAnsi="仿宋" w:eastAsia="仿宋" w:cs="仿宋"/>
          <w:kern w:val="2"/>
          <w:highlight w:val="none"/>
          <w:lang w:val="en-US" w:eastAsia="zh-CN"/>
        </w:rPr>
        <w:t>4</w:t>
      </w:r>
      <w:r>
        <w:rPr>
          <w:rFonts w:hint="eastAsia" w:ascii="仿宋" w:hAnsi="仿宋" w:eastAsia="仿宋" w:cs="仿宋"/>
          <w:kern w:val="2"/>
          <w:highlight w:val="none"/>
          <w:lang w:val="zh-CN"/>
        </w:rPr>
        <w:t xml:space="preserve"> 参加投标的其他组织之间存在特殊的利害关系的；</w:t>
      </w:r>
    </w:p>
    <w:p w14:paraId="7D536EFF">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3.3.</w:t>
      </w:r>
      <w:r>
        <w:rPr>
          <w:rFonts w:hint="eastAsia" w:ascii="仿宋" w:hAnsi="仿宋" w:eastAsia="仿宋" w:cs="仿宋"/>
          <w:kern w:val="2"/>
          <w:highlight w:val="none"/>
          <w:lang w:val="en-US" w:eastAsia="zh-CN"/>
        </w:rPr>
        <w:t>5</w:t>
      </w:r>
      <w:r>
        <w:rPr>
          <w:rFonts w:hint="eastAsia" w:ascii="仿宋" w:hAnsi="仿宋" w:eastAsia="仿宋" w:cs="仿宋"/>
          <w:kern w:val="2"/>
          <w:highlight w:val="none"/>
          <w:lang w:val="zh-CN"/>
        </w:rPr>
        <w:t xml:space="preserve"> 法律和行政法规规定的其他情形。</w:t>
      </w:r>
    </w:p>
    <w:p w14:paraId="57CB7E87">
      <w:pPr>
        <w:tabs>
          <w:tab w:val="left" w:pos="0"/>
        </w:tabs>
        <w:snapToGrid w:val="0"/>
        <w:spacing w:line="360" w:lineRule="auto"/>
        <w:ind w:firstLine="482" w:firstLineChars="200"/>
        <w:jc w:val="both"/>
        <w:rPr>
          <w:rFonts w:hint="eastAsia" w:ascii="仿宋" w:hAnsi="仿宋" w:eastAsia="仿宋" w:cs="仿宋"/>
          <w:b/>
          <w:bCs/>
          <w:kern w:val="2"/>
          <w:highlight w:val="none"/>
        </w:rPr>
      </w:pPr>
      <w:r>
        <w:rPr>
          <w:rFonts w:hint="eastAsia" w:ascii="仿宋" w:hAnsi="仿宋" w:eastAsia="仿宋" w:cs="仿宋"/>
          <w:b/>
          <w:bCs/>
          <w:kern w:val="2"/>
          <w:highlight w:val="none"/>
        </w:rPr>
        <w:t>4.投标</w:t>
      </w:r>
      <w:r>
        <w:rPr>
          <w:rFonts w:hint="eastAsia" w:ascii="仿宋" w:hAnsi="仿宋" w:eastAsia="仿宋" w:cs="仿宋"/>
          <w:b/>
          <w:bCs/>
          <w:kern w:val="2"/>
          <w:highlight w:val="none"/>
          <w:lang w:val="zh-CN"/>
        </w:rPr>
        <w:t>费用</w:t>
      </w:r>
    </w:p>
    <w:p w14:paraId="535C6C24">
      <w:pPr>
        <w:snapToGrid w:val="0"/>
        <w:spacing w:line="360" w:lineRule="auto"/>
        <w:ind w:firstLine="532"/>
        <w:jc w:val="both"/>
        <w:rPr>
          <w:rFonts w:hint="eastAsia" w:ascii="仿宋" w:hAnsi="仿宋" w:eastAsia="仿宋" w:cs="仿宋"/>
          <w:kern w:val="2"/>
          <w:highlight w:val="none"/>
          <w:lang w:val="zh-CN"/>
        </w:rPr>
      </w:pPr>
      <w:r>
        <w:rPr>
          <w:rFonts w:hint="eastAsia" w:ascii="仿宋" w:hAnsi="仿宋" w:eastAsia="仿宋" w:cs="仿宋"/>
          <w:bCs/>
          <w:kern w:val="2"/>
          <w:highlight w:val="none"/>
        </w:rPr>
        <w:t xml:space="preserve">4.1 </w:t>
      </w:r>
      <w:r>
        <w:rPr>
          <w:rFonts w:hint="eastAsia" w:ascii="仿宋" w:hAnsi="仿宋" w:eastAsia="仿宋" w:cs="仿宋"/>
          <w:bCs/>
          <w:kern w:val="2"/>
          <w:highlight w:val="none"/>
          <w:lang w:val="zh-CN"/>
        </w:rPr>
        <w:t>供应商</w:t>
      </w:r>
      <w:r>
        <w:rPr>
          <w:rFonts w:hint="eastAsia" w:ascii="仿宋" w:hAnsi="仿宋" w:eastAsia="仿宋" w:cs="仿宋"/>
          <w:kern w:val="2"/>
          <w:highlight w:val="none"/>
          <w:lang w:val="zh-CN"/>
        </w:rPr>
        <w:t>应自行承担所有参加本次</w:t>
      </w:r>
      <w:r>
        <w:rPr>
          <w:rFonts w:hint="eastAsia" w:ascii="仿宋" w:hAnsi="仿宋" w:eastAsia="仿宋" w:cs="仿宋"/>
          <w:kern w:val="2"/>
          <w:highlight w:val="none"/>
        </w:rPr>
        <w:t>投标</w:t>
      </w:r>
      <w:r>
        <w:rPr>
          <w:rFonts w:hint="eastAsia" w:ascii="仿宋" w:hAnsi="仿宋" w:eastAsia="仿宋" w:cs="仿宋"/>
          <w:kern w:val="2"/>
          <w:highlight w:val="none"/>
          <w:lang w:val="zh-CN"/>
        </w:rPr>
        <w:t>有关的费用。不论的结果如何，</w:t>
      </w:r>
      <w:r>
        <w:rPr>
          <w:rFonts w:hint="eastAsia" w:ascii="仿宋" w:hAnsi="仿宋" w:eastAsia="仿宋" w:cs="仿宋"/>
          <w:kern w:val="2"/>
          <w:highlight w:val="none"/>
        </w:rPr>
        <w:t>采购人</w:t>
      </w:r>
      <w:r>
        <w:rPr>
          <w:rFonts w:hint="eastAsia" w:ascii="仿宋" w:hAnsi="仿宋" w:eastAsia="仿宋" w:cs="仿宋"/>
          <w:kern w:val="2"/>
          <w:highlight w:val="none"/>
          <w:lang w:val="zh-CN"/>
        </w:rPr>
        <w:t>在任何情况下均无义务和责任承担这些费用。</w:t>
      </w:r>
    </w:p>
    <w:p w14:paraId="4BC61521">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5.纪律</w:t>
      </w:r>
    </w:p>
    <w:p w14:paraId="266CE9C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5.1 </w:t>
      </w:r>
      <w:r>
        <w:rPr>
          <w:rFonts w:hint="eastAsia" w:ascii="仿宋" w:hAnsi="仿宋" w:eastAsia="仿宋" w:cs="仿宋"/>
          <w:highlight w:val="none"/>
          <w:lang w:eastAsia="zh-CN"/>
        </w:rPr>
        <w:t>供应商</w:t>
      </w:r>
      <w:r>
        <w:rPr>
          <w:rFonts w:hint="eastAsia" w:ascii="仿宋" w:hAnsi="仿宋" w:eastAsia="仿宋" w:cs="仿宋"/>
          <w:highlight w:val="none"/>
        </w:rPr>
        <w:t>的投标行为应遵守中国的有关法律、法规和规章。</w:t>
      </w:r>
    </w:p>
    <w:p w14:paraId="532D75B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 </w:t>
      </w:r>
      <w:r>
        <w:rPr>
          <w:rFonts w:hint="eastAsia" w:ascii="仿宋" w:hAnsi="仿宋" w:eastAsia="仿宋" w:cs="仿宋"/>
          <w:highlight w:val="none"/>
          <w:lang w:eastAsia="zh-CN"/>
        </w:rPr>
        <w:t>供应商</w:t>
      </w:r>
      <w:r>
        <w:rPr>
          <w:rFonts w:hint="eastAsia" w:ascii="仿宋" w:hAnsi="仿宋" w:eastAsia="仿宋" w:cs="仿宋"/>
          <w:highlight w:val="none"/>
        </w:rPr>
        <w:t>不得相互串通投标报价，不得妨碍其他</w:t>
      </w:r>
      <w:r>
        <w:rPr>
          <w:rFonts w:hint="eastAsia" w:ascii="仿宋" w:hAnsi="仿宋" w:eastAsia="仿宋" w:cs="仿宋"/>
          <w:highlight w:val="none"/>
          <w:lang w:eastAsia="zh-CN"/>
        </w:rPr>
        <w:t>供应商</w:t>
      </w:r>
      <w:r>
        <w:rPr>
          <w:rFonts w:hint="eastAsia" w:ascii="仿宋" w:hAnsi="仿宋" w:eastAsia="仿宋" w:cs="仿宋"/>
          <w:highlight w:val="none"/>
        </w:rPr>
        <w:t>的公平竞争，不得损害采购人或其他</w:t>
      </w:r>
      <w:r>
        <w:rPr>
          <w:rFonts w:hint="eastAsia" w:ascii="仿宋" w:hAnsi="仿宋" w:eastAsia="仿宋" w:cs="仿宋"/>
          <w:highlight w:val="none"/>
          <w:lang w:eastAsia="zh-CN"/>
        </w:rPr>
        <w:t>供应商</w:t>
      </w:r>
      <w:r>
        <w:rPr>
          <w:rFonts w:hint="eastAsia" w:ascii="仿宋" w:hAnsi="仿宋" w:eastAsia="仿宋" w:cs="仿宋"/>
          <w:highlight w:val="none"/>
        </w:rPr>
        <w:t>的合法权益，</w:t>
      </w:r>
      <w:r>
        <w:rPr>
          <w:rFonts w:hint="eastAsia" w:ascii="仿宋" w:hAnsi="仿宋" w:eastAsia="仿宋" w:cs="仿宋"/>
          <w:highlight w:val="none"/>
          <w:lang w:eastAsia="zh-CN"/>
        </w:rPr>
        <w:t>供应商</w:t>
      </w:r>
      <w:r>
        <w:rPr>
          <w:rFonts w:hint="eastAsia" w:ascii="仿宋" w:hAnsi="仿宋" w:eastAsia="仿宋" w:cs="仿宋"/>
          <w:highlight w:val="none"/>
        </w:rPr>
        <w:t>不得以向采购人、评标委员会成员行贿或者采取其他不正当手段谋取中标。</w:t>
      </w:r>
    </w:p>
    <w:p w14:paraId="05CAD2F8">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5.2.1 有下列情形之一的，属于</w:t>
      </w:r>
      <w:r>
        <w:rPr>
          <w:rFonts w:hint="eastAsia" w:ascii="仿宋" w:hAnsi="仿宋" w:eastAsia="仿宋" w:cs="仿宋"/>
          <w:b/>
          <w:bCs/>
          <w:highlight w:val="none"/>
          <w:lang w:eastAsia="zh-CN"/>
        </w:rPr>
        <w:t>供应商</w:t>
      </w:r>
      <w:r>
        <w:rPr>
          <w:rFonts w:hint="eastAsia" w:ascii="仿宋" w:hAnsi="仿宋" w:eastAsia="仿宋" w:cs="仿宋"/>
          <w:b/>
          <w:bCs/>
          <w:highlight w:val="none"/>
        </w:rPr>
        <w:t>相互串通投标：</w:t>
      </w:r>
    </w:p>
    <w:p w14:paraId="7304388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5.2.1.1 </w:t>
      </w:r>
      <w:r>
        <w:rPr>
          <w:rFonts w:hint="eastAsia" w:ascii="仿宋" w:hAnsi="仿宋" w:eastAsia="仿宋" w:cs="仿宋"/>
          <w:highlight w:val="none"/>
          <w:lang w:eastAsia="zh-CN"/>
        </w:rPr>
        <w:t>供应商</w:t>
      </w:r>
      <w:r>
        <w:rPr>
          <w:rFonts w:hint="eastAsia" w:ascii="仿宋" w:hAnsi="仿宋" w:eastAsia="仿宋" w:cs="仿宋"/>
          <w:highlight w:val="none"/>
        </w:rPr>
        <w:t>之间协商投标报价等投标文件的实质性内容；</w:t>
      </w:r>
    </w:p>
    <w:p w14:paraId="017B8F1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5.2.1.2 </w:t>
      </w:r>
      <w:r>
        <w:rPr>
          <w:rFonts w:hint="eastAsia" w:ascii="仿宋" w:hAnsi="仿宋" w:eastAsia="仿宋" w:cs="仿宋"/>
          <w:highlight w:val="none"/>
          <w:lang w:eastAsia="zh-CN"/>
        </w:rPr>
        <w:t>供应商</w:t>
      </w:r>
      <w:r>
        <w:rPr>
          <w:rFonts w:hint="eastAsia" w:ascii="仿宋" w:hAnsi="仿宋" w:eastAsia="仿宋" w:cs="仿宋"/>
          <w:highlight w:val="none"/>
        </w:rPr>
        <w:t>之间约定中标人；</w:t>
      </w:r>
    </w:p>
    <w:p w14:paraId="365A7E4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5.2.1.3 </w:t>
      </w:r>
      <w:r>
        <w:rPr>
          <w:rFonts w:hint="eastAsia" w:ascii="仿宋" w:hAnsi="仿宋" w:eastAsia="仿宋" w:cs="仿宋"/>
          <w:highlight w:val="none"/>
          <w:lang w:eastAsia="zh-CN"/>
        </w:rPr>
        <w:t>供应商</w:t>
      </w:r>
      <w:r>
        <w:rPr>
          <w:rFonts w:hint="eastAsia" w:ascii="仿宋" w:hAnsi="仿宋" w:eastAsia="仿宋" w:cs="仿宋"/>
          <w:highlight w:val="none"/>
        </w:rPr>
        <w:t>之间约定部分</w:t>
      </w:r>
      <w:r>
        <w:rPr>
          <w:rFonts w:hint="eastAsia" w:ascii="仿宋" w:hAnsi="仿宋" w:eastAsia="仿宋" w:cs="仿宋"/>
          <w:highlight w:val="none"/>
          <w:lang w:eastAsia="zh-CN"/>
        </w:rPr>
        <w:t>供应商</w:t>
      </w:r>
      <w:r>
        <w:rPr>
          <w:rFonts w:hint="eastAsia" w:ascii="仿宋" w:hAnsi="仿宋" w:eastAsia="仿宋" w:cs="仿宋"/>
          <w:highlight w:val="none"/>
        </w:rPr>
        <w:t>放弃投标或者中标；</w:t>
      </w:r>
    </w:p>
    <w:p w14:paraId="0DEA02F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5.2.1.4 属于同一集团、协会、商会等组织成员的</w:t>
      </w:r>
      <w:r>
        <w:rPr>
          <w:rFonts w:hint="eastAsia" w:ascii="仿宋" w:hAnsi="仿宋" w:eastAsia="仿宋" w:cs="仿宋"/>
          <w:highlight w:val="none"/>
          <w:lang w:eastAsia="zh-CN"/>
        </w:rPr>
        <w:t>供应商</w:t>
      </w:r>
      <w:r>
        <w:rPr>
          <w:rFonts w:hint="eastAsia" w:ascii="仿宋" w:hAnsi="仿宋" w:eastAsia="仿宋" w:cs="仿宋"/>
          <w:highlight w:val="none"/>
        </w:rPr>
        <w:t>按照该组织要求协同投标；</w:t>
      </w:r>
    </w:p>
    <w:p w14:paraId="13B7A77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5.2.1.5 </w:t>
      </w:r>
      <w:r>
        <w:rPr>
          <w:rFonts w:hint="eastAsia" w:ascii="仿宋" w:hAnsi="仿宋" w:eastAsia="仿宋" w:cs="仿宋"/>
          <w:highlight w:val="none"/>
          <w:lang w:eastAsia="zh-CN"/>
        </w:rPr>
        <w:t>供应商</w:t>
      </w:r>
      <w:r>
        <w:rPr>
          <w:rFonts w:hint="eastAsia" w:ascii="仿宋" w:hAnsi="仿宋" w:eastAsia="仿宋" w:cs="仿宋"/>
          <w:highlight w:val="none"/>
        </w:rPr>
        <w:t>之间为谋取中标或者排斥特定</w:t>
      </w:r>
      <w:r>
        <w:rPr>
          <w:rFonts w:hint="eastAsia" w:ascii="仿宋" w:hAnsi="仿宋" w:eastAsia="仿宋" w:cs="仿宋"/>
          <w:highlight w:val="none"/>
          <w:lang w:eastAsia="zh-CN"/>
        </w:rPr>
        <w:t>供应商</w:t>
      </w:r>
      <w:r>
        <w:rPr>
          <w:rFonts w:hint="eastAsia" w:ascii="仿宋" w:hAnsi="仿宋" w:eastAsia="仿宋" w:cs="仿宋"/>
          <w:highlight w:val="none"/>
        </w:rPr>
        <w:t>而采取的其他联合行动。</w:t>
      </w:r>
    </w:p>
    <w:p w14:paraId="47F26CEC">
      <w:pPr>
        <w:snapToGrid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5.2.2 有下列情形之一的，</w:t>
      </w:r>
      <w:r>
        <w:rPr>
          <w:rFonts w:ascii="仿宋" w:hAnsi="仿宋" w:eastAsia="仿宋" w:cs="仿宋"/>
          <w:b/>
          <w:bCs/>
          <w:highlight w:val="none"/>
        </w:rPr>
        <w:t>视为</w:t>
      </w:r>
      <w:r>
        <w:rPr>
          <w:rFonts w:hint="eastAsia" w:ascii="仿宋" w:hAnsi="仿宋" w:eastAsia="仿宋" w:cs="仿宋"/>
          <w:b/>
          <w:bCs/>
          <w:highlight w:val="none"/>
          <w:lang w:eastAsia="zh-CN"/>
        </w:rPr>
        <w:t>供应商</w:t>
      </w:r>
      <w:r>
        <w:rPr>
          <w:rFonts w:ascii="仿宋" w:hAnsi="仿宋" w:eastAsia="仿宋" w:cs="仿宋"/>
          <w:b/>
          <w:bCs/>
          <w:highlight w:val="none"/>
        </w:rPr>
        <w:t>串通投标，其投标无效：</w:t>
      </w:r>
    </w:p>
    <w:p w14:paraId="66A79CB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5.2.2.1 </w:t>
      </w:r>
      <w:r>
        <w:rPr>
          <w:rFonts w:ascii="仿宋" w:hAnsi="仿宋" w:eastAsia="仿宋" w:cs="仿宋"/>
          <w:highlight w:val="none"/>
        </w:rPr>
        <w:t>不同</w:t>
      </w:r>
      <w:r>
        <w:rPr>
          <w:rFonts w:hint="eastAsia" w:ascii="仿宋" w:hAnsi="仿宋" w:eastAsia="仿宋" w:cs="仿宋"/>
          <w:highlight w:val="none"/>
          <w:lang w:eastAsia="zh-CN"/>
        </w:rPr>
        <w:t>供应商</w:t>
      </w:r>
      <w:r>
        <w:rPr>
          <w:rFonts w:ascii="仿宋" w:hAnsi="仿宋" w:eastAsia="仿宋" w:cs="仿宋"/>
          <w:highlight w:val="none"/>
        </w:rPr>
        <w:t>的投标文件由同一单位或者个人编制；</w:t>
      </w:r>
    </w:p>
    <w:p w14:paraId="7FC8614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5.2.2.2 </w:t>
      </w:r>
      <w:r>
        <w:rPr>
          <w:rFonts w:ascii="仿宋" w:hAnsi="仿宋" w:eastAsia="仿宋" w:cs="仿宋"/>
          <w:highlight w:val="none"/>
        </w:rPr>
        <w:t>不同</w:t>
      </w:r>
      <w:r>
        <w:rPr>
          <w:rFonts w:hint="eastAsia" w:ascii="仿宋" w:hAnsi="仿宋" w:eastAsia="仿宋" w:cs="仿宋"/>
          <w:highlight w:val="none"/>
          <w:lang w:eastAsia="zh-CN"/>
        </w:rPr>
        <w:t>供应商</w:t>
      </w:r>
      <w:r>
        <w:rPr>
          <w:rFonts w:ascii="仿宋" w:hAnsi="仿宋" w:eastAsia="仿宋" w:cs="仿宋"/>
          <w:highlight w:val="none"/>
        </w:rPr>
        <w:t>委托同一单位或者个人办理投标事宜；</w:t>
      </w:r>
    </w:p>
    <w:p w14:paraId="55E85BB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5.2.2.3 </w:t>
      </w:r>
      <w:r>
        <w:rPr>
          <w:rFonts w:ascii="仿宋" w:hAnsi="仿宋" w:eastAsia="仿宋" w:cs="仿宋"/>
          <w:highlight w:val="none"/>
        </w:rPr>
        <w:t>不同</w:t>
      </w:r>
      <w:r>
        <w:rPr>
          <w:rFonts w:hint="eastAsia" w:ascii="仿宋" w:hAnsi="仿宋" w:eastAsia="仿宋" w:cs="仿宋"/>
          <w:highlight w:val="none"/>
          <w:lang w:eastAsia="zh-CN"/>
        </w:rPr>
        <w:t>供应商</w:t>
      </w:r>
      <w:r>
        <w:rPr>
          <w:rFonts w:ascii="仿宋" w:hAnsi="仿宋" w:eastAsia="仿宋" w:cs="仿宋"/>
          <w:highlight w:val="none"/>
        </w:rPr>
        <w:t>的投标文件载明的项目管理成员或者联系人员为同一人；</w:t>
      </w:r>
    </w:p>
    <w:p w14:paraId="6BDEBE5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5.2.2.4 </w:t>
      </w:r>
      <w:r>
        <w:rPr>
          <w:rFonts w:ascii="仿宋" w:hAnsi="仿宋" w:eastAsia="仿宋" w:cs="仿宋"/>
          <w:highlight w:val="none"/>
        </w:rPr>
        <w:t>不同</w:t>
      </w:r>
      <w:r>
        <w:rPr>
          <w:rFonts w:hint="eastAsia" w:ascii="仿宋" w:hAnsi="仿宋" w:eastAsia="仿宋" w:cs="仿宋"/>
          <w:highlight w:val="none"/>
          <w:lang w:eastAsia="zh-CN"/>
        </w:rPr>
        <w:t>供应商</w:t>
      </w:r>
      <w:r>
        <w:rPr>
          <w:rFonts w:ascii="仿宋" w:hAnsi="仿宋" w:eastAsia="仿宋" w:cs="仿宋"/>
          <w:highlight w:val="none"/>
        </w:rPr>
        <w:t>的投标文件异常一致或者投标报价呈规律性差异；</w:t>
      </w:r>
    </w:p>
    <w:p w14:paraId="2F8F1C31">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5.2.2.5 </w:t>
      </w:r>
      <w:r>
        <w:rPr>
          <w:rFonts w:ascii="仿宋" w:hAnsi="仿宋" w:eastAsia="仿宋" w:cs="仿宋"/>
          <w:highlight w:val="none"/>
        </w:rPr>
        <w:t>不同</w:t>
      </w:r>
      <w:r>
        <w:rPr>
          <w:rFonts w:hint="eastAsia" w:ascii="仿宋" w:hAnsi="仿宋" w:eastAsia="仿宋" w:cs="仿宋"/>
          <w:highlight w:val="none"/>
          <w:lang w:eastAsia="zh-CN"/>
        </w:rPr>
        <w:t>供应商</w:t>
      </w:r>
      <w:r>
        <w:rPr>
          <w:rFonts w:ascii="仿宋" w:hAnsi="仿宋" w:eastAsia="仿宋" w:cs="仿宋"/>
          <w:highlight w:val="none"/>
        </w:rPr>
        <w:t>的投标文件相互混装；</w:t>
      </w:r>
    </w:p>
    <w:p w14:paraId="69E3D8B7">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5.2.2.6 </w:t>
      </w:r>
      <w:r>
        <w:rPr>
          <w:rFonts w:ascii="仿宋" w:hAnsi="仿宋" w:eastAsia="仿宋" w:cs="仿宋"/>
          <w:highlight w:val="none"/>
        </w:rPr>
        <w:t>不同</w:t>
      </w:r>
      <w:r>
        <w:rPr>
          <w:rFonts w:hint="eastAsia" w:ascii="仿宋" w:hAnsi="仿宋" w:eastAsia="仿宋" w:cs="仿宋"/>
          <w:highlight w:val="none"/>
          <w:lang w:eastAsia="zh-CN"/>
        </w:rPr>
        <w:t>供应商</w:t>
      </w:r>
      <w:r>
        <w:rPr>
          <w:rFonts w:ascii="仿宋" w:hAnsi="仿宋" w:eastAsia="仿宋" w:cs="仿宋"/>
          <w:highlight w:val="none"/>
        </w:rPr>
        <w:t>的投标保证金从同一单位或者个人的账户转出。</w:t>
      </w:r>
    </w:p>
    <w:p w14:paraId="2E7A5325">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6.通知</w:t>
      </w:r>
    </w:p>
    <w:p w14:paraId="75DC499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val="en-US" w:eastAsia="zh-CN"/>
        </w:rPr>
        <w:t>6.1</w:t>
      </w:r>
      <w:r>
        <w:rPr>
          <w:rFonts w:hint="eastAsia" w:ascii="仿宋" w:hAnsi="仿宋" w:eastAsia="仿宋" w:cs="仿宋"/>
          <w:highlight w:val="none"/>
        </w:rPr>
        <w:t>对与本项目有关的通知，采购代理机构将以书面（包括书面材料、信函、传真等，下同）或在本次招标公告刊登的媒体上发布公告的形式，向潜在</w:t>
      </w:r>
      <w:r>
        <w:rPr>
          <w:rFonts w:hint="eastAsia" w:ascii="仿宋" w:hAnsi="仿宋" w:eastAsia="仿宋" w:cs="仿宋"/>
          <w:highlight w:val="none"/>
          <w:lang w:eastAsia="zh-CN"/>
        </w:rPr>
        <w:t>供应商</w:t>
      </w:r>
      <w:r>
        <w:rPr>
          <w:rFonts w:hint="eastAsia" w:ascii="仿宋" w:hAnsi="仿宋" w:eastAsia="仿宋" w:cs="仿宋"/>
          <w:highlight w:val="none"/>
        </w:rPr>
        <w:t>发出，传真和电话号码以潜在</w:t>
      </w:r>
      <w:r>
        <w:rPr>
          <w:rFonts w:hint="eastAsia" w:ascii="仿宋" w:hAnsi="仿宋" w:eastAsia="仿宋" w:cs="仿宋"/>
          <w:highlight w:val="none"/>
          <w:lang w:eastAsia="zh-CN"/>
        </w:rPr>
        <w:t>供应商</w:t>
      </w:r>
      <w:r>
        <w:rPr>
          <w:rFonts w:hint="eastAsia" w:ascii="仿宋" w:hAnsi="仿宋" w:eastAsia="仿宋" w:cs="仿宋"/>
          <w:highlight w:val="none"/>
        </w:rPr>
        <w:t>的登记为准。收到通知的</w:t>
      </w:r>
      <w:r>
        <w:rPr>
          <w:rFonts w:hint="eastAsia" w:ascii="仿宋" w:hAnsi="仿宋" w:eastAsia="仿宋" w:cs="仿宋"/>
          <w:highlight w:val="none"/>
          <w:lang w:eastAsia="zh-CN"/>
        </w:rPr>
        <w:t>供应商</w:t>
      </w:r>
      <w:r>
        <w:rPr>
          <w:rFonts w:hint="eastAsia" w:ascii="仿宋" w:hAnsi="仿宋" w:eastAsia="仿宋" w:cs="仿宋"/>
          <w:highlight w:val="none"/>
        </w:rPr>
        <w:t>须立即予以回复确认，但</w:t>
      </w:r>
      <w:r>
        <w:rPr>
          <w:rFonts w:hint="eastAsia" w:ascii="仿宋" w:hAnsi="仿宋" w:eastAsia="仿宋" w:cs="仿宋"/>
          <w:highlight w:val="none"/>
          <w:lang w:eastAsia="zh-CN"/>
        </w:rPr>
        <w:t>供应商</w:t>
      </w:r>
      <w:r>
        <w:rPr>
          <w:rFonts w:hint="eastAsia" w:ascii="仿宋" w:hAnsi="仿宋" w:eastAsia="仿宋" w:cs="仿宋"/>
          <w:highlight w:val="none"/>
        </w:rPr>
        <w:t>未回复或采购代理机构未收到回复时，并不应当被理解为采购代理机构知道或应当知道</w:t>
      </w:r>
      <w:r>
        <w:rPr>
          <w:rFonts w:hint="eastAsia" w:ascii="仿宋" w:hAnsi="仿宋" w:eastAsia="仿宋" w:cs="仿宋"/>
          <w:highlight w:val="none"/>
          <w:lang w:eastAsia="zh-CN"/>
        </w:rPr>
        <w:t>供应商</w:t>
      </w:r>
      <w:r>
        <w:rPr>
          <w:rFonts w:hint="eastAsia" w:ascii="仿宋" w:hAnsi="仿宋" w:eastAsia="仿宋" w:cs="仿宋"/>
          <w:highlight w:val="none"/>
        </w:rPr>
        <w:t>是否收到通知。因登记有误、传真线路故障或其它任何意外情形，导致所发出的通知延迟送达或无法到达</w:t>
      </w:r>
      <w:r>
        <w:rPr>
          <w:rFonts w:hint="eastAsia" w:ascii="仿宋" w:hAnsi="仿宋" w:eastAsia="仿宋" w:cs="仿宋"/>
          <w:highlight w:val="none"/>
          <w:lang w:eastAsia="zh-CN"/>
        </w:rPr>
        <w:t>供应商</w:t>
      </w:r>
      <w:r>
        <w:rPr>
          <w:rFonts w:hint="eastAsia" w:ascii="仿宋" w:hAnsi="仿宋" w:eastAsia="仿宋" w:cs="仿宋"/>
          <w:highlight w:val="none"/>
        </w:rPr>
        <w:t>，采购代理机构不因此承担任何责任，有关的招标活动可以继续有效地进行。</w:t>
      </w:r>
    </w:p>
    <w:p w14:paraId="492D724F">
      <w:pPr>
        <w:snapToGrid w:val="0"/>
        <w:spacing w:line="360" w:lineRule="auto"/>
        <w:ind w:firstLine="562" w:firstLineChars="200"/>
        <w:jc w:val="center"/>
        <w:rPr>
          <w:rFonts w:hint="eastAsia" w:ascii="仿宋" w:hAnsi="仿宋" w:eastAsia="仿宋" w:cs="仿宋"/>
          <w:b/>
          <w:kern w:val="2"/>
          <w:sz w:val="28"/>
          <w:szCs w:val="28"/>
          <w:highlight w:val="none"/>
          <w:lang w:val="zh-CN"/>
        </w:rPr>
      </w:pPr>
      <w:r>
        <w:rPr>
          <w:rFonts w:hint="eastAsia" w:ascii="仿宋" w:hAnsi="仿宋" w:eastAsia="仿宋" w:cs="仿宋"/>
          <w:b/>
          <w:kern w:val="2"/>
          <w:sz w:val="28"/>
          <w:szCs w:val="28"/>
          <w:highlight w:val="none"/>
          <w:lang w:val="zh-CN"/>
        </w:rPr>
        <w:t>二、</w:t>
      </w:r>
      <w:r>
        <w:rPr>
          <w:rFonts w:hint="eastAsia" w:ascii="仿宋" w:hAnsi="仿宋" w:eastAsia="仿宋" w:cs="仿宋"/>
          <w:b/>
          <w:kern w:val="2"/>
          <w:sz w:val="28"/>
          <w:szCs w:val="28"/>
          <w:highlight w:val="none"/>
        </w:rPr>
        <w:t>招标</w:t>
      </w:r>
      <w:r>
        <w:rPr>
          <w:rFonts w:hint="eastAsia" w:ascii="仿宋" w:hAnsi="仿宋" w:eastAsia="仿宋" w:cs="仿宋"/>
          <w:b/>
          <w:kern w:val="2"/>
          <w:sz w:val="28"/>
          <w:szCs w:val="28"/>
          <w:highlight w:val="none"/>
          <w:lang w:val="zh-CN"/>
        </w:rPr>
        <w:t>文件</w:t>
      </w:r>
    </w:p>
    <w:p w14:paraId="3A73BF2B">
      <w:pPr>
        <w:tabs>
          <w:tab w:val="left" w:pos="645"/>
        </w:tabs>
        <w:snapToGrid w:val="0"/>
        <w:spacing w:line="360" w:lineRule="auto"/>
        <w:ind w:firstLine="482" w:firstLineChars="200"/>
        <w:jc w:val="both"/>
        <w:rPr>
          <w:rFonts w:hint="eastAsia" w:ascii="仿宋" w:hAnsi="仿宋" w:eastAsia="仿宋" w:cs="仿宋"/>
          <w:b/>
          <w:bCs/>
          <w:kern w:val="2"/>
          <w:highlight w:val="none"/>
        </w:rPr>
      </w:pPr>
      <w:r>
        <w:rPr>
          <w:rFonts w:hint="eastAsia" w:ascii="仿宋" w:hAnsi="仿宋" w:eastAsia="仿宋" w:cs="仿宋"/>
          <w:b/>
          <w:bCs/>
          <w:kern w:val="2"/>
          <w:highlight w:val="none"/>
        </w:rPr>
        <w:t>7.招标</w:t>
      </w:r>
      <w:r>
        <w:rPr>
          <w:rFonts w:hint="eastAsia" w:ascii="仿宋" w:hAnsi="仿宋" w:eastAsia="仿宋" w:cs="仿宋"/>
          <w:b/>
          <w:bCs/>
          <w:kern w:val="2"/>
          <w:highlight w:val="none"/>
          <w:lang w:val="zh-CN"/>
        </w:rPr>
        <w:t>文件</w:t>
      </w:r>
      <w:r>
        <w:rPr>
          <w:rFonts w:hint="eastAsia" w:ascii="仿宋" w:hAnsi="仿宋" w:eastAsia="仿宋" w:cs="仿宋"/>
          <w:b/>
          <w:bCs/>
          <w:kern w:val="2"/>
          <w:highlight w:val="none"/>
        </w:rPr>
        <w:t>组</w:t>
      </w:r>
      <w:r>
        <w:rPr>
          <w:rFonts w:hint="eastAsia" w:ascii="仿宋" w:hAnsi="仿宋" w:eastAsia="仿宋" w:cs="仿宋"/>
          <w:b/>
          <w:bCs/>
          <w:kern w:val="2"/>
          <w:highlight w:val="none"/>
          <w:lang w:val="zh-CN"/>
        </w:rPr>
        <w:t>成</w:t>
      </w:r>
    </w:p>
    <w:p w14:paraId="1C01F80D">
      <w:pPr>
        <w:tabs>
          <w:tab w:val="left" w:pos="645"/>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7.1 招标文件由招标文件目录所列内容组成。</w:t>
      </w:r>
    </w:p>
    <w:p w14:paraId="603C9020">
      <w:pPr>
        <w:tabs>
          <w:tab w:val="left" w:pos="645"/>
        </w:tabs>
        <w:snapToGrid w:val="0"/>
        <w:spacing w:line="360" w:lineRule="auto"/>
        <w:ind w:firstLine="482" w:firstLineChars="200"/>
        <w:jc w:val="both"/>
        <w:rPr>
          <w:rFonts w:hint="eastAsia" w:ascii="仿宋" w:hAnsi="仿宋" w:eastAsia="仿宋" w:cs="仿宋"/>
          <w:b/>
          <w:bCs/>
          <w:kern w:val="2"/>
          <w:highlight w:val="none"/>
          <w:lang w:val="zh-CN"/>
        </w:rPr>
      </w:pPr>
      <w:r>
        <w:rPr>
          <w:rFonts w:hint="eastAsia" w:ascii="仿宋" w:hAnsi="仿宋" w:eastAsia="仿宋" w:cs="仿宋"/>
          <w:b/>
          <w:bCs/>
          <w:kern w:val="2"/>
          <w:highlight w:val="none"/>
        </w:rPr>
        <w:t>8.</w:t>
      </w:r>
      <w:r>
        <w:rPr>
          <w:rFonts w:hint="eastAsia" w:ascii="仿宋" w:hAnsi="仿宋" w:eastAsia="仿宋" w:cs="仿宋"/>
          <w:b/>
          <w:bCs/>
          <w:kern w:val="2"/>
          <w:highlight w:val="none"/>
          <w:lang w:val="zh-CN"/>
        </w:rPr>
        <w:t>踏勘现场（本项目自行踏勘）</w:t>
      </w:r>
    </w:p>
    <w:p w14:paraId="4DF86EB3">
      <w:pPr>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8.1</w:t>
      </w:r>
      <w:r>
        <w:rPr>
          <w:rFonts w:hint="eastAsia" w:ascii="仿宋" w:hAnsi="仿宋" w:eastAsia="仿宋" w:cs="仿宋"/>
          <w:kern w:val="2"/>
          <w:highlight w:val="none"/>
        </w:rPr>
        <w:t xml:space="preserve"> </w:t>
      </w:r>
      <w:r>
        <w:rPr>
          <w:rFonts w:hint="eastAsia" w:ascii="仿宋" w:hAnsi="仿宋" w:eastAsia="仿宋" w:cs="仿宋"/>
          <w:kern w:val="2"/>
          <w:highlight w:val="none"/>
          <w:lang w:val="zh-CN"/>
        </w:rPr>
        <w:t>本项目是否统一组织供应商踏勘现场见招标文件“供应商须知前附表”中第</w:t>
      </w:r>
      <w:r>
        <w:rPr>
          <w:rFonts w:hint="eastAsia" w:ascii="仿宋" w:hAnsi="仿宋" w:eastAsia="仿宋" w:cs="仿宋"/>
          <w:kern w:val="2"/>
          <w:highlight w:val="none"/>
        </w:rPr>
        <w:t>19</w:t>
      </w:r>
      <w:r>
        <w:rPr>
          <w:rFonts w:hint="eastAsia" w:ascii="仿宋" w:hAnsi="仿宋" w:eastAsia="仿宋" w:cs="仿宋"/>
          <w:kern w:val="2"/>
          <w:highlight w:val="none"/>
          <w:lang w:val="zh-CN"/>
        </w:rPr>
        <w:t>项的规定。无论是否统一组织，供应商应对现场和周围环境进行勘察，以获取编制投标文件所需的资料。</w:t>
      </w:r>
    </w:p>
    <w:p w14:paraId="05A5E5B7">
      <w:pPr>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8.2</w:t>
      </w:r>
      <w:r>
        <w:rPr>
          <w:rFonts w:hint="eastAsia" w:ascii="仿宋" w:hAnsi="仿宋" w:eastAsia="仿宋" w:cs="仿宋"/>
          <w:kern w:val="2"/>
          <w:highlight w:val="none"/>
        </w:rPr>
        <w:t xml:space="preserve"> </w:t>
      </w:r>
      <w:r>
        <w:rPr>
          <w:rFonts w:hint="eastAsia" w:ascii="仿宋" w:hAnsi="仿宋" w:eastAsia="仿宋" w:cs="仿宋"/>
          <w:kern w:val="2"/>
          <w:highlight w:val="none"/>
          <w:lang w:val="zh-CN"/>
        </w:rPr>
        <w:t>踏勘现场所发生的费用由供应商自行承担。采购人向供应商提供的有关现场的资料和数据，是采购人现有的能使供应商利用的资料。采购人对供应商由此而做出的推论、理解和结论概不负责。供应商未到现场实地踏勘的，中标后签订合同时和履约过程中，不得以不完全了解现场情况为由，提出任何形式的增加合同价款或索赔的要求。</w:t>
      </w:r>
    </w:p>
    <w:p w14:paraId="09926B85">
      <w:pPr>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8.3</w:t>
      </w:r>
      <w:r>
        <w:rPr>
          <w:rFonts w:hint="eastAsia" w:ascii="仿宋" w:hAnsi="仿宋" w:eastAsia="仿宋" w:cs="仿宋"/>
          <w:kern w:val="2"/>
          <w:highlight w:val="none"/>
        </w:rPr>
        <w:t xml:space="preserve"> </w:t>
      </w:r>
      <w:r>
        <w:rPr>
          <w:rFonts w:hint="eastAsia" w:ascii="仿宋" w:hAnsi="仿宋" w:eastAsia="仿宋" w:cs="仿宋"/>
          <w:kern w:val="2"/>
          <w:highlight w:val="none"/>
          <w:lang w:val="zh-CN"/>
        </w:rPr>
        <w:t>除非有特殊要求，招标文件不单独提供使用地的自然环境、气候条件、公用设施等情况，供应商被视为熟悉上述与履行合同有关的一切情况。</w:t>
      </w:r>
    </w:p>
    <w:p w14:paraId="5826C73F">
      <w:pPr>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8.4除采购人原因外，供应商自行负责在踏勘现场中所发生的人员伤亡和财产损失。</w:t>
      </w:r>
    </w:p>
    <w:p w14:paraId="3A2411D7">
      <w:pPr>
        <w:spacing w:line="360" w:lineRule="auto"/>
        <w:ind w:firstLine="482" w:firstLineChars="200"/>
        <w:rPr>
          <w:rFonts w:hint="eastAsia" w:ascii="仿宋" w:hAnsi="仿宋" w:eastAsia="仿宋" w:cs="宋体"/>
          <w:bCs/>
          <w:sz w:val="24"/>
          <w:szCs w:val="24"/>
          <w:highlight w:val="none"/>
        </w:rPr>
      </w:pPr>
      <w:r>
        <w:rPr>
          <w:rFonts w:hint="eastAsia" w:ascii="仿宋" w:hAnsi="仿宋" w:eastAsia="仿宋" w:cs="宋体"/>
          <w:b/>
          <w:sz w:val="24"/>
          <w:szCs w:val="24"/>
          <w:highlight w:val="none"/>
        </w:rPr>
        <w:t>9.知识产权</w:t>
      </w:r>
    </w:p>
    <w:p w14:paraId="7A9F5D65">
      <w:pPr>
        <w:spacing w:line="360" w:lineRule="auto"/>
        <w:ind w:firstLine="480" w:firstLineChars="200"/>
        <w:rPr>
          <w:rFonts w:hint="eastAsia" w:ascii="仿宋" w:hAnsi="仿宋" w:eastAsia="仿宋" w:cs="宋体"/>
          <w:sz w:val="24"/>
          <w:szCs w:val="24"/>
          <w:highlight w:val="none"/>
        </w:rPr>
      </w:pPr>
      <w:r>
        <w:rPr>
          <w:rFonts w:hint="eastAsia" w:ascii="仿宋" w:hAnsi="仿宋" w:eastAsia="仿宋" w:cs="宋体"/>
          <w:sz w:val="24"/>
          <w:szCs w:val="24"/>
          <w:highlight w:val="none"/>
        </w:rPr>
        <w:t>9.1供应商须保证，采购人在中华人民共和国境内使用投标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w:t>
      </w:r>
    </w:p>
    <w:p w14:paraId="5F957161">
      <w:pPr>
        <w:spacing w:line="360" w:lineRule="auto"/>
        <w:ind w:firstLine="480" w:firstLineChars="200"/>
        <w:rPr>
          <w:rFonts w:hint="eastAsia"/>
          <w:highlight w:val="none"/>
          <w:lang w:val="zh-CN"/>
        </w:rPr>
      </w:pPr>
      <w:r>
        <w:rPr>
          <w:rFonts w:hint="eastAsia" w:ascii="仿宋" w:hAnsi="仿宋" w:eastAsia="仿宋" w:cs="宋体"/>
          <w:sz w:val="24"/>
          <w:szCs w:val="24"/>
          <w:highlight w:val="none"/>
        </w:rPr>
        <w:t>9.2供应商如欲在项目实施过程中采用自有知识成果，须在投标文件中声明，并提供相关知识产权证明文件。使用该知识成果后，供应商须提供开发接口和开发手册等技术文档。</w:t>
      </w:r>
    </w:p>
    <w:p w14:paraId="2AF7151C">
      <w:pPr>
        <w:tabs>
          <w:tab w:val="left" w:pos="645"/>
        </w:tabs>
        <w:snapToGrid w:val="0"/>
        <w:spacing w:line="360" w:lineRule="auto"/>
        <w:ind w:firstLine="482" w:firstLineChars="200"/>
        <w:jc w:val="both"/>
        <w:rPr>
          <w:rFonts w:hint="eastAsia" w:ascii="仿宋" w:hAnsi="仿宋" w:eastAsia="仿宋" w:cs="仿宋"/>
          <w:b/>
          <w:bCs/>
          <w:kern w:val="2"/>
          <w:highlight w:val="none"/>
        </w:rPr>
      </w:pPr>
      <w:r>
        <w:rPr>
          <w:rFonts w:hint="eastAsia" w:ascii="仿宋" w:hAnsi="仿宋" w:eastAsia="仿宋" w:cs="仿宋"/>
          <w:b/>
          <w:bCs/>
          <w:kern w:val="2"/>
          <w:highlight w:val="none"/>
          <w:lang w:val="en-US" w:eastAsia="zh-CN"/>
        </w:rPr>
        <w:t>10</w:t>
      </w:r>
      <w:r>
        <w:rPr>
          <w:rFonts w:hint="eastAsia" w:ascii="仿宋" w:hAnsi="仿宋" w:eastAsia="仿宋" w:cs="仿宋"/>
          <w:b/>
          <w:bCs/>
          <w:kern w:val="2"/>
          <w:highlight w:val="none"/>
        </w:rPr>
        <w:t>.招标</w:t>
      </w:r>
      <w:r>
        <w:rPr>
          <w:rFonts w:hint="eastAsia" w:ascii="仿宋" w:hAnsi="仿宋" w:eastAsia="仿宋" w:cs="仿宋"/>
          <w:b/>
          <w:bCs/>
          <w:kern w:val="2"/>
          <w:highlight w:val="none"/>
          <w:lang w:val="zh-CN"/>
        </w:rPr>
        <w:t>文件的澄清</w:t>
      </w:r>
    </w:p>
    <w:p w14:paraId="1B3C48D2">
      <w:pPr>
        <w:snapToGrid w:val="0"/>
        <w:spacing w:line="360" w:lineRule="auto"/>
        <w:ind w:firstLine="480" w:firstLineChars="200"/>
        <w:jc w:val="both"/>
        <w:rPr>
          <w:rFonts w:hint="eastAsia" w:ascii="仿宋" w:hAnsi="仿宋" w:eastAsia="仿宋" w:cs="仿宋"/>
          <w:bCs/>
          <w:kern w:val="2"/>
          <w:highlight w:val="none"/>
          <w:lang w:val="zh-CN"/>
        </w:rPr>
      </w:pPr>
      <w:r>
        <w:rPr>
          <w:rFonts w:hint="eastAsia" w:ascii="仿宋" w:hAnsi="仿宋" w:eastAsia="仿宋" w:cs="仿宋"/>
          <w:bCs/>
          <w:kern w:val="2"/>
          <w:highlight w:val="none"/>
        </w:rPr>
        <w:t>10</w:t>
      </w:r>
      <w:r>
        <w:rPr>
          <w:rFonts w:hint="eastAsia" w:ascii="仿宋" w:hAnsi="仿宋" w:eastAsia="仿宋" w:cs="仿宋"/>
          <w:bCs/>
          <w:kern w:val="2"/>
          <w:highlight w:val="none"/>
          <w:lang w:val="zh-CN"/>
        </w:rPr>
        <w:t>.1</w:t>
      </w:r>
      <w:r>
        <w:rPr>
          <w:rFonts w:hint="eastAsia" w:ascii="仿宋" w:hAnsi="仿宋" w:eastAsia="仿宋" w:cs="仿宋"/>
          <w:bCs/>
          <w:kern w:val="2"/>
          <w:highlight w:val="none"/>
        </w:rPr>
        <w:t xml:space="preserve"> </w:t>
      </w:r>
      <w:r>
        <w:rPr>
          <w:rFonts w:hint="eastAsia" w:ascii="仿宋" w:hAnsi="仿宋" w:eastAsia="仿宋" w:cs="仿宋"/>
          <w:bCs/>
          <w:kern w:val="2"/>
          <w:highlight w:val="none"/>
          <w:lang w:val="zh-CN"/>
        </w:rPr>
        <w:t>投标人如果对招标文件有疑问或要求进行澄清的，应按照招标文件第二</w:t>
      </w:r>
      <w:r>
        <w:rPr>
          <w:rFonts w:hint="eastAsia" w:ascii="仿宋" w:hAnsi="仿宋" w:eastAsia="仿宋" w:cs="仿宋"/>
          <w:bCs/>
          <w:kern w:val="2"/>
          <w:highlight w:val="none"/>
          <w:lang w:val="en-US" w:eastAsia="zh-CN"/>
        </w:rPr>
        <w:t>章</w:t>
      </w:r>
      <w:r>
        <w:rPr>
          <w:rFonts w:hint="eastAsia" w:ascii="仿宋" w:hAnsi="仿宋" w:eastAsia="仿宋" w:cs="仿宋"/>
          <w:bCs/>
          <w:kern w:val="2"/>
          <w:highlight w:val="none"/>
          <w:lang w:val="zh-CN"/>
        </w:rPr>
        <w:t>“投标人须知前附表”第</w:t>
      </w:r>
      <w:r>
        <w:rPr>
          <w:rFonts w:hint="eastAsia" w:ascii="仿宋" w:hAnsi="仿宋" w:eastAsia="仿宋" w:cs="仿宋"/>
          <w:bCs/>
          <w:kern w:val="2"/>
          <w:highlight w:val="none"/>
          <w:lang w:val="en-US" w:eastAsia="zh-CN"/>
        </w:rPr>
        <w:t>24</w:t>
      </w:r>
      <w:r>
        <w:rPr>
          <w:rFonts w:hint="eastAsia" w:ascii="仿宋" w:hAnsi="仿宋" w:eastAsia="仿宋" w:cs="仿宋"/>
          <w:bCs/>
          <w:kern w:val="2"/>
          <w:highlight w:val="none"/>
          <w:lang w:val="zh-CN"/>
        </w:rPr>
        <w:t>项规定向采购代理机构提出。提出后，请投标人及时通过</w:t>
      </w:r>
      <w:r>
        <w:rPr>
          <w:rFonts w:hint="eastAsia" w:ascii="仿宋" w:hAnsi="仿宋" w:eastAsia="仿宋" w:cs="仿宋"/>
          <w:bCs/>
          <w:kern w:val="2"/>
          <w:highlight w:val="none"/>
          <w:lang w:val="en-US" w:eastAsia="zh-CN"/>
        </w:rPr>
        <w:t>政采云</w:t>
      </w:r>
      <w:r>
        <w:rPr>
          <w:rFonts w:hint="eastAsia" w:ascii="仿宋" w:hAnsi="仿宋" w:eastAsia="仿宋" w:cs="仿宋"/>
          <w:bCs/>
          <w:kern w:val="2"/>
          <w:highlight w:val="none"/>
          <w:lang w:val="zh-CN"/>
        </w:rPr>
        <w:t>平台“答疑文件下载”栏目查看答疑文件或澄清文件。必要时，采购代理机构将组织相关专家召开答疑会，如召开，答疑会安排另行通知。</w:t>
      </w:r>
    </w:p>
    <w:p w14:paraId="590B72F6">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lang w:eastAsia="zh-CN"/>
        </w:rPr>
        <w:t>投标人</w:t>
      </w:r>
      <w:r>
        <w:rPr>
          <w:rFonts w:hint="eastAsia" w:ascii="仿宋" w:hAnsi="仿宋" w:eastAsia="仿宋" w:cs="宋体"/>
          <w:sz w:val="24"/>
          <w:highlight w:val="none"/>
        </w:rPr>
        <w:t>在规定的时间内未对招标文件提出疑问或要求澄清的，采购代理机构将视其为同意，对在“答疑接受时间”后就招标文件内容提出的疑问及澄清要求将不予受理。</w:t>
      </w:r>
    </w:p>
    <w:p w14:paraId="5A5A34A6">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10.2 无论出于何种原因，采购代理机构主动或出于解答</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疑问对已发出的招标文件进行必要澄清或修改的，应当在招标文件要求提交投标文件截止时间15日前，以当面交接、邮寄、传真或电子邮件、网站披露等其中至少一种方式，向潜在</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发出澄清、修改的补充文件。需要为此调整投标文件提交截止时间的，应当重新确定，并就变更后的投标截止时间重新发出通知。</w:t>
      </w:r>
    </w:p>
    <w:p w14:paraId="74196687">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特殊情况下，采购代理机构发布澄清、修改文件后，征得</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同意，可不改变投标截止时间和开标时间。</w:t>
      </w:r>
    </w:p>
    <w:p w14:paraId="16463B33">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10.3 采购代理机构一旦对招标文件作出了澄清、修改，即刻发生效力，采购代理机构有关的补充文件，将作为招标文件的组成部分，对所有现实的或潜在的</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均具有约束力，而无论是否已经实际收到上述文件。同时，采购代理机构和</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的权利及义务将受到新的截止期的约束。</w:t>
      </w:r>
    </w:p>
    <w:p w14:paraId="5D527181">
      <w:pPr>
        <w:pStyle w:val="61"/>
        <w:spacing w:line="360" w:lineRule="auto"/>
        <w:ind w:firstLine="480" w:firstLineChars="200"/>
        <w:rPr>
          <w:rFonts w:hint="eastAsia" w:ascii="仿宋" w:hAnsi="仿宋" w:eastAsia="仿宋" w:cs="宋体"/>
          <w:b/>
          <w:sz w:val="24"/>
          <w:highlight w:val="none"/>
        </w:rPr>
      </w:pPr>
      <w:r>
        <w:rPr>
          <w:rFonts w:hint="eastAsia" w:ascii="仿宋" w:hAnsi="仿宋" w:eastAsia="仿宋" w:cs="宋体"/>
          <w:sz w:val="24"/>
          <w:highlight w:val="none"/>
        </w:rPr>
        <w:t>10.4 采购代理机构对招标文件作出的澄清、修改在</w:t>
      </w:r>
      <w:r>
        <w:rPr>
          <w:rFonts w:hint="eastAsia" w:ascii="仿宋" w:hAnsi="仿宋" w:eastAsia="仿宋" w:cs="宋体"/>
          <w:sz w:val="24"/>
          <w:highlight w:val="none"/>
          <w:lang w:val="en-US" w:eastAsia="zh-CN"/>
        </w:rPr>
        <w:t>政采云平台</w:t>
      </w:r>
      <w:r>
        <w:rPr>
          <w:rFonts w:hint="eastAsia" w:ascii="仿宋" w:hAnsi="仿宋" w:eastAsia="仿宋" w:cs="宋体"/>
          <w:sz w:val="24"/>
          <w:highlight w:val="none"/>
        </w:rPr>
        <w:t>内进行披露，请</w:t>
      </w:r>
      <w:r>
        <w:rPr>
          <w:rFonts w:hint="eastAsia" w:ascii="仿宋" w:hAnsi="仿宋" w:eastAsia="仿宋" w:cs="宋体"/>
          <w:sz w:val="24"/>
          <w:highlight w:val="none"/>
          <w:lang w:val="en-US" w:eastAsia="zh-CN"/>
        </w:rPr>
        <w:t>供应商</w:t>
      </w:r>
      <w:r>
        <w:rPr>
          <w:rFonts w:hint="eastAsia" w:ascii="仿宋" w:hAnsi="仿宋" w:eastAsia="仿宋" w:cs="宋体"/>
          <w:sz w:val="24"/>
          <w:highlight w:val="none"/>
        </w:rPr>
        <w:t>及时关注并获取相关资料。因登记有误、线路故障或其它任何意外情形，导致</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未及时获取的，采购代理机构不因此承担任何责任，且有关的招标活动继续有效地进行。当招标文件的澄清、修改及进行其他答复等就同一内容的表述不一致时，以最后发布的内容为准。</w:t>
      </w:r>
    </w:p>
    <w:p w14:paraId="29E6E9C2">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10.5 澄清、修改文件发出后，</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必须使用最新的答疑、澄清文件制作电子投标文件，否则将无法完成上传。</w:t>
      </w:r>
    </w:p>
    <w:p w14:paraId="7C97949A">
      <w:pPr>
        <w:tabs>
          <w:tab w:val="left" w:pos="645"/>
        </w:tabs>
        <w:snapToGrid w:val="0"/>
        <w:spacing w:line="360" w:lineRule="auto"/>
        <w:ind w:firstLine="482" w:firstLineChars="200"/>
        <w:jc w:val="both"/>
        <w:rPr>
          <w:rFonts w:hint="eastAsia" w:ascii="仿宋" w:hAnsi="仿宋" w:eastAsia="仿宋" w:cs="仿宋"/>
          <w:b/>
          <w:bCs/>
          <w:kern w:val="2"/>
          <w:highlight w:val="none"/>
        </w:rPr>
      </w:pPr>
      <w:r>
        <w:rPr>
          <w:rFonts w:hint="eastAsia" w:ascii="仿宋" w:hAnsi="仿宋" w:eastAsia="仿宋" w:cs="仿宋"/>
          <w:b/>
          <w:bCs/>
          <w:kern w:val="2"/>
          <w:highlight w:val="none"/>
          <w:lang w:val="en-US" w:eastAsia="zh-CN"/>
        </w:rPr>
        <w:t>11</w:t>
      </w:r>
      <w:r>
        <w:rPr>
          <w:rFonts w:hint="eastAsia" w:ascii="仿宋" w:hAnsi="仿宋" w:eastAsia="仿宋" w:cs="仿宋"/>
          <w:b/>
          <w:bCs/>
          <w:kern w:val="2"/>
          <w:highlight w:val="none"/>
        </w:rPr>
        <w:t>.招标文件的修改或补充</w:t>
      </w:r>
    </w:p>
    <w:p w14:paraId="4D2AA1DC">
      <w:pPr>
        <w:snapToGrid w:val="0"/>
        <w:spacing w:line="360" w:lineRule="auto"/>
        <w:ind w:firstLine="480" w:firstLineChars="200"/>
        <w:jc w:val="both"/>
        <w:rPr>
          <w:rFonts w:hint="eastAsia" w:ascii="仿宋" w:hAnsi="仿宋" w:eastAsia="仿宋" w:cs="仿宋"/>
          <w:bCs/>
          <w:kern w:val="2"/>
          <w:highlight w:val="none"/>
          <w:lang w:val="zh-CN"/>
        </w:rPr>
      </w:pPr>
      <w:r>
        <w:rPr>
          <w:rFonts w:hint="eastAsia" w:ascii="仿宋" w:hAnsi="仿宋" w:eastAsia="仿宋" w:cs="仿宋"/>
          <w:bCs/>
          <w:kern w:val="2"/>
          <w:highlight w:val="none"/>
        </w:rPr>
        <w:t>1</w:t>
      </w:r>
      <w:r>
        <w:rPr>
          <w:rFonts w:hint="eastAsia" w:ascii="仿宋" w:hAnsi="仿宋" w:eastAsia="仿宋" w:cs="仿宋"/>
          <w:bCs/>
          <w:kern w:val="2"/>
          <w:highlight w:val="none"/>
          <w:lang w:val="en-US" w:eastAsia="zh-CN"/>
        </w:rPr>
        <w:t>1</w:t>
      </w:r>
      <w:r>
        <w:rPr>
          <w:rFonts w:hint="eastAsia" w:ascii="仿宋" w:hAnsi="仿宋" w:eastAsia="仿宋" w:cs="仿宋"/>
          <w:bCs/>
          <w:kern w:val="2"/>
          <w:highlight w:val="none"/>
          <w:lang w:val="zh-CN"/>
        </w:rPr>
        <w:t>.1</w:t>
      </w:r>
      <w:r>
        <w:rPr>
          <w:rFonts w:hint="eastAsia" w:ascii="仿宋" w:hAnsi="仿宋" w:eastAsia="仿宋" w:cs="仿宋"/>
          <w:bCs/>
          <w:kern w:val="2"/>
          <w:highlight w:val="none"/>
        </w:rPr>
        <w:t xml:space="preserve"> </w:t>
      </w:r>
      <w:r>
        <w:rPr>
          <w:rFonts w:hint="eastAsia" w:ascii="仿宋" w:hAnsi="仿宋" w:eastAsia="仿宋" w:cs="仿宋"/>
          <w:bCs/>
          <w:kern w:val="2"/>
          <w:highlight w:val="none"/>
          <w:lang w:val="zh-CN"/>
        </w:rPr>
        <w:t>在投标截止期</w:t>
      </w:r>
      <w:r>
        <w:rPr>
          <w:rFonts w:hint="eastAsia" w:ascii="仿宋" w:hAnsi="仿宋" w:eastAsia="仿宋" w:cs="仿宋"/>
          <w:bCs/>
          <w:kern w:val="2"/>
          <w:highlight w:val="none"/>
        </w:rPr>
        <w:t>十</w:t>
      </w:r>
      <w:r>
        <w:rPr>
          <w:rFonts w:hint="eastAsia" w:ascii="仿宋" w:hAnsi="仿宋" w:eastAsia="仿宋" w:cs="仿宋"/>
          <w:bCs/>
          <w:kern w:val="2"/>
          <w:highlight w:val="none"/>
          <w:lang w:val="zh-CN"/>
        </w:rPr>
        <w:t>五日前的任何时间，</w:t>
      </w:r>
      <w:r>
        <w:rPr>
          <w:rFonts w:hint="eastAsia" w:ascii="仿宋" w:hAnsi="仿宋" w:eastAsia="仿宋" w:cs="仿宋"/>
          <w:bCs/>
          <w:kern w:val="2"/>
          <w:highlight w:val="none"/>
        </w:rPr>
        <w:t>招标人</w:t>
      </w:r>
      <w:r>
        <w:rPr>
          <w:rFonts w:hint="eastAsia" w:ascii="仿宋" w:hAnsi="仿宋" w:eastAsia="仿宋" w:cs="仿宋"/>
          <w:bCs/>
          <w:kern w:val="2"/>
          <w:highlight w:val="none"/>
          <w:lang w:val="zh-CN"/>
        </w:rPr>
        <w:t>可主动或依据供应商要求澄清的问题而修改或补充招标文件，并以书面形式或网上公告通知所有供应商。</w:t>
      </w:r>
    </w:p>
    <w:p w14:paraId="2A44EF9E">
      <w:pPr>
        <w:snapToGrid w:val="0"/>
        <w:spacing w:line="360" w:lineRule="auto"/>
        <w:ind w:firstLine="480" w:firstLineChars="200"/>
        <w:jc w:val="both"/>
        <w:rPr>
          <w:rFonts w:hint="eastAsia" w:ascii="仿宋" w:hAnsi="仿宋" w:eastAsia="仿宋" w:cs="仿宋"/>
          <w:bCs/>
          <w:kern w:val="2"/>
          <w:highlight w:val="none"/>
          <w:lang w:val="zh-CN"/>
        </w:rPr>
      </w:pPr>
      <w:r>
        <w:rPr>
          <w:rFonts w:hint="eastAsia" w:ascii="仿宋" w:hAnsi="仿宋" w:eastAsia="仿宋" w:cs="仿宋"/>
          <w:bCs/>
          <w:kern w:val="2"/>
          <w:highlight w:val="none"/>
        </w:rPr>
        <w:t>1</w:t>
      </w:r>
      <w:r>
        <w:rPr>
          <w:rFonts w:hint="eastAsia" w:ascii="仿宋" w:hAnsi="仿宋" w:eastAsia="仿宋" w:cs="仿宋"/>
          <w:bCs/>
          <w:kern w:val="2"/>
          <w:highlight w:val="none"/>
          <w:lang w:val="en-US" w:eastAsia="zh-CN"/>
        </w:rPr>
        <w:t>1</w:t>
      </w:r>
      <w:r>
        <w:rPr>
          <w:rFonts w:hint="eastAsia" w:ascii="仿宋" w:hAnsi="仿宋" w:eastAsia="仿宋" w:cs="仿宋"/>
          <w:bCs/>
          <w:kern w:val="2"/>
          <w:highlight w:val="none"/>
          <w:lang w:val="zh-CN"/>
        </w:rPr>
        <w:t>.2</w:t>
      </w:r>
      <w:r>
        <w:rPr>
          <w:rFonts w:hint="eastAsia" w:ascii="仿宋" w:hAnsi="仿宋" w:eastAsia="仿宋" w:cs="仿宋"/>
          <w:bCs/>
          <w:kern w:val="2"/>
          <w:highlight w:val="none"/>
        </w:rPr>
        <w:t xml:space="preserve"> </w:t>
      </w:r>
      <w:r>
        <w:rPr>
          <w:rFonts w:hint="eastAsia" w:ascii="仿宋" w:hAnsi="仿宋" w:eastAsia="仿宋" w:cs="仿宋"/>
          <w:bCs/>
          <w:kern w:val="2"/>
          <w:highlight w:val="none"/>
          <w:lang w:val="zh-CN"/>
        </w:rPr>
        <w:t>为使供应商在准备投标时有适当的时间考虑投标文件的修改，</w:t>
      </w:r>
      <w:r>
        <w:rPr>
          <w:rFonts w:hint="eastAsia" w:ascii="仿宋" w:hAnsi="仿宋" w:eastAsia="仿宋" w:cs="仿宋"/>
          <w:bCs/>
          <w:kern w:val="2"/>
          <w:highlight w:val="none"/>
        </w:rPr>
        <w:t>招标人</w:t>
      </w:r>
      <w:r>
        <w:rPr>
          <w:rFonts w:hint="eastAsia" w:ascii="仿宋" w:hAnsi="仿宋" w:eastAsia="仿宋" w:cs="仿宋"/>
          <w:bCs/>
          <w:kern w:val="2"/>
          <w:highlight w:val="none"/>
          <w:lang w:val="zh-CN"/>
        </w:rPr>
        <w:t>有权决定推迟投标截止时间和开标时间，并将此变更通知所有的供应商。</w:t>
      </w:r>
    </w:p>
    <w:p w14:paraId="0461CB8D">
      <w:pPr>
        <w:snapToGrid w:val="0"/>
        <w:spacing w:line="360" w:lineRule="auto"/>
        <w:ind w:firstLine="480" w:firstLineChars="200"/>
        <w:jc w:val="both"/>
        <w:rPr>
          <w:rFonts w:hint="eastAsia" w:ascii="仿宋" w:hAnsi="仿宋" w:eastAsia="仿宋" w:cs="仿宋"/>
          <w:bCs/>
          <w:kern w:val="2"/>
          <w:highlight w:val="none"/>
          <w:lang w:val="zh-CN"/>
        </w:rPr>
      </w:pPr>
      <w:r>
        <w:rPr>
          <w:rFonts w:hint="eastAsia" w:ascii="仿宋" w:hAnsi="仿宋" w:eastAsia="仿宋" w:cs="仿宋"/>
          <w:bCs/>
          <w:kern w:val="2"/>
          <w:highlight w:val="none"/>
        </w:rPr>
        <w:t>1</w:t>
      </w:r>
      <w:r>
        <w:rPr>
          <w:rFonts w:hint="eastAsia" w:ascii="仿宋" w:hAnsi="仿宋" w:eastAsia="仿宋" w:cs="仿宋"/>
          <w:bCs/>
          <w:kern w:val="2"/>
          <w:highlight w:val="none"/>
          <w:lang w:val="en-US" w:eastAsia="zh-CN"/>
        </w:rPr>
        <w:t>1</w:t>
      </w:r>
      <w:r>
        <w:rPr>
          <w:rFonts w:hint="eastAsia" w:ascii="仿宋" w:hAnsi="仿宋" w:eastAsia="仿宋" w:cs="仿宋"/>
          <w:bCs/>
          <w:kern w:val="2"/>
          <w:highlight w:val="none"/>
          <w:lang w:val="zh-CN"/>
        </w:rPr>
        <w:t>.3</w:t>
      </w:r>
      <w:r>
        <w:rPr>
          <w:rFonts w:hint="eastAsia" w:ascii="仿宋" w:hAnsi="仿宋" w:eastAsia="仿宋" w:cs="仿宋"/>
          <w:bCs/>
          <w:kern w:val="2"/>
          <w:highlight w:val="none"/>
        </w:rPr>
        <w:t xml:space="preserve"> </w:t>
      </w:r>
      <w:r>
        <w:rPr>
          <w:rFonts w:hint="eastAsia" w:ascii="仿宋" w:hAnsi="仿宋" w:eastAsia="仿宋" w:cs="仿宋"/>
          <w:bCs/>
          <w:kern w:val="2"/>
          <w:highlight w:val="none"/>
          <w:lang w:val="zh-CN"/>
        </w:rPr>
        <w:t>招标文件的修改和补充文件将构成招标文件的一部分。</w:t>
      </w:r>
    </w:p>
    <w:p w14:paraId="31BD6E85">
      <w:pPr>
        <w:snapToGrid w:val="0"/>
        <w:spacing w:line="360" w:lineRule="auto"/>
        <w:jc w:val="center"/>
        <w:rPr>
          <w:rFonts w:hint="eastAsia" w:ascii="仿宋" w:hAnsi="仿宋" w:eastAsia="仿宋" w:cs="仿宋"/>
          <w:b/>
          <w:kern w:val="2"/>
          <w:sz w:val="28"/>
          <w:szCs w:val="32"/>
          <w:highlight w:val="none"/>
        </w:rPr>
      </w:pPr>
      <w:r>
        <w:rPr>
          <w:rFonts w:hint="eastAsia" w:ascii="仿宋" w:hAnsi="仿宋" w:eastAsia="仿宋" w:cs="仿宋"/>
          <w:b/>
          <w:kern w:val="2"/>
          <w:sz w:val="28"/>
          <w:szCs w:val="32"/>
          <w:highlight w:val="none"/>
          <w:lang w:val="zh-CN"/>
        </w:rPr>
        <w:t>三、</w:t>
      </w:r>
      <w:r>
        <w:rPr>
          <w:rFonts w:hint="eastAsia" w:ascii="仿宋" w:hAnsi="仿宋" w:eastAsia="仿宋" w:cs="仿宋"/>
          <w:b/>
          <w:kern w:val="2"/>
          <w:sz w:val="28"/>
          <w:szCs w:val="32"/>
          <w:highlight w:val="none"/>
        </w:rPr>
        <w:t>投标</w:t>
      </w:r>
      <w:r>
        <w:rPr>
          <w:rFonts w:hint="eastAsia" w:ascii="仿宋" w:hAnsi="仿宋" w:eastAsia="仿宋" w:cs="仿宋"/>
          <w:b/>
          <w:kern w:val="2"/>
          <w:sz w:val="28"/>
          <w:szCs w:val="32"/>
          <w:highlight w:val="none"/>
          <w:lang w:val="zh-CN"/>
        </w:rPr>
        <w:t>文件的编制</w:t>
      </w:r>
    </w:p>
    <w:p w14:paraId="0D76141C">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2</w:t>
      </w:r>
      <w:r>
        <w:rPr>
          <w:rFonts w:hint="eastAsia" w:ascii="仿宋" w:hAnsi="仿宋" w:eastAsia="仿宋" w:cs="仿宋"/>
          <w:b/>
          <w:highlight w:val="none"/>
        </w:rPr>
        <w:t>.投标文件的语言及计量单位</w:t>
      </w:r>
    </w:p>
    <w:p w14:paraId="51D1BC2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 xml:space="preserve">.1 </w:t>
      </w:r>
      <w:r>
        <w:rPr>
          <w:rFonts w:hint="eastAsia" w:ascii="仿宋" w:hAnsi="仿宋" w:eastAsia="仿宋" w:cs="仿宋"/>
          <w:highlight w:val="none"/>
          <w:lang w:eastAsia="zh-CN"/>
        </w:rPr>
        <w:t>供应商</w:t>
      </w:r>
      <w:r>
        <w:rPr>
          <w:rFonts w:hint="eastAsia" w:ascii="仿宋" w:hAnsi="仿宋" w:eastAsia="仿宋" w:cs="仿宋"/>
          <w:highlight w:val="none"/>
        </w:rPr>
        <w:t>提交的投标文件（包括技术文件和资料、图纸中的说明）以及</w:t>
      </w:r>
      <w:r>
        <w:rPr>
          <w:rFonts w:hint="eastAsia" w:ascii="仿宋" w:hAnsi="仿宋" w:eastAsia="仿宋" w:cs="仿宋"/>
          <w:highlight w:val="none"/>
          <w:lang w:eastAsia="zh-CN"/>
        </w:rPr>
        <w:t>供应商</w:t>
      </w:r>
      <w:r>
        <w:rPr>
          <w:rFonts w:hint="eastAsia" w:ascii="仿宋" w:hAnsi="仿宋" w:eastAsia="仿宋" w:cs="仿宋"/>
          <w:highlight w:val="none"/>
        </w:rPr>
        <w:t>与采购代理机构就有关投标的所有来往函电均应使用中文简体字。</w:t>
      </w:r>
    </w:p>
    <w:p w14:paraId="1BB0272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.2 原版为外文的证书类文件，以及由外国人作出的本人签名、外国公司的名称或外国印章等可以是外文，但应当提供中文翻译文件并加盖</w:t>
      </w:r>
      <w:r>
        <w:rPr>
          <w:rFonts w:hint="eastAsia" w:ascii="仿宋" w:hAnsi="仿宋" w:eastAsia="仿宋" w:cs="仿宋"/>
          <w:highlight w:val="none"/>
          <w:lang w:eastAsia="zh-CN"/>
        </w:rPr>
        <w:t>供应商</w:t>
      </w:r>
      <w:r>
        <w:rPr>
          <w:rFonts w:hint="eastAsia" w:ascii="仿宋" w:hAnsi="仿宋" w:eastAsia="仿宋" w:cs="仿宋"/>
          <w:highlight w:val="none"/>
        </w:rPr>
        <w:t>公章。必要时评标委员会可以要求</w:t>
      </w:r>
      <w:r>
        <w:rPr>
          <w:rFonts w:hint="eastAsia" w:ascii="仿宋" w:hAnsi="仿宋" w:eastAsia="仿宋" w:cs="仿宋"/>
          <w:highlight w:val="none"/>
          <w:lang w:eastAsia="zh-CN"/>
        </w:rPr>
        <w:t>供应商</w:t>
      </w:r>
      <w:r>
        <w:rPr>
          <w:rFonts w:hint="eastAsia" w:ascii="仿宋" w:hAnsi="仿宋" w:eastAsia="仿宋" w:cs="仿宋"/>
          <w:highlight w:val="none"/>
        </w:rPr>
        <w:t>提供附有公证书的中文翻译文件或者与原版文件签章相一致的中文翻译文件。原版为外文的证书类、证明类文件，与</w:t>
      </w:r>
      <w:r>
        <w:rPr>
          <w:rFonts w:hint="eastAsia" w:ascii="仿宋" w:hAnsi="仿宋" w:eastAsia="仿宋" w:cs="仿宋"/>
          <w:highlight w:val="none"/>
          <w:lang w:eastAsia="zh-CN"/>
        </w:rPr>
        <w:t>供应商</w:t>
      </w:r>
      <w:r>
        <w:rPr>
          <w:rFonts w:hint="eastAsia" w:ascii="仿宋" w:hAnsi="仿宋" w:eastAsia="仿宋" w:cs="仿宋"/>
          <w:highlight w:val="none"/>
        </w:rPr>
        <w:t>名称或其他实际情况不符的，</w:t>
      </w:r>
      <w:r>
        <w:rPr>
          <w:rFonts w:hint="eastAsia" w:ascii="仿宋" w:hAnsi="仿宋" w:eastAsia="仿宋" w:cs="仿宋"/>
          <w:highlight w:val="none"/>
          <w:lang w:eastAsia="zh-CN"/>
        </w:rPr>
        <w:t>供应商</w:t>
      </w:r>
      <w:r>
        <w:rPr>
          <w:rFonts w:hint="eastAsia" w:ascii="仿宋" w:hAnsi="仿宋" w:eastAsia="仿宋" w:cs="仿宋"/>
          <w:highlight w:val="none"/>
        </w:rPr>
        <w:t>应当提供相关证明文件。</w:t>
      </w:r>
    </w:p>
    <w:p w14:paraId="659F0C8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.3 除非招标文件另有规定，投标文件所使用的计量单位，应使用国家法定计量单位。</w:t>
      </w:r>
    </w:p>
    <w:p w14:paraId="0DC8723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.4 对违反上述规定情形的，评标委员会有权要求</w:t>
      </w:r>
      <w:r>
        <w:rPr>
          <w:rFonts w:hint="eastAsia" w:ascii="仿宋" w:hAnsi="仿宋" w:eastAsia="仿宋" w:cs="仿宋"/>
          <w:highlight w:val="none"/>
          <w:lang w:eastAsia="zh-CN"/>
        </w:rPr>
        <w:t>供应商</w:t>
      </w:r>
      <w:r>
        <w:rPr>
          <w:rFonts w:hint="eastAsia" w:ascii="仿宋" w:hAnsi="仿宋" w:eastAsia="仿宋" w:cs="仿宋"/>
          <w:highlight w:val="none"/>
        </w:rPr>
        <w:t>限期提供相应文件或决定对其投标予以拒绝。</w:t>
      </w:r>
    </w:p>
    <w:p w14:paraId="7D3361D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.5 电报、电话、传真形式的投标概不接受。</w:t>
      </w:r>
      <w:r>
        <w:rPr>
          <w:rFonts w:hint="eastAsia" w:ascii="仿宋" w:hAnsi="仿宋" w:eastAsia="仿宋" w:cs="仿宋"/>
          <w:highlight w:val="none"/>
          <w:lang w:eastAsia="zh-CN"/>
        </w:rPr>
        <w:t>供应商</w:t>
      </w:r>
      <w:r>
        <w:rPr>
          <w:rFonts w:hint="eastAsia" w:ascii="仿宋" w:hAnsi="仿宋" w:eastAsia="仿宋" w:cs="仿宋"/>
          <w:highlight w:val="none"/>
        </w:rPr>
        <w:t>的投标文件一律不予退还。</w:t>
      </w:r>
    </w:p>
    <w:p w14:paraId="3138E07F">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3</w:t>
      </w:r>
      <w:r>
        <w:rPr>
          <w:rFonts w:hint="eastAsia" w:ascii="仿宋" w:hAnsi="仿宋" w:eastAsia="仿宋" w:cs="仿宋"/>
          <w:b/>
          <w:highlight w:val="none"/>
        </w:rPr>
        <w:t>.投标文件组成及编制</w:t>
      </w:r>
    </w:p>
    <w:p w14:paraId="26600FA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3</w:t>
      </w:r>
      <w:r>
        <w:rPr>
          <w:rFonts w:hint="eastAsia" w:ascii="仿宋" w:hAnsi="仿宋" w:eastAsia="仿宋" w:cs="仿宋"/>
          <w:highlight w:val="none"/>
        </w:rPr>
        <w:t>.1投标文件组成（但不仅限于）如下：</w:t>
      </w:r>
    </w:p>
    <w:p w14:paraId="5BC75852">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.1.1封</w:t>
      </w:r>
      <w:r>
        <w:rPr>
          <w:rFonts w:hint="eastAsia" w:ascii="仿宋" w:hAnsi="仿宋" w:eastAsia="仿宋" w:cs="仿宋"/>
          <w:sz w:val="24"/>
          <w:highlight w:val="none"/>
          <w:lang w:val="en-US" w:eastAsia="zh-CN"/>
        </w:rPr>
        <w:t>面</w:t>
      </w:r>
      <w:r>
        <w:rPr>
          <w:rFonts w:hint="eastAsia" w:ascii="仿宋" w:hAnsi="仿宋" w:eastAsia="仿宋" w:cs="仿宋"/>
          <w:sz w:val="24"/>
          <w:highlight w:val="none"/>
        </w:rPr>
        <w:t>；</w:t>
      </w:r>
    </w:p>
    <w:p w14:paraId="4DB54B82">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.1.2目录；</w:t>
      </w:r>
    </w:p>
    <w:p w14:paraId="79A7DAC7">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.1.3投标函；</w:t>
      </w:r>
    </w:p>
    <w:p w14:paraId="7D2E2D5C">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.1.4法定代表人资格证明书及授权委托书；</w:t>
      </w:r>
    </w:p>
    <w:p w14:paraId="6097C22E">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.1.5资格证明文件；</w:t>
      </w:r>
    </w:p>
    <w:p w14:paraId="23C6C7DA">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.1.6开标一览表；</w:t>
      </w:r>
    </w:p>
    <w:p w14:paraId="0CD03F63">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.1.7投标报价明细表；</w:t>
      </w:r>
    </w:p>
    <w:p w14:paraId="341E818C">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.1.8近年（20</w:t>
      </w:r>
      <w:r>
        <w:rPr>
          <w:rFonts w:hint="eastAsia" w:ascii="仿宋" w:hAnsi="仿宋" w:eastAsia="仿宋" w:cs="仿宋"/>
          <w:sz w:val="24"/>
          <w:highlight w:val="none"/>
          <w:lang w:val="en-US" w:eastAsia="zh-CN"/>
        </w:rPr>
        <w:t>23</w:t>
      </w:r>
      <w:r>
        <w:rPr>
          <w:rFonts w:hint="eastAsia" w:ascii="仿宋" w:hAnsi="仿宋" w:eastAsia="仿宋" w:cs="仿宋"/>
          <w:sz w:val="24"/>
          <w:highlight w:val="none"/>
        </w:rPr>
        <w:t>年1月1日至今）类似项目业绩；</w:t>
      </w:r>
    </w:p>
    <w:p w14:paraId="378D31FF">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.1.9</w:t>
      </w:r>
      <w:r>
        <w:rPr>
          <w:rFonts w:hint="eastAsia" w:ascii="仿宋" w:hAnsi="仿宋" w:eastAsia="仿宋" w:cs="仿宋"/>
          <w:sz w:val="24"/>
          <w:highlight w:val="none"/>
          <w:lang w:val="zh-CN"/>
        </w:rPr>
        <w:t>拟配备人员一览表</w:t>
      </w:r>
    </w:p>
    <w:p w14:paraId="4A64B5AA">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.1.10</w:t>
      </w:r>
      <w:r>
        <w:rPr>
          <w:rFonts w:hint="eastAsia" w:ascii="仿宋" w:hAnsi="仿宋" w:eastAsia="仿宋" w:cs="仿宋"/>
          <w:sz w:val="24"/>
          <w:highlight w:val="none"/>
          <w:lang w:val="zh-CN"/>
        </w:rPr>
        <w:t>商务条款偏离说明表</w:t>
      </w:r>
    </w:p>
    <w:p w14:paraId="32993247">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.1.11技术文件</w:t>
      </w:r>
    </w:p>
    <w:p w14:paraId="1E0CE063">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.1.12技术条款偏离表</w:t>
      </w:r>
    </w:p>
    <w:p w14:paraId="2E3E895C">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.1.13 其他材料</w:t>
      </w:r>
    </w:p>
    <w:p w14:paraId="6FA699CD">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.2招标文件中提供格式的，投标文件须按照格式编制；表格样式不够或多余的，</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根据实际情况可按照格式要求自行增加或减少。招标文件中未提供格式的，</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可根据实际情况自行提供。</w:t>
      </w:r>
    </w:p>
    <w:p w14:paraId="1BBA2C8C">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4</w:t>
      </w:r>
      <w:r>
        <w:rPr>
          <w:rFonts w:hint="eastAsia" w:ascii="仿宋" w:hAnsi="仿宋" w:eastAsia="仿宋" w:cs="仿宋"/>
          <w:b/>
          <w:highlight w:val="none"/>
        </w:rPr>
        <w:t>.投标报价</w:t>
      </w:r>
    </w:p>
    <w:p w14:paraId="31984EA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4</w:t>
      </w:r>
      <w:r>
        <w:rPr>
          <w:rFonts w:hint="eastAsia" w:ascii="仿宋" w:hAnsi="仿宋" w:eastAsia="仿宋" w:cs="仿宋"/>
          <w:highlight w:val="none"/>
        </w:rPr>
        <w:t>.1 所有投标报价均以人民币元为计算单位。只要</w:t>
      </w:r>
      <w:r>
        <w:rPr>
          <w:rFonts w:hint="eastAsia" w:ascii="仿宋" w:hAnsi="仿宋" w:eastAsia="仿宋" w:cs="仿宋"/>
          <w:highlight w:val="none"/>
          <w:lang w:eastAsia="zh-CN"/>
        </w:rPr>
        <w:t>供应商</w:t>
      </w:r>
      <w:r>
        <w:rPr>
          <w:rFonts w:hint="eastAsia" w:ascii="仿宋" w:hAnsi="仿宋" w:eastAsia="仿宋" w:cs="仿宋"/>
          <w:highlight w:val="none"/>
        </w:rPr>
        <w:t>报了一个确定数额的总价，无论分项价格是否全部填报了相应的金额或免费字样，报价应被视为已经</w:t>
      </w:r>
      <w:r>
        <w:rPr>
          <w:rFonts w:hint="eastAsia" w:ascii="仿宋" w:hAnsi="仿宋" w:eastAsia="仿宋" w:cs="仿宋"/>
          <w:highlight w:val="none"/>
          <w:lang w:val="en-US" w:eastAsia="zh-CN"/>
        </w:rPr>
        <w:t>包含但不限于书籍购置费用、包装费、运输费、装卸费、税费、售后服务费等一切相关费用，采购单位不再额外支付任何其他费用</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在其他情</w:t>
      </w:r>
      <w:r>
        <w:rPr>
          <w:rFonts w:hint="eastAsia" w:ascii="仿宋" w:hAnsi="仿宋" w:eastAsia="仿宋" w:cs="仿宋"/>
          <w:highlight w:val="none"/>
        </w:rPr>
        <w:t>况下，由于分项报价填报不完整、不清楚或存在其他任何失误，所导致的任何不利后果均应当由</w:t>
      </w:r>
      <w:r>
        <w:rPr>
          <w:rFonts w:hint="eastAsia" w:ascii="仿宋" w:hAnsi="仿宋" w:eastAsia="仿宋" w:cs="仿宋"/>
          <w:highlight w:val="none"/>
          <w:lang w:eastAsia="zh-CN"/>
        </w:rPr>
        <w:t>供应商</w:t>
      </w:r>
      <w:r>
        <w:rPr>
          <w:rFonts w:hint="eastAsia" w:ascii="仿宋" w:hAnsi="仿宋" w:eastAsia="仿宋" w:cs="仿宋"/>
          <w:highlight w:val="none"/>
        </w:rPr>
        <w:t>自行承担。</w:t>
      </w:r>
    </w:p>
    <w:p w14:paraId="6A88055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4</w:t>
      </w:r>
      <w:r>
        <w:rPr>
          <w:rFonts w:hint="eastAsia" w:ascii="仿宋" w:hAnsi="仿宋" w:eastAsia="仿宋" w:cs="仿宋"/>
          <w:highlight w:val="none"/>
        </w:rPr>
        <w:t xml:space="preserve">.2 </w:t>
      </w:r>
      <w:r>
        <w:rPr>
          <w:rFonts w:hint="eastAsia" w:ascii="仿宋" w:hAnsi="仿宋" w:eastAsia="仿宋" w:cs="仿宋"/>
          <w:highlight w:val="none"/>
          <w:lang w:eastAsia="zh-CN"/>
        </w:rPr>
        <w:t>供应商</w:t>
      </w:r>
      <w:r>
        <w:rPr>
          <w:rFonts w:hint="eastAsia" w:ascii="仿宋" w:hAnsi="仿宋" w:eastAsia="仿宋" w:cs="仿宋"/>
          <w:highlight w:val="none"/>
        </w:rPr>
        <w:t>投报多包的，须对每包分别制作投标文件并报价。</w:t>
      </w:r>
    </w:p>
    <w:p w14:paraId="33486132">
      <w:pPr>
        <w:spacing w:line="360" w:lineRule="auto"/>
        <w:ind w:firstLine="482" w:firstLineChars="200"/>
        <w:rPr>
          <w:rFonts w:hint="eastAsia"/>
          <w:b/>
          <w:bCs/>
          <w:highlight w:val="none"/>
        </w:rPr>
      </w:pPr>
      <w:r>
        <w:rPr>
          <w:rFonts w:hint="eastAsia" w:ascii="仿宋" w:hAnsi="仿宋" w:eastAsia="仿宋" w:cs="仿宋"/>
          <w:b/>
          <w:bCs/>
          <w:highlight w:val="none"/>
        </w:rPr>
        <w:t>1</w:t>
      </w:r>
      <w:r>
        <w:rPr>
          <w:rFonts w:hint="eastAsia" w:ascii="仿宋" w:hAnsi="仿宋" w:eastAsia="仿宋" w:cs="仿宋"/>
          <w:b/>
          <w:bCs/>
          <w:highlight w:val="none"/>
          <w:lang w:val="en-US" w:eastAsia="zh-CN"/>
        </w:rPr>
        <w:t>4</w:t>
      </w:r>
      <w:r>
        <w:rPr>
          <w:rFonts w:hint="eastAsia" w:ascii="仿宋" w:hAnsi="仿宋" w:eastAsia="仿宋" w:cs="仿宋"/>
          <w:b/>
          <w:bCs/>
          <w:highlight w:val="none"/>
        </w:rPr>
        <w:t xml:space="preserve">.3 </w:t>
      </w:r>
      <w:r>
        <w:rPr>
          <w:rFonts w:hint="eastAsia" w:ascii="仿宋" w:hAnsi="仿宋" w:eastAsia="仿宋" w:cs="宋体"/>
          <w:b/>
          <w:bCs/>
          <w:sz w:val="24"/>
          <w:szCs w:val="24"/>
          <w:highlight w:val="none"/>
        </w:rPr>
        <w:t>除非招标文件另有规定，不接受可选择或可调整的投标方案和报价，任何有选择的或可调整的投标方案和报价将被视为非响应性投标而被拒绝。</w:t>
      </w:r>
    </w:p>
    <w:p w14:paraId="07C3DEE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4</w:t>
      </w:r>
      <w:r>
        <w:rPr>
          <w:rFonts w:hint="eastAsia" w:ascii="仿宋" w:hAnsi="仿宋" w:eastAsia="仿宋" w:cs="仿宋"/>
          <w:highlight w:val="none"/>
        </w:rPr>
        <w:t>.</w:t>
      </w:r>
      <w:r>
        <w:rPr>
          <w:rFonts w:hint="eastAsia" w:ascii="仿宋" w:hAnsi="仿宋" w:eastAsia="仿宋" w:cs="仿宋"/>
          <w:highlight w:val="none"/>
          <w:lang w:val="en-US" w:eastAsia="zh-CN"/>
        </w:rPr>
        <w:t>5</w:t>
      </w:r>
      <w:r>
        <w:rPr>
          <w:rFonts w:hint="eastAsia" w:ascii="仿宋" w:hAnsi="仿宋" w:eastAsia="仿宋" w:cs="仿宋"/>
          <w:highlight w:val="none"/>
        </w:rPr>
        <w:t xml:space="preserve"> </w:t>
      </w:r>
      <w:r>
        <w:rPr>
          <w:rFonts w:hint="eastAsia" w:ascii="仿宋" w:hAnsi="仿宋" w:eastAsia="仿宋" w:cs="仿宋"/>
          <w:highlight w:val="none"/>
          <w:lang w:eastAsia="zh-CN"/>
        </w:rPr>
        <w:t>供应商</w:t>
      </w:r>
      <w:r>
        <w:rPr>
          <w:rFonts w:hint="eastAsia" w:ascii="仿宋" w:hAnsi="仿宋" w:eastAsia="仿宋" w:cs="仿宋"/>
          <w:highlight w:val="none"/>
        </w:rPr>
        <w:t>对投标报价若有说明应在投标文件中显著处注明。</w:t>
      </w:r>
    </w:p>
    <w:p w14:paraId="0B594D6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4.6</w:t>
      </w:r>
      <w:r>
        <w:rPr>
          <w:rFonts w:hint="eastAsia" w:ascii="仿宋" w:hAnsi="仿宋" w:eastAsia="仿宋" w:cs="仿宋"/>
          <w:highlight w:val="none"/>
        </w:rPr>
        <w:t xml:space="preserve"> 除政策性文件规定以外，</w:t>
      </w:r>
      <w:r>
        <w:rPr>
          <w:rFonts w:hint="eastAsia" w:ascii="仿宋" w:hAnsi="仿宋" w:eastAsia="仿宋" w:cs="仿宋"/>
          <w:highlight w:val="none"/>
          <w:lang w:eastAsia="zh-CN"/>
        </w:rPr>
        <w:t>供应商</w:t>
      </w:r>
      <w:r>
        <w:rPr>
          <w:rFonts w:hint="eastAsia" w:ascii="仿宋" w:hAnsi="仿宋" w:eastAsia="仿宋" w:cs="仿宋"/>
          <w:highlight w:val="none"/>
        </w:rPr>
        <w:t>所报价格在合同实施期间不因市场变化因素而变动。</w:t>
      </w:r>
    </w:p>
    <w:p w14:paraId="2260C286">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1</w:t>
      </w:r>
      <w:r>
        <w:rPr>
          <w:rFonts w:hint="eastAsia" w:ascii="仿宋" w:hAnsi="仿宋" w:eastAsia="仿宋" w:cs="仿宋"/>
          <w:b/>
          <w:bCs/>
          <w:highlight w:val="none"/>
          <w:lang w:val="en-US" w:eastAsia="zh-CN"/>
        </w:rPr>
        <w:t>4</w:t>
      </w:r>
      <w:r>
        <w:rPr>
          <w:rFonts w:hint="eastAsia" w:ascii="仿宋" w:hAnsi="仿宋" w:eastAsia="仿宋" w:cs="仿宋"/>
          <w:b/>
          <w:bCs/>
          <w:highlight w:val="none"/>
        </w:rPr>
        <w:t>.</w:t>
      </w:r>
      <w:r>
        <w:rPr>
          <w:rFonts w:hint="eastAsia" w:ascii="仿宋" w:hAnsi="仿宋" w:eastAsia="仿宋" w:cs="仿宋"/>
          <w:b/>
          <w:bCs/>
          <w:highlight w:val="none"/>
          <w:lang w:val="en-US" w:eastAsia="zh-CN"/>
        </w:rPr>
        <w:t>7</w:t>
      </w:r>
      <w:r>
        <w:rPr>
          <w:rFonts w:hint="eastAsia" w:ascii="仿宋" w:hAnsi="仿宋" w:eastAsia="仿宋" w:cs="仿宋"/>
          <w:b/>
          <w:bCs/>
          <w:highlight w:val="none"/>
        </w:rPr>
        <w:t>最低报价不能作为中标的唯一依据。</w:t>
      </w:r>
    </w:p>
    <w:p w14:paraId="1EADAF0B">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5</w:t>
      </w:r>
      <w:r>
        <w:rPr>
          <w:rFonts w:hint="eastAsia" w:ascii="仿宋" w:hAnsi="仿宋" w:eastAsia="仿宋" w:cs="仿宋"/>
          <w:b/>
          <w:highlight w:val="none"/>
        </w:rPr>
        <w:t>.投标有效期</w:t>
      </w:r>
    </w:p>
    <w:p w14:paraId="5E9D75F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5</w:t>
      </w:r>
      <w:r>
        <w:rPr>
          <w:rFonts w:hint="eastAsia" w:ascii="仿宋" w:hAnsi="仿宋" w:eastAsia="仿宋" w:cs="仿宋"/>
          <w:highlight w:val="none"/>
        </w:rPr>
        <w:t>.1 本项目的投标有效期按照招标文件“</w:t>
      </w:r>
      <w:r>
        <w:rPr>
          <w:rFonts w:hint="eastAsia" w:ascii="仿宋" w:hAnsi="仿宋" w:eastAsia="仿宋" w:cs="仿宋"/>
          <w:highlight w:val="none"/>
          <w:lang w:eastAsia="zh-CN"/>
        </w:rPr>
        <w:t>供应商</w:t>
      </w:r>
      <w:r>
        <w:rPr>
          <w:rFonts w:hint="eastAsia" w:ascii="仿宋" w:hAnsi="仿宋" w:eastAsia="仿宋" w:cs="仿宋"/>
          <w:highlight w:val="none"/>
        </w:rPr>
        <w:t>须知前附表中”中第16项的规定。投标有效期自投标截止之日起计算，短于规定期限的投标将按无效投标处理。</w:t>
      </w:r>
    </w:p>
    <w:p w14:paraId="5A36852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5</w:t>
      </w:r>
      <w:r>
        <w:rPr>
          <w:rFonts w:hint="eastAsia" w:ascii="仿宋" w:hAnsi="仿宋" w:eastAsia="仿宋" w:cs="仿宋"/>
          <w:highlight w:val="none"/>
        </w:rPr>
        <w:t>.2 在特殊情况下，采购代理机构可与</w:t>
      </w:r>
      <w:r>
        <w:rPr>
          <w:rFonts w:hint="eastAsia" w:ascii="仿宋" w:hAnsi="仿宋" w:eastAsia="仿宋" w:cs="仿宋"/>
          <w:highlight w:val="none"/>
          <w:lang w:eastAsia="zh-CN"/>
        </w:rPr>
        <w:t>供应商</w:t>
      </w:r>
      <w:r>
        <w:rPr>
          <w:rFonts w:hint="eastAsia" w:ascii="仿宋" w:hAnsi="仿宋" w:eastAsia="仿宋" w:cs="仿宋"/>
          <w:highlight w:val="none"/>
        </w:rPr>
        <w:t>协商延长投标有效期。这种要求和答复都应以书面形式进行。此时，规定的投标保证金的有效期也相应延长。</w:t>
      </w:r>
      <w:r>
        <w:rPr>
          <w:rFonts w:hint="eastAsia" w:ascii="仿宋" w:hAnsi="仿宋" w:eastAsia="仿宋" w:cs="仿宋"/>
          <w:highlight w:val="none"/>
          <w:lang w:eastAsia="zh-CN"/>
        </w:rPr>
        <w:t>供应商</w:t>
      </w:r>
      <w:r>
        <w:rPr>
          <w:rFonts w:hint="eastAsia" w:ascii="仿宋" w:hAnsi="仿宋" w:eastAsia="仿宋" w:cs="仿宋"/>
          <w:highlight w:val="none"/>
        </w:rPr>
        <w:t>可以拒绝接受延期要求而不会被没收保证金。同意延长有效期的</w:t>
      </w:r>
      <w:r>
        <w:rPr>
          <w:rFonts w:hint="eastAsia" w:ascii="仿宋" w:hAnsi="仿宋" w:eastAsia="仿宋" w:cs="仿宋"/>
          <w:highlight w:val="none"/>
          <w:lang w:eastAsia="zh-CN"/>
        </w:rPr>
        <w:t>供应商</w:t>
      </w:r>
      <w:r>
        <w:rPr>
          <w:rFonts w:hint="eastAsia" w:ascii="仿宋" w:hAnsi="仿宋" w:eastAsia="仿宋" w:cs="仿宋"/>
          <w:highlight w:val="none"/>
        </w:rPr>
        <w:t>除按照采购代理机构要求修改投标有效期外，不能修改投标文件的其他内容。</w:t>
      </w:r>
    </w:p>
    <w:p w14:paraId="34DF3675">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6</w:t>
      </w:r>
      <w:r>
        <w:rPr>
          <w:rFonts w:hint="eastAsia" w:ascii="仿宋" w:hAnsi="仿宋" w:eastAsia="仿宋" w:cs="仿宋"/>
          <w:b/>
          <w:highlight w:val="none"/>
        </w:rPr>
        <w:t>.投标内容填写说明</w:t>
      </w:r>
    </w:p>
    <w:p w14:paraId="1F0D24C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 xml:space="preserve">.1 </w:t>
      </w:r>
      <w:r>
        <w:rPr>
          <w:rFonts w:hint="eastAsia" w:ascii="仿宋" w:hAnsi="仿宋" w:eastAsia="仿宋" w:cs="仿宋"/>
          <w:highlight w:val="none"/>
          <w:lang w:eastAsia="zh-CN"/>
        </w:rPr>
        <w:t>供应商</w:t>
      </w:r>
      <w:r>
        <w:rPr>
          <w:rFonts w:hint="eastAsia" w:ascii="仿宋" w:hAnsi="仿宋" w:eastAsia="仿宋" w:cs="仿宋"/>
          <w:highlight w:val="none"/>
        </w:rPr>
        <w:t>应详细阅读招标文件的全部内容。投标文件须对招标文件中的内容作出实质性和完整的响应，如果投标文件填报的内容不详，或没有提供招标文件中所要求的全部资料及数据，将可能导致投标被拒绝。</w:t>
      </w:r>
    </w:p>
    <w:p w14:paraId="2678DE5A">
      <w:pPr>
        <w:snapToGrid w:val="0"/>
        <w:spacing w:line="360" w:lineRule="auto"/>
        <w:ind w:firstLine="480" w:firstLineChars="200"/>
        <w:rPr>
          <w:rFonts w:hint="eastAsia" w:ascii="仿宋" w:hAnsi="仿宋" w:eastAsia="仿宋" w:cs="仿宋"/>
          <w:b/>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.2 投标文件须严格按照招标文件规定的格式提交，并按规定的统一格式逐项填写，不准有空项；无相应内容可填的项，应填写“无”、“未测试”、“没有相应指标”等明确的回答文字。由于编排混乱导致投标文件被误读或查找不到，其责任由</w:t>
      </w:r>
      <w:r>
        <w:rPr>
          <w:rFonts w:hint="eastAsia" w:ascii="仿宋" w:hAnsi="仿宋" w:eastAsia="仿宋" w:cs="仿宋"/>
          <w:highlight w:val="none"/>
          <w:lang w:eastAsia="zh-CN"/>
        </w:rPr>
        <w:t>供应商</w:t>
      </w:r>
      <w:r>
        <w:rPr>
          <w:rFonts w:hint="eastAsia" w:ascii="仿宋" w:hAnsi="仿宋" w:eastAsia="仿宋" w:cs="仿宋"/>
          <w:highlight w:val="none"/>
        </w:rPr>
        <w:t>承担。投标文件未按规定提交，将被视为不完整响应的投标文件，其投标有可能被拒绝</w:t>
      </w:r>
      <w:r>
        <w:rPr>
          <w:rFonts w:hint="eastAsia" w:ascii="仿宋" w:hAnsi="仿宋" w:eastAsia="仿宋" w:cs="仿宋"/>
          <w:b/>
          <w:highlight w:val="none"/>
        </w:rPr>
        <w:t>。</w:t>
      </w:r>
    </w:p>
    <w:p w14:paraId="5E94E9C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.3 开标一览表为在开标会上唱标的内容，要求按投标文件格式统一填写，不得自行增减内容。</w:t>
      </w:r>
    </w:p>
    <w:p w14:paraId="37E763B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 xml:space="preserve">.4 </w:t>
      </w:r>
      <w:r>
        <w:rPr>
          <w:rFonts w:hint="eastAsia" w:ascii="仿宋" w:hAnsi="仿宋" w:eastAsia="仿宋" w:cs="仿宋"/>
          <w:highlight w:val="none"/>
          <w:lang w:eastAsia="zh-CN"/>
        </w:rPr>
        <w:t>供应商</w:t>
      </w:r>
      <w:r>
        <w:rPr>
          <w:rFonts w:hint="eastAsia" w:ascii="仿宋" w:hAnsi="仿宋" w:eastAsia="仿宋" w:cs="仿宋"/>
          <w:highlight w:val="none"/>
        </w:rPr>
        <w:t>须注意：为合理节约政府采购评审成本，提倡诚实信用的投标行为，特别要求</w:t>
      </w:r>
      <w:r>
        <w:rPr>
          <w:rFonts w:hint="eastAsia" w:ascii="仿宋" w:hAnsi="仿宋" w:eastAsia="仿宋" w:cs="仿宋"/>
          <w:highlight w:val="none"/>
          <w:lang w:eastAsia="zh-CN"/>
        </w:rPr>
        <w:t>供应商</w:t>
      </w:r>
      <w:r>
        <w:rPr>
          <w:rFonts w:hint="eastAsia" w:ascii="仿宋" w:hAnsi="仿宋" w:eastAsia="仿宋" w:cs="仿宋"/>
          <w:highlight w:val="none"/>
        </w:rPr>
        <w:t>应本着诚信精神，在本次投标文件的偏离表中，均以审慎的态度明确、清楚地披露各项偏离。若</w:t>
      </w:r>
      <w:r>
        <w:rPr>
          <w:rFonts w:hint="eastAsia" w:ascii="仿宋" w:hAnsi="仿宋" w:eastAsia="仿宋" w:cs="仿宋"/>
          <w:highlight w:val="none"/>
          <w:lang w:eastAsia="zh-CN"/>
        </w:rPr>
        <w:t>供应商</w:t>
      </w:r>
      <w:r>
        <w:rPr>
          <w:rFonts w:hint="eastAsia" w:ascii="仿宋" w:hAnsi="仿宋" w:eastAsia="仿宋" w:cs="仿宋"/>
          <w:highlight w:val="none"/>
        </w:rPr>
        <w:t>对某一事项是否存在或是否属于偏离不能确定，亦必须在偏离表中清楚地表明该偏离事项，并可以注明不能确定的字样。任何情况下，对于</w:t>
      </w:r>
      <w:r>
        <w:rPr>
          <w:rFonts w:hint="eastAsia" w:ascii="仿宋" w:hAnsi="仿宋" w:eastAsia="仿宋" w:cs="仿宋"/>
          <w:highlight w:val="none"/>
          <w:lang w:eastAsia="zh-CN"/>
        </w:rPr>
        <w:t>供应商</w:t>
      </w:r>
      <w:r>
        <w:rPr>
          <w:rFonts w:hint="eastAsia" w:ascii="仿宋" w:hAnsi="仿宋" w:eastAsia="仿宋" w:cs="仿宋"/>
          <w:highlight w:val="none"/>
        </w:rPr>
        <w:t>没有在偏离表中明确、清楚地披露的事项，包括可能属于被</w:t>
      </w:r>
      <w:r>
        <w:rPr>
          <w:rFonts w:hint="eastAsia" w:ascii="仿宋" w:hAnsi="仿宋" w:eastAsia="仿宋" w:cs="仿宋"/>
          <w:highlight w:val="none"/>
          <w:lang w:eastAsia="zh-CN"/>
        </w:rPr>
        <w:t>供应商</w:t>
      </w:r>
      <w:r>
        <w:rPr>
          <w:rFonts w:hint="eastAsia" w:ascii="仿宋" w:hAnsi="仿宋" w:eastAsia="仿宋" w:cs="仿宋"/>
          <w:highlight w:val="none"/>
        </w:rPr>
        <w:t>在偏离表中遗漏披露的事项，一旦在评审中被发现存在偏离或被认定为属于偏离，则评标委员会有权视具体情形评审时予以处理，乃至对该投标予以拒绝。</w:t>
      </w:r>
    </w:p>
    <w:p w14:paraId="21BAD4B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 xml:space="preserve">.5 </w:t>
      </w:r>
      <w:r>
        <w:rPr>
          <w:rFonts w:hint="eastAsia" w:ascii="仿宋" w:hAnsi="仿宋" w:eastAsia="仿宋" w:cs="仿宋"/>
          <w:highlight w:val="none"/>
          <w:lang w:eastAsia="zh-CN"/>
        </w:rPr>
        <w:t>供应商</w:t>
      </w:r>
      <w:r>
        <w:rPr>
          <w:rFonts w:hint="eastAsia" w:ascii="仿宋" w:hAnsi="仿宋" w:eastAsia="仿宋" w:cs="仿宋"/>
          <w:highlight w:val="none"/>
        </w:rPr>
        <w:t>必须保证投标文件所提供的全部资料真实可靠，并接受采购代理机构或评标委员会对其中任何资料进一步审查的要求。</w:t>
      </w:r>
    </w:p>
    <w:p w14:paraId="1261759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 xml:space="preserve">.6 </w:t>
      </w:r>
      <w:r>
        <w:rPr>
          <w:rFonts w:hint="eastAsia" w:ascii="仿宋" w:hAnsi="仿宋" w:eastAsia="仿宋" w:cs="仿宋"/>
          <w:highlight w:val="none"/>
          <w:lang w:eastAsia="zh-CN"/>
        </w:rPr>
        <w:t>供应商</w:t>
      </w:r>
      <w:r>
        <w:rPr>
          <w:rFonts w:hint="eastAsia" w:ascii="仿宋" w:hAnsi="仿宋" w:eastAsia="仿宋" w:cs="仿宋"/>
          <w:highlight w:val="none"/>
        </w:rPr>
        <w:t>在投标文件及相关文件的签订、履行、通知等事项的文件中的单位盖章、印章、公章等处均指与当事人全称相一致的签章或标准公章，不得使用其他形式（如带有“专用章”等字样的印章）。不符合本条规定的按无效投标处理。</w:t>
      </w:r>
    </w:p>
    <w:p w14:paraId="046E06B0">
      <w:pPr>
        <w:snapToGrid w:val="0"/>
        <w:spacing w:line="360" w:lineRule="auto"/>
        <w:jc w:val="center"/>
        <w:rPr>
          <w:rFonts w:hint="eastAsia" w:ascii="仿宋" w:hAnsi="仿宋" w:eastAsia="仿宋" w:cs="仿宋"/>
          <w:b/>
          <w:kern w:val="2"/>
          <w:sz w:val="28"/>
          <w:szCs w:val="32"/>
          <w:highlight w:val="none"/>
          <w:lang w:val="zh-CN"/>
        </w:rPr>
      </w:pPr>
      <w:bookmarkStart w:id="30" w:name="_Toc15999"/>
      <w:bookmarkStart w:id="31" w:name="_Toc8226"/>
      <w:r>
        <w:rPr>
          <w:rFonts w:hint="eastAsia" w:ascii="仿宋" w:hAnsi="仿宋" w:eastAsia="仿宋" w:cs="仿宋"/>
          <w:b/>
          <w:kern w:val="2"/>
          <w:sz w:val="28"/>
          <w:szCs w:val="32"/>
          <w:highlight w:val="none"/>
          <w:lang w:val="zh-CN"/>
        </w:rPr>
        <w:t>四、投标保证金</w:t>
      </w:r>
      <w:bookmarkEnd w:id="30"/>
      <w:bookmarkEnd w:id="31"/>
    </w:p>
    <w:p w14:paraId="5D28BC89">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7</w:t>
      </w:r>
      <w:r>
        <w:rPr>
          <w:rFonts w:hint="eastAsia" w:ascii="仿宋" w:hAnsi="仿宋" w:eastAsia="仿宋" w:cs="仿宋"/>
          <w:b/>
          <w:highlight w:val="none"/>
        </w:rPr>
        <w:t xml:space="preserve">.投标保证金 </w:t>
      </w:r>
    </w:p>
    <w:p w14:paraId="7E329FA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7</w:t>
      </w:r>
      <w:r>
        <w:rPr>
          <w:rFonts w:hint="eastAsia" w:ascii="仿宋" w:hAnsi="仿宋" w:eastAsia="仿宋" w:cs="仿宋"/>
          <w:highlight w:val="none"/>
        </w:rPr>
        <w:t xml:space="preserve">.1 </w:t>
      </w:r>
      <w:r>
        <w:rPr>
          <w:rFonts w:hint="eastAsia" w:ascii="仿宋" w:hAnsi="仿宋" w:eastAsia="仿宋" w:cs="仿宋"/>
          <w:highlight w:val="none"/>
          <w:lang w:eastAsia="zh-CN"/>
        </w:rPr>
        <w:t>供应商</w:t>
      </w:r>
      <w:r>
        <w:rPr>
          <w:rFonts w:hint="eastAsia" w:ascii="仿宋" w:hAnsi="仿宋" w:eastAsia="仿宋" w:cs="仿宋"/>
          <w:highlight w:val="none"/>
        </w:rPr>
        <w:t>应按照招标文件“</w:t>
      </w:r>
      <w:r>
        <w:rPr>
          <w:rFonts w:hint="eastAsia" w:ascii="仿宋" w:hAnsi="仿宋" w:eastAsia="仿宋" w:cs="仿宋"/>
          <w:highlight w:val="none"/>
          <w:lang w:eastAsia="zh-CN"/>
        </w:rPr>
        <w:t>供应商</w:t>
      </w:r>
      <w:r>
        <w:rPr>
          <w:rFonts w:hint="eastAsia" w:ascii="仿宋" w:hAnsi="仿宋" w:eastAsia="仿宋" w:cs="仿宋"/>
          <w:highlight w:val="none"/>
        </w:rPr>
        <w:t>须知前附表”中第17项的规定交纳。投标保证金须于到账截止时间前到帐，并经采购代理机构确认。</w:t>
      </w:r>
    </w:p>
    <w:p w14:paraId="15F138D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7</w:t>
      </w:r>
      <w:r>
        <w:rPr>
          <w:rFonts w:hint="eastAsia" w:ascii="仿宋" w:hAnsi="仿宋" w:eastAsia="仿宋" w:cs="仿宋"/>
          <w:highlight w:val="none"/>
        </w:rPr>
        <w:t>.2 采购代理机构不接收以现金或汇票等其他形式递交的投标保证金。未按要求提交投标保证金的，将被视为无效投标。</w:t>
      </w:r>
    </w:p>
    <w:p w14:paraId="6DBDC2AF">
      <w:pPr>
        <w:autoSpaceDE/>
        <w:autoSpaceDN/>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7</w:t>
      </w:r>
      <w:r>
        <w:rPr>
          <w:rFonts w:hint="eastAsia" w:ascii="仿宋" w:hAnsi="仿宋" w:eastAsia="仿宋" w:cs="仿宋"/>
          <w:highlight w:val="none"/>
        </w:rPr>
        <w:t>.3 未中标的</w:t>
      </w:r>
      <w:r>
        <w:rPr>
          <w:rFonts w:hint="eastAsia" w:ascii="仿宋" w:hAnsi="仿宋" w:eastAsia="仿宋" w:cs="仿宋"/>
          <w:highlight w:val="none"/>
          <w:lang w:eastAsia="zh-CN"/>
        </w:rPr>
        <w:t>供应商</w:t>
      </w:r>
      <w:r>
        <w:rPr>
          <w:rFonts w:hint="eastAsia" w:ascii="仿宋" w:hAnsi="仿宋" w:eastAsia="仿宋" w:cs="仿宋"/>
          <w:highlight w:val="none"/>
        </w:rPr>
        <w:t>的投标保证金在中标通知书发出之日起5个工作日内退还；中标人的投标保证金将在合同签订后5个工作日内退还。</w:t>
      </w:r>
    </w:p>
    <w:p w14:paraId="4A27651E">
      <w:pPr>
        <w:snapToGrid w:val="0"/>
        <w:spacing w:line="360" w:lineRule="auto"/>
        <w:jc w:val="center"/>
        <w:rPr>
          <w:rFonts w:hint="eastAsia" w:ascii="仿宋" w:hAnsi="仿宋" w:eastAsia="仿宋" w:cs="仿宋"/>
          <w:b/>
          <w:kern w:val="2"/>
          <w:sz w:val="28"/>
          <w:szCs w:val="32"/>
          <w:highlight w:val="none"/>
          <w:lang w:val="zh-CN"/>
        </w:rPr>
      </w:pPr>
      <w:bookmarkStart w:id="32" w:name="_Toc14099"/>
      <w:bookmarkStart w:id="33" w:name="_Toc14432"/>
      <w:r>
        <w:rPr>
          <w:rFonts w:hint="eastAsia" w:ascii="仿宋" w:hAnsi="仿宋" w:eastAsia="仿宋" w:cs="仿宋"/>
          <w:b/>
          <w:kern w:val="2"/>
          <w:sz w:val="28"/>
          <w:szCs w:val="32"/>
          <w:highlight w:val="none"/>
          <w:lang w:val="zh-CN"/>
        </w:rPr>
        <w:t>五、投标文件的递交</w:t>
      </w:r>
      <w:bookmarkEnd w:id="32"/>
      <w:bookmarkEnd w:id="33"/>
    </w:p>
    <w:p w14:paraId="24CF61B2">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8</w:t>
      </w:r>
      <w:r>
        <w:rPr>
          <w:rFonts w:hint="eastAsia" w:ascii="仿宋" w:hAnsi="仿宋" w:eastAsia="仿宋" w:cs="仿宋"/>
          <w:b/>
          <w:highlight w:val="none"/>
        </w:rPr>
        <w:t>.投标文件的密封和标记</w:t>
      </w:r>
    </w:p>
    <w:p w14:paraId="22575351">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w:t>
      </w:r>
      <w:r>
        <w:rPr>
          <w:rFonts w:hint="eastAsia" w:ascii="仿宋" w:hAnsi="仿宋" w:eastAsia="仿宋" w:cs="宋体"/>
          <w:sz w:val="24"/>
          <w:highlight w:val="none"/>
          <w:lang w:val="en-US" w:eastAsia="zh-CN"/>
        </w:rPr>
        <w:t>8</w:t>
      </w:r>
      <w:r>
        <w:rPr>
          <w:rFonts w:hint="eastAsia" w:ascii="仿宋" w:hAnsi="仿宋" w:eastAsia="仿宋" w:cs="宋体"/>
          <w:sz w:val="24"/>
          <w:highlight w:val="none"/>
        </w:rPr>
        <w:t>.1 供应商应通过电子投标文件制作工具严格按招标文件要求制作投标文件，在投标截止时间前完成上传经过数字证书电子签章并加密的投标文件（加密和解密须用同一把数字证书）。供应商在投标截止时间前，可以对其所递交的投标文件进行修改并重新上传，但以投标截止时间前最后一次上传的投标文件为有效投标文件。</w:t>
      </w:r>
    </w:p>
    <w:p w14:paraId="697353D1">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投标截止时间以</w:t>
      </w:r>
      <w:r>
        <w:rPr>
          <w:rFonts w:hint="eastAsia" w:ascii="仿宋" w:hAnsi="仿宋" w:eastAsia="仿宋" w:cs="宋体"/>
          <w:sz w:val="24"/>
          <w:highlight w:val="none"/>
          <w:lang w:val="en-US" w:eastAsia="zh-CN"/>
        </w:rPr>
        <w:t>政采云</w:t>
      </w:r>
      <w:r>
        <w:rPr>
          <w:rFonts w:hint="eastAsia" w:ascii="仿宋" w:hAnsi="仿宋" w:eastAsia="仿宋" w:cs="宋体"/>
          <w:sz w:val="24"/>
          <w:highlight w:val="none"/>
        </w:rPr>
        <w:t>平台显示的时间为准，逾期系统将自动关闭，未完成上传的投标文件视为逾期送达，将被拒绝。</w:t>
      </w:r>
    </w:p>
    <w:p w14:paraId="3418993A">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w:t>
      </w:r>
      <w:r>
        <w:rPr>
          <w:rFonts w:hint="eastAsia" w:ascii="仿宋" w:hAnsi="仿宋" w:eastAsia="仿宋" w:cs="宋体"/>
          <w:sz w:val="24"/>
          <w:highlight w:val="none"/>
          <w:lang w:val="en-US" w:eastAsia="zh-CN"/>
        </w:rPr>
        <w:t>8</w:t>
      </w:r>
      <w:r>
        <w:rPr>
          <w:rFonts w:hint="eastAsia" w:ascii="仿宋" w:hAnsi="仿宋" w:eastAsia="仿宋" w:cs="宋体"/>
          <w:sz w:val="24"/>
          <w:highlight w:val="none"/>
        </w:rPr>
        <w:t>.2 供应商认为有必要提交的其他资料请于投标截止时间前一并提交。</w:t>
      </w:r>
    </w:p>
    <w:p w14:paraId="6197C8CE">
      <w:pPr>
        <w:pStyle w:val="60"/>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w:t>
      </w:r>
      <w:r>
        <w:rPr>
          <w:rFonts w:hint="eastAsia" w:ascii="仿宋" w:hAnsi="仿宋" w:eastAsia="仿宋" w:cs="宋体"/>
          <w:sz w:val="24"/>
          <w:highlight w:val="none"/>
          <w:lang w:val="en-US" w:eastAsia="zh-CN"/>
        </w:rPr>
        <w:t>8</w:t>
      </w:r>
      <w:r>
        <w:rPr>
          <w:rFonts w:hint="eastAsia" w:ascii="仿宋" w:hAnsi="仿宋" w:eastAsia="仿宋" w:cs="宋体"/>
          <w:sz w:val="24"/>
          <w:highlight w:val="none"/>
        </w:rPr>
        <w:t>.3 本项目是否采用不见面开标方式详见供应商须知前附表</w:t>
      </w:r>
      <w:r>
        <w:rPr>
          <w:rFonts w:hint="eastAsia" w:ascii="仿宋" w:hAnsi="仿宋" w:eastAsia="仿宋" w:cs="宋体"/>
          <w:b/>
          <w:bCs/>
          <w:sz w:val="24"/>
          <w:highlight w:val="none"/>
        </w:rPr>
        <w:t>（本项目采用不见面开标方式）</w:t>
      </w:r>
      <w:r>
        <w:rPr>
          <w:rFonts w:hint="eastAsia" w:ascii="仿宋" w:hAnsi="仿宋" w:eastAsia="仿宋" w:cs="宋体"/>
          <w:sz w:val="24"/>
          <w:highlight w:val="none"/>
        </w:rPr>
        <w:t>。</w:t>
      </w:r>
    </w:p>
    <w:p w14:paraId="4DA50CB3">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9</w:t>
      </w:r>
      <w:r>
        <w:rPr>
          <w:rFonts w:hint="eastAsia" w:ascii="仿宋" w:hAnsi="仿宋" w:eastAsia="仿宋" w:cs="仿宋"/>
          <w:b/>
          <w:highlight w:val="none"/>
        </w:rPr>
        <w:t>.投标文件的递交</w:t>
      </w:r>
    </w:p>
    <w:p w14:paraId="77488D3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9</w:t>
      </w:r>
      <w:r>
        <w:rPr>
          <w:rFonts w:hint="eastAsia" w:ascii="仿宋" w:hAnsi="仿宋" w:eastAsia="仿宋" w:cs="仿宋"/>
          <w:highlight w:val="none"/>
        </w:rPr>
        <w:t xml:space="preserve">.1 </w:t>
      </w:r>
      <w:r>
        <w:rPr>
          <w:rFonts w:hint="eastAsia" w:ascii="仿宋" w:hAnsi="仿宋" w:eastAsia="仿宋" w:cs="仿宋"/>
          <w:highlight w:val="none"/>
          <w:lang w:eastAsia="zh-CN"/>
        </w:rPr>
        <w:t>供应商</w:t>
      </w:r>
      <w:r>
        <w:rPr>
          <w:rFonts w:hint="eastAsia" w:ascii="仿宋" w:hAnsi="仿宋" w:eastAsia="仿宋" w:cs="仿宋"/>
          <w:highlight w:val="none"/>
        </w:rPr>
        <w:t>应当</w:t>
      </w:r>
      <w:r>
        <w:rPr>
          <w:rFonts w:hint="eastAsia" w:ascii="仿宋" w:hAnsi="仿宋" w:eastAsia="仿宋" w:cs="仿宋"/>
          <w:highlight w:val="none"/>
          <w:lang w:val="en-US" w:eastAsia="zh-CN"/>
        </w:rPr>
        <w:t>在</w:t>
      </w:r>
      <w:r>
        <w:rPr>
          <w:rFonts w:hint="eastAsia" w:ascii="仿宋" w:hAnsi="仿宋" w:eastAsia="仿宋" w:cs="宋体"/>
          <w:sz w:val="24"/>
          <w:highlight w:val="none"/>
        </w:rPr>
        <w:t>投标截止时间前完成上传经过数字证书电子签章并加密的投标文件（加密和解密须用同一把数字证书）</w:t>
      </w:r>
      <w:r>
        <w:rPr>
          <w:rFonts w:hint="eastAsia" w:ascii="仿宋" w:hAnsi="仿宋" w:eastAsia="仿宋" w:cs="仿宋"/>
          <w:highlight w:val="none"/>
        </w:rPr>
        <w:t>。</w:t>
      </w:r>
    </w:p>
    <w:p w14:paraId="36671ECC">
      <w:pPr>
        <w:snapToGrid w:val="0"/>
        <w:spacing w:line="360" w:lineRule="auto"/>
        <w:ind w:firstLine="480" w:firstLineChars="200"/>
        <w:rPr>
          <w:rFonts w:hint="eastAsia" w:ascii="仿宋" w:hAnsi="仿宋" w:eastAsia="仿宋" w:cs="宋体"/>
          <w:sz w:val="24"/>
          <w:szCs w:val="24"/>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9</w:t>
      </w:r>
      <w:r>
        <w:rPr>
          <w:rFonts w:hint="eastAsia" w:ascii="仿宋" w:hAnsi="仿宋" w:eastAsia="仿宋" w:cs="仿宋"/>
          <w:highlight w:val="none"/>
        </w:rPr>
        <w:t xml:space="preserve">.2 </w:t>
      </w:r>
      <w:r>
        <w:rPr>
          <w:rFonts w:hint="eastAsia" w:ascii="仿宋" w:hAnsi="仿宋" w:eastAsia="仿宋" w:cs="宋体"/>
          <w:sz w:val="24"/>
          <w:szCs w:val="24"/>
          <w:highlight w:val="none"/>
        </w:rPr>
        <w:t>是否采用不见面开标详见供应商须知前附表</w:t>
      </w:r>
      <w:r>
        <w:rPr>
          <w:rFonts w:hint="eastAsia" w:ascii="仿宋" w:hAnsi="仿宋" w:eastAsia="仿宋" w:cs="宋体"/>
          <w:b/>
          <w:bCs/>
          <w:sz w:val="24"/>
          <w:szCs w:val="24"/>
          <w:highlight w:val="none"/>
        </w:rPr>
        <w:t>（本项目采用不见面开标方式）</w:t>
      </w:r>
      <w:r>
        <w:rPr>
          <w:rFonts w:hint="eastAsia" w:ascii="仿宋" w:hAnsi="仿宋" w:eastAsia="仿宋" w:cs="宋体"/>
          <w:sz w:val="24"/>
          <w:szCs w:val="24"/>
          <w:highlight w:val="none"/>
        </w:rPr>
        <w:t>，若项目采用不见面开标。只需将加密电子投标文件在投标截止时间前通过</w:t>
      </w:r>
      <w:r>
        <w:rPr>
          <w:rFonts w:hint="eastAsia" w:ascii="仿宋" w:hAnsi="仿宋" w:eastAsia="仿宋" w:cs="宋体"/>
          <w:sz w:val="24"/>
          <w:szCs w:val="24"/>
          <w:highlight w:val="none"/>
          <w:lang w:val="en-US" w:eastAsia="zh-CN"/>
        </w:rPr>
        <w:t>政采云</w:t>
      </w:r>
      <w:r>
        <w:rPr>
          <w:rFonts w:hint="eastAsia" w:ascii="仿宋" w:hAnsi="仿宋" w:eastAsia="仿宋" w:cs="宋体"/>
          <w:sz w:val="24"/>
          <w:szCs w:val="24"/>
          <w:highlight w:val="none"/>
        </w:rPr>
        <w:t>平台上传完成。上传时必须得到电脑“上传成功”的确认回复后方为上传成功。逾期上传的或者未上传到平台的投标文件，采购人不予受理。</w:t>
      </w:r>
    </w:p>
    <w:p w14:paraId="20F9D7F7">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lang w:val="en-US" w:eastAsia="zh-CN"/>
        </w:rPr>
        <w:t>20</w:t>
      </w:r>
      <w:r>
        <w:rPr>
          <w:rFonts w:hint="eastAsia" w:ascii="仿宋" w:hAnsi="仿宋" w:eastAsia="仿宋" w:cs="仿宋"/>
          <w:b/>
          <w:highlight w:val="none"/>
        </w:rPr>
        <w:t>.投标文件的修改和撤回</w:t>
      </w:r>
    </w:p>
    <w:p w14:paraId="6CD558E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val="en-US" w:eastAsia="zh-CN"/>
        </w:rPr>
        <w:t>20</w:t>
      </w:r>
      <w:r>
        <w:rPr>
          <w:rFonts w:hint="eastAsia" w:ascii="仿宋" w:hAnsi="仿宋" w:eastAsia="仿宋" w:cs="仿宋"/>
          <w:highlight w:val="none"/>
        </w:rPr>
        <w:t xml:space="preserve">.1 </w:t>
      </w:r>
      <w:r>
        <w:rPr>
          <w:rFonts w:hint="eastAsia" w:ascii="仿宋" w:hAnsi="仿宋" w:eastAsia="仿宋" w:cs="仿宋"/>
          <w:highlight w:val="none"/>
          <w:lang w:eastAsia="zh-CN"/>
        </w:rPr>
        <w:t>供应商</w:t>
      </w:r>
      <w:r>
        <w:rPr>
          <w:rFonts w:hint="eastAsia" w:ascii="仿宋" w:hAnsi="仿宋" w:eastAsia="仿宋" w:cs="仿宋"/>
          <w:highlight w:val="none"/>
        </w:rPr>
        <w:t>在递交投标文件后，可以修改或撤回其投标，但这种修改和撤回，必须在规定的投标截止时间前。在投标截止时间后，</w:t>
      </w:r>
      <w:r>
        <w:rPr>
          <w:rFonts w:hint="eastAsia" w:ascii="仿宋" w:hAnsi="仿宋" w:eastAsia="仿宋" w:cs="仿宋"/>
          <w:highlight w:val="none"/>
          <w:lang w:eastAsia="zh-CN"/>
        </w:rPr>
        <w:t>供应商</w:t>
      </w:r>
      <w:r>
        <w:rPr>
          <w:rFonts w:hint="eastAsia" w:ascii="仿宋" w:hAnsi="仿宋" w:eastAsia="仿宋" w:cs="仿宋"/>
          <w:highlight w:val="none"/>
        </w:rPr>
        <w:t>不得要求修改或撤回其投标文件。</w:t>
      </w:r>
    </w:p>
    <w:p w14:paraId="67CD2947">
      <w:pPr>
        <w:snapToGrid w:val="0"/>
        <w:spacing w:line="360" w:lineRule="auto"/>
        <w:jc w:val="center"/>
        <w:rPr>
          <w:rFonts w:hint="eastAsia" w:ascii="仿宋" w:hAnsi="仿宋" w:eastAsia="仿宋" w:cs="仿宋"/>
          <w:b/>
          <w:kern w:val="2"/>
          <w:sz w:val="28"/>
          <w:szCs w:val="32"/>
          <w:highlight w:val="none"/>
          <w:lang w:val="zh-CN"/>
        </w:rPr>
      </w:pPr>
      <w:bookmarkStart w:id="34" w:name="_Toc23236"/>
      <w:bookmarkStart w:id="35" w:name="_Toc22351"/>
      <w:r>
        <w:rPr>
          <w:rFonts w:hint="eastAsia" w:ascii="仿宋" w:hAnsi="仿宋" w:eastAsia="仿宋" w:cs="仿宋"/>
          <w:b/>
          <w:kern w:val="2"/>
          <w:sz w:val="28"/>
          <w:szCs w:val="32"/>
          <w:highlight w:val="none"/>
          <w:lang w:val="zh-CN"/>
        </w:rPr>
        <w:t>六、开标</w:t>
      </w:r>
      <w:bookmarkEnd w:id="34"/>
      <w:bookmarkEnd w:id="35"/>
    </w:p>
    <w:p w14:paraId="342F942B">
      <w:pPr>
        <w:pStyle w:val="61"/>
        <w:spacing w:line="360" w:lineRule="auto"/>
        <w:ind w:firstLine="482" w:firstLineChars="200"/>
        <w:rPr>
          <w:rFonts w:hint="eastAsia" w:ascii="仿宋" w:hAnsi="仿宋" w:eastAsia="仿宋" w:cs="宋体"/>
          <w:b/>
          <w:sz w:val="24"/>
          <w:highlight w:val="none"/>
        </w:rPr>
      </w:pPr>
      <w:bookmarkStart w:id="36" w:name="EB7dadd93d7a564c2da135d1ee82c4ad27"/>
      <w:bookmarkStart w:id="37" w:name="_Toc11814"/>
      <w:bookmarkStart w:id="38" w:name="_Toc8114"/>
      <w:r>
        <w:rPr>
          <w:rFonts w:hint="eastAsia" w:ascii="仿宋" w:hAnsi="仿宋" w:eastAsia="仿宋" w:cs="宋体"/>
          <w:b/>
          <w:sz w:val="24"/>
          <w:highlight w:val="none"/>
        </w:rPr>
        <w:t>A．采用见面开标方式（本项目不采用）</w:t>
      </w:r>
    </w:p>
    <w:p w14:paraId="5E4E9F7A">
      <w:pPr>
        <w:pStyle w:val="61"/>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1采购代理机构按照招标文件规定的时间、地点主持开标。供应商法定代表人或授权代理人应携带身份证明、电子密钥（电子证书）、未加密的电子投标文件（用信封密封）及应当提交的其他资料参加开标并签到。</w:t>
      </w:r>
    </w:p>
    <w:p w14:paraId="4B1F258E">
      <w:pPr>
        <w:pStyle w:val="61"/>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2开标前，采购代理机构将会同监督人员或公证人员进行验标（检查网上招标系统正常与否，检查未加密的电子投标文件，检查供应商保证金交纳情况），确认无误后开标。开标时，各供应商应对本单位的加密的电子投标文件现场解密，采购代理机构工作人员在监督人员或公证人员监督下解密所有投标文件。</w:t>
      </w:r>
    </w:p>
    <w:p w14:paraId="017DD420">
      <w:pPr>
        <w:pStyle w:val="61"/>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因网上招标系统故障导致所有供应商均解密失败时，供应商使用未加密的电子投标文件进行开评标。</w:t>
      </w:r>
    </w:p>
    <w:p w14:paraId="690945BB">
      <w:pPr>
        <w:pStyle w:val="61"/>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3开标时，采购代理机构将通过网上开标系统公布供应商名称、投标价格，以及采购代理机构认为合适的其它详细内容。供应商若有报价和优惠未被唱出，应在开标时及时声明或提请注意，否则采购代理机构对此不承担任何责任。</w:t>
      </w:r>
    </w:p>
    <w:p w14:paraId="02617781">
      <w:pPr>
        <w:pStyle w:val="61"/>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.4在评审结束前，未得到采购代理机构允许，供应商法定代表人或授权代理人不得离开开标现场。</w:t>
      </w:r>
    </w:p>
    <w:p w14:paraId="458DB5EF">
      <w:pPr>
        <w:pStyle w:val="61"/>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.5公证员对开标过程进行全程公证。</w:t>
      </w:r>
    </w:p>
    <w:p w14:paraId="3D9611B3">
      <w:pPr>
        <w:pStyle w:val="62"/>
        <w:spacing w:line="360" w:lineRule="auto"/>
        <w:ind w:firstLine="482" w:firstLineChars="200"/>
        <w:rPr>
          <w:rFonts w:hint="eastAsia" w:ascii="仿宋" w:hAnsi="仿宋" w:eastAsia="仿宋" w:cs="宋体"/>
          <w:sz w:val="24"/>
          <w:highlight w:val="none"/>
        </w:rPr>
      </w:pPr>
      <w:r>
        <w:rPr>
          <w:rFonts w:hint="eastAsia" w:ascii="仿宋" w:hAnsi="仿宋" w:eastAsia="仿宋" w:cs="宋体"/>
          <w:b/>
          <w:sz w:val="24"/>
          <w:highlight w:val="none"/>
        </w:rPr>
        <w:t>B．采用不见面开标方式</w:t>
      </w:r>
      <w:r>
        <w:rPr>
          <w:rFonts w:hint="eastAsia" w:ascii="仿宋" w:hAnsi="仿宋" w:eastAsia="仿宋" w:cs="宋体"/>
          <w:b/>
          <w:bCs/>
          <w:sz w:val="24"/>
          <w:highlight w:val="none"/>
        </w:rPr>
        <w:t>（本项目采用）</w:t>
      </w:r>
    </w:p>
    <w:p w14:paraId="72E846D2">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采购人在规定的投标截止时间（开标时间）和供应商须知前附表规定的地点开标。供应商的法定代表人或其委托代理人无需到达开标现场，仅需在任意地点通过</w:t>
      </w:r>
      <w:r>
        <w:rPr>
          <w:rFonts w:hint="eastAsia" w:ascii="仿宋" w:hAnsi="仿宋" w:eastAsia="仿宋" w:cs="宋体"/>
          <w:sz w:val="24"/>
          <w:highlight w:val="none"/>
          <w:lang w:val="en-US" w:eastAsia="zh-CN"/>
        </w:rPr>
        <w:t>政采云</w:t>
      </w:r>
      <w:r>
        <w:rPr>
          <w:rFonts w:hint="eastAsia" w:ascii="仿宋" w:hAnsi="仿宋" w:eastAsia="仿宋" w:cs="宋体"/>
          <w:sz w:val="24"/>
          <w:highlight w:val="none"/>
        </w:rPr>
        <w:t>，使用CA密钥完成远程解密、提疑澄清、开标唱标、结果公布等交互环节。</w:t>
      </w:r>
    </w:p>
    <w:p w14:paraId="791A7399">
      <w:pPr>
        <w:spacing w:line="360" w:lineRule="auto"/>
        <w:ind w:firstLine="480" w:firstLineChars="200"/>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法定代表人或法定代表人授权委托人参与远程交互，中途不得更换，在废标、澄清、提疑、传送文件等特殊情况下需要交互时，供应商一端参与交互的人员将均被视为是供应商的授权委托人或法人代表，供应商不得以不承认交互人员的资格或身份等为借口推脱，供应商自行承担随意更换人员所导致的一切后果。 </w:t>
      </w:r>
      <w:bookmarkEnd w:id="36"/>
    </w:p>
    <w:p w14:paraId="59C05E4A">
      <w:pPr>
        <w:snapToGrid w:val="0"/>
        <w:spacing w:line="360" w:lineRule="auto"/>
        <w:jc w:val="center"/>
        <w:rPr>
          <w:rFonts w:hint="eastAsia" w:ascii="仿宋" w:hAnsi="仿宋" w:eastAsia="仿宋" w:cs="仿宋"/>
          <w:b/>
          <w:kern w:val="2"/>
          <w:sz w:val="28"/>
          <w:szCs w:val="32"/>
          <w:highlight w:val="none"/>
          <w:lang w:val="zh-CN"/>
        </w:rPr>
      </w:pPr>
      <w:r>
        <w:rPr>
          <w:rFonts w:hint="eastAsia" w:ascii="仿宋" w:hAnsi="仿宋" w:eastAsia="仿宋" w:cs="仿宋"/>
          <w:b/>
          <w:kern w:val="2"/>
          <w:sz w:val="28"/>
          <w:szCs w:val="32"/>
          <w:highlight w:val="none"/>
          <w:lang w:val="zh-CN"/>
        </w:rPr>
        <w:t>七、评标步骤和要求</w:t>
      </w:r>
      <w:bookmarkEnd w:id="37"/>
      <w:bookmarkEnd w:id="38"/>
    </w:p>
    <w:p w14:paraId="588F9283">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2</w:t>
      </w:r>
      <w:r>
        <w:rPr>
          <w:rFonts w:hint="eastAsia" w:ascii="仿宋" w:hAnsi="仿宋" w:eastAsia="仿宋" w:cs="仿宋"/>
          <w:b/>
          <w:highlight w:val="none"/>
        </w:rPr>
        <w:t>.组建评标委员会</w:t>
      </w:r>
    </w:p>
    <w:p w14:paraId="08137B1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2</w:t>
      </w:r>
      <w:r>
        <w:rPr>
          <w:rFonts w:hint="eastAsia" w:ascii="仿宋" w:hAnsi="仿宋" w:eastAsia="仿宋" w:cs="仿宋"/>
          <w:highlight w:val="none"/>
        </w:rPr>
        <w:t>.1 采购人根据《中华人民共和国政府采购法》、《中华人民共和国政府采购法实施条例》等有关法律法规和本招标文件的规定，结合本采购项目的特点组建评标委员会，对具备实质性响应的投标文件进行评估和比较。评标委员会由采购人代表和评审专家共5人以上单数组成，其中评审专家人数不得少于评标小组成员总数的2/3。</w:t>
      </w:r>
    </w:p>
    <w:p w14:paraId="73786DE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采购代理机构人员不得参加本机构代理的采购项目的评审。</w:t>
      </w:r>
    </w:p>
    <w:p w14:paraId="50FE5C7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采购人对技术复杂、专业性极强的采购项目，通过随机方式难以确定合适评标专家的，经设区的市、自治州以上人民政府财政部门同意，可以采取选择性方式确定评标专家。</w:t>
      </w:r>
    </w:p>
    <w:p w14:paraId="28D8ACF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采购预算金额在1000万元以上，评标委员会成员人数应当为7人以上单数。</w:t>
      </w:r>
    </w:p>
    <w:p w14:paraId="1BB8AF5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2</w:t>
      </w:r>
      <w:r>
        <w:rPr>
          <w:rFonts w:hint="eastAsia" w:ascii="仿宋" w:hAnsi="仿宋" w:eastAsia="仿宋" w:cs="仿宋"/>
          <w:highlight w:val="none"/>
        </w:rPr>
        <w:t>.2 参与过本项目的论证专家不得作为评标专家参加评标，采购人不得以专家身份参与评标。采购人委派的纪检监察人员进入评标现场不得超过2人，其他无关人员不得进入评标现场。</w:t>
      </w:r>
    </w:p>
    <w:p w14:paraId="6AC57565">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2</w:t>
      </w:r>
      <w:r>
        <w:rPr>
          <w:rFonts w:hint="eastAsia" w:ascii="仿宋" w:hAnsi="仿宋" w:eastAsia="仿宋" w:cs="仿宋"/>
          <w:b/>
          <w:bCs/>
          <w:highlight w:val="none"/>
          <w:lang w:val="en-US" w:eastAsia="zh-CN"/>
        </w:rPr>
        <w:t>3</w:t>
      </w:r>
      <w:r>
        <w:rPr>
          <w:rFonts w:hint="eastAsia" w:ascii="仿宋" w:hAnsi="仿宋" w:eastAsia="仿宋" w:cs="仿宋"/>
          <w:b/>
          <w:bCs/>
          <w:highlight w:val="none"/>
        </w:rPr>
        <w:t>、资格审查</w:t>
      </w:r>
    </w:p>
    <w:p w14:paraId="18DD89B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3</w:t>
      </w:r>
      <w:r>
        <w:rPr>
          <w:rFonts w:hint="eastAsia" w:ascii="仿宋" w:hAnsi="仿宋" w:eastAsia="仿宋" w:cs="仿宋"/>
          <w:highlight w:val="none"/>
        </w:rPr>
        <w:t>.1 公开招标采购项目采购人或者采购代理机构应当依法对</w:t>
      </w:r>
      <w:r>
        <w:rPr>
          <w:rFonts w:hint="eastAsia" w:ascii="仿宋" w:hAnsi="仿宋" w:eastAsia="仿宋" w:cs="仿宋"/>
          <w:highlight w:val="none"/>
          <w:lang w:eastAsia="zh-CN"/>
        </w:rPr>
        <w:t>供应商</w:t>
      </w:r>
      <w:r>
        <w:rPr>
          <w:rFonts w:hint="eastAsia" w:ascii="仿宋" w:hAnsi="仿宋" w:eastAsia="仿宋" w:cs="仿宋"/>
          <w:highlight w:val="none"/>
        </w:rPr>
        <w:t>的资格进行审查。合格</w:t>
      </w:r>
      <w:r>
        <w:rPr>
          <w:rFonts w:hint="eastAsia" w:ascii="仿宋" w:hAnsi="仿宋" w:eastAsia="仿宋" w:cs="仿宋"/>
          <w:highlight w:val="none"/>
          <w:lang w:eastAsia="zh-CN"/>
        </w:rPr>
        <w:t>供应商</w:t>
      </w:r>
      <w:r>
        <w:rPr>
          <w:rFonts w:hint="eastAsia" w:ascii="仿宋" w:hAnsi="仿宋" w:eastAsia="仿宋" w:cs="仿宋"/>
          <w:highlight w:val="none"/>
        </w:rPr>
        <w:t>不足3家的，不得评标。</w:t>
      </w:r>
    </w:p>
    <w:p w14:paraId="3FD68360">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4</w:t>
      </w:r>
      <w:r>
        <w:rPr>
          <w:rFonts w:hint="eastAsia" w:ascii="仿宋" w:hAnsi="仿宋" w:eastAsia="仿宋" w:cs="仿宋"/>
          <w:b/>
          <w:highlight w:val="none"/>
        </w:rPr>
        <w:t>.初步评审</w:t>
      </w:r>
    </w:p>
    <w:p w14:paraId="46D6B58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 xml:space="preserve">.1 评标委员会审查投标文件是否符合招标文件的基本要求：内容是否完整、文件签署是否齐全、有无计算错误等。 </w:t>
      </w:r>
    </w:p>
    <w:p w14:paraId="0370293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.2 评标委员会审查投标文件是否实质上响应招标文件的要求。</w:t>
      </w:r>
    </w:p>
    <w:p w14:paraId="308EF54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1）实质上响应的投标是指与招标文件上的条款、条件和规格相符，没有重大偏离或保留，否则将视为无效投标。</w:t>
      </w:r>
    </w:p>
    <w:p w14:paraId="1233855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2）重大偏离或保留系指投标内容的服务要求和服务期等明显不能满足招标文件的要求，或者实质上与招标文件不一致，纠正这些偏离或保留将对其他实质上响应要求的</w:t>
      </w:r>
      <w:r>
        <w:rPr>
          <w:rFonts w:hint="eastAsia" w:ascii="仿宋" w:hAnsi="仿宋" w:eastAsia="仿宋" w:cs="仿宋"/>
          <w:highlight w:val="none"/>
          <w:lang w:eastAsia="zh-CN"/>
        </w:rPr>
        <w:t>供应商</w:t>
      </w:r>
      <w:r>
        <w:rPr>
          <w:rFonts w:hint="eastAsia" w:ascii="仿宋" w:hAnsi="仿宋" w:eastAsia="仿宋" w:cs="仿宋"/>
          <w:highlight w:val="none"/>
        </w:rPr>
        <w:t>的竞争地位产生不公正的影响。包括但不限于：</w:t>
      </w:r>
    </w:p>
    <w:p w14:paraId="2BB63137">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A、投标文件未按招标文件的规定签章的；</w:t>
      </w:r>
    </w:p>
    <w:p w14:paraId="53471AA0">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B、招标文件带“★”号部分任意一款不满足要求的；</w:t>
      </w:r>
    </w:p>
    <w:p w14:paraId="081BC002">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C、报价超过项目预算或经评标委员会认定低于成本的；</w:t>
      </w:r>
    </w:p>
    <w:p w14:paraId="47A26D91">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D、投标有效期不足的；</w:t>
      </w:r>
    </w:p>
    <w:p w14:paraId="59C9CAC4">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E、有串通投标或弄虚作假或有其他违法行为的；</w:t>
      </w:r>
    </w:p>
    <w:p w14:paraId="716D0685">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F、</w:t>
      </w:r>
      <w:r>
        <w:rPr>
          <w:rFonts w:hint="eastAsia" w:ascii="仿宋" w:hAnsi="仿宋" w:eastAsia="仿宋" w:cs="仿宋"/>
          <w:b/>
          <w:bCs/>
          <w:highlight w:val="none"/>
          <w:lang w:eastAsia="zh-CN"/>
        </w:rPr>
        <w:t>供应商</w:t>
      </w:r>
      <w:r>
        <w:rPr>
          <w:rFonts w:hint="eastAsia" w:ascii="仿宋" w:hAnsi="仿宋" w:eastAsia="仿宋" w:cs="仿宋"/>
          <w:b/>
          <w:bCs/>
          <w:highlight w:val="none"/>
        </w:rPr>
        <w:t>名称或组织结构与</w:t>
      </w:r>
      <w:r>
        <w:rPr>
          <w:rFonts w:hint="eastAsia" w:ascii="仿宋" w:hAnsi="仿宋" w:eastAsia="仿宋" w:cs="仿宋"/>
          <w:b/>
          <w:bCs/>
          <w:highlight w:val="none"/>
          <w:lang w:val="en-US" w:eastAsia="zh-CN"/>
        </w:rPr>
        <w:t>领取采购文件</w:t>
      </w:r>
      <w:r>
        <w:rPr>
          <w:rFonts w:hint="eastAsia" w:ascii="仿宋" w:hAnsi="仿宋" w:eastAsia="仿宋" w:cs="仿宋"/>
          <w:b/>
          <w:bCs/>
          <w:highlight w:val="none"/>
        </w:rPr>
        <w:t>不一致且无有效变更证明的；</w:t>
      </w:r>
    </w:p>
    <w:p w14:paraId="11C48CA8">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G、不符合招标文件中规定的其他实质性要求。</w:t>
      </w:r>
    </w:p>
    <w:p w14:paraId="545FC07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.3 投标文件的细微偏差是指在实质上响应招标文件要求，但在个别地方存在漏项或者提供了不完整的技术信息和数据等情况，并且补正这些遗漏或者不完整，不会对其他</w:t>
      </w:r>
      <w:r>
        <w:rPr>
          <w:rFonts w:hint="eastAsia" w:ascii="仿宋" w:hAnsi="仿宋" w:eastAsia="仿宋" w:cs="仿宋"/>
          <w:highlight w:val="none"/>
          <w:lang w:eastAsia="zh-CN"/>
        </w:rPr>
        <w:t>供应商</w:t>
      </w:r>
      <w:r>
        <w:rPr>
          <w:rFonts w:hint="eastAsia" w:ascii="仿宋" w:hAnsi="仿宋" w:eastAsia="仿宋" w:cs="仿宋"/>
          <w:highlight w:val="none"/>
        </w:rPr>
        <w:t>造成不公正的结果。细微偏差不影响投标文件的有效性。</w:t>
      </w:r>
    </w:p>
    <w:p w14:paraId="17BDEE0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 xml:space="preserve">.4 初步评审中，对明显的文字和计算错误按下述原则处理，若出现相互矛盾之处，应以排列在先的原则为准优先处理：        </w:t>
      </w:r>
    </w:p>
    <w:p w14:paraId="085939F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1）投标文件中的开标一览表与明细表内容不一致的，以开标一览表为准。</w:t>
      </w:r>
    </w:p>
    <w:p w14:paraId="536B405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2）如果以文字表示的数据与数字表示的有差别，以文字为准修正数字。如果大写金额和小写金额不一致的，以大写金额为准；</w:t>
      </w:r>
    </w:p>
    <w:p w14:paraId="2C52E998">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3）如果单价乘以数量不等于总价，以单价为准修正总价，但单价金额小数点有明显错位的，应以总价为准，并修改单价。如果明细价格相加不等于汇总价格，以明细价格为准。</w:t>
      </w:r>
    </w:p>
    <w:p w14:paraId="6301EC7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4）调整后的数据对</w:t>
      </w:r>
      <w:r>
        <w:rPr>
          <w:rFonts w:hint="eastAsia" w:ascii="仿宋" w:hAnsi="仿宋" w:eastAsia="仿宋" w:cs="仿宋"/>
          <w:highlight w:val="none"/>
          <w:lang w:eastAsia="zh-CN"/>
        </w:rPr>
        <w:t>供应商</w:t>
      </w:r>
      <w:r>
        <w:rPr>
          <w:rFonts w:hint="eastAsia" w:ascii="仿宋" w:hAnsi="仿宋" w:eastAsia="仿宋" w:cs="仿宋"/>
          <w:highlight w:val="none"/>
        </w:rPr>
        <w:t>具有约束力，</w:t>
      </w:r>
      <w:r>
        <w:rPr>
          <w:rFonts w:hint="eastAsia" w:ascii="仿宋" w:hAnsi="仿宋" w:eastAsia="仿宋" w:cs="仿宋"/>
          <w:highlight w:val="none"/>
          <w:lang w:eastAsia="zh-CN"/>
        </w:rPr>
        <w:t>供应商</w:t>
      </w:r>
      <w:r>
        <w:rPr>
          <w:rFonts w:hint="eastAsia" w:ascii="仿宋" w:hAnsi="仿宋" w:eastAsia="仿宋" w:cs="仿宋"/>
          <w:highlight w:val="none"/>
        </w:rPr>
        <w:t>不同意以上修正，其投标将被拒绝。</w:t>
      </w:r>
    </w:p>
    <w:p w14:paraId="5F0F02F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.5 评标委员会对投标文件的判定，只依据投标文件内容本身，不依据其他外来证明。</w:t>
      </w:r>
    </w:p>
    <w:p w14:paraId="574812D5">
      <w:pPr>
        <w:snapToGrid w:val="0"/>
        <w:spacing w:line="360" w:lineRule="auto"/>
        <w:ind w:firstLine="482" w:firstLineChars="200"/>
        <w:jc w:val="both"/>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5</w:t>
      </w:r>
      <w:r>
        <w:rPr>
          <w:rFonts w:hint="eastAsia" w:ascii="仿宋" w:hAnsi="仿宋" w:eastAsia="仿宋" w:cs="仿宋"/>
          <w:b/>
          <w:highlight w:val="none"/>
        </w:rPr>
        <w:t>.投标的澄清</w:t>
      </w:r>
    </w:p>
    <w:p w14:paraId="1C8D682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5</w:t>
      </w:r>
      <w:r>
        <w:rPr>
          <w:rFonts w:hint="eastAsia" w:ascii="仿宋" w:hAnsi="仿宋" w:eastAsia="仿宋" w:cs="仿宋"/>
          <w:highlight w:val="none"/>
        </w:rPr>
        <w:t>.1 评标委员会有权要求</w:t>
      </w:r>
      <w:r>
        <w:rPr>
          <w:rFonts w:hint="eastAsia" w:ascii="仿宋" w:hAnsi="仿宋" w:eastAsia="仿宋" w:cs="仿宋"/>
          <w:highlight w:val="none"/>
          <w:lang w:eastAsia="zh-CN"/>
        </w:rPr>
        <w:t>供应商</w:t>
      </w:r>
      <w:r>
        <w:rPr>
          <w:rFonts w:hint="eastAsia" w:ascii="仿宋" w:hAnsi="仿宋" w:eastAsia="仿宋" w:cs="仿宋"/>
          <w:highlight w:val="none"/>
        </w:rPr>
        <w:t>对投标文件中含义不明确、对同类问题表述不一致或者有明显文字和计算错误等内容作必要的澄清、说明或者补正。该要求应当采用书面形式，并由评标委员会成员签字。评标委员会不接受</w:t>
      </w:r>
      <w:r>
        <w:rPr>
          <w:rFonts w:hint="eastAsia" w:ascii="仿宋" w:hAnsi="仿宋" w:eastAsia="仿宋" w:cs="仿宋"/>
          <w:highlight w:val="none"/>
          <w:lang w:eastAsia="zh-CN"/>
        </w:rPr>
        <w:t>供应商</w:t>
      </w:r>
      <w:r>
        <w:rPr>
          <w:rFonts w:hint="eastAsia" w:ascii="仿宋" w:hAnsi="仿宋" w:eastAsia="仿宋" w:cs="仿宋"/>
          <w:highlight w:val="none"/>
        </w:rPr>
        <w:t>主动提出的澄清、说明或者补正。</w:t>
      </w:r>
    </w:p>
    <w:p w14:paraId="0A44E89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5</w:t>
      </w:r>
      <w:r>
        <w:rPr>
          <w:rFonts w:hint="eastAsia" w:ascii="仿宋" w:hAnsi="仿宋" w:eastAsia="仿宋" w:cs="仿宋"/>
          <w:highlight w:val="none"/>
        </w:rPr>
        <w:t xml:space="preserve">.2 </w:t>
      </w:r>
      <w:r>
        <w:rPr>
          <w:rFonts w:hint="eastAsia" w:ascii="仿宋" w:hAnsi="仿宋" w:eastAsia="仿宋" w:cs="仿宋"/>
          <w:highlight w:val="none"/>
          <w:lang w:eastAsia="zh-CN"/>
        </w:rPr>
        <w:t>供应商</w:t>
      </w:r>
      <w:r>
        <w:rPr>
          <w:rFonts w:hint="eastAsia" w:ascii="仿宋" w:hAnsi="仿宋" w:eastAsia="仿宋" w:cs="仿宋"/>
          <w:highlight w:val="none"/>
        </w:rPr>
        <w:t>必须按照评标委员会通知的内容和时间做出书面答复，该答复经法定代表人或授权代理人的签字认可，将作为投标文件内容的一部分。澄清、说明或者补正不得超出投标文件的范围或者改变投标文件的实质性内容。</w:t>
      </w:r>
      <w:r>
        <w:rPr>
          <w:rFonts w:hint="eastAsia" w:ascii="仿宋" w:hAnsi="仿宋" w:eastAsia="仿宋" w:cs="仿宋"/>
          <w:highlight w:val="none"/>
          <w:lang w:eastAsia="zh-CN"/>
        </w:rPr>
        <w:t>供应商</w:t>
      </w:r>
      <w:r>
        <w:rPr>
          <w:rFonts w:hint="eastAsia" w:ascii="仿宋" w:hAnsi="仿宋" w:eastAsia="仿宋" w:cs="仿宋"/>
          <w:highlight w:val="none"/>
        </w:rPr>
        <w:t>拒不按照要求对投标文件进行澄清、说明或者补正的，评标委员会可拒绝该投标。</w:t>
      </w:r>
    </w:p>
    <w:p w14:paraId="257A4C6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5</w:t>
      </w:r>
      <w:r>
        <w:rPr>
          <w:rFonts w:hint="eastAsia" w:ascii="仿宋" w:hAnsi="仿宋" w:eastAsia="仿宋" w:cs="仿宋"/>
          <w:highlight w:val="none"/>
        </w:rPr>
        <w:t>.3 如评标委员会一致认为某个</w:t>
      </w:r>
      <w:r>
        <w:rPr>
          <w:rFonts w:hint="eastAsia" w:ascii="仿宋" w:hAnsi="仿宋" w:eastAsia="仿宋" w:cs="仿宋"/>
          <w:highlight w:val="none"/>
          <w:lang w:eastAsia="zh-CN"/>
        </w:rPr>
        <w:t>供应商</w:t>
      </w:r>
      <w:r>
        <w:rPr>
          <w:rFonts w:hint="eastAsia" w:ascii="仿宋" w:hAnsi="仿宋" w:eastAsia="仿宋" w:cs="仿宋"/>
          <w:highlight w:val="none"/>
        </w:rPr>
        <w:t>的报价明显不合理，有降低质量、不能诚信履行的可能时，评标委员会有权决定是否通知</w:t>
      </w:r>
      <w:r>
        <w:rPr>
          <w:rFonts w:hint="eastAsia" w:ascii="仿宋" w:hAnsi="仿宋" w:eastAsia="仿宋" w:cs="仿宋"/>
          <w:highlight w:val="none"/>
          <w:lang w:eastAsia="zh-CN"/>
        </w:rPr>
        <w:t>供应商</w:t>
      </w:r>
      <w:r>
        <w:rPr>
          <w:rFonts w:hint="eastAsia" w:ascii="仿宋" w:hAnsi="仿宋" w:eastAsia="仿宋" w:cs="仿宋"/>
          <w:highlight w:val="none"/>
        </w:rPr>
        <w:t>限期进行书面解释或提供相关证明材料。若已要求，而该</w:t>
      </w:r>
      <w:r>
        <w:rPr>
          <w:rFonts w:hint="eastAsia" w:ascii="仿宋" w:hAnsi="仿宋" w:eastAsia="仿宋" w:cs="仿宋"/>
          <w:highlight w:val="none"/>
          <w:lang w:eastAsia="zh-CN"/>
        </w:rPr>
        <w:t>供应商</w:t>
      </w:r>
      <w:r>
        <w:rPr>
          <w:rFonts w:hint="eastAsia" w:ascii="仿宋" w:hAnsi="仿宋" w:eastAsia="仿宋" w:cs="仿宋"/>
          <w:highlight w:val="none"/>
        </w:rPr>
        <w:t>在规定期限内未做出解释、作出的解释不合理或不能提供证明材料的，经评标委员会取得一致意见后，可拒绝该投标。</w:t>
      </w:r>
    </w:p>
    <w:p w14:paraId="6C65CF7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5</w:t>
      </w:r>
      <w:r>
        <w:rPr>
          <w:rFonts w:hint="eastAsia" w:ascii="仿宋" w:hAnsi="仿宋" w:eastAsia="仿宋" w:cs="仿宋"/>
          <w:highlight w:val="none"/>
        </w:rPr>
        <w:t>.4 公开招标采购项目采购人或者采购代理机构应当依法对</w:t>
      </w:r>
      <w:r>
        <w:rPr>
          <w:rFonts w:hint="eastAsia" w:ascii="仿宋" w:hAnsi="仿宋" w:eastAsia="仿宋" w:cs="仿宋"/>
          <w:highlight w:val="none"/>
          <w:lang w:eastAsia="zh-CN"/>
        </w:rPr>
        <w:t>供应商</w:t>
      </w:r>
      <w:r>
        <w:rPr>
          <w:rFonts w:hint="eastAsia" w:ascii="仿宋" w:hAnsi="仿宋" w:eastAsia="仿宋" w:cs="仿宋"/>
          <w:highlight w:val="none"/>
        </w:rPr>
        <w:t>的资格进行审查。合格</w:t>
      </w:r>
      <w:r>
        <w:rPr>
          <w:rFonts w:hint="eastAsia" w:ascii="仿宋" w:hAnsi="仿宋" w:eastAsia="仿宋" w:cs="仿宋"/>
          <w:highlight w:val="none"/>
          <w:lang w:eastAsia="zh-CN"/>
        </w:rPr>
        <w:t>供应商</w:t>
      </w:r>
      <w:r>
        <w:rPr>
          <w:rFonts w:hint="eastAsia" w:ascii="仿宋" w:hAnsi="仿宋" w:eastAsia="仿宋" w:cs="仿宋"/>
          <w:highlight w:val="none"/>
        </w:rPr>
        <w:t>不足3家的，不得评标。</w:t>
      </w:r>
    </w:p>
    <w:p w14:paraId="410AA534">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6</w:t>
      </w:r>
      <w:r>
        <w:rPr>
          <w:rFonts w:hint="eastAsia" w:ascii="仿宋" w:hAnsi="仿宋" w:eastAsia="仿宋" w:cs="仿宋"/>
          <w:b/>
          <w:highlight w:val="none"/>
        </w:rPr>
        <w:t>.详细评审</w:t>
      </w:r>
    </w:p>
    <w:p w14:paraId="45F24F9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6</w:t>
      </w:r>
      <w:r>
        <w:rPr>
          <w:rFonts w:hint="eastAsia" w:ascii="仿宋" w:hAnsi="仿宋" w:eastAsia="仿宋" w:cs="仿宋"/>
          <w:highlight w:val="none"/>
        </w:rPr>
        <w:t>.1 评标委员会只对实质上响应招标文件的投标进行评价和比较；评审应严格按照招标文件规定及要求进行。具体要求等详见招标文件第三章“评审方法”。</w:t>
      </w:r>
    </w:p>
    <w:p w14:paraId="338A42A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6</w:t>
      </w:r>
      <w:r>
        <w:rPr>
          <w:rFonts w:hint="eastAsia" w:ascii="仿宋" w:hAnsi="仿宋" w:eastAsia="仿宋" w:cs="仿宋"/>
          <w:highlight w:val="none"/>
        </w:rPr>
        <w:t>.2 评标委员会依法独立评审，严格遵守评审工作纪律。对需要共同认定的事项存在争议的，按照少数服从多数的原则作出评审结论。持不同意见的评标委员会成员应当在评标报告上签署不同意见并说明理由，不签署不同意见的视为同意。</w:t>
      </w:r>
    </w:p>
    <w:p w14:paraId="734C6B9B">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7</w:t>
      </w:r>
      <w:r>
        <w:rPr>
          <w:rFonts w:hint="eastAsia" w:ascii="仿宋" w:hAnsi="仿宋" w:eastAsia="仿宋" w:cs="仿宋"/>
          <w:b/>
          <w:highlight w:val="none"/>
        </w:rPr>
        <w:t>.确定中标人</w:t>
      </w:r>
    </w:p>
    <w:p w14:paraId="12758B1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7</w:t>
      </w:r>
      <w:r>
        <w:rPr>
          <w:rFonts w:hint="eastAsia" w:ascii="仿宋" w:hAnsi="仿宋" w:eastAsia="仿宋" w:cs="仿宋"/>
          <w:highlight w:val="none"/>
        </w:rPr>
        <w:t>.1 使用综合评分法的采购项目，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highlight w:val="none"/>
          <w:lang w:eastAsia="zh-CN"/>
        </w:rPr>
        <w:t>供应商</w:t>
      </w:r>
      <w:r>
        <w:rPr>
          <w:rFonts w:hint="eastAsia" w:ascii="仿宋" w:hAnsi="仿宋" w:eastAsia="仿宋" w:cs="仿宋"/>
          <w:highlight w:val="none"/>
        </w:rPr>
        <w:t>为排名第一的中标候选人。</w:t>
      </w:r>
    </w:p>
    <w:p w14:paraId="6EA526D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7</w:t>
      </w:r>
      <w:r>
        <w:rPr>
          <w:rFonts w:hint="eastAsia" w:ascii="仿宋" w:hAnsi="仿宋" w:eastAsia="仿宋" w:cs="仿宋"/>
          <w:highlight w:val="none"/>
        </w:rPr>
        <w:t>.2 评标委员会根据评审结果及招标文件的规定确定中标人。</w:t>
      </w:r>
    </w:p>
    <w:p w14:paraId="4F2B3DB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7</w:t>
      </w:r>
      <w:r>
        <w:rPr>
          <w:rFonts w:hint="eastAsia" w:ascii="仿宋" w:hAnsi="仿宋" w:eastAsia="仿宋" w:cs="仿宋"/>
          <w:highlight w:val="none"/>
        </w:rPr>
        <w:t>.3 采购代理机构应当在评标结束后2个工作日内将评标报告送采购人。</w:t>
      </w:r>
    </w:p>
    <w:p w14:paraId="539B536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7E35A56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采购人自行组织招标的，应当在评标结束后5个工作日内确定中标人。</w:t>
      </w:r>
    </w:p>
    <w:p w14:paraId="2EE2C1C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采购人在收到评标报告5个工作日内未按评标报告推荐的中标候选人顺序确定中标人，又不能说明合法理由的，视同按评标报告推荐的顺序确定排名第一的中标候选人为中标人。</w:t>
      </w:r>
    </w:p>
    <w:p w14:paraId="00FE73A4">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8</w:t>
      </w:r>
      <w:r>
        <w:rPr>
          <w:rFonts w:hint="eastAsia" w:ascii="仿宋" w:hAnsi="仿宋" w:eastAsia="仿宋" w:cs="仿宋"/>
          <w:b/>
          <w:highlight w:val="none"/>
        </w:rPr>
        <w:t>.评标过程要求</w:t>
      </w:r>
    </w:p>
    <w:p w14:paraId="49AEE41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8</w:t>
      </w:r>
      <w:r>
        <w:rPr>
          <w:rFonts w:hint="eastAsia" w:ascii="仿宋" w:hAnsi="仿宋" w:eastAsia="仿宋" w:cs="仿宋"/>
          <w:highlight w:val="none"/>
        </w:rPr>
        <w:t>.1 开标之后，直到签订合同止，凡是属于审查、澄清、评价和比较投标的有关资料以及定标意向等，均不向</w:t>
      </w:r>
      <w:r>
        <w:rPr>
          <w:rFonts w:hint="eastAsia" w:ascii="仿宋" w:hAnsi="仿宋" w:eastAsia="仿宋" w:cs="仿宋"/>
          <w:highlight w:val="none"/>
          <w:lang w:eastAsia="zh-CN"/>
        </w:rPr>
        <w:t>供应商</w:t>
      </w:r>
      <w:r>
        <w:rPr>
          <w:rFonts w:hint="eastAsia" w:ascii="仿宋" w:hAnsi="仿宋" w:eastAsia="仿宋" w:cs="仿宋"/>
          <w:highlight w:val="none"/>
        </w:rPr>
        <w:t>或者其他与评标无关的人员透露。</w:t>
      </w:r>
    </w:p>
    <w:p w14:paraId="527C843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8</w:t>
      </w:r>
      <w:r>
        <w:rPr>
          <w:rFonts w:hint="eastAsia" w:ascii="仿宋" w:hAnsi="仿宋" w:eastAsia="仿宋" w:cs="仿宋"/>
          <w:highlight w:val="none"/>
        </w:rPr>
        <w:t>.2 在确定中标人之前，</w:t>
      </w:r>
      <w:r>
        <w:rPr>
          <w:rFonts w:hint="eastAsia" w:ascii="仿宋" w:hAnsi="仿宋" w:eastAsia="仿宋" w:cs="仿宋"/>
          <w:highlight w:val="none"/>
          <w:lang w:eastAsia="zh-CN"/>
        </w:rPr>
        <w:t>供应商</w:t>
      </w:r>
      <w:r>
        <w:rPr>
          <w:rFonts w:hint="eastAsia" w:ascii="仿宋" w:hAnsi="仿宋" w:eastAsia="仿宋" w:cs="仿宋"/>
          <w:highlight w:val="none"/>
        </w:rPr>
        <w:t>试图在投标文件审查、澄清、比较和评标时对评标委员会、采购人和采购代理机构施加任何影响都可能导致其投标无效。</w:t>
      </w:r>
    </w:p>
    <w:p w14:paraId="4B5BBAC9">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9</w:t>
      </w:r>
      <w:r>
        <w:rPr>
          <w:rFonts w:hint="eastAsia" w:ascii="仿宋" w:hAnsi="仿宋" w:eastAsia="仿宋" w:cs="仿宋"/>
          <w:b/>
          <w:highlight w:val="none"/>
        </w:rPr>
        <w:t>.</w:t>
      </w:r>
      <w:r>
        <w:rPr>
          <w:rFonts w:hint="eastAsia" w:ascii="仿宋" w:hAnsi="仿宋" w:eastAsia="仿宋" w:cs="仿宋"/>
          <w:b/>
          <w:highlight w:val="none"/>
          <w:lang w:eastAsia="zh-CN"/>
        </w:rPr>
        <w:t>供应商</w:t>
      </w:r>
      <w:r>
        <w:rPr>
          <w:rFonts w:hint="eastAsia" w:ascii="仿宋" w:hAnsi="仿宋" w:eastAsia="仿宋" w:cs="仿宋"/>
          <w:b/>
          <w:highlight w:val="none"/>
        </w:rPr>
        <w:t>瑕疵滞后发现的处理规则</w:t>
      </w:r>
    </w:p>
    <w:p w14:paraId="3DE2681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9</w:t>
      </w:r>
      <w:r>
        <w:rPr>
          <w:rFonts w:hint="eastAsia" w:ascii="仿宋" w:hAnsi="仿宋" w:eastAsia="仿宋" w:cs="仿宋"/>
          <w:highlight w:val="none"/>
        </w:rPr>
        <w:t>.1 无论基于何种原因，各项本应作拒绝处理的情形即便未被及时发现而使该</w:t>
      </w:r>
      <w:r>
        <w:rPr>
          <w:rFonts w:hint="eastAsia" w:ascii="仿宋" w:hAnsi="仿宋" w:eastAsia="仿宋" w:cs="仿宋"/>
          <w:highlight w:val="none"/>
          <w:lang w:eastAsia="zh-CN"/>
        </w:rPr>
        <w:t>供应商</w:t>
      </w:r>
      <w:r>
        <w:rPr>
          <w:rFonts w:hint="eastAsia" w:ascii="仿宋" w:hAnsi="仿宋" w:eastAsia="仿宋" w:cs="仿宋"/>
          <w:highlight w:val="none"/>
        </w:rPr>
        <w:t>进入初审、综合评审或其他后续程序，包括已经签订合同的情形，一旦</w:t>
      </w:r>
      <w:r>
        <w:rPr>
          <w:rFonts w:hint="eastAsia" w:ascii="仿宋" w:hAnsi="仿宋" w:eastAsia="仿宋" w:cs="仿宋"/>
          <w:highlight w:val="none"/>
          <w:lang w:eastAsia="zh-CN"/>
        </w:rPr>
        <w:t>供应商</w:t>
      </w:r>
      <w:r>
        <w:rPr>
          <w:rFonts w:hint="eastAsia" w:ascii="仿宋" w:hAnsi="仿宋" w:eastAsia="仿宋" w:cs="仿宋"/>
          <w:highlight w:val="none"/>
        </w:rPr>
        <w:t>被拒绝或该</w:t>
      </w:r>
      <w:r>
        <w:rPr>
          <w:rFonts w:hint="eastAsia" w:ascii="仿宋" w:hAnsi="仿宋" w:eastAsia="仿宋" w:cs="仿宋"/>
          <w:highlight w:val="none"/>
          <w:lang w:eastAsia="zh-CN"/>
        </w:rPr>
        <w:t>供应商</w:t>
      </w:r>
      <w:r>
        <w:rPr>
          <w:rFonts w:hint="eastAsia" w:ascii="仿宋" w:hAnsi="仿宋" w:eastAsia="仿宋" w:cs="仿宋"/>
          <w:highlight w:val="none"/>
        </w:rPr>
        <w:t>的此前评议结果被取消，其现有的位置将被其他</w:t>
      </w:r>
      <w:r>
        <w:rPr>
          <w:rFonts w:hint="eastAsia" w:ascii="仿宋" w:hAnsi="仿宋" w:eastAsia="仿宋" w:cs="仿宋"/>
          <w:highlight w:val="none"/>
          <w:lang w:eastAsia="zh-CN"/>
        </w:rPr>
        <w:t>供应商</w:t>
      </w:r>
      <w:r>
        <w:rPr>
          <w:rFonts w:hint="eastAsia" w:ascii="仿宋" w:hAnsi="仿宋" w:eastAsia="仿宋" w:cs="仿宋"/>
          <w:highlight w:val="none"/>
        </w:rPr>
        <w:t>依序替代，相关的一切损失均由该</w:t>
      </w:r>
      <w:r>
        <w:rPr>
          <w:rFonts w:hint="eastAsia" w:ascii="仿宋" w:hAnsi="仿宋" w:eastAsia="仿宋" w:cs="仿宋"/>
          <w:highlight w:val="none"/>
          <w:lang w:eastAsia="zh-CN"/>
        </w:rPr>
        <w:t>供应商</w:t>
      </w:r>
      <w:r>
        <w:rPr>
          <w:rFonts w:hint="eastAsia" w:ascii="仿宋" w:hAnsi="仿宋" w:eastAsia="仿宋" w:cs="仿宋"/>
          <w:highlight w:val="none"/>
        </w:rPr>
        <w:t>承担。</w:t>
      </w:r>
    </w:p>
    <w:p w14:paraId="31F27C4F">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lang w:val="en-US" w:eastAsia="zh-CN"/>
        </w:rPr>
        <w:t>30</w:t>
      </w:r>
      <w:r>
        <w:rPr>
          <w:rFonts w:hint="eastAsia" w:ascii="仿宋" w:hAnsi="仿宋" w:eastAsia="仿宋" w:cs="仿宋"/>
          <w:b/>
          <w:highlight w:val="none"/>
        </w:rPr>
        <w:t>.采购项目废标</w:t>
      </w:r>
    </w:p>
    <w:p w14:paraId="7A17685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val="en-US" w:eastAsia="zh-CN"/>
        </w:rPr>
        <w:t>30</w:t>
      </w:r>
      <w:r>
        <w:rPr>
          <w:rFonts w:hint="eastAsia" w:ascii="仿宋" w:hAnsi="仿宋" w:eastAsia="仿宋" w:cs="仿宋"/>
          <w:highlight w:val="none"/>
        </w:rPr>
        <w:t>.1 在评标过程中，评标委员会发现有下列情形之一的，应对采购项目予以废标：</w:t>
      </w:r>
    </w:p>
    <w:p w14:paraId="432801C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1）符合专业条件的</w:t>
      </w:r>
      <w:r>
        <w:rPr>
          <w:rFonts w:hint="eastAsia" w:ascii="仿宋" w:hAnsi="仿宋" w:eastAsia="仿宋" w:cs="仿宋"/>
          <w:highlight w:val="none"/>
          <w:lang w:eastAsia="zh-CN"/>
        </w:rPr>
        <w:t>供应商</w:t>
      </w:r>
      <w:r>
        <w:rPr>
          <w:rFonts w:hint="eastAsia" w:ascii="仿宋" w:hAnsi="仿宋" w:eastAsia="仿宋" w:cs="仿宋"/>
          <w:highlight w:val="none"/>
        </w:rPr>
        <w:t>或者对招标文件作实质响应的</w:t>
      </w:r>
      <w:r>
        <w:rPr>
          <w:rFonts w:hint="eastAsia" w:ascii="仿宋" w:hAnsi="仿宋" w:eastAsia="仿宋" w:cs="仿宋"/>
          <w:highlight w:val="none"/>
          <w:lang w:eastAsia="zh-CN"/>
        </w:rPr>
        <w:t>供应商</w:t>
      </w:r>
      <w:r>
        <w:rPr>
          <w:rFonts w:hint="eastAsia" w:ascii="仿宋" w:hAnsi="仿宋" w:eastAsia="仿宋" w:cs="仿宋"/>
          <w:highlight w:val="none"/>
        </w:rPr>
        <w:t>数量不足，导致进入详细评审、打分阶段的</w:t>
      </w:r>
      <w:r>
        <w:rPr>
          <w:rFonts w:hint="eastAsia" w:ascii="仿宋" w:hAnsi="仿宋" w:eastAsia="仿宋" w:cs="仿宋"/>
          <w:highlight w:val="none"/>
          <w:lang w:eastAsia="zh-CN"/>
        </w:rPr>
        <w:t>供应商</w:t>
      </w:r>
      <w:r>
        <w:rPr>
          <w:rFonts w:hint="eastAsia" w:ascii="仿宋" w:hAnsi="仿宋" w:eastAsia="仿宋" w:cs="仿宋"/>
          <w:highlight w:val="none"/>
        </w:rPr>
        <w:t xml:space="preserve">不足3家的； </w:t>
      </w:r>
    </w:p>
    <w:p w14:paraId="5AA8F14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供应商</w:t>
      </w:r>
      <w:r>
        <w:rPr>
          <w:rFonts w:hint="eastAsia" w:ascii="仿宋" w:hAnsi="仿宋" w:eastAsia="仿宋" w:cs="仿宋"/>
          <w:highlight w:val="none"/>
        </w:rPr>
        <w:t>的报价不符合招标文件要求的；</w:t>
      </w:r>
    </w:p>
    <w:p w14:paraId="531F583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3）出现影响采购公正的违法、违规行为的；</w:t>
      </w:r>
    </w:p>
    <w:p w14:paraId="722AAA8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4）因重大变故，采购任务取消的。</w:t>
      </w:r>
    </w:p>
    <w:p w14:paraId="4E426D1C">
      <w:pPr>
        <w:snapToGrid w:val="0"/>
        <w:spacing w:line="360" w:lineRule="auto"/>
        <w:jc w:val="center"/>
        <w:rPr>
          <w:rFonts w:hint="eastAsia" w:ascii="仿宋" w:hAnsi="仿宋" w:eastAsia="仿宋" w:cs="仿宋"/>
          <w:b/>
          <w:kern w:val="2"/>
          <w:sz w:val="28"/>
          <w:szCs w:val="32"/>
          <w:highlight w:val="none"/>
          <w:lang w:val="zh-CN"/>
        </w:rPr>
      </w:pPr>
      <w:bookmarkStart w:id="39" w:name="_Toc17481"/>
      <w:bookmarkStart w:id="40" w:name="_Toc15082"/>
      <w:r>
        <w:rPr>
          <w:rFonts w:hint="eastAsia" w:ascii="仿宋" w:hAnsi="仿宋" w:eastAsia="仿宋" w:cs="仿宋"/>
          <w:b/>
          <w:kern w:val="2"/>
          <w:sz w:val="28"/>
          <w:szCs w:val="32"/>
          <w:highlight w:val="none"/>
          <w:lang w:val="zh-CN"/>
        </w:rPr>
        <w:t>八、履约保证金(见供应商须知前附表)</w:t>
      </w:r>
      <w:bookmarkEnd w:id="39"/>
      <w:bookmarkEnd w:id="40"/>
    </w:p>
    <w:p w14:paraId="710B940A">
      <w:pPr>
        <w:snapToGrid w:val="0"/>
        <w:spacing w:line="360" w:lineRule="auto"/>
        <w:jc w:val="center"/>
        <w:rPr>
          <w:rFonts w:hint="eastAsia" w:ascii="仿宋" w:hAnsi="仿宋" w:eastAsia="仿宋" w:cs="仿宋"/>
          <w:b/>
          <w:kern w:val="2"/>
          <w:sz w:val="28"/>
          <w:szCs w:val="32"/>
          <w:highlight w:val="none"/>
          <w:lang w:val="zh-CN"/>
        </w:rPr>
      </w:pPr>
      <w:bookmarkStart w:id="41" w:name="_Toc21839"/>
      <w:r>
        <w:rPr>
          <w:rFonts w:hint="eastAsia" w:ascii="仿宋" w:hAnsi="仿宋" w:eastAsia="仿宋" w:cs="仿宋"/>
          <w:b/>
          <w:kern w:val="2"/>
          <w:sz w:val="28"/>
          <w:szCs w:val="32"/>
          <w:highlight w:val="none"/>
          <w:lang w:val="zh-CN"/>
        </w:rPr>
        <w:t>九、代理服务费</w:t>
      </w:r>
      <w:bookmarkEnd w:id="41"/>
    </w:p>
    <w:p w14:paraId="0A8B1DB1">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1</w:t>
      </w:r>
      <w:r>
        <w:rPr>
          <w:rFonts w:hint="eastAsia" w:ascii="仿宋" w:hAnsi="仿宋" w:eastAsia="仿宋" w:cs="仿宋"/>
          <w:b/>
          <w:highlight w:val="none"/>
        </w:rPr>
        <w:t>.代理服务费</w:t>
      </w:r>
    </w:p>
    <w:p w14:paraId="4DC4BA4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1</w:t>
      </w:r>
      <w:r>
        <w:rPr>
          <w:rFonts w:hint="eastAsia" w:ascii="仿宋" w:hAnsi="仿宋" w:eastAsia="仿宋" w:cs="仿宋"/>
          <w:highlight w:val="none"/>
        </w:rPr>
        <w:t>.1 代理服务费按照招标文件“</w:t>
      </w:r>
      <w:r>
        <w:rPr>
          <w:rFonts w:hint="eastAsia" w:ascii="仿宋" w:hAnsi="仿宋" w:eastAsia="仿宋" w:cs="仿宋"/>
          <w:highlight w:val="none"/>
          <w:lang w:eastAsia="zh-CN"/>
        </w:rPr>
        <w:t>供应商</w:t>
      </w:r>
      <w:r>
        <w:rPr>
          <w:rFonts w:hint="eastAsia" w:ascii="仿宋" w:hAnsi="仿宋" w:eastAsia="仿宋" w:cs="仿宋"/>
          <w:highlight w:val="none"/>
        </w:rPr>
        <w:t>须知前附表”中第</w:t>
      </w:r>
      <w:r>
        <w:rPr>
          <w:rFonts w:hint="eastAsia" w:ascii="仿宋" w:hAnsi="仿宋" w:eastAsia="仿宋" w:cs="仿宋"/>
          <w:highlight w:val="none"/>
          <w:lang w:val="en-US" w:eastAsia="zh-CN"/>
        </w:rPr>
        <w:t>28</w:t>
      </w:r>
      <w:r>
        <w:rPr>
          <w:rFonts w:hint="eastAsia" w:ascii="仿宋" w:hAnsi="仿宋" w:eastAsia="仿宋" w:cs="仿宋"/>
          <w:highlight w:val="none"/>
        </w:rPr>
        <w:t>项的规定由中标人交纳，请</w:t>
      </w:r>
      <w:r>
        <w:rPr>
          <w:rFonts w:hint="eastAsia" w:ascii="仿宋" w:hAnsi="仿宋" w:eastAsia="仿宋" w:cs="仿宋"/>
          <w:highlight w:val="none"/>
          <w:lang w:eastAsia="zh-CN"/>
        </w:rPr>
        <w:t>供应商</w:t>
      </w:r>
      <w:r>
        <w:rPr>
          <w:rFonts w:hint="eastAsia" w:ascii="仿宋" w:hAnsi="仿宋" w:eastAsia="仿宋" w:cs="仿宋"/>
          <w:highlight w:val="none"/>
        </w:rPr>
        <w:t>在测算投标报价时充分考虑这一因素。</w:t>
      </w:r>
    </w:p>
    <w:p w14:paraId="79C8BB31">
      <w:pPr>
        <w:snapToGrid w:val="0"/>
        <w:spacing w:line="360" w:lineRule="auto"/>
        <w:jc w:val="center"/>
        <w:rPr>
          <w:rFonts w:hint="eastAsia" w:ascii="仿宋" w:hAnsi="仿宋" w:eastAsia="仿宋" w:cs="仿宋"/>
          <w:b/>
          <w:kern w:val="2"/>
          <w:sz w:val="28"/>
          <w:szCs w:val="32"/>
          <w:highlight w:val="none"/>
          <w:lang w:val="zh-CN"/>
        </w:rPr>
      </w:pPr>
      <w:bookmarkStart w:id="42" w:name="_Toc23307"/>
      <w:bookmarkStart w:id="43" w:name="_Toc28150"/>
      <w:r>
        <w:rPr>
          <w:rFonts w:hint="eastAsia" w:ascii="仿宋" w:hAnsi="仿宋" w:eastAsia="仿宋" w:cs="仿宋"/>
          <w:b/>
          <w:kern w:val="2"/>
          <w:sz w:val="28"/>
          <w:szCs w:val="32"/>
          <w:highlight w:val="none"/>
          <w:lang w:val="zh-CN"/>
        </w:rPr>
        <w:t>十、签订、审核合同</w:t>
      </w:r>
      <w:bookmarkEnd w:id="42"/>
      <w:bookmarkEnd w:id="43"/>
    </w:p>
    <w:p w14:paraId="2867A59A">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2</w:t>
      </w:r>
      <w:r>
        <w:rPr>
          <w:rFonts w:hint="eastAsia" w:ascii="仿宋" w:hAnsi="仿宋" w:eastAsia="仿宋" w:cs="仿宋"/>
          <w:b/>
          <w:highlight w:val="none"/>
        </w:rPr>
        <w:t>.中标通知</w:t>
      </w:r>
    </w:p>
    <w:p w14:paraId="7DF84E2E">
      <w:pPr>
        <w:snapToGrid w:val="0"/>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2</w:t>
      </w:r>
      <w:r>
        <w:rPr>
          <w:rFonts w:hint="eastAsia" w:ascii="仿宋" w:hAnsi="仿宋" w:eastAsia="仿宋" w:cs="仿宋"/>
          <w:highlight w:val="none"/>
        </w:rPr>
        <w:t>.1 中标人确定后,采购代理机构将在相关政府采购信息发布媒体上发布中标公告，并以书面形式向中标人发出中标通知书，但该中标结果的有效性不依赖于未中标的</w:t>
      </w:r>
      <w:r>
        <w:rPr>
          <w:rFonts w:hint="eastAsia" w:ascii="仿宋" w:hAnsi="仿宋" w:eastAsia="仿宋" w:cs="仿宋"/>
          <w:highlight w:val="none"/>
          <w:lang w:eastAsia="zh-CN"/>
        </w:rPr>
        <w:t>供应商</w:t>
      </w:r>
      <w:r>
        <w:rPr>
          <w:rFonts w:hint="eastAsia" w:ascii="仿宋" w:hAnsi="仿宋" w:eastAsia="仿宋" w:cs="仿宋"/>
          <w:highlight w:val="none"/>
        </w:rPr>
        <w:t>是否已经收到该通知。中标人应按照招标文件的规定交纳履约保证金、代理服务费并经采购代理机构确认后，委派专人持介绍信或授权书和身份证件前往采购代理机构领取中标通知书。中标通知书对采购人和中标人具有同等法律效力。中标通知书发出以后，采购人改变中标结果或者中标人放弃中标，应当承担相应的法律责任。</w:t>
      </w:r>
    </w:p>
    <w:p w14:paraId="46692A1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.2 采购代理机构对未中标的</w:t>
      </w:r>
      <w:r>
        <w:rPr>
          <w:rFonts w:hint="eastAsia" w:ascii="仿宋" w:hAnsi="仿宋" w:eastAsia="仿宋" w:cs="仿宋"/>
          <w:highlight w:val="none"/>
          <w:lang w:eastAsia="zh-CN"/>
        </w:rPr>
        <w:t>供应商</w:t>
      </w:r>
      <w:r>
        <w:rPr>
          <w:rFonts w:hint="eastAsia" w:ascii="仿宋" w:hAnsi="仿宋" w:eastAsia="仿宋" w:cs="仿宋"/>
          <w:highlight w:val="none"/>
        </w:rPr>
        <w:t>不作未中标原因的解释，但中标结果的有效性不以未中标的</w:t>
      </w:r>
      <w:r>
        <w:rPr>
          <w:rFonts w:hint="eastAsia" w:ascii="仿宋" w:hAnsi="仿宋" w:eastAsia="仿宋" w:cs="仿宋"/>
          <w:highlight w:val="none"/>
          <w:lang w:eastAsia="zh-CN"/>
        </w:rPr>
        <w:t>供应商</w:t>
      </w:r>
      <w:r>
        <w:rPr>
          <w:rFonts w:hint="eastAsia" w:ascii="仿宋" w:hAnsi="仿宋" w:eastAsia="仿宋" w:cs="仿宋"/>
          <w:highlight w:val="none"/>
        </w:rPr>
        <w:t>是否收到相应的通知为前提。</w:t>
      </w:r>
    </w:p>
    <w:p w14:paraId="5D95637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.3 中标通知书是合同的组成部分。</w:t>
      </w:r>
    </w:p>
    <w:p w14:paraId="58FD3062">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3</w:t>
      </w:r>
      <w:r>
        <w:rPr>
          <w:rFonts w:hint="eastAsia" w:ascii="仿宋" w:hAnsi="仿宋" w:eastAsia="仿宋" w:cs="仿宋"/>
          <w:b/>
          <w:highlight w:val="none"/>
        </w:rPr>
        <w:t>.签订合同</w:t>
      </w:r>
    </w:p>
    <w:p w14:paraId="45B5E8D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.1 中标人须在中标通知书发出之日起30日内与采购人签订采购合同。</w:t>
      </w:r>
    </w:p>
    <w:p w14:paraId="3F484D9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.2 中标人须按照招标文件、投标文件及评标过程中的有关澄清、说明或者补正文件的内容与采购人签订合同。中标人不得再与采购人签订背离合同实质性内容的其他协议或声明。</w:t>
      </w:r>
    </w:p>
    <w:p w14:paraId="15911FD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.3 采购人如需追加与合同标的相同的</w:t>
      </w:r>
      <w:r>
        <w:rPr>
          <w:rFonts w:hint="eastAsia" w:ascii="仿宋" w:hAnsi="仿宋" w:eastAsia="仿宋" w:cs="仿宋"/>
          <w:highlight w:val="none"/>
          <w:lang w:eastAsia="zh-CN"/>
        </w:rPr>
        <w:t>货物</w:t>
      </w:r>
      <w:r>
        <w:rPr>
          <w:rFonts w:hint="eastAsia" w:ascii="仿宋" w:hAnsi="仿宋" w:eastAsia="仿宋" w:cs="仿宋"/>
          <w:highlight w:val="none"/>
        </w:rPr>
        <w:t>，在不改变合同其他条款的前提下，提交追加合同的申请报经同级财政部门审核后，可与中标人签订补充合同，但所有补充合同的采购金额不得超过原合同金额的百分之十。</w:t>
      </w:r>
    </w:p>
    <w:p w14:paraId="7AEE58F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.4 中标人一旦中标及签订合同后，不得转包，亦不得将合同全部及任何权利、义务向第三方转让。</w:t>
      </w:r>
    </w:p>
    <w:p w14:paraId="1932622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.5 中标人不履行合同的，采购人可在报经同级人民政府财政部门核准后，与排位在中标人之后的第一位中标候选</w:t>
      </w:r>
      <w:r>
        <w:rPr>
          <w:rFonts w:hint="eastAsia" w:ascii="仿宋" w:hAnsi="仿宋" w:eastAsia="仿宋" w:cs="仿宋"/>
          <w:highlight w:val="none"/>
          <w:lang w:eastAsia="zh-CN"/>
        </w:rPr>
        <w:t>供应商</w:t>
      </w:r>
      <w:r>
        <w:rPr>
          <w:rFonts w:hint="eastAsia" w:ascii="仿宋" w:hAnsi="仿宋" w:eastAsia="仿宋" w:cs="仿宋"/>
          <w:highlight w:val="none"/>
        </w:rPr>
        <w:t>签订合同，以此类推；或在报经同级人民政府财政部门核准后重新组织采购。</w:t>
      </w:r>
    </w:p>
    <w:p w14:paraId="5548BAE7">
      <w:pPr>
        <w:snapToGrid w:val="0"/>
        <w:spacing w:line="360" w:lineRule="auto"/>
        <w:jc w:val="center"/>
        <w:rPr>
          <w:rFonts w:hint="eastAsia" w:ascii="仿宋" w:hAnsi="仿宋" w:eastAsia="仿宋" w:cs="仿宋"/>
          <w:b/>
          <w:kern w:val="2"/>
          <w:sz w:val="28"/>
          <w:szCs w:val="32"/>
          <w:highlight w:val="none"/>
          <w:lang w:val="zh-CN"/>
        </w:rPr>
      </w:pPr>
      <w:bookmarkStart w:id="44" w:name="_Toc16351"/>
      <w:bookmarkStart w:id="45" w:name="_Toc2538"/>
      <w:r>
        <w:rPr>
          <w:rFonts w:hint="eastAsia" w:ascii="仿宋" w:hAnsi="仿宋" w:eastAsia="仿宋" w:cs="仿宋"/>
          <w:b/>
          <w:kern w:val="2"/>
          <w:sz w:val="28"/>
          <w:szCs w:val="32"/>
          <w:highlight w:val="none"/>
          <w:lang w:val="zh-CN"/>
        </w:rPr>
        <w:t>十一、处罚、询问和质疑</w:t>
      </w:r>
      <w:bookmarkEnd w:id="44"/>
      <w:bookmarkEnd w:id="45"/>
      <w:r>
        <w:rPr>
          <w:rFonts w:hint="eastAsia" w:ascii="仿宋" w:hAnsi="仿宋" w:eastAsia="仿宋" w:cs="仿宋"/>
          <w:b/>
          <w:kern w:val="2"/>
          <w:sz w:val="28"/>
          <w:szCs w:val="32"/>
          <w:highlight w:val="none"/>
          <w:lang w:val="zh-CN"/>
        </w:rPr>
        <w:t xml:space="preserve"> </w:t>
      </w:r>
    </w:p>
    <w:p w14:paraId="7FF44616">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4</w:t>
      </w:r>
      <w:r>
        <w:rPr>
          <w:rFonts w:hint="eastAsia" w:ascii="仿宋" w:hAnsi="仿宋" w:eastAsia="仿宋" w:cs="仿宋"/>
          <w:b/>
          <w:highlight w:val="none"/>
        </w:rPr>
        <w:t>.处罚</w:t>
      </w:r>
    </w:p>
    <w:p w14:paraId="3C56C1E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.1 发生下列情况之一，</w:t>
      </w:r>
      <w:r>
        <w:rPr>
          <w:rFonts w:hint="eastAsia" w:ascii="仿宋" w:hAnsi="仿宋" w:eastAsia="仿宋" w:cs="仿宋"/>
          <w:highlight w:val="none"/>
          <w:lang w:eastAsia="zh-CN"/>
        </w:rPr>
        <w:t>供应商</w:t>
      </w:r>
      <w:r>
        <w:rPr>
          <w:rFonts w:hint="eastAsia" w:ascii="仿宋" w:hAnsi="仿宋" w:eastAsia="仿宋" w:cs="仿宋"/>
          <w:highlight w:val="none"/>
        </w:rPr>
        <w:t>的保证金不予退还；情节严重的将其列入不良记录名单。</w:t>
      </w:r>
    </w:p>
    <w:p w14:paraId="21DA742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1）开标后在投标有效期内，</w:t>
      </w:r>
      <w:r>
        <w:rPr>
          <w:rFonts w:hint="eastAsia" w:ascii="仿宋" w:hAnsi="仿宋" w:eastAsia="仿宋" w:cs="仿宋"/>
          <w:highlight w:val="none"/>
          <w:lang w:eastAsia="zh-CN"/>
        </w:rPr>
        <w:t>供应商</w:t>
      </w:r>
      <w:r>
        <w:rPr>
          <w:rFonts w:hint="eastAsia" w:ascii="仿宋" w:hAnsi="仿宋" w:eastAsia="仿宋" w:cs="仿宋"/>
          <w:highlight w:val="none"/>
        </w:rPr>
        <w:t>撤回其投标；</w:t>
      </w:r>
    </w:p>
    <w:p w14:paraId="194CE2A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2）中标后无正当理由不与采购人签订合同的；</w:t>
      </w:r>
    </w:p>
    <w:p w14:paraId="02E2A46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3）中标人与采购人订立背离合同实质性内容的其他协议；</w:t>
      </w:r>
    </w:p>
    <w:p w14:paraId="00C8671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4）将中标项目转让给他人，或者在投标文件中未说明，且未经采购代理机构同意，将中标项目分包给他人的；</w:t>
      </w:r>
    </w:p>
    <w:p w14:paraId="3C4899D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5）存在串通投标行为的；</w:t>
      </w:r>
    </w:p>
    <w:p w14:paraId="27504D9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6）存在弄虚作假或提供虚假材料谋取中标的；</w:t>
      </w:r>
    </w:p>
    <w:p w14:paraId="2404B99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eastAsia="zh-CN"/>
        </w:rPr>
        <w:t>供应商</w:t>
      </w:r>
      <w:r>
        <w:rPr>
          <w:rFonts w:hint="eastAsia" w:ascii="仿宋" w:hAnsi="仿宋" w:eastAsia="仿宋" w:cs="仿宋"/>
          <w:highlight w:val="none"/>
        </w:rPr>
        <w:t>其他未按招标文件规定和合同约定履行义务的行为。</w:t>
      </w:r>
    </w:p>
    <w:p w14:paraId="35F4D13D">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5</w:t>
      </w:r>
      <w:r>
        <w:rPr>
          <w:rFonts w:hint="eastAsia" w:ascii="仿宋" w:hAnsi="仿宋" w:eastAsia="仿宋" w:cs="仿宋"/>
          <w:b/>
          <w:highlight w:val="none"/>
        </w:rPr>
        <w:t>．询问</w:t>
      </w:r>
    </w:p>
    <w:p w14:paraId="0D3A9BD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5</w:t>
      </w:r>
      <w:r>
        <w:rPr>
          <w:rFonts w:hint="eastAsia" w:ascii="仿宋" w:hAnsi="仿宋" w:eastAsia="仿宋" w:cs="仿宋"/>
          <w:highlight w:val="none"/>
        </w:rPr>
        <w:t xml:space="preserve">.1 </w:t>
      </w:r>
      <w:r>
        <w:rPr>
          <w:rFonts w:hint="eastAsia" w:ascii="仿宋" w:hAnsi="仿宋" w:eastAsia="仿宋" w:cs="仿宋"/>
          <w:highlight w:val="none"/>
          <w:lang w:eastAsia="zh-CN"/>
        </w:rPr>
        <w:t>供应商</w:t>
      </w:r>
      <w:r>
        <w:rPr>
          <w:rFonts w:hint="eastAsia" w:ascii="仿宋" w:hAnsi="仿宋" w:eastAsia="仿宋" w:cs="仿宋"/>
          <w:highlight w:val="none"/>
        </w:rPr>
        <w:t>对采购事项有疑问的，可以向采购人或采购代理机构提出询问。</w:t>
      </w:r>
    </w:p>
    <w:p w14:paraId="2A7B1080">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6</w:t>
      </w:r>
      <w:r>
        <w:rPr>
          <w:rFonts w:hint="eastAsia" w:ascii="仿宋" w:hAnsi="仿宋" w:eastAsia="仿宋" w:cs="仿宋"/>
          <w:b/>
          <w:highlight w:val="none"/>
        </w:rPr>
        <w:t>.</w:t>
      </w:r>
      <w:r>
        <w:rPr>
          <w:rFonts w:hint="eastAsia" w:ascii="仿宋" w:hAnsi="仿宋" w:eastAsia="仿宋" w:cs="仿宋"/>
          <w:b/>
          <w:highlight w:val="none"/>
          <w:lang w:eastAsia="zh-CN"/>
        </w:rPr>
        <w:t>供应商</w:t>
      </w:r>
      <w:r>
        <w:rPr>
          <w:rFonts w:hint="eastAsia" w:ascii="仿宋" w:hAnsi="仿宋" w:eastAsia="仿宋" w:cs="仿宋"/>
          <w:b/>
          <w:highlight w:val="none"/>
        </w:rPr>
        <w:t>有权就招标事宜提出质疑</w:t>
      </w:r>
    </w:p>
    <w:p w14:paraId="0AB72A12">
      <w:pPr>
        <w:snapToGrid w:val="0"/>
        <w:spacing w:line="360" w:lineRule="auto"/>
        <w:ind w:firstLine="480" w:firstLineChars="200"/>
        <w:rPr>
          <w:rFonts w:hint="eastAsia" w:ascii="仿宋" w:hAnsi="仿宋" w:eastAsia="仿宋" w:cs="仿宋"/>
          <w:b/>
          <w:bCs/>
          <w:highlight w:val="none"/>
          <w:lang w:val="en-US" w:eastAsia="zh-CN"/>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 xml:space="preserve">.1 </w:t>
      </w:r>
      <w:r>
        <w:rPr>
          <w:rFonts w:hint="eastAsia" w:ascii="仿宋" w:hAnsi="仿宋" w:eastAsia="仿宋" w:cs="仿宋"/>
          <w:highlight w:val="none"/>
          <w:lang w:eastAsia="zh-CN"/>
        </w:rPr>
        <w:t>供应商</w:t>
      </w:r>
      <w:r>
        <w:rPr>
          <w:rFonts w:hint="eastAsia" w:ascii="仿宋" w:hAnsi="仿宋" w:eastAsia="仿宋" w:cs="仿宋"/>
          <w:highlight w:val="none"/>
        </w:rPr>
        <w:t>认为招标文件、采购过程和中标结果使自已的权益受到损害的，可以在知道或者应知其权益受到损害之日起7个工作日内，以书面形式提出质疑。</w:t>
      </w:r>
    </w:p>
    <w:p w14:paraId="39F3CF6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.2 质疑应当按照《中华人民共和国政府采购法》、《中华人民共和国政府采购法实施条例》、《政府采购</w:t>
      </w:r>
      <w:r>
        <w:rPr>
          <w:rFonts w:hint="eastAsia" w:ascii="仿宋" w:hAnsi="仿宋" w:eastAsia="仿宋" w:cs="仿宋"/>
          <w:highlight w:val="none"/>
          <w:lang w:eastAsia="zh-CN"/>
        </w:rPr>
        <w:t>供应商</w:t>
      </w:r>
      <w:r>
        <w:rPr>
          <w:rFonts w:hint="eastAsia" w:ascii="仿宋" w:hAnsi="仿宋" w:eastAsia="仿宋" w:cs="仿宋"/>
          <w:highlight w:val="none"/>
        </w:rPr>
        <w:t>投诉处理办法》等法律法规的相关规定，以书面形式向采购代理机构提出。</w:t>
      </w:r>
    </w:p>
    <w:p w14:paraId="1322311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.3 质疑书应当附上相关证明材料，否则质疑将视为无有效证据支持，将被予以驳回，并不得以上述理由要求延长质疑有效期。未递交投标文件的</w:t>
      </w:r>
      <w:r>
        <w:rPr>
          <w:rFonts w:hint="eastAsia" w:ascii="仿宋" w:hAnsi="仿宋" w:eastAsia="仿宋" w:cs="仿宋"/>
          <w:highlight w:val="none"/>
          <w:lang w:eastAsia="zh-CN"/>
        </w:rPr>
        <w:t>供应商</w:t>
      </w:r>
      <w:r>
        <w:rPr>
          <w:rFonts w:hint="eastAsia" w:ascii="仿宋" w:hAnsi="仿宋" w:eastAsia="仿宋" w:cs="仿宋"/>
          <w:highlight w:val="none"/>
        </w:rPr>
        <w:t>，其未参加后续采购活动，不得对递交投标文件截止后的采购过程、采购结果提出质疑。</w:t>
      </w:r>
    </w:p>
    <w:p w14:paraId="282427D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.4 质疑人可以采取直接送达或者邮寄方式提交质疑书。采购代理机构收到质疑书后，对质疑书进行审查，对符合质疑条件的将办理签收手续，自签收质疑书之日起即为受理。</w:t>
      </w:r>
    </w:p>
    <w:p w14:paraId="46E9E08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.5 采购代理机构将在受理书面质疑后7个工作日内审查质疑事项，作出答复或相关处理决定，并以书面形式通知质疑人和其他相关</w:t>
      </w:r>
      <w:r>
        <w:rPr>
          <w:rFonts w:hint="eastAsia" w:ascii="仿宋" w:hAnsi="仿宋" w:eastAsia="仿宋" w:cs="仿宋"/>
          <w:highlight w:val="none"/>
          <w:lang w:eastAsia="zh-CN"/>
        </w:rPr>
        <w:t>供应商</w:t>
      </w:r>
      <w:r>
        <w:rPr>
          <w:rFonts w:hint="eastAsia" w:ascii="仿宋" w:hAnsi="仿宋" w:eastAsia="仿宋" w:cs="仿宋"/>
          <w:highlight w:val="none"/>
        </w:rPr>
        <w:t>，但答复的内容不涉及商业秘密。</w:t>
      </w:r>
    </w:p>
    <w:p w14:paraId="71600B8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 xml:space="preserve">.6 </w:t>
      </w:r>
      <w:r>
        <w:rPr>
          <w:rFonts w:hint="eastAsia" w:ascii="仿宋" w:hAnsi="仿宋" w:eastAsia="仿宋" w:cs="仿宋"/>
          <w:highlight w:val="none"/>
          <w:lang w:eastAsia="zh-CN"/>
        </w:rPr>
        <w:t>供应商</w:t>
      </w:r>
      <w:r>
        <w:rPr>
          <w:rFonts w:hint="eastAsia" w:ascii="仿宋" w:hAnsi="仿宋" w:eastAsia="仿宋" w:cs="仿宋"/>
          <w:highlight w:val="none"/>
        </w:rPr>
        <w:t>进行虚假和恶意质疑的，采购代理机构将提请有关部门将其列入不良记录名单，在一至三年内禁止参加政府采购活动，并将处理决定在相关政府采购媒体上公布。</w:t>
      </w:r>
    </w:p>
    <w:p w14:paraId="1B2CB09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.7 质疑人对答复不满意以及采购代理机构未在规定的时间内作出答复的，可以在答复期满后15个工作日内向财政部门投拆。</w:t>
      </w:r>
    </w:p>
    <w:p w14:paraId="0855CC56">
      <w:pPr>
        <w:pStyle w:val="16"/>
        <w:rPr>
          <w:rFonts w:hint="eastAsia"/>
          <w:highlight w:val="none"/>
        </w:rPr>
      </w:pPr>
    </w:p>
    <w:p w14:paraId="5036883D">
      <w:pPr>
        <w:snapToGrid w:val="0"/>
        <w:spacing w:line="360" w:lineRule="auto"/>
        <w:jc w:val="center"/>
        <w:rPr>
          <w:rFonts w:hint="eastAsia" w:ascii="仿宋" w:hAnsi="仿宋" w:eastAsia="仿宋" w:cs="仿宋"/>
          <w:b/>
          <w:kern w:val="2"/>
          <w:sz w:val="28"/>
          <w:szCs w:val="32"/>
          <w:highlight w:val="none"/>
        </w:rPr>
      </w:pPr>
      <w:bookmarkStart w:id="46" w:name="_Toc3580"/>
      <w:bookmarkStart w:id="47" w:name="_Toc15729"/>
      <w:r>
        <w:rPr>
          <w:rFonts w:hint="eastAsia" w:ascii="仿宋" w:hAnsi="仿宋" w:eastAsia="仿宋" w:cs="仿宋"/>
          <w:b/>
          <w:kern w:val="2"/>
          <w:sz w:val="28"/>
          <w:szCs w:val="32"/>
          <w:highlight w:val="none"/>
          <w:lang w:val="zh-CN"/>
        </w:rPr>
        <w:t>十二、保密和披露</w:t>
      </w:r>
      <w:bookmarkEnd w:id="46"/>
      <w:bookmarkEnd w:id="47"/>
    </w:p>
    <w:p w14:paraId="30C3D12F">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7</w:t>
      </w:r>
      <w:r>
        <w:rPr>
          <w:rFonts w:hint="eastAsia" w:ascii="仿宋" w:hAnsi="仿宋" w:eastAsia="仿宋" w:cs="仿宋"/>
          <w:b/>
          <w:highlight w:val="none"/>
        </w:rPr>
        <w:t>.保密和披露</w:t>
      </w:r>
    </w:p>
    <w:p w14:paraId="0427B94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 xml:space="preserve">.1 </w:t>
      </w:r>
      <w:r>
        <w:rPr>
          <w:rFonts w:hint="eastAsia" w:ascii="仿宋" w:hAnsi="仿宋" w:eastAsia="仿宋" w:cs="仿宋"/>
          <w:highlight w:val="none"/>
          <w:lang w:eastAsia="zh-CN"/>
        </w:rPr>
        <w:t>供应商</w:t>
      </w:r>
      <w:r>
        <w:rPr>
          <w:rFonts w:hint="eastAsia" w:ascii="仿宋" w:hAnsi="仿宋" w:eastAsia="仿宋" w:cs="仿宋"/>
          <w:highlight w:val="none"/>
        </w:rPr>
        <w:t>自领取招标文件之日起，须承担本招标项目保密义务，不得将因本次招标获得的信息向第三人外传。由采购人向</w:t>
      </w:r>
      <w:r>
        <w:rPr>
          <w:rFonts w:hint="eastAsia" w:ascii="仿宋" w:hAnsi="仿宋" w:eastAsia="仿宋" w:cs="仿宋"/>
          <w:highlight w:val="none"/>
          <w:lang w:eastAsia="zh-CN"/>
        </w:rPr>
        <w:t>供应商</w:t>
      </w:r>
      <w:r>
        <w:rPr>
          <w:rFonts w:hint="eastAsia" w:ascii="仿宋" w:hAnsi="仿宋" w:eastAsia="仿宋" w:cs="仿宋"/>
          <w:highlight w:val="none"/>
        </w:rPr>
        <w:t>提供的图纸、详细资料、样品、模型、模件和所有其它资料，被视为保密资料，仅被用于它所规定的用途。除非得到采购人的同意，不能向任何第三方透露。开标结束后，应采购人要求，</w:t>
      </w:r>
      <w:r>
        <w:rPr>
          <w:rFonts w:hint="eastAsia" w:ascii="仿宋" w:hAnsi="仿宋" w:eastAsia="仿宋" w:cs="仿宋"/>
          <w:highlight w:val="none"/>
          <w:lang w:eastAsia="zh-CN"/>
        </w:rPr>
        <w:t>供应商</w:t>
      </w:r>
      <w:r>
        <w:rPr>
          <w:rFonts w:hint="eastAsia" w:ascii="仿宋" w:hAnsi="仿宋" w:eastAsia="仿宋" w:cs="仿宋"/>
          <w:highlight w:val="none"/>
        </w:rPr>
        <w:t>应归还所有从采购人处获得的保密资料。</w:t>
      </w:r>
    </w:p>
    <w:p w14:paraId="737C21E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.2 采购代理机构有权将</w:t>
      </w:r>
      <w:r>
        <w:rPr>
          <w:rFonts w:hint="eastAsia" w:ascii="仿宋" w:hAnsi="仿宋" w:eastAsia="仿宋" w:cs="仿宋"/>
          <w:highlight w:val="none"/>
          <w:lang w:eastAsia="zh-CN"/>
        </w:rPr>
        <w:t>供应商</w:t>
      </w:r>
      <w:r>
        <w:rPr>
          <w:rFonts w:hint="eastAsia" w:ascii="仿宋" w:hAnsi="仿宋" w:eastAsia="仿宋" w:cs="仿宋"/>
          <w:highlight w:val="none"/>
        </w:rPr>
        <w:t>提供的所有资料向有关政府部门或评审标书的有关人员披露。</w:t>
      </w:r>
    </w:p>
    <w:p w14:paraId="326C0131">
      <w:pPr>
        <w:snapToGrid w:val="0"/>
        <w:spacing w:line="360" w:lineRule="auto"/>
        <w:ind w:firstLine="480" w:firstLineChars="200"/>
        <w:rPr>
          <w:rFonts w:hint="eastAsia" w:ascii="仿宋" w:hAnsi="仿宋" w:eastAsia="仿宋" w:cs="仿宋"/>
          <w:highlight w:val="none"/>
        </w:rPr>
        <w:sectPr>
          <w:footerReference r:id="rId9" w:type="first"/>
          <w:footerReference r:id="rId8" w:type="default"/>
          <w:pgSz w:w="11906" w:h="16838"/>
          <w:pgMar w:top="1440" w:right="1797" w:bottom="1440" w:left="1797" w:header="851" w:footer="992" w:gutter="0"/>
          <w:pgNumType w:fmt="decimal"/>
          <w:cols w:space="720" w:num="1"/>
          <w:titlePg/>
          <w:docGrid w:type="lines" w:linePitch="312" w:charSpace="0"/>
        </w:sect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.3 在采购代理机构认为适当时、国家机关调查、审查、审计时以及其他符合法律规定的情形下，采购代理机构无须事先征求</w:t>
      </w:r>
      <w:r>
        <w:rPr>
          <w:rFonts w:hint="eastAsia" w:ascii="仿宋" w:hAnsi="仿宋" w:eastAsia="仿宋" w:cs="仿宋"/>
          <w:highlight w:val="none"/>
          <w:lang w:eastAsia="zh-CN"/>
        </w:rPr>
        <w:t>供应商</w:t>
      </w:r>
      <w:r>
        <w:rPr>
          <w:rFonts w:hint="eastAsia" w:ascii="仿宋" w:hAnsi="仿宋" w:eastAsia="仿宋" w:cs="仿宋"/>
          <w:highlight w:val="none"/>
        </w:rPr>
        <w:t>同意而可以披露关于采购过程、合同文本、签署情况的资料、</w:t>
      </w:r>
      <w:r>
        <w:rPr>
          <w:rFonts w:hint="eastAsia" w:ascii="仿宋" w:hAnsi="仿宋" w:eastAsia="仿宋" w:cs="仿宋"/>
          <w:highlight w:val="none"/>
          <w:lang w:eastAsia="zh-CN"/>
        </w:rPr>
        <w:t>供应商</w:t>
      </w:r>
      <w:r>
        <w:rPr>
          <w:rFonts w:hint="eastAsia" w:ascii="仿宋" w:hAnsi="仿宋" w:eastAsia="仿宋" w:cs="仿宋"/>
          <w:highlight w:val="none"/>
        </w:rPr>
        <w:t>的名称及地址、投标文件的有关信息以及补充条款等，但应当在合理的必要范围内。对任何已经公布过的内容或与之内容相同的资料，以及</w:t>
      </w:r>
      <w:r>
        <w:rPr>
          <w:rFonts w:hint="eastAsia" w:ascii="仿宋" w:hAnsi="仿宋" w:eastAsia="仿宋" w:cs="仿宋"/>
          <w:highlight w:val="none"/>
          <w:lang w:eastAsia="zh-CN"/>
        </w:rPr>
        <w:t>供应商</w:t>
      </w:r>
      <w:r>
        <w:rPr>
          <w:rFonts w:hint="eastAsia" w:ascii="仿宋" w:hAnsi="仿宋" w:eastAsia="仿宋" w:cs="仿宋"/>
          <w:highlight w:val="none"/>
        </w:rPr>
        <w:t>已经泄露或公开的，无须再承担保密责任。</w:t>
      </w:r>
    </w:p>
    <w:p w14:paraId="4AFA17DB">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rPr>
      </w:pPr>
      <w:bookmarkStart w:id="48" w:name="_Toc13352"/>
      <w:r>
        <w:rPr>
          <w:rFonts w:hint="eastAsia" w:ascii="仿宋" w:hAnsi="仿宋" w:eastAsia="仿宋" w:cs="仿宋"/>
          <w:b/>
          <w:bCs/>
          <w:sz w:val="32"/>
          <w:szCs w:val="32"/>
          <w:highlight w:val="none"/>
        </w:rPr>
        <w:t>第三章  评审办法（综合评分法）</w:t>
      </w:r>
      <w:bookmarkEnd w:id="20"/>
      <w:bookmarkEnd w:id="21"/>
      <w:bookmarkEnd w:id="22"/>
      <w:bookmarkEnd w:id="23"/>
      <w:bookmarkEnd w:id="24"/>
      <w:bookmarkEnd w:id="25"/>
      <w:bookmarkEnd w:id="26"/>
      <w:bookmarkEnd w:id="27"/>
      <w:bookmarkEnd w:id="28"/>
      <w:bookmarkEnd w:id="48"/>
    </w:p>
    <w:p w14:paraId="33FF69B4">
      <w:pPr>
        <w:keepNext w:val="0"/>
        <w:keepLines w:val="0"/>
        <w:pageBreakBefore w:val="0"/>
        <w:widowControl w:val="0"/>
        <w:kinsoku/>
        <w:wordWrap/>
        <w:overflowPunct/>
        <w:topLinePunct w:val="0"/>
        <w:bidi w:val="0"/>
        <w:adjustRightInd w:val="0"/>
        <w:snapToGrid w:val="0"/>
        <w:spacing w:line="40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一、评标方法：</w:t>
      </w:r>
      <w:r>
        <w:rPr>
          <w:rFonts w:hint="eastAsia" w:ascii="仿宋" w:hAnsi="仿宋" w:eastAsia="仿宋" w:cs="仿宋"/>
          <w:highlight w:val="none"/>
        </w:rPr>
        <w:t>本项目采用综合评</w:t>
      </w:r>
      <w:r>
        <w:rPr>
          <w:rFonts w:hint="eastAsia" w:ascii="仿宋" w:hAnsi="仿宋" w:eastAsia="仿宋" w:cs="仿宋"/>
          <w:highlight w:val="none"/>
          <w:lang w:eastAsia="zh-CN"/>
        </w:rPr>
        <w:t>分</w:t>
      </w:r>
      <w:r>
        <w:rPr>
          <w:rFonts w:hint="eastAsia" w:ascii="仿宋" w:hAnsi="仿宋" w:eastAsia="仿宋" w:cs="仿宋"/>
          <w:highlight w:val="none"/>
        </w:rPr>
        <w:t>法。</w:t>
      </w:r>
      <w:bookmarkStart w:id="49" w:name="_Toc188469662"/>
    </w:p>
    <w:p w14:paraId="624BC52A">
      <w:pPr>
        <w:keepNext w:val="0"/>
        <w:keepLines w:val="0"/>
        <w:pageBreakBefore w:val="0"/>
        <w:widowControl w:val="0"/>
        <w:kinsoku/>
        <w:wordWrap/>
        <w:overflowPunct/>
        <w:topLinePunct w:val="0"/>
        <w:bidi w:val="0"/>
        <w:adjustRightInd w:val="0"/>
        <w:snapToGrid w:val="0"/>
        <w:spacing w:line="40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二、评标流程：</w:t>
      </w:r>
      <w:r>
        <w:rPr>
          <w:rFonts w:hint="eastAsia" w:ascii="仿宋" w:hAnsi="仿宋" w:eastAsia="仿宋" w:cs="仿宋"/>
          <w:highlight w:val="none"/>
        </w:rPr>
        <w:t>评标委员会根据本评标办法对已接收的投标文件进行评审，向招标人提供评标排序结果，撰写评标报告，由招标人最终确定中标人。</w:t>
      </w:r>
      <w:bookmarkEnd w:id="49"/>
    </w:p>
    <w:p w14:paraId="595C8A89">
      <w:pPr>
        <w:keepNext w:val="0"/>
        <w:keepLines w:val="0"/>
        <w:pageBreakBefore w:val="0"/>
        <w:widowControl w:val="0"/>
        <w:kinsoku/>
        <w:wordWrap/>
        <w:overflowPunct/>
        <w:topLinePunct w:val="0"/>
        <w:bidi w:val="0"/>
        <w:adjustRightInd w:val="0"/>
        <w:snapToGrid w:val="0"/>
        <w:spacing w:line="400" w:lineRule="exact"/>
        <w:ind w:firstLine="482" w:firstLineChars="200"/>
        <w:textAlignment w:val="auto"/>
        <w:rPr>
          <w:rFonts w:hint="eastAsia" w:ascii="仿宋" w:hAnsi="仿宋" w:eastAsia="仿宋" w:cs="仿宋"/>
          <w:b/>
          <w:bCs/>
          <w:highlight w:val="none"/>
        </w:rPr>
      </w:pPr>
      <w:bookmarkStart w:id="50" w:name="_Toc188469663"/>
      <w:r>
        <w:rPr>
          <w:rFonts w:hint="eastAsia" w:ascii="仿宋" w:hAnsi="仿宋" w:eastAsia="仿宋" w:cs="仿宋"/>
          <w:b/>
          <w:bCs/>
          <w:highlight w:val="none"/>
        </w:rPr>
        <w:t>三、评标程序</w:t>
      </w:r>
      <w:bookmarkEnd w:id="50"/>
      <w:r>
        <w:rPr>
          <w:rFonts w:hint="eastAsia" w:ascii="仿宋" w:hAnsi="仿宋" w:eastAsia="仿宋" w:cs="仿宋"/>
          <w:b/>
          <w:bCs/>
          <w:highlight w:val="none"/>
        </w:rPr>
        <w:t>：</w:t>
      </w:r>
      <w:r>
        <w:rPr>
          <w:rFonts w:hint="eastAsia" w:ascii="仿宋" w:hAnsi="仿宋" w:eastAsia="仿宋" w:cs="仿宋"/>
          <w:highlight w:val="none"/>
        </w:rPr>
        <w:t>评标程序分为资格审查、符合性评审（初步评审）、详细评审、综合评分并提出评审意见。</w:t>
      </w:r>
    </w:p>
    <w:p w14:paraId="11E3B371">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1．资格审查</w:t>
      </w:r>
    </w:p>
    <w:p w14:paraId="1808AF4F">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1.1 采购人或者采购代理机构对招标文件中要求的资质文件系统地进行审查，确定合格</w:t>
      </w:r>
      <w:r>
        <w:rPr>
          <w:rFonts w:hint="eastAsia" w:ascii="仿宋" w:hAnsi="仿宋" w:eastAsia="仿宋" w:cs="仿宋"/>
          <w:highlight w:val="none"/>
          <w:lang w:eastAsia="zh-CN"/>
        </w:rPr>
        <w:t>供应商</w:t>
      </w:r>
      <w:r>
        <w:rPr>
          <w:rFonts w:hint="eastAsia" w:ascii="仿宋" w:hAnsi="仿宋" w:eastAsia="仿宋" w:cs="仿宋"/>
          <w:highlight w:val="none"/>
        </w:rPr>
        <w:t>。</w:t>
      </w:r>
    </w:p>
    <w:p w14:paraId="73974A9F">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1.2 只有通过资格审查合格的</w:t>
      </w:r>
      <w:r>
        <w:rPr>
          <w:rFonts w:hint="eastAsia" w:ascii="仿宋" w:hAnsi="仿宋" w:eastAsia="仿宋" w:cs="仿宋"/>
          <w:highlight w:val="none"/>
          <w:lang w:eastAsia="zh-CN"/>
        </w:rPr>
        <w:t>供应商</w:t>
      </w:r>
      <w:r>
        <w:rPr>
          <w:rFonts w:hint="eastAsia" w:ascii="仿宋" w:hAnsi="仿宋" w:eastAsia="仿宋" w:cs="仿宋"/>
          <w:highlight w:val="none"/>
        </w:rPr>
        <w:t>才能进入下一阶段的评审。</w:t>
      </w:r>
    </w:p>
    <w:p w14:paraId="2C12D790">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2、符合性评审（初步评审）</w:t>
      </w:r>
    </w:p>
    <w:p w14:paraId="116414EE">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2.1 评标委员会将首先审查投标文件是否完整，有无计算上的错误，文件签署是否合格，投标文件的总体编排是否有序。</w:t>
      </w:r>
    </w:p>
    <w:p w14:paraId="0E7587E5">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2.2 其次审查投标文件是否实质上响应了招标文件的要求。实质上响应的投标是指与招标文件提出的实质性要求和条件相符，包括招标项目的技术要求、对</w:t>
      </w:r>
      <w:r>
        <w:rPr>
          <w:rFonts w:hint="eastAsia" w:ascii="仿宋" w:hAnsi="仿宋" w:eastAsia="仿宋" w:cs="仿宋"/>
          <w:highlight w:val="none"/>
          <w:lang w:eastAsia="zh-CN"/>
        </w:rPr>
        <w:t>供应商</w:t>
      </w:r>
      <w:r>
        <w:rPr>
          <w:rFonts w:hint="eastAsia" w:ascii="仿宋" w:hAnsi="仿宋" w:eastAsia="仿宋" w:cs="仿宋"/>
          <w:highlight w:val="none"/>
        </w:rPr>
        <w:t>的资格要求、投标报价要求以及合同的主要条款。</w:t>
      </w:r>
    </w:p>
    <w:p w14:paraId="287E9CA9">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2.3 对投标文件的符合性评审应遵循以下原则：</w:t>
      </w:r>
    </w:p>
    <w:p w14:paraId="692C6657">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2.3.1 文字表示的数值与数字表示的数值不一致，以文字表示的值为准。</w:t>
      </w:r>
    </w:p>
    <w:p w14:paraId="3F36EA48">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2.3.2 如果投标文件实质上没有响应招标文件的要求，评标委员会可以予以拒绝。</w:t>
      </w:r>
      <w:r>
        <w:rPr>
          <w:rFonts w:hint="eastAsia" w:ascii="仿宋" w:hAnsi="仿宋" w:eastAsia="仿宋" w:cs="仿宋"/>
          <w:highlight w:val="none"/>
          <w:lang w:eastAsia="zh-CN"/>
        </w:rPr>
        <w:t>供应商</w:t>
      </w:r>
      <w:r>
        <w:rPr>
          <w:rFonts w:hint="eastAsia" w:ascii="仿宋" w:hAnsi="仿宋" w:eastAsia="仿宋" w:cs="仿宋"/>
          <w:highlight w:val="none"/>
        </w:rPr>
        <w:t>不得通过修正或撤消不合要求的偏离或保留从而使其投标成为实质上响应的投标，对于投标文件中不构成实质性偏差的小的不正规、不一致或不规则，评标委员会可以接受，但这种接受不能损害或影响任何</w:t>
      </w:r>
      <w:r>
        <w:rPr>
          <w:rFonts w:hint="eastAsia" w:ascii="仿宋" w:hAnsi="仿宋" w:eastAsia="仿宋" w:cs="仿宋"/>
          <w:highlight w:val="none"/>
          <w:lang w:eastAsia="zh-CN"/>
        </w:rPr>
        <w:t>供应商</w:t>
      </w:r>
      <w:r>
        <w:rPr>
          <w:rFonts w:hint="eastAsia" w:ascii="仿宋" w:hAnsi="仿宋" w:eastAsia="仿宋" w:cs="仿宋"/>
          <w:highlight w:val="none"/>
        </w:rPr>
        <w:t>的相对排序。</w:t>
      </w:r>
    </w:p>
    <w:p w14:paraId="615AAD28">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3、详细评审</w:t>
      </w:r>
    </w:p>
    <w:p w14:paraId="385C8790">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3.1 评标委员会只对初审合格的投标文件进行详细评审。</w:t>
      </w:r>
    </w:p>
    <w:p w14:paraId="6DE0335D">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3.2 评标委员会对投标文件进行技术、商务详细评审。</w:t>
      </w:r>
    </w:p>
    <w:p w14:paraId="39E855AB">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3.3 评标委员会质询，投标单位答疑，澄清有关问题。</w:t>
      </w:r>
    </w:p>
    <w:p w14:paraId="5256F726">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3.4 评标委员会可以要求</w:t>
      </w:r>
      <w:r>
        <w:rPr>
          <w:rFonts w:hint="eastAsia" w:ascii="仿宋" w:hAnsi="仿宋" w:eastAsia="仿宋" w:cs="仿宋"/>
          <w:highlight w:val="none"/>
          <w:lang w:eastAsia="zh-CN"/>
        </w:rPr>
        <w:t>供应商</w:t>
      </w:r>
      <w:r>
        <w:rPr>
          <w:rFonts w:hint="eastAsia" w:ascii="仿宋" w:hAnsi="仿宋" w:eastAsia="仿宋" w:cs="仿宋"/>
          <w:highlight w:val="none"/>
        </w:rPr>
        <w:t>对其投标文件进行澄清，有关澄清的要求和答复应以书面形式提交。</w:t>
      </w:r>
    </w:p>
    <w:p w14:paraId="374AD2F1">
      <w:pPr>
        <w:pStyle w:val="6"/>
        <w:keepNext w:val="0"/>
        <w:keepLines w:val="0"/>
        <w:pageBreakBefore w:val="0"/>
        <w:widowControl w:val="0"/>
        <w:kinsoku/>
        <w:wordWrap/>
        <w:overflowPunct/>
        <w:topLinePunct w:val="0"/>
        <w:bidi w:val="0"/>
        <w:adjustRightInd w:val="0"/>
        <w:snapToGrid w:val="0"/>
        <w:spacing w:before="0"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评标委员会按照评分标准进行综合评分并提出评审意见。</w:t>
      </w:r>
    </w:p>
    <w:p w14:paraId="1B968E70">
      <w:pPr>
        <w:keepNext w:val="0"/>
        <w:keepLines w:val="0"/>
        <w:pageBreakBefore w:val="0"/>
        <w:widowControl w:val="0"/>
        <w:numPr>
          <w:ilvl w:val="0"/>
          <w:numId w:val="2"/>
        </w:numPr>
        <w:kinsoku/>
        <w:wordWrap/>
        <w:overflowPunct/>
        <w:topLinePunct w:val="0"/>
        <w:bidi w:val="0"/>
        <w:adjustRightInd w:val="0"/>
        <w:spacing w:line="40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定标原则</w:t>
      </w:r>
    </w:p>
    <w:p w14:paraId="0CCAC2D8">
      <w:pPr>
        <w:pStyle w:val="4"/>
        <w:keepNext w:val="0"/>
        <w:keepLines w:val="0"/>
        <w:pageBreakBefore w:val="0"/>
        <w:widowControl w:val="0"/>
        <w:kinsoku/>
        <w:wordWrap/>
        <w:overflowPunct/>
        <w:topLinePunct w:val="0"/>
        <w:bidi w:val="0"/>
        <w:adjustRightInd w:val="0"/>
        <w:spacing w:line="400" w:lineRule="exact"/>
        <w:ind w:firstLine="480" w:firstLineChars="200"/>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综合评分法的采购项目，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73C8036">
      <w:pPr>
        <w:pageBreakBefore/>
        <w:spacing w:line="360" w:lineRule="auto"/>
        <w:ind w:firstLine="562" w:firstLineChars="200"/>
        <w:jc w:val="center"/>
        <w:rPr>
          <w:rFonts w:hint="eastAsia" w:ascii="仿宋" w:hAnsi="仿宋" w:eastAsia="仿宋"/>
          <w:b/>
          <w:bCs/>
          <w:sz w:val="28"/>
          <w:szCs w:val="28"/>
          <w:highlight w:val="none"/>
        </w:rPr>
      </w:pPr>
      <w:r>
        <w:rPr>
          <w:rFonts w:hint="eastAsia" w:ascii="仿宋" w:hAnsi="仿宋" w:eastAsia="仿宋"/>
          <w:b/>
          <w:bCs/>
          <w:sz w:val="28"/>
          <w:szCs w:val="28"/>
          <w:highlight w:val="none"/>
        </w:rPr>
        <w:t>《资格审查标准》</w:t>
      </w:r>
    </w:p>
    <w:tbl>
      <w:tblPr>
        <w:tblStyle w:val="20"/>
        <w:tblW w:w="55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
        <w:gridCol w:w="3984"/>
        <w:gridCol w:w="5085"/>
      </w:tblGrid>
      <w:tr w14:paraId="4CF2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37" w:type="pct"/>
            <w:noWrap w:val="0"/>
            <w:vAlign w:val="center"/>
          </w:tcPr>
          <w:p w14:paraId="40B4684D">
            <w:pPr>
              <w:snapToGrid w:val="0"/>
              <w:rPr>
                <w:rFonts w:ascii="仿宋" w:hAnsi="仿宋" w:eastAsia="仿宋" w:cs="仿宋_GB2312"/>
                <w:bCs/>
                <w:sz w:val="21"/>
                <w:szCs w:val="21"/>
                <w:highlight w:val="none"/>
              </w:rPr>
            </w:pPr>
            <w:r>
              <w:rPr>
                <w:rFonts w:hint="eastAsia" w:ascii="仿宋" w:hAnsi="仿宋" w:eastAsia="仿宋" w:cs="仿宋_GB2312"/>
                <w:b/>
                <w:bCs w:val="0"/>
                <w:sz w:val="21"/>
                <w:szCs w:val="21"/>
                <w:highlight w:val="none"/>
              </w:rPr>
              <w:t>序号</w:t>
            </w:r>
          </w:p>
        </w:tc>
        <w:tc>
          <w:tcPr>
            <w:tcW w:w="2092" w:type="pct"/>
            <w:noWrap w:val="0"/>
            <w:vAlign w:val="center"/>
          </w:tcPr>
          <w:p w14:paraId="1B454082">
            <w:pPr>
              <w:pStyle w:val="32"/>
              <w:adjustRightInd w:val="0"/>
              <w:snapToGrid w:val="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审查要求</w:t>
            </w:r>
          </w:p>
        </w:tc>
        <w:tc>
          <w:tcPr>
            <w:tcW w:w="2670" w:type="pct"/>
            <w:noWrap w:val="0"/>
            <w:vAlign w:val="center"/>
          </w:tcPr>
          <w:p w14:paraId="475F354E">
            <w:pPr>
              <w:pStyle w:val="32"/>
              <w:adjustRightInd w:val="0"/>
              <w:snapToGrid w:val="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审查内容和审查标准</w:t>
            </w:r>
          </w:p>
        </w:tc>
      </w:tr>
      <w:tr w14:paraId="65450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37" w:type="pct"/>
            <w:noWrap w:val="0"/>
            <w:vAlign w:val="center"/>
          </w:tcPr>
          <w:p w14:paraId="05AF6960">
            <w:pPr>
              <w:snapToGrid w:val="0"/>
              <w:jc w:val="center"/>
              <w:rPr>
                <w:rFonts w:hint="eastAsia" w:ascii="仿宋" w:hAnsi="仿宋" w:eastAsia="仿宋" w:cs="仿宋_GB2312"/>
                <w:sz w:val="21"/>
                <w:szCs w:val="21"/>
                <w:highlight w:val="none"/>
              </w:rPr>
            </w:pPr>
            <w:r>
              <w:rPr>
                <w:rFonts w:hint="eastAsia" w:ascii="仿宋" w:hAnsi="仿宋" w:eastAsia="仿宋" w:cs="仿宋_GB2312"/>
                <w:sz w:val="21"/>
                <w:szCs w:val="21"/>
                <w:highlight w:val="none"/>
              </w:rPr>
              <w:t>1</w:t>
            </w:r>
          </w:p>
        </w:tc>
        <w:tc>
          <w:tcPr>
            <w:tcW w:w="2092" w:type="pct"/>
            <w:noWrap w:val="0"/>
            <w:vAlign w:val="center"/>
          </w:tcPr>
          <w:p w14:paraId="7C6F9C50">
            <w:pPr>
              <w:pStyle w:val="32"/>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具有独立承担民事责任的能力</w:t>
            </w:r>
          </w:p>
        </w:tc>
        <w:tc>
          <w:tcPr>
            <w:tcW w:w="2670" w:type="pct"/>
            <w:noWrap w:val="0"/>
            <w:vAlign w:val="center"/>
          </w:tcPr>
          <w:p w14:paraId="072216B3">
            <w:pPr>
              <w:pStyle w:val="32"/>
              <w:adjustRightInd w:val="0"/>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供应商为企业（包括合伙企业）的，应提供有效的“营业执照”；供应商是非企业机构的，应提供有效的“执业许可证”、“登记证书”等证明文件;供应商是个体工商户的，应提供有效的“个体工商户营业执照”；投标人是自然人的，应提供有效的自然人身份证明。”（上述资料须复印件加盖印章）</w:t>
            </w:r>
          </w:p>
          <w:p w14:paraId="207B9961">
            <w:pPr>
              <w:pStyle w:val="32"/>
              <w:adjustRightInd w:val="0"/>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tc>
      </w:tr>
      <w:tr w14:paraId="0AD4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37" w:type="pct"/>
            <w:noWrap w:val="0"/>
            <w:vAlign w:val="center"/>
          </w:tcPr>
          <w:p w14:paraId="115F70EB">
            <w:pPr>
              <w:snapToGrid w:val="0"/>
              <w:jc w:val="center"/>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2</w:t>
            </w:r>
          </w:p>
        </w:tc>
        <w:tc>
          <w:tcPr>
            <w:tcW w:w="2092" w:type="pct"/>
            <w:noWrap w:val="0"/>
            <w:vAlign w:val="center"/>
          </w:tcPr>
          <w:p w14:paraId="585E7C51">
            <w:pPr>
              <w:pStyle w:val="32"/>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具有良好的商业信誉和健全的财务会计制度</w:t>
            </w:r>
          </w:p>
        </w:tc>
        <w:tc>
          <w:tcPr>
            <w:tcW w:w="2670" w:type="pct"/>
            <w:noWrap w:val="0"/>
            <w:vAlign w:val="center"/>
          </w:tcPr>
          <w:p w14:paraId="706D1427">
            <w:pPr>
              <w:pStyle w:val="32"/>
              <w:adjustRightInd w:val="0"/>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须提供本单位上一年度（2024年度或</w:t>
            </w:r>
            <w:r>
              <w:rPr>
                <w:rFonts w:hint="eastAsia" w:ascii="仿宋" w:hAnsi="仿宋" w:eastAsia="仿宋" w:cs="仿宋"/>
                <w:sz w:val="21"/>
                <w:szCs w:val="21"/>
                <w:highlight w:val="none"/>
                <w:lang w:val="en-US" w:eastAsia="zh-CN"/>
              </w:rPr>
              <w:t>2025年度</w:t>
            </w:r>
            <w:r>
              <w:rPr>
                <w:rFonts w:hint="eastAsia" w:ascii="仿宋" w:hAnsi="仿宋" w:eastAsia="仿宋" w:cs="仿宋"/>
                <w:sz w:val="21"/>
                <w:szCs w:val="21"/>
                <w:highlight w:val="none"/>
                <w:lang w:eastAsia="zh-CN"/>
              </w:rPr>
              <w:t>）由会计师事务所出具的财务审计报告或财务报表（财务报表至少包含资产负债表、利润表、现金流量表或财务状况变动表等）或提供开标日前三个月内银行出具的资信证明；（供应商成立不足一年的提供截止开标前近3个月</w:t>
            </w:r>
            <w:r>
              <w:rPr>
                <w:rFonts w:hint="eastAsia" w:ascii="仿宋" w:hAnsi="仿宋" w:eastAsia="仿宋" w:cs="仿宋"/>
                <w:sz w:val="21"/>
                <w:szCs w:val="21"/>
                <w:highlight w:val="none"/>
                <w:lang w:val="en-US" w:eastAsia="zh-CN"/>
              </w:rPr>
              <w:t>任意一个月</w:t>
            </w:r>
            <w:r>
              <w:rPr>
                <w:rFonts w:hint="eastAsia" w:ascii="仿宋" w:hAnsi="仿宋" w:eastAsia="仿宋" w:cs="仿宋"/>
                <w:sz w:val="21"/>
                <w:szCs w:val="21"/>
                <w:highlight w:val="none"/>
                <w:lang w:eastAsia="zh-CN"/>
              </w:rPr>
              <w:t>的财务报表和截止开标前近1个月基本开户银行出具的资信证明；另：部分其他组织或自然人，没有经审计的财务报告，应当提供截止开标前近3个月的银行出具的资信证明。）；</w:t>
            </w:r>
          </w:p>
        </w:tc>
      </w:tr>
      <w:tr w14:paraId="347DE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37" w:type="pct"/>
            <w:noWrap w:val="0"/>
            <w:vAlign w:val="center"/>
          </w:tcPr>
          <w:p w14:paraId="070567E7">
            <w:pPr>
              <w:snapToGrid w:val="0"/>
              <w:jc w:val="center"/>
              <w:rPr>
                <w:rFonts w:hint="eastAsia" w:ascii="仿宋" w:hAnsi="仿宋" w:eastAsia="仿宋" w:cs="仿宋_GB2312"/>
                <w:sz w:val="21"/>
                <w:szCs w:val="21"/>
                <w:highlight w:val="none"/>
                <w:lang w:eastAsia="zh-CN"/>
              </w:rPr>
            </w:pPr>
            <w:r>
              <w:rPr>
                <w:rFonts w:hint="eastAsia" w:ascii="仿宋" w:hAnsi="仿宋" w:eastAsia="仿宋" w:cs="仿宋_GB2312"/>
                <w:sz w:val="21"/>
                <w:szCs w:val="21"/>
                <w:highlight w:val="none"/>
                <w:lang w:val="en-US" w:eastAsia="zh-CN"/>
              </w:rPr>
              <w:t>3</w:t>
            </w:r>
          </w:p>
        </w:tc>
        <w:tc>
          <w:tcPr>
            <w:tcW w:w="2092" w:type="pct"/>
            <w:noWrap w:val="0"/>
            <w:vAlign w:val="center"/>
          </w:tcPr>
          <w:p w14:paraId="7DFFE9B0">
            <w:pPr>
              <w:pStyle w:val="32"/>
              <w:adjustRightInd w:val="0"/>
              <w:snapToGrid w:val="0"/>
              <w:jc w:val="center"/>
              <w:rPr>
                <w:rFonts w:hint="eastAsia" w:ascii="仿宋" w:hAnsi="仿宋" w:eastAsia="仿宋" w:cs="宋体"/>
                <w:sz w:val="21"/>
                <w:szCs w:val="21"/>
                <w:highlight w:val="none"/>
              </w:rPr>
            </w:pPr>
            <w:r>
              <w:rPr>
                <w:rFonts w:hint="eastAsia" w:ascii="仿宋" w:hAnsi="仿宋" w:eastAsia="仿宋" w:cs="宋体"/>
                <w:sz w:val="21"/>
                <w:szCs w:val="21"/>
                <w:highlight w:val="none"/>
              </w:rPr>
              <w:t>具有履行合同所必需的设备和专业技术能力</w:t>
            </w:r>
          </w:p>
        </w:tc>
        <w:tc>
          <w:tcPr>
            <w:tcW w:w="2670" w:type="pct"/>
            <w:noWrap w:val="0"/>
            <w:vAlign w:val="center"/>
          </w:tcPr>
          <w:p w14:paraId="6C759F3E">
            <w:pPr>
              <w:pStyle w:val="32"/>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须提供具备履行合同所必需的设备和专业技术能力的证明材料或承诺书；</w:t>
            </w:r>
          </w:p>
        </w:tc>
      </w:tr>
      <w:tr w14:paraId="4146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noWrap w:val="0"/>
            <w:vAlign w:val="center"/>
          </w:tcPr>
          <w:p w14:paraId="1E30A2E2">
            <w:pPr>
              <w:snapToGrid w:val="0"/>
              <w:jc w:val="center"/>
              <w:rPr>
                <w:rFonts w:hint="eastAsia" w:ascii="仿宋" w:hAnsi="仿宋" w:eastAsia="仿宋" w:cs="仿宋_GB2312"/>
                <w:sz w:val="21"/>
                <w:szCs w:val="21"/>
                <w:highlight w:val="none"/>
                <w:lang w:eastAsia="zh-CN"/>
              </w:rPr>
            </w:pPr>
            <w:r>
              <w:rPr>
                <w:rFonts w:hint="eastAsia" w:ascii="仿宋" w:hAnsi="仿宋" w:eastAsia="仿宋" w:cs="仿宋_GB2312"/>
                <w:sz w:val="21"/>
                <w:szCs w:val="21"/>
                <w:highlight w:val="none"/>
                <w:lang w:val="en-US" w:eastAsia="zh-CN"/>
              </w:rPr>
              <w:t>4</w:t>
            </w:r>
          </w:p>
        </w:tc>
        <w:tc>
          <w:tcPr>
            <w:tcW w:w="2092" w:type="pct"/>
            <w:noWrap w:val="0"/>
            <w:vAlign w:val="center"/>
          </w:tcPr>
          <w:p w14:paraId="4ECF4DF7">
            <w:pPr>
              <w:pStyle w:val="18"/>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有依法缴纳税收和依法缴纳社会保障资金的记录</w:t>
            </w:r>
          </w:p>
        </w:tc>
        <w:tc>
          <w:tcPr>
            <w:tcW w:w="2670" w:type="pct"/>
            <w:noWrap w:val="0"/>
            <w:vAlign w:val="center"/>
          </w:tcPr>
          <w:p w14:paraId="7DF87E22">
            <w:pPr>
              <w:pStyle w:val="18"/>
              <w:widowControl/>
              <w:adjustRightInd w:val="0"/>
              <w:snapToGrid w:val="0"/>
              <w:spacing w:before="0" w:beforeAutospacing="0" w:after="0" w:afterAutospacing="0"/>
              <w:jc w:val="both"/>
              <w:rPr>
                <w:rFonts w:hint="eastAsia" w:ascii="仿宋" w:hAnsi="仿宋" w:eastAsia="仿宋" w:cs="宋体"/>
                <w:color w:val="000000"/>
                <w:sz w:val="21"/>
                <w:szCs w:val="21"/>
                <w:highlight w:val="none"/>
                <w:lang w:eastAsia="zh-CN"/>
              </w:rPr>
            </w:pPr>
            <w:r>
              <w:rPr>
                <w:rFonts w:hint="eastAsia" w:ascii="仿宋" w:hAnsi="仿宋" w:eastAsia="仿宋" w:cs="仿宋"/>
                <w:sz w:val="21"/>
                <w:szCs w:val="21"/>
                <w:highlight w:val="none"/>
                <w:lang w:val="en-US" w:eastAsia="zh-CN" w:bidi="ar-SA"/>
              </w:rPr>
              <w:t>须提供投标文件递交截止日期之前6个月内任意一个月的完税证明及缴纳社保记录；（依法免税、依法不需要缴纳社会保障资金的应提供相应文件说明）</w:t>
            </w:r>
          </w:p>
        </w:tc>
      </w:tr>
      <w:tr w14:paraId="0E426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noWrap w:val="0"/>
            <w:vAlign w:val="center"/>
          </w:tcPr>
          <w:p w14:paraId="55D21081">
            <w:pPr>
              <w:snapToGrid w:val="0"/>
              <w:jc w:val="center"/>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5</w:t>
            </w:r>
          </w:p>
        </w:tc>
        <w:tc>
          <w:tcPr>
            <w:tcW w:w="2092" w:type="pct"/>
            <w:noWrap w:val="0"/>
            <w:vAlign w:val="center"/>
          </w:tcPr>
          <w:p w14:paraId="55CBE58F">
            <w:pPr>
              <w:pStyle w:val="18"/>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参加政府采购活动前三年内，在经营活动中没有重大违法记录</w:t>
            </w:r>
          </w:p>
        </w:tc>
        <w:tc>
          <w:tcPr>
            <w:tcW w:w="2670" w:type="pct"/>
            <w:noWrap w:val="0"/>
            <w:vAlign w:val="center"/>
          </w:tcPr>
          <w:p w14:paraId="7273C271">
            <w:pPr>
              <w:pStyle w:val="18"/>
              <w:widowControl/>
              <w:adjustRightInd w:val="0"/>
              <w:snapToGrid w:val="0"/>
              <w:spacing w:before="0" w:beforeAutospacing="0" w:after="0" w:afterAutospacing="0"/>
              <w:jc w:val="both"/>
              <w:rPr>
                <w:rFonts w:hint="eastAsia" w:ascii="仿宋" w:hAnsi="仿宋" w:eastAsia="仿宋" w:cs="宋体"/>
                <w:color w:val="000000"/>
                <w:sz w:val="21"/>
                <w:szCs w:val="21"/>
                <w:highlight w:val="none"/>
                <w:lang w:eastAsia="zh-CN"/>
              </w:rPr>
            </w:pPr>
            <w:r>
              <w:rPr>
                <w:rFonts w:hint="eastAsia" w:ascii="仿宋" w:hAnsi="仿宋" w:eastAsia="仿宋" w:cs="仿宋"/>
                <w:sz w:val="21"/>
                <w:szCs w:val="21"/>
                <w:highlight w:val="none"/>
                <w:lang w:eastAsia="zh-CN"/>
              </w:rPr>
              <w:t>须提供供应商</w:t>
            </w:r>
            <w:r>
              <w:rPr>
                <w:rFonts w:hint="eastAsia" w:ascii="仿宋" w:hAnsi="仿宋" w:eastAsia="仿宋" w:cs="仿宋"/>
                <w:sz w:val="21"/>
                <w:szCs w:val="21"/>
                <w:highlight w:val="none"/>
              </w:rPr>
              <w:t>声明函</w:t>
            </w:r>
            <w:r>
              <w:rPr>
                <w:rFonts w:hint="eastAsia" w:ascii="仿宋" w:hAnsi="仿宋" w:eastAsia="仿宋" w:cs="仿宋"/>
                <w:sz w:val="21"/>
                <w:szCs w:val="21"/>
                <w:highlight w:val="none"/>
                <w:lang w:eastAsia="zh-CN"/>
              </w:rPr>
              <w:t>原件扫描件</w:t>
            </w:r>
          </w:p>
        </w:tc>
      </w:tr>
      <w:tr w14:paraId="70F94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noWrap w:val="0"/>
            <w:vAlign w:val="center"/>
          </w:tcPr>
          <w:p w14:paraId="336E473D">
            <w:pPr>
              <w:snapToGrid w:val="0"/>
              <w:jc w:val="center"/>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6</w:t>
            </w:r>
          </w:p>
        </w:tc>
        <w:tc>
          <w:tcPr>
            <w:tcW w:w="2092" w:type="pct"/>
            <w:noWrap w:val="0"/>
            <w:vAlign w:val="center"/>
          </w:tcPr>
          <w:p w14:paraId="172D7B56">
            <w:pPr>
              <w:pStyle w:val="18"/>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2670" w:type="pct"/>
            <w:noWrap w:val="0"/>
            <w:vAlign w:val="center"/>
          </w:tcPr>
          <w:p w14:paraId="21C3CBFB">
            <w:pPr>
              <w:pStyle w:val="18"/>
              <w:widowControl/>
              <w:adjustRightInd w:val="0"/>
              <w:snapToGrid w:val="0"/>
              <w:spacing w:before="0" w:beforeAutospacing="0" w:after="0" w:afterAutospacing="0"/>
              <w:jc w:val="both"/>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须提供供应商</w:t>
            </w:r>
            <w:r>
              <w:rPr>
                <w:rFonts w:hint="eastAsia" w:ascii="仿宋" w:hAnsi="仿宋" w:eastAsia="仿宋" w:cs="仿宋"/>
                <w:sz w:val="21"/>
                <w:szCs w:val="21"/>
                <w:highlight w:val="none"/>
              </w:rPr>
              <w:t>声明函</w:t>
            </w:r>
            <w:r>
              <w:rPr>
                <w:rFonts w:hint="eastAsia" w:ascii="仿宋" w:hAnsi="仿宋" w:eastAsia="仿宋" w:cs="仿宋"/>
                <w:sz w:val="21"/>
                <w:szCs w:val="21"/>
                <w:highlight w:val="none"/>
                <w:lang w:eastAsia="zh-CN"/>
              </w:rPr>
              <w:t>原件扫描件</w:t>
            </w:r>
          </w:p>
        </w:tc>
      </w:tr>
      <w:tr w14:paraId="388F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237" w:type="pct"/>
            <w:noWrap w:val="0"/>
            <w:vAlign w:val="center"/>
          </w:tcPr>
          <w:p w14:paraId="5CE16B33">
            <w:pPr>
              <w:snapToGrid w:val="0"/>
              <w:jc w:val="center"/>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7</w:t>
            </w:r>
          </w:p>
        </w:tc>
        <w:tc>
          <w:tcPr>
            <w:tcW w:w="2092" w:type="pct"/>
            <w:noWrap w:val="0"/>
            <w:vAlign w:val="center"/>
          </w:tcPr>
          <w:p w14:paraId="231C891E">
            <w:pPr>
              <w:pStyle w:val="18"/>
              <w:widowControl/>
              <w:adjustRightInd w:val="0"/>
              <w:snapToGrid w:val="0"/>
              <w:spacing w:before="0" w:beforeAutospacing="0" w:after="0" w:afterAutospacing="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在“信用中国”（www.creditchina.gov.cn）和中国政府采购网（www.ccgp.gov.cn）网站上未被列入失信被执行人、重大税收违法案件当事人名单以及政府采购严重违法失信行为记录名单（</w:t>
            </w:r>
            <w:r>
              <w:rPr>
                <w:rFonts w:hint="eastAsia" w:ascii="仿宋" w:hAnsi="仿宋" w:eastAsia="仿宋" w:cs="仿宋"/>
                <w:color w:val="auto"/>
                <w:sz w:val="21"/>
                <w:szCs w:val="21"/>
                <w:highlight w:val="none"/>
                <w:lang w:val="en-US" w:eastAsia="zh-CN"/>
              </w:rPr>
              <w:t>查询时间为自公告发布之日后）</w:t>
            </w:r>
          </w:p>
        </w:tc>
        <w:tc>
          <w:tcPr>
            <w:tcW w:w="2670" w:type="pct"/>
            <w:noWrap w:val="0"/>
            <w:vAlign w:val="center"/>
          </w:tcPr>
          <w:p w14:paraId="282533BA">
            <w:pPr>
              <w:pStyle w:val="18"/>
              <w:widowControl/>
              <w:adjustRightInd w:val="0"/>
              <w:snapToGrid w:val="0"/>
              <w:spacing w:before="0" w:beforeAutospacing="0" w:after="0" w:afterAutospacing="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提供查询结果的网页打印页作为查询记录和证据，与其他采购文件一并保存。查询结果以采购人或采购代理机构查询结果为准。</w:t>
            </w:r>
          </w:p>
        </w:tc>
      </w:tr>
      <w:tr w14:paraId="4357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237" w:type="pct"/>
            <w:noWrap w:val="0"/>
            <w:vAlign w:val="center"/>
          </w:tcPr>
          <w:p w14:paraId="1A8EF7FC">
            <w:pPr>
              <w:snapToGrid w:val="0"/>
              <w:jc w:val="center"/>
              <w:rPr>
                <w:rFonts w:hint="default"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8</w:t>
            </w:r>
          </w:p>
        </w:tc>
        <w:tc>
          <w:tcPr>
            <w:tcW w:w="2092" w:type="pct"/>
            <w:noWrap w:val="0"/>
            <w:vAlign w:val="center"/>
          </w:tcPr>
          <w:p w14:paraId="7B84225F">
            <w:pPr>
              <w:pStyle w:val="18"/>
              <w:keepNext w:val="0"/>
              <w:keepLines w:val="0"/>
              <w:pageBreakBefore w:val="0"/>
              <w:widowControl/>
              <w:kinsoku/>
              <w:wordWrap/>
              <w:overflowPunct/>
              <w:topLinePunct w:val="0"/>
              <w:bidi w:val="0"/>
              <w:adjustRightInd w:val="0"/>
              <w:snapToGrid w:val="0"/>
              <w:spacing w:before="0" w:beforeAutospacing="0" w:after="0" w:afterAutospacing="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供应商须持有企业注册所在地的市人民政府燃气管理部门（市住建局/市城管局）核发的《燃气燃烧器具安装维修企业资质证书》或消防设施工程专业承包贰级及以上资质及有效的安全生产许可证；</w:t>
            </w:r>
          </w:p>
        </w:tc>
        <w:tc>
          <w:tcPr>
            <w:tcW w:w="2670" w:type="pct"/>
            <w:noWrap w:val="0"/>
            <w:vAlign w:val="center"/>
          </w:tcPr>
          <w:p w14:paraId="6455B464">
            <w:pPr>
              <w:pStyle w:val="18"/>
              <w:keepNext w:val="0"/>
              <w:keepLines w:val="0"/>
              <w:pageBreakBefore w:val="0"/>
              <w:widowControl/>
              <w:kinsoku/>
              <w:wordWrap/>
              <w:overflowPunct/>
              <w:topLinePunct w:val="0"/>
              <w:bidi w:val="0"/>
              <w:adjustRightInd w:val="0"/>
              <w:snapToGrid w:val="0"/>
              <w:spacing w:before="0" w:beforeAutospacing="0" w:after="0" w:afterAutospacing="0"/>
              <w:jc w:val="both"/>
              <w:textAlignment w:val="auto"/>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提供有效的</w:t>
            </w:r>
            <w:r>
              <w:rPr>
                <w:rFonts w:hint="eastAsia" w:ascii="仿宋" w:hAnsi="仿宋" w:eastAsia="仿宋" w:cs="仿宋"/>
                <w:sz w:val="21"/>
                <w:szCs w:val="21"/>
                <w:highlight w:val="none"/>
              </w:rPr>
              <w:t>《燃气燃烧器具安装维修企业资质证书》</w:t>
            </w:r>
            <w:r>
              <w:rPr>
                <w:rFonts w:hint="eastAsia" w:ascii="仿宋" w:hAnsi="仿宋" w:eastAsia="仿宋" w:cs="仿宋"/>
                <w:sz w:val="21"/>
                <w:szCs w:val="21"/>
                <w:highlight w:val="none"/>
                <w:lang w:eastAsia="zh-CN"/>
              </w:rPr>
              <w:t>原件扫描件或</w:t>
            </w:r>
            <w:r>
              <w:rPr>
                <w:rFonts w:hint="eastAsia" w:ascii="仿宋" w:hAnsi="仿宋" w:eastAsia="仿宋" w:cs="仿宋"/>
                <w:sz w:val="21"/>
                <w:szCs w:val="21"/>
                <w:highlight w:val="none"/>
              </w:rPr>
              <w:t>消防设施工程专业承包贰级及以上资质及有效的安全生产许可证</w:t>
            </w:r>
            <w:r>
              <w:rPr>
                <w:rFonts w:hint="eastAsia" w:ascii="仿宋" w:hAnsi="仿宋" w:eastAsia="仿宋" w:cs="仿宋"/>
                <w:sz w:val="21"/>
                <w:szCs w:val="21"/>
                <w:highlight w:val="none"/>
                <w:lang w:eastAsia="zh-CN"/>
              </w:rPr>
              <w:t>的原件扫描件</w:t>
            </w:r>
          </w:p>
        </w:tc>
      </w:tr>
      <w:tr w14:paraId="080A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237" w:type="pct"/>
            <w:noWrap w:val="0"/>
            <w:vAlign w:val="center"/>
          </w:tcPr>
          <w:p w14:paraId="7452B015">
            <w:pPr>
              <w:snapToGrid w:val="0"/>
              <w:jc w:val="center"/>
              <w:rPr>
                <w:rFonts w:hint="default"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9</w:t>
            </w:r>
          </w:p>
        </w:tc>
        <w:tc>
          <w:tcPr>
            <w:tcW w:w="2092" w:type="pct"/>
            <w:noWrap w:val="0"/>
            <w:vAlign w:val="center"/>
          </w:tcPr>
          <w:p w14:paraId="3D85FC90">
            <w:pPr>
              <w:pStyle w:val="18"/>
              <w:keepNext w:val="0"/>
              <w:keepLines w:val="0"/>
              <w:pageBreakBefore w:val="0"/>
              <w:widowControl/>
              <w:kinsoku/>
              <w:wordWrap/>
              <w:overflowPunct/>
              <w:topLinePunct w:val="0"/>
              <w:bidi w:val="0"/>
              <w:adjustRightInd w:val="0"/>
              <w:snapToGrid w:val="0"/>
              <w:spacing w:before="0" w:beforeAutospacing="0" w:after="0" w:afterAutospacing="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sz w:val="21"/>
                <w:szCs w:val="21"/>
                <w:highlight w:val="none"/>
              </w:rPr>
              <w:t>落实政府采购政策需满足的资格要</w:t>
            </w:r>
            <w:r>
              <w:rPr>
                <w:rFonts w:hint="eastAsia" w:ascii="仿宋" w:hAnsi="仿宋" w:eastAsia="仿宋" w:cs="仿宋"/>
                <w:color w:val="auto"/>
                <w:sz w:val="21"/>
                <w:szCs w:val="21"/>
                <w:highlight w:val="none"/>
              </w:rPr>
              <w:t>求</w:t>
            </w:r>
          </w:p>
        </w:tc>
        <w:tc>
          <w:tcPr>
            <w:tcW w:w="2670" w:type="pct"/>
            <w:noWrap w:val="0"/>
            <w:vAlign w:val="center"/>
          </w:tcPr>
          <w:p w14:paraId="6F7EA671">
            <w:pPr>
              <w:pStyle w:val="18"/>
              <w:keepNext w:val="0"/>
              <w:keepLines w:val="0"/>
              <w:pageBreakBefore w:val="0"/>
              <w:widowControl/>
              <w:kinsoku/>
              <w:wordWrap/>
              <w:overflowPunct/>
              <w:topLinePunct w:val="0"/>
              <w:bidi w:val="0"/>
              <w:adjustRightInd w:val="0"/>
              <w:snapToGrid w:val="0"/>
              <w:spacing w:before="0" w:beforeAutospacing="0" w:after="0" w:afterAutospacing="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kern w:val="0"/>
                <w:sz w:val="21"/>
                <w:szCs w:val="21"/>
                <w:highlight w:val="none"/>
                <w:lang w:val="en-US" w:eastAsia="zh-CN"/>
              </w:rPr>
              <w:t>提供有效的《</w:t>
            </w:r>
            <w:r>
              <w:rPr>
                <w:rFonts w:hint="eastAsia" w:ascii="仿宋" w:hAnsi="仿宋" w:eastAsia="仿宋" w:cs="仿宋"/>
                <w:color w:val="auto"/>
                <w:kern w:val="2"/>
                <w:sz w:val="21"/>
                <w:szCs w:val="21"/>
                <w:highlight w:val="none"/>
                <w:lang w:val="en-US" w:eastAsia="zh-CN" w:bidi="ar-SA"/>
              </w:rPr>
              <w:t>中小企业声明函</w:t>
            </w:r>
            <w:r>
              <w:rPr>
                <w:rFonts w:hint="eastAsia" w:ascii="仿宋" w:hAnsi="仿宋" w:eastAsia="仿宋" w:cs="仿宋"/>
                <w:kern w:val="0"/>
                <w:sz w:val="21"/>
                <w:szCs w:val="21"/>
                <w:highlight w:val="none"/>
                <w:lang w:val="en-US" w:eastAsia="zh-CN"/>
              </w:rPr>
              <w:t>》</w:t>
            </w:r>
            <w:r>
              <w:rPr>
                <w:rFonts w:hint="eastAsia" w:ascii="仿宋" w:hAnsi="仿宋" w:eastAsia="仿宋" w:cs="仿宋"/>
                <w:sz w:val="21"/>
                <w:szCs w:val="21"/>
                <w:highlight w:val="none"/>
                <w:lang w:eastAsia="zh-CN"/>
              </w:rPr>
              <w:t>原件扫描件</w:t>
            </w:r>
          </w:p>
        </w:tc>
      </w:tr>
      <w:tr w14:paraId="668B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5000" w:type="pct"/>
            <w:gridSpan w:val="3"/>
            <w:noWrap w:val="0"/>
            <w:vAlign w:val="center"/>
          </w:tcPr>
          <w:p w14:paraId="3BCFAB41">
            <w:pPr>
              <w:snapToGrid w:val="0"/>
              <w:rPr>
                <w:rFonts w:hint="eastAsia" w:ascii="仿宋" w:hAnsi="仿宋" w:eastAsia="仿宋" w:cs="宋体"/>
                <w:sz w:val="21"/>
                <w:szCs w:val="21"/>
                <w:highlight w:val="none"/>
              </w:rPr>
            </w:pPr>
            <w:r>
              <w:rPr>
                <w:rFonts w:hint="eastAsia" w:ascii="仿宋" w:hAnsi="仿宋" w:eastAsia="仿宋" w:cs="宋体"/>
                <w:sz w:val="21"/>
                <w:szCs w:val="21"/>
                <w:highlight w:val="none"/>
              </w:rPr>
              <w:t>注：以上审查资料</w:t>
            </w:r>
            <w:r>
              <w:rPr>
                <w:rFonts w:hint="eastAsia" w:ascii="仿宋" w:hAnsi="仿宋" w:eastAsia="仿宋" w:cs="宋体"/>
                <w:sz w:val="21"/>
                <w:szCs w:val="21"/>
                <w:highlight w:val="none"/>
                <w:lang w:val="en-US" w:eastAsia="zh-CN"/>
              </w:rPr>
              <w:t>必须按</w:t>
            </w:r>
            <w:r>
              <w:rPr>
                <w:rFonts w:hint="eastAsia" w:ascii="仿宋" w:hAnsi="仿宋" w:eastAsia="仿宋" w:cs="宋体"/>
                <w:sz w:val="21"/>
                <w:szCs w:val="21"/>
                <w:highlight w:val="none"/>
              </w:rPr>
              <w:t>要求提供，未按要求提供资料的</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以及资格评审中有一项不满足审查标准的，</w:t>
            </w:r>
            <w:r>
              <w:rPr>
                <w:rFonts w:hint="eastAsia" w:ascii="仿宋" w:hAnsi="仿宋" w:eastAsia="仿宋" w:cs="宋体"/>
                <w:color w:val="000000"/>
                <w:sz w:val="21"/>
                <w:szCs w:val="21"/>
                <w:highlight w:val="none"/>
              </w:rPr>
              <w:t>采购人或者采购代理机构应当</w:t>
            </w:r>
            <w:r>
              <w:rPr>
                <w:rFonts w:hint="eastAsia" w:ascii="仿宋" w:hAnsi="仿宋" w:eastAsia="仿宋" w:cs="宋体"/>
                <w:sz w:val="21"/>
                <w:szCs w:val="21"/>
                <w:highlight w:val="none"/>
              </w:rPr>
              <w:t>认定该</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不通过资格审查，不得进入下一阶段评审。如果造成</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不足三个的，则认定本次招标的</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数量没有竞争力，宣布本次招标失败。采购人将重新组织招标活动。</w:t>
            </w:r>
          </w:p>
        </w:tc>
      </w:tr>
    </w:tbl>
    <w:p w14:paraId="43412E18">
      <w:pPr>
        <w:pageBreakBefore/>
        <w:spacing w:line="360" w:lineRule="auto"/>
        <w:ind w:firstLine="562" w:firstLineChars="200"/>
        <w:jc w:val="center"/>
        <w:rPr>
          <w:rFonts w:ascii="仿宋" w:hAnsi="仿宋" w:eastAsia="仿宋" w:cs="仿宋_GB2312"/>
          <w:b/>
          <w:sz w:val="28"/>
          <w:szCs w:val="28"/>
          <w:highlight w:val="none"/>
        </w:rPr>
      </w:pPr>
      <w:r>
        <w:rPr>
          <w:rFonts w:hint="eastAsia" w:ascii="仿宋" w:hAnsi="仿宋" w:eastAsia="仿宋"/>
          <w:b/>
          <w:bCs/>
          <w:sz w:val="28"/>
          <w:szCs w:val="28"/>
          <w:highlight w:val="none"/>
        </w:rPr>
        <w:t>初步评审-《符合性审查》</w:t>
      </w:r>
    </w:p>
    <w:tbl>
      <w:tblPr>
        <w:tblStyle w:val="20"/>
        <w:tblW w:w="9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1"/>
        <w:gridCol w:w="625"/>
        <w:gridCol w:w="1421"/>
        <w:gridCol w:w="5780"/>
        <w:gridCol w:w="639"/>
        <w:gridCol w:w="658"/>
      </w:tblGrid>
      <w:tr w14:paraId="7B9FD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9" w:hRule="atLeast"/>
          <w:jc w:val="center"/>
        </w:trPr>
        <w:tc>
          <w:tcPr>
            <w:tcW w:w="1096" w:type="dxa"/>
            <w:gridSpan w:val="2"/>
            <w:vMerge w:val="restart"/>
            <w:vAlign w:val="center"/>
          </w:tcPr>
          <w:p w14:paraId="06A7AF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bookmarkStart w:id="51" w:name="EBf97f626d7f2349dc98726a51f37130cf"/>
            <w:r>
              <w:rPr>
                <w:rFonts w:hint="eastAsia" w:ascii="仿宋" w:hAnsi="仿宋" w:eastAsia="仿宋" w:cs="仿宋"/>
                <w:b/>
                <w:bCs/>
                <w:sz w:val="21"/>
                <w:szCs w:val="21"/>
              </w:rPr>
              <w:t>评分因素</w:t>
            </w:r>
          </w:p>
        </w:tc>
        <w:tc>
          <w:tcPr>
            <w:tcW w:w="1421" w:type="dxa"/>
            <w:vMerge w:val="restart"/>
            <w:vAlign w:val="center"/>
          </w:tcPr>
          <w:p w14:paraId="680897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评分点</w:t>
            </w:r>
          </w:p>
        </w:tc>
        <w:tc>
          <w:tcPr>
            <w:tcW w:w="5780" w:type="dxa"/>
            <w:vMerge w:val="restart"/>
            <w:vAlign w:val="center"/>
          </w:tcPr>
          <w:p w14:paraId="1A2BD4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评分标准</w:t>
            </w:r>
          </w:p>
        </w:tc>
        <w:tc>
          <w:tcPr>
            <w:tcW w:w="1297" w:type="dxa"/>
            <w:gridSpan w:val="2"/>
            <w:vAlign w:val="center"/>
          </w:tcPr>
          <w:p w14:paraId="1A45C0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评审意见</w:t>
            </w:r>
          </w:p>
        </w:tc>
      </w:tr>
      <w:tr w14:paraId="0DC70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6" w:hRule="atLeast"/>
          <w:jc w:val="center"/>
        </w:trPr>
        <w:tc>
          <w:tcPr>
            <w:tcW w:w="1096" w:type="dxa"/>
            <w:gridSpan w:val="2"/>
            <w:vMerge w:val="continue"/>
            <w:vAlign w:val="center"/>
          </w:tcPr>
          <w:p w14:paraId="543439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Merge w:val="continue"/>
            <w:vAlign w:val="center"/>
          </w:tcPr>
          <w:p w14:paraId="677EE4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5780" w:type="dxa"/>
            <w:vMerge w:val="continue"/>
            <w:vAlign w:val="center"/>
          </w:tcPr>
          <w:p w14:paraId="36B27A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39" w:type="dxa"/>
            <w:vAlign w:val="center"/>
          </w:tcPr>
          <w:p w14:paraId="022C66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是</w:t>
            </w:r>
          </w:p>
          <w:p w14:paraId="7F6BAB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c>
          <w:tcPr>
            <w:tcW w:w="658" w:type="dxa"/>
            <w:vAlign w:val="center"/>
          </w:tcPr>
          <w:p w14:paraId="59C423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否</w:t>
            </w:r>
          </w:p>
          <w:p w14:paraId="5408BC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r>
      <w:tr w14:paraId="3442B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jc w:val="center"/>
        </w:trPr>
        <w:tc>
          <w:tcPr>
            <w:tcW w:w="471" w:type="dxa"/>
            <w:vMerge w:val="restart"/>
            <w:vAlign w:val="center"/>
          </w:tcPr>
          <w:p w14:paraId="1521C6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初步评审</w:t>
            </w:r>
          </w:p>
        </w:tc>
        <w:tc>
          <w:tcPr>
            <w:tcW w:w="625" w:type="dxa"/>
            <w:vMerge w:val="restart"/>
            <w:vAlign w:val="center"/>
          </w:tcPr>
          <w:p w14:paraId="480720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符合性检查</w:t>
            </w:r>
          </w:p>
        </w:tc>
        <w:tc>
          <w:tcPr>
            <w:tcW w:w="1421" w:type="dxa"/>
            <w:vAlign w:val="center"/>
          </w:tcPr>
          <w:p w14:paraId="5E773D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eastAsia="zh-CN"/>
              </w:rPr>
              <w:t>投标</w:t>
            </w:r>
            <w:r>
              <w:rPr>
                <w:rFonts w:hint="eastAsia" w:ascii="仿宋" w:hAnsi="仿宋" w:eastAsia="仿宋" w:cs="仿宋"/>
                <w:b w:val="0"/>
                <w:bCs w:val="0"/>
                <w:sz w:val="21"/>
                <w:szCs w:val="21"/>
              </w:rPr>
              <w:t>保证金</w:t>
            </w:r>
          </w:p>
        </w:tc>
        <w:tc>
          <w:tcPr>
            <w:tcW w:w="5780" w:type="dxa"/>
            <w:vAlign w:val="center"/>
          </w:tcPr>
          <w:p w14:paraId="21AEEB5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按照</w:t>
            </w:r>
            <w:r>
              <w:rPr>
                <w:rFonts w:hint="eastAsia" w:ascii="仿宋" w:hAnsi="仿宋" w:eastAsia="仿宋" w:cs="仿宋"/>
                <w:b w:val="0"/>
                <w:bCs w:val="0"/>
                <w:sz w:val="21"/>
                <w:szCs w:val="21"/>
                <w:lang w:eastAsia="zh-CN"/>
              </w:rPr>
              <w:t>招标文件</w:t>
            </w:r>
            <w:r>
              <w:rPr>
                <w:rFonts w:hint="eastAsia" w:ascii="仿宋" w:hAnsi="仿宋" w:eastAsia="仿宋" w:cs="仿宋"/>
                <w:b w:val="0"/>
                <w:bCs w:val="0"/>
                <w:sz w:val="21"/>
                <w:szCs w:val="21"/>
              </w:rPr>
              <w:t>的规定提交</w:t>
            </w: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rPr>
              <w:t>保证金的</w:t>
            </w:r>
          </w:p>
        </w:tc>
        <w:tc>
          <w:tcPr>
            <w:tcW w:w="639" w:type="dxa"/>
          </w:tcPr>
          <w:p w14:paraId="437945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1DD03C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21748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8" w:hRule="atLeast"/>
          <w:jc w:val="center"/>
        </w:trPr>
        <w:tc>
          <w:tcPr>
            <w:tcW w:w="471" w:type="dxa"/>
            <w:vMerge w:val="continue"/>
          </w:tcPr>
          <w:p w14:paraId="060B67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4551F2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79B575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lang w:eastAsia="zh-CN"/>
              </w:rPr>
              <w:t>投标</w:t>
            </w:r>
            <w:r>
              <w:rPr>
                <w:rFonts w:hint="eastAsia" w:ascii="仿宋" w:hAnsi="仿宋" w:eastAsia="仿宋" w:cs="仿宋"/>
                <w:b w:val="0"/>
                <w:bCs w:val="0"/>
                <w:sz w:val="21"/>
                <w:szCs w:val="21"/>
                <w:highlight w:val="none"/>
              </w:rPr>
              <w:t>有效期</w:t>
            </w:r>
          </w:p>
        </w:tc>
        <w:tc>
          <w:tcPr>
            <w:tcW w:w="5780" w:type="dxa"/>
            <w:vAlign w:val="center"/>
          </w:tcPr>
          <w:p w14:paraId="2C2D590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投标文件中承诺的投标</w:t>
            </w:r>
            <w:r>
              <w:rPr>
                <w:rFonts w:hint="eastAsia" w:ascii="仿宋" w:hAnsi="仿宋" w:eastAsia="仿宋" w:cs="仿宋"/>
                <w:b w:val="0"/>
                <w:bCs w:val="0"/>
                <w:sz w:val="21"/>
                <w:szCs w:val="21"/>
                <w:highlight w:val="none"/>
              </w:rPr>
              <w:t>有效期</w:t>
            </w:r>
            <w:r>
              <w:rPr>
                <w:rFonts w:hint="eastAsia" w:ascii="仿宋" w:hAnsi="仿宋" w:eastAsia="仿宋" w:cs="仿宋"/>
                <w:b w:val="0"/>
                <w:bCs w:val="0"/>
                <w:sz w:val="21"/>
                <w:szCs w:val="21"/>
                <w:highlight w:val="none"/>
                <w:lang w:eastAsia="zh-CN"/>
              </w:rPr>
              <w:t>满足</w:t>
            </w:r>
            <w:r>
              <w:rPr>
                <w:rFonts w:hint="eastAsia" w:ascii="仿宋" w:hAnsi="仿宋" w:eastAsia="仿宋" w:cs="仿宋"/>
                <w:b w:val="0"/>
                <w:bCs w:val="0"/>
                <w:sz w:val="21"/>
                <w:szCs w:val="21"/>
                <w:lang w:eastAsia="zh-CN"/>
              </w:rPr>
              <w:t>招标</w:t>
            </w:r>
            <w:r>
              <w:rPr>
                <w:rFonts w:hint="eastAsia" w:ascii="仿宋" w:hAnsi="仿宋" w:eastAsia="仿宋" w:cs="仿宋"/>
                <w:b w:val="0"/>
                <w:bCs w:val="0"/>
                <w:sz w:val="21"/>
                <w:szCs w:val="21"/>
                <w:highlight w:val="none"/>
                <w:lang w:eastAsia="zh-CN"/>
              </w:rPr>
              <w:t>文件中的</w:t>
            </w:r>
            <w:r>
              <w:rPr>
                <w:rFonts w:hint="eastAsia" w:ascii="仿宋" w:hAnsi="仿宋" w:eastAsia="仿宋" w:cs="仿宋"/>
                <w:b w:val="0"/>
                <w:bCs w:val="0"/>
                <w:sz w:val="21"/>
                <w:szCs w:val="21"/>
                <w:highlight w:val="none"/>
                <w:lang w:val="en-US" w:eastAsia="zh-CN"/>
              </w:rPr>
              <w:t>规定</w:t>
            </w:r>
          </w:p>
        </w:tc>
        <w:tc>
          <w:tcPr>
            <w:tcW w:w="639" w:type="dxa"/>
          </w:tcPr>
          <w:p w14:paraId="550A7D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525085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6958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471" w:type="dxa"/>
            <w:vMerge w:val="continue"/>
          </w:tcPr>
          <w:p w14:paraId="731B6A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02A691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21BADF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合同履约期限</w:t>
            </w:r>
          </w:p>
        </w:tc>
        <w:tc>
          <w:tcPr>
            <w:tcW w:w="5780" w:type="dxa"/>
            <w:vAlign w:val="center"/>
          </w:tcPr>
          <w:p w14:paraId="409ADAC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投标文件中承诺的合同履约期限满足</w:t>
            </w:r>
            <w:r>
              <w:rPr>
                <w:rFonts w:hint="eastAsia" w:ascii="仿宋" w:hAnsi="仿宋" w:eastAsia="仿宋" w:cs="仿宋"/>
                <w:b w:val="0"/>
                <w:bCs w:val="0"/>
                <w:sz w:val="21"/>
                <w:szCs w:val="21"/>
                <w:lang w:eastAsia="zh-CN"/>
              </w:rPr>
              <w:t>招标</w:t>
            </w:r>
            <w:r>
              <w:rPr>
                <w:rFonts w:hint="eastAsia" w:ascii="仿宋" w:hAnsi="仿宋" w:eastAsia="仿宋" w:cs="仿宋"/>
                <w:b w:val="0"/>
                <w:bCs w:val="0"/>
                <w:sz w:val="21"/>
                <w:szCs w:val="21"/>
                <w:highlight w:val="none"/>
                <w:lang w:eastAsia="zh-CN"/>
              </w:rPr>
              <w:t>文件中的</w:t>
            </w:r>
            <w:r>
              <w:rPr>
                <w:rFonts w:hint="eastAsia" w:ascii="仿宋" w:hAnsi="仿宋" w:eastAsia="仿宋" w:cs="仿宋"/>
                <w:b w:val="0"/>
                <w:bCs w:val="0"/>
                <w:sz w:val="21"/>
                <w:szCs w:val="21"/>
                <w:highlight w:val="none"/>
                <w:lang w:val="en-US" w:eastAsia="zh-CN"/>
              </w:rPr>
              <w:t>规定</w:t>
            </w:r>
          </w:p>
        </w:tc>
        <w:tc>
          <w:tcPr>
            <w:tcW w:w="639" w:type="dxa"/>
          </w:tcPr>
          <w:p w14:paraId="4821DA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320F39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0063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3" w:hRule="atLeast"/>
          <w:jc w:val="center"/>
        </w:trPr>
        <w:tc>
          <w:tcPr>
            <w:tcW w:w="471" w:type="dxa"/>
            <w:vMerge w:val="continue"/>
          </w:tcPr>
          <w:p w14:paraId="4D5C28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423874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243E5B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highlight w:val="none"/>
              </w:rPr>
              <w:t>文件签署、盖章</w:t>
            </w:r>
          </w:p>
        </w:tc>
        <w:tc>
          <w:tcPr>
            <w:tcW w:w="5780" w:type="dxa"/>
            <w:vAlign w:val="center"/>
          </w:tcPr>
          <w:p w14:paraId="70B16CB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rPr>
              <w:t>文件是否按照</w:t>
            </w:r>
            <w:r>
              <w:rPr>
                <w:rFonts w:hint="eastAsia" w:ascii="仿宋" w:hAnsi="仿宋" w:eastAsia="仿宋" w:cs="仿宋"/>
                <w:b w:val="0"/>
                <w:bCs w:val="0"/>
                <w:sz w:val="21"/>
                <w:szCs w:val="21"/>
                <w:lang w:eastAsia="zh-CN"/>
              </w:rPr>
              <w:t>招标</w:t>
            </w:r>
            <w:r>
              <w:rPr>
                <w:rFonts w:hint="eastAsia" w:ascii="仿宋" w:hAnsi="仿宋" w:eastAsia="仿宋" w:cs="仿宋"/>
                <w:b w:val="0"/>
                <w:bCs w:val="0"/>
                <w:sz w:val="21"/>
                <w:szCs w:val="21"/>
              </w:rPr>
              <w:t>文件规定</w:t>
            </w:r>
            <w:r>
              <w:rPr>
                <w:rFonts w:hint="eastAsia" w:ascii="仿宋" w:hAnsi="仿宋" w:eastAsia="仿宋" w:cs="仿宋"/>
                <w:b w:val="0"/>
                <w:bCs w:val="0"/>
                <w:sz w:val="21"/>
                <w:szCs w:val="21"/>
                <w:lang w:val="en-US" w:eastAsia="zh-CN"/>
              </w:rPr>
              <w:t>的</w:t>
            </w:r>
            <w:r>
              <w:rPr>
                <w:rFonts w:hint="eastAsia" w:ascii="仿宋" w:hAnsi="仿宋" w:eastAsia="仿宋" w:cs="仿宋"/>
                <w:b w:val="0"/>
                <w:bCs w:val="0"/>
                <w:sz w:val="21"/>
                <w:szCs w:val="21"/>
              </w:rPr>
              <w:t>要求签署、盖章</w:t>
            </w:r>
          </w:p>
        </w:tc>
        <w:tc>
          <w:tcPr>
            <w:tcW w:w="639" w:type="dxa"/>
          </w:tcPr>
          <w:p w14:paraId="4929D1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3DE865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07194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dxa"/>
            <w:vMerge w:val="continue"/>
          </w:tcPr>
          <w:p w14:paraId="4B62EF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460B51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2E02DB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rPr>
              <w:t>报价</w:t>
            </w:r>
          </w:p>
        </w:tc>
        <w:tc>
          <w:tcPr>
            <w:tcW w:w="5780" w:type="dxa"/>
            <w:vAlign w:val="center"/>
          </w:tcPr>
          <w:p w14:paraId="46E4F65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报价</w:t>
            </w:r>
            <w:r>
              <w:rPr>
                <w:rFonts w:hint="eastAsia" w:ascii="仿宋" w:hAnsi="仿宋" w:eastAsia="仿宋" w:cs="仿宋"/>
                <w:b w:val="0"/>
                <w:bCs w:val="0"/>
                <w:sz w:val="21"/>
                <w:szCs w:val="21"/>
                <w:lang w:eastAsia="zh-CN"/>
              </w:rPr>
              <w:t>未</w:t>
            </w:r>
            <w:r>
              <w:rPr>
                <w:rFonts w:hint="eastAsia" w:ascii="仿宋" w:hAnsi="仿宋" w:eastAsia="仿宋" w:cs="仿宋"/>
                <w:b w:val="0"/>
                <w:bCs w:val="0"/>
                <w:sz w:val="21"/>
                <w:szCs w:val="21"/>
              </w:rPr>
              <w:t>超过</w:t>
            </w:r>
            <w:r>
              <w:rPr>
                <w:rFonts w:hint="eastAsia" w:ascii="仿宋" w:hAnsi="仿宋" w:eastAsia="仿宋" w:cs="仿宋"/>
                <w:b w:val="0"/>
                <w:bCs w:val="0"/>
                <w:sz w:val="21"/>
                <w:szCs w:val="21"/>
                <w:lang w:eastAsia="zh-CN"/>
              </w:rPr>
              <w:t>招标文件</w:t>
            </w:r>
            <w:r>
              <w:rPr>
                <w:rFonts w:hint="eastAsia" w:ascii="仿宋" w:hAnsi="仿宋" w:eastAsia="仿宋" w:cs="仿宋"/>
                <w:b w:val="0"/>
                <w:bCs w:val="0"/>
                <w:sz w:val="21"/>
                <w:szCs w:val="21"/>
              </w:rPr>
              <w:t>中规定的预算金额或者最高限价</w:t>
            </w:r>
          </w:p>
          <w:p w14:paraId="19D53B8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eastAsia="zh-CN"/>
              </w:rPr>
              <w:t>（</w:t>
            </w:r>
            <w:r>
              <w:rPr>
                <w:rFonts w:hint="eastAsia" w:ascii="仿宋" w:hAnsi="仿宋" w:eastAsia="仿宋" w:cs="仿宋"/>
                <w:b w:val="0"/>
                <w:bCs w:val="0"/>
                <w:sz w:val="21"/>
                <w:szCs w:val="21"/>
                <w:lang w:val="en-US" w:eastAsia="zh-CN"/>
              </w:rPr>
              <w:t>投标报价时报价不得超过各产品单价最高限价，否则按废标处理。</w:t>
            </w:r>
            <w:r>
              <w:rPr>
                <w:rFonts w:hint="eastAsia" w:ascii="仿宋" w:hAnsi="仿宋" w:eastAsia="仿宋" w:cs="仿宋"/>
                <w:b w:val="0"/>
                <w:bCs w:val="0"/>
                <w:sz w:val="21"/>
                <w:szCs w:val="21"/>
                <w:lang w:eastAsia="zh-CN"/>
              </w:rPr>
              <w:t>）</w:t>
            </w:r>
          </w:p>
        </w:tc>
        <w:tc>
          <w:tcPr>
            <w:tcW w:w="639" w:type="dxa"/>
          </w:tcPr>
          <w:p w14:paraId="4CDE0D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7560A6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4969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dxa"/>
            <w:vMerge w:val="continue"/>
          </w:tcPr>
          <w:p w14:paraId="25053A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2873BB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3B8E3C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实质性响应</w:t>
            </w:r>
          </w:p>
        </w:tc>
        <w:tc>
          <w:tcPr>
            <w:tcW w:w="5780" w:type="dxa"/>
            <w:vAlign w:val="center"/>
          </w:tcPr>
          <w:p w14:paraId="5A0775C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lang w:eastAsia="zh-CN"/>
              </w:rPr>
              <w:t>文件满足招标文件中实质性条款的要求和商务要求（注：</w:t>
            </w:r>
            <w:r>
              <w:rPr>
                <w:rFonts w:hint="eastAsia" w:ascii="仿宋" w:hAnsi="仿宋" w:eastAsia="仿宋" w:cs="仿宋"/>
                <w:sz w:val="21"/>
                <w:szCs w:val="21"/>
                <w:highlight w:val="none"/>
                <w:lang w:val="zh-CN" w:eastAsia="zh-CN"/>
              </w:rPr>
              <w:t>技术指标中★项指标为核心指标必须满足项，不接受负偏离，若出现负偏离，做否决投标处理</w:t>
            </w:r>
            <w:r>
              <w:rPr>
                <w:rFonts w:hint="eastAsia" w:ascii="仿宋" w:hAnsi="仿宋" w:eastAsia="仿宋" w:cs="仿宋"/>
                <w:b w:val="0"/>
                <w:bCs w:val="0"/>
                <w:sz w:val="21"/>
                <w:szCs w:val="21"/>
                <w:lang w:eastAsia="zh-CN"/>
              </w:rPr>
              <w:t>）</w:t>
            </w:r>
          </w:p>
        </w:tc>
        <w:tc>
          <w:tcPr>
            <w:tcW w:w="639" w:type="dxa"/>
          </w:tcPr>
          <w:p w14:paraId="37D174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239965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2258F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6" w:hRule="atLeast"/>
          <w:jc w:val="center"/>
        </w:trPr>
        <w:tc>
          <w:tcPr>
            <w:tcW w:w="471" w:type="dxa"/>
            <w:vMerge w:val="continue"/>
          </w:tcPr>
          <w:p w14:paraId="3E5AFA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5964DC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1929AB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其他条件</w:t>
            </w:r>
          </w:p>
        </w:tc>
        <w:tc>
          <w:tcPr>
            <w:tcW w:w="5780" w:type="dxa"/>
            <w:vAlign w:val="center"/>
          </w:tcPr>
          <w:p w14:paraId="59FC590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rPr>
              <w:t>文件</w:t>
            </w:r>
            <w:r>
              <w:rPr>
                <w:rFonts w:hint="eastAsia" w:ascii="仿宋" w:hAnsi="仿宋" w:eastAsia="仿宋" w:cs="仿宋"/>
                <w:b w:val="0"/>
                <w:bCs w:val="0"/>
                <w:sz w:val="21"/>
                <w:szCs w:val="21"/>
                <w:lang w:eastAsia="zh-CN"/>
              </w:rPr>
              <w:t>是否</w:t>
            </w:r>
            <w:r>
              <w:rPr>
                <w:rFonts w:hint="eastAsia" w:ascii="仿宋" w:hAnsi="仿宋" w:eastAsia="仿宋" w:cs="仿宋"/>
                <w:b w:val="0"/>
                <w:bCs w:val="0"/>
                <w:sz w:val="21"/>
                <w:szCs w:val="21"/>
              </w:rPr>
              <w:t>含有采购人不能接受的附加条件</w:t>
            </w:r>
          </w:p>
        </w:tc>
        <w:tc>
          <w:tcPr>
            <w:tcW w:w="639" w:type="dxa"/>
          </w:tcPr>
          <w:p w14:paraId="45CBD6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7A47BA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40979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4" w:hRule="atLeast"/>
          <w:jc w:val="center"/>
        </w:trPr>
        <w:tc>
          <w:tcPr>
            <w:tcW w:w="471" w:type="dxa"/>
            <w:vMerge w:val="continue"/>
          </w:tcPr>
          <w:p w14:paraId="1AFA04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182ED7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4C51E7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val="en-US" w:eastAsia="zh-CN"/>
              </w:rPr>
              <w:t>无效情形</w:t>
            </w:r>
          </w:p>
        </w:tc>
        <w:tc>
          <w:tcPr>
            <w:tcW w:w="5780" w:type="dxa"/>
            <w:vAlign w:val="center"/>
          </w:tcPr>
          <w:p w14:paraId="3389829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法律、法规和</w:t>
            </w:r>
            <w:r>
              <w:rPr>
                <w:rFonts w:hint="eastAsia" w:ascii="仿宋" w:hAnsi="仿宋" w:eastAsia="仿宋" w:cs="仿宋"/>
                <w:b w:val="0"/>
                <w:bCs w:val="0"/>
                <w:sz w:val="21"/>
                <w:szCs w:val="21"/>
                <w:highlight w:val="none"/>
                <w:lang w:eastAsia="zh-CN"/>
              </w:rPr>
              <w:t>招标</w:t>
            </w:r>
            <w:r>
              <w:rPr>
                <w:rFonts w:hint="eastAsia" w:ascii="仿宋" w:hAnsi="仿宋" w:eastAsia="仿宋" w:cs="仿宋"/>
                <w:b w:val="0"/>
                <w:bCs w:val="0"/>
                <w:sz w:val="21"/>
                <w:szCs w:val="21"/>
              </w:rPr>
              <w:t>文件规定的其他无效情形</w:t>
            </w:r>
          </w:p>
        </w:tc>
        <w:tc>
          <w:tcPr>
            <w:tcW w:w="639" w:type="dxa"/>
          </w:tcPr>
          <w:p w14:paraId="533373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5902CF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185D2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3" w:hRule="atLeast"/>
          <w:jc w:val="center"/>
        </w:trPr>
        <w:tc>
          <w:tcPr>
            <w:tcW w:w="9594" w:type="dxa"/>
            <w:gridSpan w:val="6"/>
            <w:vAlign w:val="center"/>
          </w:tcPr>
          <w:p w14:paraId="419284A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sz w:val="21"/>
                <w:szCs w:val="21"/>
              </w:rPr>
            </w:pPr>
            <w:r>
              <w:rPr>
                <w:rFonts w:hint="eastAsia" w:ascii="仿宋" w:hAnsi="仿宋" w:eastAsia="仿宋" w:cs="仿宋"/>
                <w:b/>
                <w:bCs/>
                <w:sz w:val="21"/>
                <w:szCs w:val="21"/>
              </w:rPr>
              <w:t>注：以上检查内容必须全部符合检查标准，否则为无效标。</w:t>
            </w:r>
          </w:p>
        </w:tc>
      </w:tr>
      <w:bookmarkEnd w:id="51"/>
    </w:tbl>
    <w:p w14:paraId="0667C823">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注：提交的图表、影印件、查询记录等文件须清晰完整，因文字模糊专家辨识造成审查不合格的由响应人自行承担相应责任。</w:t>
      </w:r>
    </w:p>
    <w:p w14:paraId="4F70EA2B">
      <w:pPr>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szCs w:val="24"/>
          <w:highlight w:val="none"/>
        </w:rPr>
      </w:pPr>
    </w:p>
    <w:p w14:paraId="39D542B8">
      <w:pPr>
        <w:keepNext w:val="0"/>
        <w:keepLines w:val="0"/>
        <w:pageBreakBefore/>
        <w:widowControl w:val="0"/>
        <w:kinsoku/>
        <w:wordWrap/>
        <w:overflowPunct/>
        <w:topLinePunct w:val="0"/>
        <w:autoSpaceDE w:val="0"/>
        <w:autoSpaceDN w:val="0"/>
        <w:bidi w:val="0"/>
        <w:adjustRightInd w:val="0"/>
        <w:snapToGrid/>
        <w:spacing w:line="360" w:lineRule="auto"/>
        <w:jc w:val="center"/>
        <w:textAlignment w:val="auto"/>
        <w:rPr>
          <w:rFonts w:hint="eastAsia" w:ascii="仿宋" w:hAnsi="仿宋" w:eastAsia="仿宋"/>
          <w:b/>
          <w:bCs/>
          <w:sz w:val="28"/>
          <w:szCs w:val="28"/>
          <w:highlight w:val="none"/>
          <w:lang w:eastAsia="zh-CN"/>
        </w:rPr>
      </w:pPr>
      <w:r>
        <w:rPr>
          <w:rFonts w:hint="eastAsia" w:ascii="仿宋" w:hAnsi="仿宋" w:eastAsia="仿宋"/>
          <w:b/>
          <w:bCs/>
          <w:sz w:val="28"/>
          <w:szCs w:val="28"/>
          <w:highlight w:val="none"/>
        </w:rPr>
        <w:t>《详细评审》</w:t>
      </w:r>
    </w:p>
    <w:tbl>
      <w:tblPr>
        <w:tblStyle w:val="20"/>
        <w:tblpPr w:leftFromText="180" w:rightFromText="180" w:vertAnchor="text" w:horzAnchor="page" w:tblpX="1176" w:tblpY="289"/>
        <w:tblOverlap w:val="never"/>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top w:w="0" w:type="dxa"/>
          <w:left w:w="0" w:type="dxa"/>
          <w:bottom w:w="0" w:type="dxa"/>
          <w:right w:w="0" w:type="dxa"/>
        </w:tblCellMar>
      </w:tblPr>
      <w:tblGrid>
        <w:gridCol w:w="1125"/>
        <w:gridCol w:w="1305"/>
        <w:gridCol w:w="7153"/>
      </w:tblGrid>
      <w:tr w14:paraId="0832C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568" w:hRule="atLeast"/>
        </w:trPr>
        <w:tc>
          <w:tcPr>
            <w:tcW w:w="1125" w:type="dxa"/>
            <w:shd w:val="clear" w:color="auto" w:fill="FFFFFF" w:themeFill="background1"/>
            <w:noWrap/>
            <w:vAlign w:val="center"/>
          </w:tcPr>
          <w:p w14:paraId="7AC60E55">
            <w:pPr>
              <w:keepNext w:val="0"/>
              <w:keepLines w:val="0"/>
              <w:pageBreakBefore w:val="0"/>
              <w:widowControl w:val="0"/>
              <w:kinsoku/>
              <w:wordWrap/>
              <w:overflowPunct/>
              <w:topLinePunct w:val="0"/>
              <w:bidi w:val="0"/>
              <w:adjustRightInd w:val="0"/>
              <w:snapToGrid w:val="0"/>
              <w:spacing w:before="161"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评标项目</w:t>
            </w:r>
          </w:p>
        </w:tc>
        <w:tc>
          <w:tcPr>
            <w:tcW w:w="1305" w:type="dxa"/>
            <w:shd w:val="clear" w:color="auto" w:fill="FFFFFF" w:themeFill="background1"/>
            <w:noWrap/>
            <w:vAlign w:val="center"/>
          </w:tcPr>
          <w:p w14:paraId="116BA62D">
            <w:pPr>
              <w:keepNext w:val="0"/>
              <w:keepLines w:val="0"/>
              <w:pageBreakBefore w:val="0"/>
              <w:widowControl w:val="0"/>
              <w:kinsoku/>
              <w:wordWrap/>
              <w:overflowPunct/>
              <w:topLinePunct w:val="0"/>
              <w:bidi w:val="0"/>
              <w:adjustRightInd w:val="0"/>
              <w:snapToGrid w:val="0"/>
              <w:spacing w:before="67"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评审内容</w:t>
            </w:r>
          </w:p>
        </w:tc>
        <w:tc>
          <w:tcPr>
            <w:tcW w:w="7153" w:type="dxa"/>
            <w:shd w:val="clear" w:color="auto" w:fill="FFFFFF" w:themeFill="background1"/>
            <w:noWrap/>
            <w:vAlign w:val="center"/>
          </w:tcPr>
          <w:p w14:paraId="418D75D1">
            <w:pPr>
              <w:keepNext w:val="0"/>
              <w:keepLines w:val="0"/>
              <w:pageBreakBefore w:val="0"/>
              <w:widowControl w:val="0"/>
              <w:kinsoku/>
              <w:wordWrap/>
              <w:overflowPunct/>
              <w:topLinePunct w:val="0"/>
              <w:bidi w:val="0"/>
              <w:adjustRightInd w:val="0"/>
              <w:snapToGrid w:val="0"/>
              <w:spacing w:before="67" w:line="240" w:lineRule="auto"/>
              <w:ind w:left="2461" w:right="2333"/>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评分标准</w:t>
            </w:r>
          </w:p>
        </w:tc>
      </w:tr>
      <w:tr w14:paraId="7B310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568" w:hRule="atLeast"/>
        </w:trPr>
        <w:tc>
          <w:tcPr>
            <w:tcW w:w="1125" w:type="dxa"/>
            <w:shd w:val="clear" w:color="auto" w:fill="FFFFFF" w:themeFill="background1"/>
            <w:noWrap/>
            <w:vAlign w:val="center"/>
          </w:tcPr>
          <w:p w14:paraId="1129E620">
            <w:pPr>
              <w:pStyle w:val="52"/>
              <w:shd w:val="clear"/>
              <w:jc w:val="center"/>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报价</w:t>
            </w:r>
          </w:p>
          <w:p w14:paraId="1209EA88">
            <w:pPr>
              <w:pStyle w:val="52"/>
              <w:shd w:val="clear"/>
              <w:jc w:val="center"/>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部分</w:t>
            </w:r>
          </w:p>
          <w:p w14:paraId="7F961116">
            <w:pPr>
              <w:pStyle w:val="52"/>
              <w:shd w:val="clear"/>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val="en-US" w:eastAsia="zh-CN" w:bidi="ar-SA"/>
              </w:rPr>
              <w:t>（30分）</w:t>
            </w:r>
          </w:p>
        </w:tc>
        <w:tc>
          <w:tcPr>
            <w:tcW w:w="1305" w:type="dxa"/>
            <w:shd w:val="clear" w:color="auto" w:fill="FFFFFF" w:themeFill="background1"/>
            <w:noWrap/>
            <w:vAlign w:val="center"/>
          </w:tcPr>
          <w:p w14:paraId="2D8FB465">
            <w:pPr>
              <w:keepNext w:val="0"/>
              <w:keepLines w:val="0"/>
              <w:pageBreakBefore w:val="0"/>
              <w:widowControl w:val="0"/>
              <w:kinsoku/>
              <w:wordWrap/>
              <w:overflowPunct/>
              <w:topLinePunct w:val="0"/>
              <w:bidi w:val="0"/>
              <w:adjustRightInd w:val="0"/>
              <w:snapToGrid w:val="0"/>
              <w:spacing w:before="189"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bidi="zh-CN"/>
              </w:rPr>
              <w:t>投标</w:t>
            </w:r>
            <w:r>
              <w:rPr>
                <w:rFonts w:hint="eastAsia" w:ascii="仿宋" w:hAnsi="仿宋" w:eastAsia="仿宋" w:cs="仿宋"/>
                <w:sz w:val="21"/>
                <w:szCs w:val="21"/>
                <w:highlight w:val="none"/>
              </w:rPr>
              <w:t>报价</w:t>
            </w:r>
          </w:p>
          <w:p w14:paraId="04D36C2E">
            <w:pPr>
              <w:keepNext w:val="0"/>
              <w:keepLines w:val="0"/>
              <w:pageBreakBefore w:val="0"/>
              <w:widowControl w:val="0"/>
              <w:kinsoku/>
              <w:wordWrap/>
              <w:overflowPunct/>
              <w:topLinePunct w:val="0"/>
              <w:bidi w:val="0"/>
              <w:adjustRightInd w:val="0"/>
              <w:snapToGrid w:val="0"/>
              <w:spacing w:before="189"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30</w:t>
            </w:r>
            <w:r>
              <w:rPr>
                <w:rFonts w:hint="eastAsia" w:ascii="仿宋" w:hAnsi="仿宋" w:eastAsia="仿宋" w:cs="仿宋"/>
                <w:sz w:val="21"/>
                <w:szCs w:val="21"/>
                <w:highlight w:val="none"/>
              </w:rPr>
              <w:t>分）</w:t>
            </w:r>
          </w:p>
        </w:tc>
        <w:tc>
          <w:tcPr>
            <w:tcW w:w="7153" w:type="dxa"/>
            <w:shd w:val="clear" w:color="auto" w:fill="FFFFFF" w:themeFill="background1"/>
            <w:noWrap/>
            <w:vAlign w:val="center"/>
          </w:tcPr>
          <w:p w14:paraId="0C9DF443">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评标基准价即满足采购文件要求且投标价格最低的投标报价，</w:t>
            </w:r>
            <w:r>
              <w:rPr>
                <w:rFonts w:hint="eastAsia" w:ascii="仿宋" w:hAnsi="仿宋" w:eastAsia="仿宋" w:cs="仿宋"/>
                <w:sz w:val="21"/>
                <w:szCs w:val="21"/>
                <w:highlight w:val="none"/>
              </w:rPr>
              <w:t>其价格分为满分</w:t>
            </w:r>
            <w:r>
              <w:rPr>
                <w:rFonts w:hint="eastAsia" w:ascii="仿宋" w:hAnsi="仿宋" w:eastAsia="仿宋" w:cs="仿宋"/>
                <w:sz w:val="21"/>
                <w:szCs w:val="21"/>
                <w:highlight w:val="none"/>
                <w:lang w:val="en-US" w:eastAsia="zh-CN"/>
              </w:rPr>
              <w:t>30</w:t>
            </w:r>
            <w:r>
              <w:rPr>
                <w:rFonts w:hint="eastAsia" w:ascii="仿宋" w:hAnsi="仿宋" w:eastAsia="仿宋" w:cs="仿宋"/>
                <w:sz w:val="21"/>
                <w:szCs w:val="21"/>
                <w:highlight w:val="none"/>
              </w:rPr>
              <w:t>分。</w:t>
            </w:r>
          </w:p>
          <w:p w14:paraId="4D0954C9">
            <w:pPr>
              <w:keepNext w:val="0"/>
              <w:keepLines w:val="0"/>
              <w:pageBreakBefore w:val="0"/>
              <w:widowControl w:val="0"/>
              <w:shd w:val="clear"/>
              <w:kinsoku/>
              <w:wordWrap/>
              <w:overflowPunct/>
              <w:topLinePunct w:val="0"/>
              <w:bidi w:val="0"/>
              <w:adjustRightInd w:val="0"/>
              <w:snapToGrid w:val="0"/>
              <w:spacing w:before="1" w:line="24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的价格得分按照下列公式计算：投标报价得分＝（评标基准价/</w:t>
            </w:r>
            <w:r>
              <w:rPr>
                <w:rFonts w:hint="eastAsia" w:ascii="仿宋" w:hAnsi="仿宋" w:eastAsia="仿宋" w:cs="仿宋"/>
                <w:sz w:val="21"/>
                <w:szCs w:val="21"/>
                <w:highlight w:val="none"/>
                <w:lang w:val="zh-CN" w:bidi="zh-CN"/>
              </w:rPr>
              <w:t>投标</w:t>
            </w:r>
            <w:r>
              <w:rPr>
                <w:rFonts w:hint="eastAsia" w:ascii="仿宋" w:hAnsi="仿宋" w:eastAsia="仿宋" w:cs="仿宋"/>
                <w:sz w:val="21"/>
                <w:szCs w:val="21"/>
                <w:highlight w:val="none"/>
              </w:rPr>
              <w:t>报价）×</w:t>
            </w:r>
            <w:r>
              <w:rPr>
                <w:rFonts w:hint="eastAsia" w:ascii="仿宋" w:hAnsi="仿宋" w:eastAsia="仿宋" w:cs="仿宋"/>
                <w:sz w:val="21"/>
                <w:szCs w:val="21"/>
                <w:highlight w:val="none"/>
                <w:lang w:val="en-US" w:eastAsia="zh-CN"/>
              </w:rPr>
              <w:t>30%</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100</w:t>
            </w:r>
          </w:p>
          <w:p w14:paraId="57226E17">
            <w:pPr>
              <w:keepNext w:val="0"/>
              <w:keepLines w:val="0"/>
              <w:pageBreakBefore w:val="0"/>
              <w:widowControl w:val="0"/>
              <w:shd w:val="clear"/>
              <w:kinsoku/>
              <w:wordWrap/>
              <w:overflowPunct/>
              <w:topLinePunct w:val="0"/>
              <w:bidi w:val="0"/>
              <w:adjustRightInd w:val="0"/>
              <w:snapToGrid w:val="0"/>
              <w:spacing w:before="1" w:line="240" w:lineRule="auto"/>
              <w:ind w:firstLine="422" w:firstLineChars="200"/>
              <w:textAlignment w:val="auto"/>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rPr>
              <w:t>备注：本项目</w:t>
            </w:r>
            <w:r>
              <w:rPr>
                <w:rFonts w:hint="eastAsia" w:ascii="仿宋" w:hAnsi="仿宋" w:eastAsia="仿宋" w:cs="仿宋"/>
                <w:b/>
                <w:bCs/>
                <w:sz w:val="21"/>
                <w:szCs w:val="21"/>
                <w:highlight w:val="none"/>
                <w:lang w:eastAsia="zh-CN"/>
              </w:rPr>
              <w:t>为</w:t>
            </w:r>
            <w:r>
              <w:rPr>
                <w:rFonts w:hint="eastAsia" w:ascii="仿宋" w:hAnsi="仿宋" w:eastAsia="仿宋" w:cs="仿宋"/>
                <w:b/>
                <w:bCs/>
                <w:sz w:val="21"/>
                <w:szCs w:val="21"/>
                <w:highlight w:val="none"/>
              </w:rPr>
              <w:t>专门面向中小企业（小型、微型企业）采购项目，根据《政府采购促进中小企业发展管理办法》（财库[2020]46号）、《关于进一步加大政府采购支持中小企业力度的通知》财库〔2022〕19号）的规定，</w:t>
            </w:r>
            <w:r>
              <w:rPr>
                <w:rFonts w:hint="eastAsia" w:ascii="仿宋" w:hAnsi="仿宋" w:eastAsia="仿宋" w:cs="仿宋"/>
                <w:b/>
                <w:bCs/>
                <w:sz w:val="21"/>
                <w:szCs w:val="21"/>
                <w:highlight w:val="none"/>
                <w:lang w:eastAsia="zh-CN"/>
              </w:rPr>
              <w:t>不再</w:t>
            </w:r>
            <w:r>
              <w:rPr>
                <w:rFonts w:hint="eastAsia" w:ascii="仿宋" w:hAnsi="仿宋" w:eastAsia="仿宋" w:cs="仿宋"/>
                <w:b/>
                <w:bCs/>
                <w:sz w:val="21"/>
                <w:szCs w:val="21"/>
                <w:highlight w:val="none"/>
              </w:rPr>
              <w:t>执行价格评审优惠</w:t>
            </w:r>
            <w:r>
              <w:rPr>
                <w:rFonts w:hint="eastAsia" w:ascii="仿宋" w:hAnsi="仿宋" w:eastAsia="仿宋" w:cs="仿宋"/>
                <w:b/>
                <w:bCs/>
                <w:sz w:val="21"/>
                <w:szCs w:val="21"/>
                <w:highlight w:val="none"/>
                <w:lang w:val="en-US" w:eastAsia="zh-CN"/>
              </w:rPr>
              <w:t>。</w:t>
            </w:r>
          </w:p>
        </w:tc>
      </w:tr>
      <w:tr w14:paraId="4B31A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90" w:hRule="atLeast"/>
        </w:trPr>
        <w:tc>
          <w:tcPr>
            <w:tcW w:w="1125" w:type="dxa"/>
            <w:vMerge w:val="restart"/>
            <w:shd w:val="clear" w:color="auto" w:fill="FFFFFF" w:themeFill="background1"/>
            <w:noWrap/>
            <w:vAlign w:val="center"/>
          </w:tcPr>
          <w:p w14:paraId="5F0D6C4B">
            <w:pPr>
              <w:keepNext w:val="0"/>
              <w:keepLines w:val="0"/>
              <w:pageBreakBefore w:val="0"/>
              <w:widowControl w:val="0"/>
              <w:kinsoku/>
              <w:wordWrap/>
              <w:overflowPunct/>
              <w:topLinePunct w:val="0"/>
              <w:bidi w:val="0"/>
              <w:adjustRightInd w:val="0"/>
              <w:snapToGrid w:val="0"/>
              <w:spacing w:before="12" w:line="240" w:lineRule="auto"/>
              <w:ind w:left="106"/>
              <w:textAlignment w:val="auto"/>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1"/>
                <w:szCs w:val="21"/>
                <w:highlight w:val="none"/>
                <w:lang w:val="en-US"/>
              </w:rPr>
              <w:t>商务</w:t>
            </w:r>
            <w:r>
              <w:rPr>
                <w:rFonts w:hint="eastAsia" w:ascii="仿宋" w:hAnsi="仿宋" w:eastAsia="仿宋" w:cs="仿宋"/>
                <w:color w:val="auto"/>
                <w:sz w:val="21"/>
                <w:szCs w:val="21"/>
                <w:highlight w:val="none"/>
                <w:lang w:val="zh-CN"/>
              </w:rPr>
              <w:t>技术部分（</w:t>
            </w:r>
            <w:r>
              <w:rPr>
                <w:rFonts w:hint="eastAsia" w:ascii="仿宋" w:hAnsi="仿宋" w:eastAsia="仿宋" w:cs="仿宋"/>
                <w:color w:val="auto"/>
                <w:sz w:val="21"/>
                <w:szCs w:val="21"/>
                <w:highlight w:val="none"/>
                <w:lang w:val="en-US" w:eastAsia="zh-CN"/>
              </w:rPr>
              <w:t>70分</w:t>
            </w:r>
            <w:r>
              <w:rPr>
                <w:rFonts w:hint="eastAsia" w:ascii="仿宋" w:hAnsi="仿宋" w:eastAsia="仿宋" w:cs="仿宋"/>
                <w:color w:val="auto"/>
                <w:sz w:val="21"/>
                <w:szCs w:val="21"/>
                <w:highlight w:val="none"/>
                <w:lang w:val="zh-CN"/>
              </w:rPr>
              <w:t>）</w:t>
            </w:r>
          </w:p>
        </w:tc>
        <w:tc>
          <w:tcPr>
            <w:tcW w:w="1305" w:type="dxa"/>
            <w:shd w:val="clear" w:color="auto" w:fill="FFFFFF" w:themeFill="background1"/>
            <w:noWrap/>
            <w:vAlign w:val="center"/>
          </w:tcPr>
          <w:p w14:paraId="4627E5F5">
            <w:pPr>
              <w:pStyle w:val="52"/>
              <w:shd w:val="clea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企业业绩</w:t>
            </w:r>
          </w:p>
          <w:p w14:paraId="4C4681D9">
            <w:pPr>
              <w:pStyle w:val="52"/>
              <w:shd w:val="clea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（6分）</w:t>
            </w:r>
          </w:p>
        </w:tc>
        <w:tc>
          <w:tcPr>
            <w:tcW w:w="7153" w:type="dxa"/>
            <w:shd w:val="clear" w:color="auto" w:fill="FFFFFF" w:themeFill="background1"/>
            <w:noWrap/>
            <w:vAlign w:val="center"/>
          </w:tcPr>
          <w:p w14:paraId="055B2017">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供应商提供2023年1月1日至今类似项目业绩证明（提供中标（成交）通知书或合同）：提供1份得1分，本项满分6分。</w:t>
            </w:r>
          </w:p>
        </w:tc>
      </w:tr>
      <w:tr w14:paraId="295A2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371" w:hRule="atLeast"/>
        </w:trPr>
        <w:tc>
          <w:tcPr>
            <w:tcW w:w="1125" w:type="dxa"/>
            <w:vMerge w:val="continue"/>
            <w:shd w:val="clear" w:color="auto" w:fill="FFFFFF" w:themeFill="background1"/>
            <w:noWrap/>
            <w:vAlign w:val="center"/>
          </w:tcPr>
          <w:p w14:paraId="373A411D">
            <w:pPr>
              <w:keepNext w:val="0"/>
              <w:keepLines w:val="0"/>
              <w:pageBreakBefore w:val="0"/>
              <w:widowControl w:val="0"/>
              <w:kinsoku/>
              <w:wordWrap/>
              <w:overflowPunct/>
              <w:topLinePunct w:val="0"/>
              <w:bidi w:val="0"/>
              <w:adjustRightInd w:val="0"/>
              <w:snapToGrid w:val="0"/>
              <w:spacing w:before="1"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FFFFFF" w:themeFill="background1"/>
            <w:noWrap/>
            <w:vAlign w:val="center"/>
          </w:tcPr>
          <w:p w14:paraId="64E9CBE1">
            <w:pPr>
              <w:pStyle w:val="52"/>
              <w:shd w:val="clear"/>
              <w:jc w:val="center"/>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技术指标</w:t>
            </w:r>
          </w:p>
          <w:p w14:paraId="722F6A6B">
            <w:pPr>
              <w:pStyle w:val="52"/>
              <w:shd w:val="clear"/>
              <w:jc w:val="center"/>
              <w:rPr>
                <w:rFonts w:hint="default" w:ascii="仿宋" w:hAnsi="仿宋" w:eastAsia="仿宋" w:cs="仿宋"/>
                <w:color w:val="auto"/>
                <w:sz w:val="21"/>
                <w:szCs w:val="21"/>
                <w:highlight w:val="none"/>
                <w:lang w:val="en-US" w:eastAsia="zh-CN" w:bidi="zh-CN"/>
              </w:rPr>
            </w:pP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40分</w:t>
            </w:r>
            <w:r>
              <w:rPr>
                <w:rFonts w:hint="eastAsia" w:ascii="仿宋" w:hAnsi="仿宋" w:eastAsia="仿宋" w:cs="仿宋"/>
                <w:color w:val="auto"/>
                <w:sz w:val="21"/>
                <w:szCs w:val="21"/>
                <w:highlight w:val="none"/>
                <w:lang w:val="zh-CN" w:eastAsia="zh-CN" w:bidi="ar-SA"/>
              </w:rPr>
              <w:t>）</w:t>
            </w:r>
          </w:p>
        </w:tc>
        <w:tc>
          <w:tcPr>
            <w:tcW w:w="7153" w:type="dxa"/>
            <w:tcBorders>
              <w:bottom w:val="single" w:color="auto" w:sz="4" w:space="0"/>
            </w:tcBorders>
            <w:shd w:val="clear" w:color="auto" w:fill="FFFFFF" w:themeFill="background1"/>
            <w:noWrap/>
            <w:vAlign w:val="center"/>
          </w:tcPr>
          <w:p w14:paraId="5D1B340E">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所投产品参数技术要求中所有条款逐条响应（附详细的响应技术方案及证明材料）完全符合采购文件要求的、满足所有技术参数指标的得</w:t>
            </w:r>
            <w:r>
              <w:rPr>
                <w:rFonts w:hint="eastAsia" w:ascii="仿宋" w:hAnsi="仿宋" w:eastAsia="仿宋" w:cs="仿宋"/>
                <w:color w:val="auto"/>
                <w:sz w:val="21"/>
                <w:szCs w:val="21"/>
                <w:highlight w:val="none"/>
                <w:lang w:val="en-US" w:eastAsia="zh-CN"/>
              </w:rPr>
              <w:t>40</w:t>
            </w:r>
            <w:r>
              <w:rPr>
                <w:rFonts w:hint="eastAsia" w:ascii="仿宋" w:hAnsi="仿宋" w:eastAsia="仿宋" w:cs="仿宋"/>
                <w:color w:val="auto"/>
                <w:sz w:val="21"/>
                <w:szCs w:val="21"/>
                <w:highlight w:val="none"/>
                <w:lang w:val="zh-CN" w:eastAsia="zh-CN"/>
              </w:rPr>
              <w:t>分，</w:t>
            </w:r>
            <w:r>
              <w:rPr>
                <w:rFonts w:hint="eastAsia" w:ascii="仿宋" w:hAnsi="仿宋" w:eastAsia="仿宋" w:cs="仿宋"/>
                <w:color w:val="auto"/>
                <w:sz w:val="21"/>
                <w:szCs w:val="21"/>
                <w:highlight w:val="none"/>
                <w:lang w:val="en-US" w:eastAsia="zh-CN"/>
              </w:rPr>
              <w:t>本项目</w:t>
            </w:r>
            <w:r>
              <w:rPr>
                <w:rFonts w:hint="eastAsia" w:ascii="仿宋" w:hAnsi="仿宋" w:eastAsia="仿宋" w:cs="仿宋"/>
                <w:color w:val="auto"/>
                <w:sz w:val="21"/>
                <w:szCs w:val="21"/>
                <w:highlight w:val="none"/>
                <w:lang w:val="zh-CN" w:eastAsia="zh-CN"/>
              </w:rPr>
              <w:t>技术参数</w:t>
            </w:r>
            <w:r>
              <w:rPr>
                <w:rFonts w:hint="eastAsia" w:ascii="仿宋" w:hAnsi="仿宋" w:eastAsia="仿宋" w:cs="仿宋"/>
                <w:color w:val="auto"/>
                <w:sz w:val="21"/>
                <w:szCs w:val="21"/>
                <w:highlight w:val="none"/>
                <w:lang w:val="en-US" w:eastAsia="zh-CN"/>
              </w:rPr>
              <w:t>共计40条，每</w:t>
            </w:r>
            <w:r>
              <w:rPr>
                <w:rFonts w:hint="eastAsia" w:ascii="仿宋" w:hAnsi="仿宋" w:eastAsia="仿宋" w:cs="仿宋"/>
                <w:color w:val="auto"/>
                <w:sz w:val="21"/>
                <w:szCs w:val="21"/>
                <w:highlight w:val="none"/>
                <w:lang w:val="zh-CN" w:eastAsia="zh-CN"/>
              </w:rPr>
              <w:t>条</w:t>
            </w:r>
            <w:r>
              <w:rPr>
                <w:rFonts w:hint="eastAsia" w:ascii="仿宋" w:hAnsi="仿宋" w:eastAsia="仿宋" w:cs="仿宋"/>
                <w:color w:val="auto"/>
                <w:sz w:val="21"/>
                <w:szCs w:val="21"/>
                <w:highlight w:val="none"/>
                <w:lang w:val="en-US" w:eastAsia="zh-CN"/>
              </w:rPr>
              <w:t>技术</w:t>
            </w:r>
            <w:r>
              <w:rPr>
                <w:rFonts w:hint="eastAsia" w:ascii="仿宋" w:hAnsi="仿宋" w:eastAsia="仿宋" w:cs="仿宋"/>
                <w:color w:val="auto"/>
                <w:sz w:val="21"/>
                <w:szCs w:val="21"/>
                <w:highlight w:val="none"/>
                <w:lang w:val="zh-CN" w:eastAsia="zh-CN"/>
              </w:rPr>
              <w:t>参数出现负偏离扣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val="zh-CN" w:eastAsia="zh-CN"/>
              </w:rPr>
              <w:t>分，扣完为止；</w:t>
            </w:r>
          </w:p>
          <w:p w14:paraId="27BC007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（提供检测报告或截图或产品说明书或白皮书等相关证明材料）</w:t>
            </w:r>
          </w:p>
          <w:p w14:paraId="38313520">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注：负偏离：</w:t>
            </w:r>
          </w:p>
          <w:p w14:paraId="12705D89">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①所提供技术参数（指标要求）低于招标文件要求的，视为负偏离；</w:t>
            </w:r>
          </w:p>
          <w:p w14:paraId="1D9C002D">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②技术参数响应条款（以投标文件内技术偏离表为准）与招标文件对比有缺项、漏项的，视为负偏离；</w:t>
            </w:r>
          </w:p>
          <w:p w14:paraId="0B8C2708">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eastAsia="zh-CN"/>
              </w:rPr>
              <w:t>③供应商提供的投标文件中采购需求偏离表、产品技术规格书和产品检测报告、产品功能截图、产品说明内描述的同一产品技术参数响应值不一致的，视为负偏离。</w:t>
            </w:r>
          </w:p>
        </w:tc>
      </w:tr>
      <w:tr w14:paraId="1CFD7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346" w:hRule="atLeast"/>
        </w:trPr>
        <w:tc>
          <w:tcPr>
            <w:tcW w:w="1125" w:type="dxa"/>
            <w:vMerge w:val="continue"/>
            <w:shd w:val="clear" w:color="auto" w:fill="FFFFFF" w:themeFill="background1"/>
            <w:noWrap/>
            <w:vAlign w:val="center"/>
          </w:tcPr>
          <w:p w14:paraId="26C6F93C">
            <w:pPr>
              <w:keepNext w:val="0"/>
              <w:keepLines w:val="0"/>
              <w:pageBreakBefore w:val="0"/>
              <w:widowControl w:val="0"/>
              <w:kinsoku/>
              <w:wordWrap/>
              <w:overflowPunct/>
              <w:topLinePunct w:val="0"/>
              <w:bidi w:val="0"/>
              <w:adjustRightInd w:val="0"/>
              <w:snapToGrid w:val="0"/>
              <w:spacing w:before="1"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FFFFFF" w:themeFill="background1"/>
            <w:noWrap/>
            <w:vAlign w:val="center"/>
          </w:tcPr>
          <w:p w14:paraId="56195AD1">
            <w:pPr>
              <w:pStyle w:val="52"/>
              <w:shd w:val="clear"/>
              <w:jc w:val="center"/>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样品（</w:t>
            </w:r>
            <w:r>
              <w:rPr>
                <w:rFonts w:hint="eastAsia" w:ascii="仿宋" w:hAnsi="仿宋" w:eastAsia="仿宋" w:cs="仿宋"/>
                <w:color w:val="auto"/>
                <w:sz w:val="21"/>
                <w:szCs w:val="21"/>
                <w:highlight w:val="none"/>
                <w:lang w:val="en-US" w:eastAsia="zh-CN" w:bidi="ar-SA"/>
              </w:rPr>
              <w:t>5分</w:t>
            </w:r>
            <w:r>
              <w:rPr>
                <w:rFonts w:hint="eastAsia" w:ascii="仿宋" w:hAnsi="仿宋" w:eastAsia="仿宋" w:cs="仿宋"/>
                <w:color w:val="auto"/>
                <w:sz w:val="21"/>
                <w:szCs w:val="21"/>
                <w:highlight w:val="none"/>
                <w:lang w:val="zh-CN" w:eastAsia="zh-CN" w:bidi="ar-SA"/>
              </w:rPr>
              <w:t>）</w:t>
            </w:r>
          </w:p>
        </w:tc>
        <w:tc>
          <w:tcPr>
            <w:tcW w:w="7153" w:type="dxa"/>
            <w:tcBorders>
              <w:bottom w:val="single" w:color="auto" w:sz="4" w:space="0"/>
            </w:tcBorders>
            <w:shd w:val="clear" w:color="auto" w:fill="FFFFFF" w:themeFill="background1"/>
            <w:noWrap/>
            <w:vAlign w:val="center"/>
          </w:tcPr>
          <w:p w14:paraId="084C06E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本项总分</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val="zh-CN" w:eastAsia="zh-CN"/>
              </w:rPr>
              <w:t>分，投标人须按要求在投标截止时间前现场递交气体报警控制器、</w:t>
            </w:r>
            <w:r>
              <w:rPr>
                <w:rFonts w:hint="eastAsia" w:ascii="仿宋" w:hAnsi="仿宋" w:eastAsia="仿宋" w:cs="仿宋"/>
                <w:sz w:val="21"/>
                <w:szCs w:val="21"/>
                <w:highlight w:val="none"/>
                <w:lang w:val="en-US" w:eastAsia="zh-CN"/>
              </w:rPr>
              <w:t>可燃气体探测器</w:t>
            </w:r>
            <w:r>
              <w:rPr>
                <w:rFonts w:hint="eastAsia" w:ascii="仿宋" w:hAnsi="仿宋" w:eastAsia="仿宋" w:cs="仿宋"/>
                <w:sz w:val="21"/>
                <w:szCs w:val="21"/>
                <w:highlight w:val="none"/>
                <w:lang w:val="zh-CN" w:eastAsia="zh-CN"/>
              </w:rPr>
              <w:t>、联动控制箱全套样品，未按要求提交全套样品的本项得0分；评审小组根据投标人提交的样品情况进行评审：</w:t>
            </w:r>
            <w:r>
              <w:rPr>
                <w:rFonts w:hint="eastAsia" w:ascii="仿宋" w:hAnsi="仿宋" w:eastAsia="仿宋" w:cs="仿宋"/>
                <w:sz w:val="21"/>
                <w:szCs w:val="21"/>
                <w:highlight w:val="none"/>
                <w:lang w:val="zh-CN" w:eastAsia="zh-CN"/>
              </w:rPr>
              <w:br w:type="textWrapping"/>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val="zh-CN" w:eastAsia="zh-CN"/>
              </w:rPr>
              <w:t>①样品外观做工精良，外壳阻燃防爆材质厚实、表面无毛刺、开裂、掉漆、变形；设备布线接口规整、防护等级达标；屏幕显示清晰、按键操作灵敏；现场通电测试报警响应速度快、声光报警信号洪亮醒目；设备整体符合使用标准，完全满足项目全部现场使用及安装需求的得</w:t>
            </w:r>
            <w:r>
              <w:rPr>
                <w:rFonts w:hint="eastAsia" w:ascii="仿宋" w:hAnsi="仿宋" w:eastAsia="仿宋" w:cs="仿宋"/>
                <w:sz w:val="21"/>
                <w:szCs w:val="21"/>
                <w:highlight w:val="none"/>
                <w:lang w:val="en-US" w:eastAsia="zh-CN"/>
              </w:rPr>
              <w:t>5分</w:t>
            </w:r>
            <w:r>
              <w:rPr>
                <w:rFonts w:hint="eastAsia" w:ascii="仿宋" w:hAnsi="仿宋" w:eastAsia="仿宋" w:cs="仿宋"/>
                <w:sz w:val="21"/>
                <w:szCs w:val="21"/>
                <w:highlight w:val="none"/>
                <w:lang w:val="zh-CN" w:eastAsia="zh-CN"/>
              </w:rPr>
              <w:t>；</w:t>
            </w:r>
          </w:p>
          <w:p w14:paraId="41BEA87A">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zh-CN" w:eastAsia="zh-CN"/>
              </w:rPr>
              <w:t>②样品外观做工较好，外壳材质达标，轻微外观瑕疵（细微划痕，无结构性缺陷）；通电功能正常，声光报警、数据显示功能无异常；无硬件功能缺陷，基本满足学校安装及使用需求的得</w:t>
            </w:r>
            <w:r>
              <w:rPr>
                <w:rFonts w:hint="eastAsia" w:ascii="仿宋" w:hAnsi="仿宋" w:eastAsia="仿宋" w:cs="仿宋"/>
                <w:sz w:val="21"/>
                <w:szCs w:val="21"/>
                <w:highlight w:val="none"/>
                <w:lang w:val="en-US" w:eastAsia="zh-CN"/>
              </w:rPr>
              <w:t>3分；</w:t>
            </w:r>
          </w:p>
          <w:p w14:paraId="15D4C820">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zh-CN" w:eastAsia="zh-CN"/>
              </w:rPr>
              <w:t>③样品外观粗糙，外壳材质单薄、存在明显划痕/边角瑕疵；设备基础功能正常，通电可正常报警；存在轻微安装结构缺陷，不影响核心使用功能；勉强满足项目最低采购需求的得</w:t>
            </w:r>
            <w:r>
              <w:rPr>
                <w:rFonts w:hint="eastAsia" w:ascii="仿宋" w:hAnsi="仿宋" w:eastAsia="仿宋" w:cs="仿宋"/>
                <w:sz w:val="21"/>
                <w:szCs w:val="21"/>
                <w:highlight w:val="none"/>
                <w:lang w:val="en-US" w:eastAsia="zh-CN"/>
              </w:rPr>
              <w:t>1分。</w:t>
            </w:r>
          </w:p>
        </w:tc>
      </w:tr>
      <w:tr w14:paraId="775DB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743" w:hRule="atLeast"/>
        </w:trPr>
        <w:tc>
          <w:tcPr>
            <w:tcW w:w="1125" w:type="dxa"/>
            <w:vMerge w:val="continue"/>
            <w:shd w:val="clear" w:color="auto" w:fill="FFFFFF" w:themeFill="background1"/>
            <w:noWrap/>
            <w:vAlign w:val="center"/>
          </w:tcPr>
          <w:p w14:paraId="390E8D6E">
            <w:pPr>
              <w:keepNext w:val="0"/>
              <w:keepLines w:val="0"/>
              <w:pageBreakBefore w:val="0"/>
              <w:widowControl w:val="0"/>
              <w:kinsoku/>
              <w:wordWrap/>
              <w:overflowPunct/>
              <w:topLinePunct w:val="0"/>
              <w:bidi w:val="0"/>
              <w:adjustRightInd w:val="0"/>
              <w:snapToGrid w:val="0"/>
              <w:spacing w:before="1"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FFFFFF" w:themeFill="background1"/>
            <w:noWrap/>
            <w:vAlign w:val="center"/>
          </w:tcPr>
          <w:p w14:paraId="51E11AD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项目实施</w:t>
            </w:r>
          </w:p>
          <w:p w14:paraId="1CB6F49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方案</w:t>
            </w:r>
          </w:p>
          <w:p w14:paraId="4F9978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8分</w:t>
            </w:r>
            <w:r>
              <w:rPr>
                <w:rFonts w:hint="eastAsia" w:ascii="仿宋" w:hAnsi="仿宋" w:eastAsia="仿宋" w:cs="仿宋"/>
                <w:color w:val="auto"/>
                <w:sz w:val="21"/>
                <w:szCs w:val="21"/>
                <w:highlight w:val="none"/>
                <w:lang w:eastAsia="zh-CN"/>
              </w:rPr>
              <w:t>）</w:t>
            </w:r>
          </w:p>
        </w:tc>
        <w:tc>
          <w:tcPr>
            <w:tcW w:w="7153" w:type="dxa"/>
            <w:tcBorders>
              <w:bottom w:val="single" w:color="auto" w:sz="4" w:space="0"/>
            </w:tcBorders>
            <w:shd w:val="clear" w:color="auto" w:fill="FFFFFF" w:themeFill="background1"/>
            <w:noWrap/>
            <w:vAlign w:val="center"/>
          </w:tcPr>
          <w:p w14:paraId="2526C156">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所投产品详细的产品、运送、安装调试计划及实施各阶段的人员配备情况、重点，难点及展示亮点进行准确挖掘。</w:t>
            </w:r>
          </w:p>
          <w:p w14:paraId="01F45C91">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包括但不限于：</w:t>
            </w:r>
          </w:p>
          <w:p w14:paraId="2A802189">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①供货流程安排；</w:t>
            </w:r>
          </w:p>
          <w:p w14:paraId="5ECCC617">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②供货时间安排；</w:t>
            </w:r>
          </w:p>
          <w:p w14:paraId="758F1558">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③供货渠道、退换货方案；</w:t>
            </w:r>
          </w:p>
          <w:p w14:paraId="7479BC7D">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④验收方案。</w:t>
            </w:r>
          </w:p>
          <w:p w14:paraId="72CFCCA8">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根据所提供内容进行评分，每提供上述一项内容得</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val="zh-CN" w:eastAsia="zh-CN"/>
              </w:rPr>
              <w:t>分，本项满分</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lang w:val="zh-CN" w:eastAsia="zh-CN"/>
              </w:rPr>
              <w:t>分，提供的内容每有一处存在缺陷的扣</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val="zh-CN" w:eastAsia="zh-CN"/>
              </w:rPr>
              <w:t>分，</w:t>
            </w:r>
            <w:r>
              <w:rPr>
                <w:rFonts w:hint="eastAsia" w:ascii="仿宋" w:hAnsi="仿宋" w:eastAsia="仿宋" w:cs="仿宋"/>
                <w:sz w:val="21"/>
                <w:szCs w:val="21"/>
                <w:highlight w:val="none"/>
                <w:lang w:val="en-US" w:eastAsia="zh-CN"/>
              </w:rPr>
              <w:t>扣完为止，</w:t>
            </w:r>
            <w:r>
              <w:rPr>
                <w:rFonts w:hint="eastAsia" w:ascii="仿宋" w:hAnsi="仿宋" w:eastAsia="仿宋" w:cs="仿宋"/>
                <w:sz w:val="21"/>
                <w:szCs w:val="21"/>
                <w:highlight w:val="none"/>
                <w:lang w:val="zh-CN" w:eastAsia="zh-CN"/>
              </w:rPr>
              <w:t>未提供不得分。</w:t>
            </w:r>
          </w:p>
          <w:p w14:paraId="4FA75423">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sz w:val="21"/>
                <w:szCs w:val="21"/>
                <w:highlight w:val="none"/>
                <w:lang w:val="zh-CN"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43BCC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905" w:hRule="atLeast"/>
        </w:trPr>
        <w:tc>
          <w:tcPr>
            <w:tcW w:w="1125" w:type="dxa"/>
            <w:vMerge w:val="continue"/>
            <w:shd w:val="clear" w:color="auto" w:fill="FFFFFF" w:themeFill="background1"/>
            <w:noWrap/>
            <w:vAlign w:val="center"/>
          </w:tcPr>
          <w:p w14:paraId="0F1FCE44">
            <w:pPr>
              <w:keepNext w:val="0"/>
              <w:keepLines w:val="0"/>
              <w:pageBreakBefore w:val="0"/>
              <w:widowControl w:val="0"/>
              <w:kinsoku/>
              <w:wordWrap/>
              <w:overflowPunct/>
              <w:topLinePunct w:val="0"/>
              <w:bidi w:val="0"/>
              <w:adjustRightInd w:val="0"/>
              <w:snapToGrid w:val="0"/>
              <w:spacing w:before="1"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FFFFFF" w:themeFill="background1"/>
            <w:noWrap/>
            <w:vAlign w:val="center"/>
          </w:tcPr>
          <w:p w14:paraId="7E92C0F7">
            <w:pPr>
              <w:numPr>
                <w:ilvl w:val="0"/>
                <w:numId w:val="0"/>
              </w:num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质量保证</w:t>
            </w:r>
          </w:p>
          <w:p w14:paraId="1DB56943">
            <w:pPr>
              <w:numPr>
                <w:ilvl w:val="0"/>
                <w:numId w:val="0"/>
              </w:numP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（4分）</w:t>
            </w:r>
          </w:p>
        </w:tc>
        <w:tc>
          <w:tcPr>
            <w:tcW w:w="7153" w:type="dxa"/>
            <w:tcBorders>
              <w:bottom w:val="single" w:color="auto" w:sz="4" w:space="0"/>
            </w:tcBorders>
            <w:shd w:val="clear" w:color="auto" w:fill="FFFFFF" w:themeFill="background1"/>
            <w:noWrap/>
            <w:vAlign w:val="center"/>
          </w:tcPr>
          <w:p w14:paraId="3B18D136">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质量保证措施方案内容包括但不限于：</w:t>
            </w:r>
          </w:p>
          <w:p w14:paraId="62DB3169">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①质量保证的标准；</w:t>
            </w:r>
          </w:p>
          <w:p w14:paraId="6C929BE1">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②质量管理方法；</w:t>
            </w:r>
          </w:p>
          <w:p w14:paraId="73A9A5D8">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③质量保障措施；</w:t>
            </w:r>
          </w:p>
          <w:p w14:paraId="7EEE49AE">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④质量管理程序制度。</w:t>
            </w:r>
          </w:p>
          <w:p w14:paraId="4B5235BD">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sz w:val="21"/>
                <w:szCs w:val="21"/>
                <w:highlight w:val="none"/>
                <w:lang w:val="en-US" w:eastAsia="zh-CN"/>
              </w:rPr>
              <w:t>每提供一项内容得1分，本项满分4分，提供的内容每存在一处缺陷的扣0.5分，扣完为止，</w:t>
            </w:r>
            <w:r>
              <w:rPr>
                <w:rFonts w:hint="eastAsia" w:ascii="仿宋" w:hAnsi="仿宋" w:eastAsia="仿宋" w:cs="仿宋"/>
                <w:sz w:val="21"/>
                <w:szCs w:val="21"/>
                <w:highlight w:val="none"/>
                <w:lang w:val="zh-CN" w:eastAsia="zh-CN"/>
              </w:rPr>
              <w:t>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2763B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1053" w:hRule="atLeast"/>
        </w:trPr>
        <w:tc>
          <w:tcPr>
            <w:tcW w:w="1125" w:type="dxa"/>
            <w:vMerge w:val="continue"/>
            <w:shd w:val="clear" w:color="auto" w:fill="FFFFFF" w:themeFill="background1"/>
            <w:noWrap/>
            <w:vAlign w:val="center"/>
          </w:tcPr>
          <w:p w14:paraId="4050EBF9">
            <w:pPr>
              <w:keepNext w:val="0"/>
              <w:keepLines w:val="0"/>
              <w:pageBreakBefore w:val="0"/>
              <w:widowControl w:val="0"/>
              <w:kinsoku/>
              <w:wordWrap/>
              <w:overflowPunct/>
              <w:topLinePunct w:val="0"/>
              <w:bidi w:val="0"/>
              <w:adjustRightInd w:val="0"/>
              <w:snapToGrid w:val="0"/>
              <w:spacing w:before="1"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FFFFFF" w:themeFill="background1"/>
            <w:noWrap/>
            <w:vAlign w:val="center"/>
          </w:tcPr>
          <w:p w14:paraId="73E9551C">
            <w:pPr>
              <w:numPr>
                <w:ilvl w:val="0"/>
                <w:numId w:val="0"/>
              </w:numPr>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售后服务</w:t>
            </w:r>
          </w:p>
          <w:p w14:paraId="7B0E1687">
            <w:pPr>
              <w:numPr>
                <w:ilvl w:val="0"/>
                <w:numId w:val="0"/>
              </w:numPr>
              <w:jc w:val="center"/>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（7分）</w:t>
            </w:r>
          </w:p>
        </w:tc>
        <w:tc>
          <w:tcPr>
            <w:tcW w:w="7153" w:type="dxa"/>
            <w:shd w:val="clear" w:color="auto" w:fill="FFFFFF" w:themeFill="background1"/>
            <w:noWrap/>
            <w:vAlign w:val="center"/>
          </w:tcPr>
          <w:p w14:paraId="043779F9">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根据供应商提供的售后服务方案内容进行综合评审。售后服务方案内容</w:t>
            </w:r>
            <w:r>
              <w:rPr>
                <w:rFonts w:hint="eastAsia" w:ascii="仿宋" w:hAnsi="仿宋" w:eastAsia="仿宋" w:cs="仿宋"/>
                <w:sz w:val="21"/>
                <w:szCs w:val="21"/>
                <w:highlight w:val="none"/>
                <w:lang w:val="zh-CN" w:eastAsia="zh-CN"/>
              </w:rPr>
              <w:t>包括但不限于</w:t>
            </w:r>
            <w:r>
              <w:rPr>
                <w:rFonts w:hint="eastAsia" w:ascii="仿宋" w:hAnsi="仿宋" w:eastAsia="仿宋" w:cs="仿宋"/>
                <w:sz w:val="21"/>
                <w:szCs w:val="21"/>
                <w:highlight w:val="none"/>
                <w:lang w:val="en-US" w:eastAsia="zh-CN"/>
              </w:rPr>
              <w:t>：</w:t>
            </w:r>
          </w:p>
          <w:p w14:paraId="7DC78B3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①售后服务方案及承诺；</w:t>
            </w:r>
          </w:p>
          <w:p w14:paraId="71F1F807">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②故障响应及处理完毕时间；</w:t>
            </w:r>
          </w:p>
          <w:p w14:paraId="3B7C8E0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③售后服务流程；</w:t>
            </w:r>
          </w:p>
          <w:p w14:paraId="368DD92D">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④售后人员及车辆安排；</w:t>
            </w:r>
          </w:p>
          <w:p w14:paraId="2ED4C37F">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⑤售后服务记录（包括服务报告、质量考核评估、满意度调查、电话回访记录）；</w:t>
            </w:r>
            <w:r>
              <w:rPr>
                <w:rFonts w:hint="eastAsia" w:ascii="仿宋" w:hAnsi="仿宋" w:eastAsia="仿宋" w:cs="仿宋"/>
                <w:sz w:val="21"/>
                <w:szCs w:val="21"/>
                <w:highlight w:val="none"/>
                <w:lang w:val="en-US" w:eastAsia="zh-CN"/>
              </w:rPr>
              <w:br w:type="textWrapping"/>
            </w:r>
            <w:r>
              <w:rPr>
                <w:rFonts w:hint="eastAsia" w:ascii="仿宋" w:hAnsi="仿宋" w:eastAsia="仿宋" w:cs="仿宋"/>
                <w:sz w:val="21"/>
                <w:szCs w:val="21"/>
                <w:highlight w:val="none"/>
                <w:lang w:val="en-US" w:eastAsia="zh-CN"/>
              </w:rPr>
              <w:t xml:space="preserve">    ⑥应急程序;</w:t>
            </w:r>
          </w:p>
          <w:p w14:paraId="530C46A4">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⑦安全保障措施。</w:t>
            </w:r>
          </w:p>
          <w:p w14:paraId="71ECABEF">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sz w:val="21"/>
                <w:szCs w:val="21"/>
                <w:highlight w:val="none"/>
                <w:lang w:val="en-US" w:eastAsia="zh-CN"/>
              </w:rPr>
              <w:t>每提供上述一项内容得1分，本项满分7分，提供的内容每有一处存在缺陷的扣0.5分，扣完为止，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255E3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532" w:hRule="atLeast"/>
        </w:trPr>
        <w:tc>
          <w:tcPr>
            <w:tcW w:w="1125" w:type="dxa"/>
            <w:vMerge w:val="continue"/>
            <w:shd w:val="clear" w:color="auto" w:fill="FFFFFF" w:themeFill="background1"/>
            <w:noWrap/>
            <w:vAlign w:val="center"/>
          </w:tcPr>
          <w:p w14:paraId="25994F10">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1305" w:type="dxa"/>
            <w:shd w:val="clear" w:color="auto" w:fill="FFFFFF" w:themeFill="background1"/>
            <w:noWrap/>
            <w:vAlign w:val="center"/>
          </w:tcPr>
          <w:p w14:paraId="0165B37E">
            <w:pPr>
              <w:pStyle w:val="30"/>
              <w:keepNext w:val="0"/>
              <w:keepLines w:val="0"/>
              <w:pageBreakBefore w:val="0"/>
              <w:widowControl w:val="0"/>
              <w:kinsoku/>
              <w:wordWrap/>
              <w:overflowPunct/>
              <w:topLinePunct w:val="0"/>
              <w:bidi w:val="0"/>
              <w:adjustRightInd w:val="0"/>
              <w:snapToGrid w:val="0"/>
              <w:spacing w:before="16"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合计</w:t>
            </w:r>
          </w:p>
        </w:tc>
        <w:tc>
          <w:tcPr>
            <w:tcW w:w="7153" w:type="dxa"/>
            <w:shd w:val="clear" w:color="auto" w:fill="FFFFFF" w:themeFill="background1"/>
            <w:noWrap/>
            <w:vAlign w:val="center"/>
          </w:tcPr>
          <w:p w14:paraId="297228CE">
            <w:pPr>
              <w:pStyle w:val="30"/>
              <w:keepNext w:val="0"/>
              <w:keepLines w:val="0"/>
              <w:pageBreakBefore w:val="0"/>
              <w:widowControl w:val="0"/>
              <w:kinsoku/>
              <w:wordWrap/>
              <w:overflowPunct/>
              <w:topLinePunct w:val="0"/>
              <w:bidi w:val="0"/>
              <w:adjustRightInd w:val="0"/>
              <w:snapToGrid w:val="0"/>
              <w:spacing w:before="16" w:line="240" w:lineRule="auto"/>
              <w:ind w:firstLine="210" w:firstLineChars="10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100分</w:t>
            </w:r>
          </w:p>
        </w:tc>
      </w:tr>
      <w:tr w14:paraId="51309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741" w:hRule="atLeast"/>
        </w:trPr>
        <w:tc>
          <w:tcPr>
            <w:tcW w:w="9583" w:type="dxa"/>
            <w:gridSpan w:val="3"/>
            <w:shd w:val="clear" w:color="auto" w:fill="FFFFFF" w:themeFill="background1"/>
            <w:noWrap/>
            <w:vAlign w:val="center"/>
          </w:tcPr>
          <w:p w14:paraId="004DBEE6">
            <w:pPr>
              <w:keepNext w:val="0"/>
              <w:keepLines w:val="0"/>
              <w:pageBreakBefore w:val="0"/>
              <w:widowControl w:val="0"/>
              <w:kinsoku/>
              <w:wordWrap/>
              <w:overflowPunct/>
              <w:topLinePunct w:val="0"/>
              <w:bidi w:val="0"/>
              <w:adjustRightInd w:val="0"/>
              <w:snapToGrid w:val="0"/>
              <w:spacing w:before="1" w:line="240" w:lineRule="auto"/>
              <w:textAlignment w:val="auto"/>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1"/>
                <w:szCs w:val="21"/>
                <w:highlight w:val="none"/>
                <w:lang w:val="zh-CN" w:bidi="zh-CN"/>
              </w:rPr>
              <w:t>合计100分，供应商总得分=报价部分得分+商务</w:t>
            </w:r>
            <w:r>
              <w:rPr>
                <w:rFonts w:hint="eastAsia" w:ascii="仿宋" w:hAnsi="仿宋" w:eastAsia="仿宋" w:cs="仿宋"/>
                <w:color w:val="auto"/>
                <w:sz w:val="21"/>
                <w:szCs w:val="21"/>
                <w:highlight w:val="none"/>
                <w:lang w:bidi="zh-CN"/>
              </w:rPr>
              <w:t>部分</w:t>
            </w:r>
            <w:r>
              <w:rPr>
                <w:rFonts w:hint="eastAsia" w:ascii="仿宋" w:hAnsi="仿宋" w:eastAsia="仿宋" w:cs="仿宋"/>
                <w:color w:val="auto"/>
                <w:sz w:val="21"/>
                <w:szCs w:val="21"/>
                <w:highlight w:val="none"/>
                <w:lang w:val="zh-CN" w:bidi="zh-CN"/>
              </w:rPr>
              <w:t>得分+技术</w:t>
            </w:r>
            <w:r>
              <w:rPr>
                <w:rFonts w:hint="eastAsia" w:ascii="仿宋" w:hAnsi="仿宋" w:eastAsia="仿宋" w:cs="仿宋"/>
                <w:color w:val="auto"/>
                <w:sz w:val="21"/>
                <w:szCs w:val="21"/>
                <w:highlight w:val="none"/>
                <w:lang w:bidi="zh-CN"/>
              </w:rPr>
              <w:t>部分</w:t>
            </w:r>
            <w:r>
              <w:rPr>
                <w:rFonts w:hint="eastAsia" w:ascii="仿宋" w:hAnsi="仿宋" w:eastAsia="仿宋" w:cs="仿宋"/>
                <w:color w:val="auto"/>
                <w:sz w:val="21"/>
                <w:szCs w:val="21"/>
                <w:highlight w:val="none"/>
                <w:lang w:val="zh-CN" w:bidi="zh-CN"/>
              </w:rPr>
              <w:t>得分。</w:t>
            </w:r>
          </w:p>
          <w:p w14:paraId="511D7DAF">
            <w:pPr>
              <w:keepNext w:val="0"/>
              <w:keepLines w:val="0"/>
              <w:pageBreakBefore w:val="0"/>
              <w:widowControl w:val="0"/>
              <w:kinsoku/>
              <w:wordWrap/>
              <w:overflowPunct/>
              <w:topLinePunct w:val="0"/>
              <w:bidi w:val="0"/>
              <w:adjustRightInd w:val="0"/>
              <w:snapToGrid w:val="0"/>
              <w:spacing w:before="1" w:line="240" w:lineRule="auto"/>
              <w:textAlignment w:val="auto"/>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1"/>
                <w:szCs w:val="21"/>
                <w:highlight w:val="none"/>
                <w:lang w:bidi="zh-CN"/>
              </w:rPr>
              <w:t>注：1.评分计算结果保留两位小数，第</w:t>
            </w:r>
            <w:r>
              <w:rPr>
                <w:rFonts w:hint="eastAsia" w:ascii="仿宋" w:hAnsi="仿宋" w:eastAsia="仿宋" w:cs="仿宋"/>
                <w:color w:val="auto"/>
                <w:sz w:val="21"/>
                <w:szCs w:val="21"/>
                <w:highlight w:val="none"/>
                <w:lang w:val="zh-CN" w:bidi="zh-CN"/>
              </w:rPr>
              <w:t>三位小数四舍五入。</w:t>
            </w:r>
          </w:p>
          <w:p w14:paraId="2B082C3A">
            <w:pPr>
              <w:keepNext w:val="0"/>
              <w:keepLines w:val="0"/>
              <w:pageBreakBefore w:val="0"/>
              <w:widowControl w:val="0"/>
              <w:kinsoku/>
              <w:wordWrap/>
              <w:overflowPunct/>
              <w:topLinePunct w:val="0"/>
              <w:bidi w:val="0"/>
              <w:adjustRightInd w:val="0"/>
              <w:snapToGrid w:val="0"/>
              <w:spacing w:before="1" w:line="240" w:lineRule="auto"/>
              <w:ind w:firstLine="420" w:firstLineChars="200"/>
              <w:textAlignment w:val="auto"/>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1"/>
                <w:szCs w:val="21"/>
                <w:highlight w:val="none"/>
                <w:lang w:bidi="zh-CN"/>
              </w:rPr>
              <w:t>2.</w:t>
            </w:r>
            <w:r>
              <w:rPr>
                <w:rFonts w:hint="eastAsia" w:ascii="仿宋" w:hAnsi="仿宋" w:eastAsia="仿宋" w:cs="仿宋"/>
                <w:color w:val="auto"/>
                <w:sz w:val="21"/>
                <w:szCs w:val="21"/>
                <w:highlight w:val="none"/>
                <w:lang w:val="zh-CN" w:bidi="zh-CN"/>
              </w:rPr>
              <w:t>评标过程中，不得去掉报价中的最高报价和最低报价。</w:t>
            </w:r>
          </w:p>
          <w:p w14:paraId="5A9A1727">
            <w:pPr>
              <w:keepNext w:val="0"/>
              <w:keepLines w:val="0"/>
              <w:pageBreakBefore w:val="0"/>
              <w:widowControl w:val="0"/>
              <w:kinsoku/>
              <w:wordWrap/>
              <w:overflowPunct/>
              <w:topLinePunct w:val="0"/>
              <w:bidi w:val="0"/>
              <w:adjustRightInd w:val="0"/>
              <w:snapToGrid w:val="0"/>
              <w:spacing w:before="1" w:line="24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zh-CN"/>
              </w:rPr>
              <w:t>3.详细评审分值为所有评委评分之和的平均值，详细评审分值不得去掉最高评分和最低评分。</w:t>
            </w:r>
          </w:p>
        </w:tc>
      </w:tr>
    </w:tbl>
    <w:p w14:paraId="01D2AFC8">
      <w:pPr>
        <w:pStyle w:val="33"/>
        <w:keepNext w:val="0"/>
        <w:keepLines w:val="0"/>
        <w:pageBreakBefore w:val="0"/>
        <w:widowControl w:val="0"/>
        <w:kinsoku/>
        <w:wordWrap/>
        <w:overflowPunct/>
        <w:topLinePunct w:val="0"/>
        <w:autoSpaceDE w:val="0"/>
        <w:autoSpaceDN w:val="0"/>
        <w:bidi w:val="0"/>
        <w:adjustRightInd w:val="0"/>
        <w:snapToGrid/>
        <w:spacing w:line="420" w:lineRule="exact"/>
        <w:ind w:firstLine="420"/>
        <w:textAlignment w:val="auto"/>
        <w:rPr>
          <w:rFonts w:hint="eastAsia" w:ascii="仿宋" w:hAnsi="仿宋" w:eastAsia="仿宋" w:cs="仿宋"/>
          <w:b/>
          <w:bCs/>
          <w:highlight w:val="none"/>
          <w:lang w:val="zh-CN"/>
        </w:rPr>
      </w:pPr>
      <w:r>
        <w:rPr>
          <w:rFonts w:hint="eastAsia" w:ascii="仿宋" w:hAnsi="仿宋" w:eastAsia="仿宋" w:cs="仿宋"/>
          <w:b/>
          <w:bCs/>
          <w:highlight w:val="none"/>
          <w:lang w:val="en-US" w:eastAsia="zh-CN"/>
        </w:rPr>
        <w:t>1.</w:t>
      </w:r>
      <w:r>
        <w:rPr>
          <w:rFonts w:hint="eastAsia" w:ascii="仿宋" w:hAnsi="仿宋" w:eastAsia="仿宋" w:cs="仿宋"/>
          <w:b/>
          <w:bCs/>
          <w:highlight w:val="none"/>
          <w:lang w:val="zh-CN"/>
        </w:rPr>
        <w:t>供应商的最终得分为</w:t>
      </w:r>
      <w:r>
        <w:rPr>
          <w:rFonts w:hint="eastAsia" w:ascii="仿宋" w:hAnsi="仿宋" w:eastAsia="仿宋" w:cs="仿宋"/>
          <w:b/>
          <w:bCs/>
          <w:highlight w:val="none"/>
        </w:rPr>
        <w:t>报价</w:t>
      </w:r>
      <w:r>
        <w:rPr>
          <w:rFonts w:hint="eastAsia" w:ascii="仿宋" w:hAnsi="仿宋" w:eastAsia="仿宋" w:cs="仿宋"/>
          <w:b/>
          <w:bCs/>
          <w:highlight w:val="none"/>
          <w:lang w:val="zh-CN"/>
        </w:rPr>
        <w:t>、商务、技术标得分之和。</w:t>
      </w:r>
    </w:p>
    <w:p w14:paraId="294CF6AD">
      <w:pPr>
        <w:pStyle w:val="33"/>
        <w:keepNext w:val="0"/>
        <w:keepLines w:val="0"/>
        <w:pageBreakBefore w:val="0"/>
        <w:widowControl w:val="0"/>
        <w:kinsoku/>
        <w:wordWrap/>
        <w:overflowPunct/>
        <w:topLinePunct w:val="0"/>
        <w:autoSpaceDE w:val="0"/>
        <w:autoSpaceDN w:val="0"/>
        <w:bidi w:val="0"/>
        <w:adjustRightInd w:val="0"/>
        <w:snapToGrid/>
        <w:spacing w:line="420" w:lineRule="exact"/>
        <w:ind w:firstLine="420"/>
        <w:textAlignment w:val="auto"/>
        <w:rPr>
          <w:rFonts w:hint="eastAsia" w:ascii="仿宋" w:hAnsi="仿宋" w:eastAsia="仿宋" w:cs="仿宋"/>
          <w:b/>
          <w:bCs/>
          <w:highlight w:val="none"/>
          <w:lang w:val="zh-CN"/>
        </w:rPr>
      </w:pPr>
      <w:r>
        <w:rPr>
          <w:rFonts w:hint="eastAsia" w:ascii="仿宋" w:hAnsi="仿宋" w:eastAsia="仿宋" w:cs="仿宋"/>
          <w:b/>
          <w:bCs/>
          <w:highlight w:val="none"/>
          <w:lang w:val="en-US" w:eastAsia="zh-CN"/>
        </w:rPr>
        <w:t>2.</w:t>
      </w:r>
      <w:r>
        <w:rPr>
          <w:rFonts w:hint="eastAsia" w:ascii="仿宋" w:hAnsi="仿宋" w:eastAsia="仿宋" w:cs="仿宋"/>
          <w:b/>
          <w:bCs/>
          <w:highlight w:val="none"/>
          <w:lang w:val="zh-CN"/>
        </w:rPr>
        <w:t>评标委员会应当执行连续评标的原则完成全部评标工作。只有发生不可抗力导致评标工作无法继续时，评标活动方可暂停。发生评标暂停情况时，评标委员会应当封存全部投标文件和评标记录，待不可抗力的影响结束且具备继续评标的条件时，由原评标委员会继续评标。</w:t>
      </w:r>
    </w:p>
    <w:p w14:paraId="16F3D736">
      <w:pPr>
        <w:pStyle w:val="33"/>
        <w:keepNext w:val="0"/>
        <w:keepLines w:val="0"/>
        <w:pageBreakBefore w:val="0"/>
        <w:widowControl w:val="0"/>
        <w:kinsoku/>
        <w:wordWrap/>
        <w:overflowPunct/>
        <w:topLinePunct w:val="0"/>
        <w:autoSpaceDE w:val="0"/>
        <w:autoSpaceDN w:val="0"/>
        <w:bidi w:val="0"/>
        <w:adjustRightInd w:val="0"/>
        <w:snapToGrid/>
        <w:spacing w:line="420" w:lineRule="exact"/>
        <w:ind w:firstLine="420"/>
        <w:textAlignment w:val="auto"/>
        <w:rPr>
          <w:rFonts w:hint="eastAsia" w:ascii="仿宋" w:hAnsi="仿宋" w:eastAsia="仿宋" w:cs="仿宋"/>
          <w:b/>
          <w:bCs/>
          <w:highlight w:val="none"/>
          <w:lang w:val="zh-CN"/>
        </w:rPr>
      </w:pPr>
      <w:r>
        <w:rPr>
          <w:rFonts w:hint="eastAsia" w:ascii="仿宋" w:hAnsi="仿宋" w:eastAsia="仿宋" w:cs="仿宋"/>
          <w:b/>
          <w:bCs/>
          <w:highlight w:val="none"/>
          <w:lang w:val="en-US" w:eastAsia="zh-CN"/>
        </w:rPr>
        <w:t>3.</w:t>
      </w:r>
      <w:r>
        <w:rPr>
          <w:rFonts w:hint="eastAsia" w:ascii="仿宋" w:hAnsi="仿宋" w:eastAsia="仿宋" w:cs="仿宋"/>
          <w:b/>
          <w:bCs/>
          <w:highlight w:val="none"/>
          <w:lang w:val="zh-CN"/>
        </w:rPr>
        <w:t>除非发生下列情况之一，评标委员会成员不得在评标中途更换：(1)因不可抗拒的客观原因，不能到场或需在评标中途退出评标活动；(2)根据法律法规规定，某个或某几个评标委员会成员需要回避。退出评标的评标委员会成员，其已完成的评标行为无效。根据本招标文件规定的评标委员会成员产生方式另行确定替代者进行评标。</w:t>
      </w:r>
    </w:p>
    <w:p w14:paraId="1B36E288">
      <w:pPr>
        <w:pStyle w:val="33"/>
        <w:keepNext w:val="0"/>
        <w:keepLines w:val="0"/>
        <w:pageBreakBefore w:val="0"/>
        <w:widowControl w:val="0"/>
        <w:kinsoku/>
        <w:wordWrap/>
        <w:overflowPunct/>
        <w:topLinePunct w:val="0"/>
        <w:autoSpaceDE w:val="0"/>
        <w:autoSpaceDN w:val="0"/>
        <w:bidi w:val="0"/>
        <w:adjustRightInd w:val="0"/>
        <w:snapToGrid/>
        <w:spacing w:line="420" w:lineRule="exact"/>
        <w:ind w:firstLine="420"/>
        <w:textAlignment w:val="auto"/>
        <w:rPr>
          <w:rFonts w:hint="eastAsia" w:ascii="仿宋" w:hAnsi="仿宋" w:eastAsia="仿宋" w:cs="仿宋"/>
          <w:highlight w:val="none"/>
          <w:lang w:val="zh-CN"/>
        </w:rPr>
      </w:pPr>
      <w:r>
        <w:rPr>
          <w:rFonts w:hint="eastAsia" w:ascii="仿宋" w:hAnsi="仿宋" w:eastAsia="仿宋" w:cs="仿宋"/>
          <w:b/>
          <w:bCs/>
          <w:highlight w:val="none"/>
          <w:lang w:val="en-US" w:eastAsia="zh-CN"/>
        </w:rPr>
        <w:t>4.</w:t>
      </w:r>
      <w:r>
        <w:rPr>
          <w:rFonts w:hint="eastAsia" w:ascii="仿宋" w:hAnsi="仿宋" w:eastAsia="仿宋" w:cs="仿宋"/>
          <w:b/>
          <w:bCs/>
          <w:highlight w:val="none"/>
          <w:lang w:val="zh-CN"/>
        </w:rPr>
        <w:t>在任何评标环节中，需评标委员会就某项评审结论做出表决的，由评标委员会全体成员按照少数服从多数的原则，以记名投票方式表决。</w:t>
      </w:r>
    </w:p>
    <w:p w14:paraId="19E34B71">
      <w:pPr>
        <w:adjustRightInd w:val="0"/>
        <w:snapToGrid w:val="0"/>
        <w:spacing w:line="360" w:lineRule="auto"/>
        <w:rPr>
          <w:rFonts w:hint="eastAsia" w:ascii="仿宋" w:hAnsi="仿宋" w:eastAsia="仿宋" w:cs="仿宋"/>
          <w:b/>
          <w:bCs/>
          <w:sz w:val="32"/>
          <w:szCs w:val="32"/>
          <w:highlight w:val="none"/>
          <w:lang w:val="zh-CN"/>
        </w:rPr>
      </w:pPr>
      <w:bookmarkStart w:id="52" w:name="_Toc7101"/>
      <w:bookmarkStart w:id="53" w:name="_Toc23862"/>
      <w:bookmarkStart w:id="54" w:name="_Toc14983"/>
      <w:bookmarkStart w:id="55" w:name="_Toc9283"/>
      <w:bookmarkStart w:id="56" w:name="_Toc16345"/>
      <w:bookmarkStart w:id="57" w:name="_Toc20107"/>
      <w:bookmarkStart w:id="58" w:name="_Toc11960"/>
      <w:bookmarkStart w:id="59" w:name="_Toc23123"/>
      <w:bookmarkStart w:id="60" w:name="_Toc17124"/>
      <w:bookmarkStart w:id="61" w:name="_Toc17037"/>
    </w:p>
    <w:p w14:paraId="58F86414">
      <w:pPr>
        <w:adjustRightInd w:val="0"/>
        <w:snapToGrid w:val="0"/>
        <w:spacing w:line="360" w:lineRule="auto"/>
        <w:rPr>
          <w:rFonts w:hint="eastAsia" w:ascii="仿宋" w:hAnsi="仿宋" w:eastAsia="仿宋" w:cs="仿宋"/>
          <w:b/>
          <w:bCs/>
          <w:sz w:val="32"/>
          <w:szCs w:val="32"/>
          <w:highlight w:val="none"/>
          <w:lang w:val="zh-CN"/>
        </w:rPr>
      </w:pPr>
    </w:p>
    <w:p w14:paraId="41FFD443">
      <w:pPr>
        <w:adjustRightInd w:val="0"/>
        <w:snapToGrid w:val="0"/>
        <w:spacing w:line="360" w:lineRule="auto"/>
        <w:rPr>
          <w:rFonts w:hint="eastAsia" w:ascii="仿宋" w:hAnsi="仿宋" w:eastAsia="仿宋" w:cs="仿宋"/>
          <w:b/>
          <w:bCs/>
          <w:sz w:val="32"/>
          <w:szCs w:val="32"/>
          <w:highlight w:val="none"/>
          <w:lang w:val="zh-CN"/>
        </w:rPr>
      </w:pPr>
    </w:p>
    <w:p w14:paraId="7FDC614A">
      <w:pPr>
        <w:adjustRightInd w:val="0"/>
        <w:snapToGrid w:val="0"/>
        <w:spacing w:line="360" w:lineRule="auto"/>
        <w:rPr>
          <w:rFonts w:hint="eastAsia" w:ascii="仿宋" w:hAnsi="仿宋" w:eastAsia="仿宋" w:cs="仿宋"/>
          <w:b/>
          <w:bCs/>
          <w:sz w:val="32"/>
          <w:szCs w:val="32"/>
          <w:highlight w:val="none"/>
          <w:lang w:val="zh-CN"/>
        </w:rPr>
      </w:pPr>
    </w:p>
    <w:p w14:paraId="6BF191A9">
      <w:pPr>
        <w:adjustRightInd w:val="0"/>
        <w:snapToGrid w:val="0"/>
        <w:spacing w:line="360" w:lineRule="auto"/>
        <w:rPr>
          <w:rFonts w:hint="eastAsia" w:ascii="仿宋" w:hAnsi="仿宋" w:eastAsia="仿宋" w:cs="仿宋"/>
          <w:b/>
          <w:bCs/>
          <w:sz w:val="32"/>
          <w:szCs w:val="32"/>
          <w:highlight w:val="none"/>
          <w:lang w:val="zh-CN"/>
        </w:rPr>
      </w:pPr>
    </w:p>
    <w:p w14:paraId="0B7FC7B7">
      <w:pPr>
        <w:adjustRightInd w:val="0"/>
        <w:snapToGrid w:val="0"/>
        <w:spacing w:line="360" w:lineRule="auto"/>
        <w:rPr>
          <w:rFonts w:hint="eastAsia" w:ascii="仿宋" w:hAnsi="仿宋" w:eastAsia="仿宋" w:cs="仿宋"/>
          <w:b/>
          <w:bCs/>
          <w:sz w:val="32"/>
          <w:szCs w:val="32"/>
          <w:highlight w:val="none"/>
          <w:lang w:val="zh-CN"/>
        </w:rPr>
      </w:pPr>
    </w:p>
    <w:p w14:paraId="7B98BE29">
      <w:pPr>
        <w:adjustRightInd w:val="0"/>
        <w:snapToGrid w:val="0"/>
        <w:spacing w:line="360" w:lineRule="auto"/>
        <w:rPr>
          <w:rFonts w:hint="eastAsia" w:ascii="仿宋" w:hAnsi="仿宋" w:eastAsia="仿宋" w:cs="仿宋"/>
          <w:b/>
          <w:bCs/>
          <w:sz w:val="32"/>
          <w:szCs w:val="32"/>
          <w:highlight w:val="none"/>
          <w:lang w:val="zh-CN"/>
        </w:rPr>
      </w:pPr>
    </w:p>
    <w:p w14:paraId="5A5F9681">
      <w:pPr>
        <w:adjustRightInd w:val="0"/>
        <w:snapToGrid w:val="0"/>
        <w:spacing w:line="360" w:lineRule="auto"/>
        <w:rPr>
          <w:rFonts w:hint="eastAsia" w:ascii="仿宋" w:hAnsi="仿宋" w:eastAsia="仿宋" w:cs="仿宋"/>
          <w:b/>
          <w:bCs/>
          <w:sz w:val="32"/>
          <w:szCs w:val="32"/>
          <w:highlight w:val="none"/>
          <w:lang w:val="zh-CN"/>
        </w:rPr>
      </w:pPr>
    </w:p>
    <w:p w14:paraId="065089AD">
      <w:pPr>
        <w:adjustRightInd w:val="0"/>
        <w:snapToGrid w:val="0"/>
        <w:spacing w:line="360" w:lineRule="auto"/>
        <w:rPr>
          <w:rFonts w:hint="eastAsia" w:ascii="仿宋" w:hAnsi="仿宋" w:eastAsia="仿宋" w:cs="仿宋"/>
          <w:b/>
          <w:bCs/>
          <w:sz w:val="32"/>
          <w:szCs w:val="32"/>
          <w:highlight w:val="none"/>
          <w:lang w:val="zh-CN"/>
        </w:rPr>
      </w:pPr>
    </w:p>
    <w:p w14:paraId="7F4DBD70">
      <w:pPr>
        <w:adjustRightInd w:val="0"/>
        <w:snapToGrid w:val="0"/>
        <w:spacing w:line="360" w:lineRule="auto"/>
        <w:rPr>
          <w:rFonts w:hint="eastAsia" w:ascii="仿宋" w:hAnsi="仿宋" w:eastAsia="仿宋" w:cs="仿宋"/>
          <w:b/>
          <w:bCs/>
          <w:sz w:val="32"/>
          <w:szCs w:val="32"/>
          <w:highlight w:val="none"/>
          <w:lang w:val="zh-CN"/>
        </w:rPr>
      </w:pPr>
    </w:p>
    <w:p w14:paraId="68E285F2">
      <w:pPr>
        <w:adjustRightInd w:val="0"/>
        <w:snapToGrid w:val="0"/>
        <w:spacing w:line="360" w:lineRule="auto"/>
        <w:rPr>
          <w:rFonts w:hint="eastAsia" w:ascii="仿宋" w:hAnsi="仿宋" w:eastAsia="仿宋" w:cs="仿宋"/>
          <w:b/>
          <w:bCs/>
          <w:sz w:val="32"/>
          <w:szCs w:val="32"/>
          <w:highlight w:val="none"/>
          <w:lang w:val="zh-CN"/>
        </w:rPr>
      </w:pPr>
    </w:p>
    <w:p w14:paraId="416B34BA">
      <w:pPr>
        <w:adjustRightInd w:val="0"/>
        <w:snapToGrid w:val="0"/>
        <w:spacing w:line="360" w:lineRule="auto"/>
        <w:rPr>
          <w:rFonts w:hint="eastAsia" w:ascii="仿宋" w:hAnsi="仿宋" w:eastAsia="仿宋" w:cs="仿宋"/>
          <w:b/>
          <w:bCs/>
          <w:sz w:val="32"/>
          <w:szCs w:val="32"/>
          <w:highlight w:val="none"/>
          <w:lang w:val="zh-CN"/>
        </w:rPr>
      </w:pPr>
    </w:p>
    <w:p w14:paraId="144354ED">
      <w:pPr>
        <w:adjustRightInd w:val="0"/>
        <w:snapToGrid w:val="0"/>
        <w:spacing w:line="360" w:lineRule="auto"/>
        <w:rPr>
          <w:rFonts w:hint="eastAsia" w:ascii="仿宋" w:hAnsi="仿宋" w:eastAsia="仿宋" w:cs="仿宋"/>
          <w:b/>
          <w:bCs/>
          <w:sz w:val="32"/>
          <w:szCs w:val="32"/>
          <w:highlight w:val="none"/>
          <w:lang w:val="zh-CN"/>
        </w:rPr>
      </w:pPr>
    </w:p>
    <w:p w14:paraId="55AAA403">
      <w:pPr>
        <w:adjustRightInd w:val="0"/>
        <w:snapToGrid w:val="0"/>
        <w:spacing w:line="360" w:lineRule="auto"/>
        <w:rPr>
          <w:rFonts w:hint="eastAsia" w:ascii="仿宋" w:hAnsi="仿宋" w:eastAsia="仿宋" w:cs="仿宋"/>
          <w:b/>
          <w:bCs/>
          <w:sz w:val="32"/>
          <w:szCs w:val="32"/>
          <w:highlight w:val="none"/>
          <w:lang w:val="zh-CN"/>
        </w:rPr>
      </w:pPr>
    </w:p>
    <w:p w14:paraId="0FE1152B">
      <w:pPr>
        <w:adjustRightInd w:val="0"/>
        <w:snapToGrid w:val="0"/>
        <w:spacing w:line="360" w:lineRule="auto"/>
        <w:rPr>
          <w:rFonts w:hint="eastAsia" w:ascii="仿宋" w:hAnsi="仿宋" w:eastAsia="仿宋" w:cs="仿宋"/>
          <w:b/>
          <w:bCs/>
          <w:sz w:val="32"/>
          <w:szCs w:val="32"/>
          <w:highlight w:val="none"/>
          <w:lang w:val="zh-CN"/>
        </w:rPr>
      </w:pPr>
    </w:p>
    <w:p w14:paraId="273C6764">
      <w:pPr>
        <w:adjustRightInd w:val="0"/>
        <w:snapToGrid w:val="0"/>
        <w:spacing w:line="360" w:lineRule="auto"/>
        <w:rPr>
          <w:rFonts w:hint="eastAsia" w:ascii="仿宋" w:hAnsi="仿宋" w:eastAsia="仿宋" w:cs="仿宋"/>
          <w:b/>
          <w:bCs/>
          <w:sz w:val="32"/>
          <w:szCs w:val="32"/>
          <w:highlight w:val="none"/>
          <w:lang w:val="zh-CN"/>
        </w:rPr>
      </w:pPr>
    </w:p>
    <w:p w14:paraId="56114DBA">
      <w:pPr>
        <w:adjustRightInd w:val="0"/>
        <w:snapToGrid w:val="0"/>
        <w:spacing w:line="360" w:lineRule="auto"/>
        <w:rPr>
          <w:rFonts w:hint="eastAsia" w:ascii="仿宋" w:hAnsi="仿宋" w:eastAsia="仿宋" w:cs="仿宋"/>
          <w:b/>
          <w:bCs/>
          <w:sz w:val="32"/>
          <w:szCs w:val="32"/>
          <w:highlight w:val="none"/>
          <w:lang w:val="zh-CN"/>
        </w:rPr>
      </w:pPr>
    </w:p>
    <w:p w14:paraId="40540011">
      <w:pPr>
        <w:adjustRightInd w:val="0"/>
        <w:snapToGrid w:val="0"/>
        <w:spacing w:line="360" w:lineRule="auto"/>
        <w:rPr>
          <w:rFonts w:hint="eastAsia" w:ascii="仿宋" w:hAnsi="仿宋" w:eastAsia="仿宋" w:cs="仿宋"/>
          <w:b/>
          <w:bCs/>
          <w:sz w:val="32"/>
          <w:szCs w:val="32"/>
          <w:highlight w:val="none"/>
          <w:lang w:val="zh-CN"/>
        </w:rPr>
      </w:pPr>
    </w:p>
    <w:p w14:paraId="12BC77E7">
      <w:pPr>
        <w:adjustRightInd w:val="0"/>
        <w:snapToGrid w:val="0"/>
        <w:spacing w:line="360" w:lineRule="auto"/>
        <w:rPr>
          <w:rFonts w:hint="eastAsia" w:ascii="仿宋" w:hAnsi="仿宋" w:eastAsia="仿宋" w:cs="仿宋"/>
          <w:b/>
          <w:bCs/>
          <w:sz w:val="32"/>
          <w:szCs w:val="32"/>
          <w:highlight w:val="none"/>
          <w:lang w:val="zh-CN"/>
        </w:rPr>
      </w:pPr>
    </w:p>
    <w:p w14:paraId="46E857D5">
      <w:pPr>
        <w:adjustRightInd w:val="0"/>
        <w:snapToGrid w:val="0"/>
        <w:spacing w:line="360" w:lineRule="auto"/>
        <w:rPr>
          <w:rFonts w:hint="eastAsia" w:ascii="仿宋" w:hAnsi="仿宋" w:eastAsia="仿宋" w:cs="仿宋"/>
          <w:b/>
          <w:bCs/>
          <w:sz w:val="32"/>
          <w:szCs w:val="32"/>
          <w:highlight w:val="none"/>
          <w:lang w:val="zh-CN"/>
        </w:rPr>
      </w:pPr>
    </w:p>
    <w:bookmarkEnd w:id="29"/>
    <w:p w14:paraId="47887114">
      <w:pPr>
        <w:numPr>
          <w:ilvl w:val="0"/>
          <w:numId w:val="3"/>
        </w:numPr>
        <w:adjustRightInd w:val="0"/>
        <w:snapToGrid w:val="0"/>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 </w:t>
      </w:r>
      <w:r>
        <w:rPr>
          <w:rFonts w:hint="eastAsia" w:ascii="仿宋" w:hAnsi="仿宋" w:eastAsia="仿宋" w:cs="仿宋"/>
          <w:b/>
          <w:bCs/>
          <w:sz w:val="32"/>
          <w:szCs w:val="32"/>
          <w:highlight w:val="none"/>
        </w:rPr>
        <w:t>采购需求</w:t>
      </w:r>
      <w:bookmarkEnd w:id="52"/>
      <w:bookmarkEnd w:id="53"/>
      <w:bookmarkEnd w:id="54"/>
      <w:bookmarkEnd w:id="55"/>
      <w:bookmarkEnd w:id="56"/>
      <w:bookmarkEnd w:id="57"/>
      <w:bookmarkEnd w:id="58"/>
      <w:bookmarkEnd w:id="59"/>
      <w:bookmarkEnd w:id="60"/>
      <w:bookmarkEnd w:id="61"/>
    </w:p>
    <w:tbl>
      <w:tblPr>
        <w:tblStyle w:val="20"/>
        <w:tblW w:w="95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0"/>
        <w:gridCol w:w="4851"/>
        <w:gridCol w:w="2713"/>
        <w:gridCol w:w="846"/>
      </w:tblGrid>
      <w:tr w14:paraId="4D3F7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59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854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气体报警控制器参数（尺寸误差</w:t>
            </w:r>
            <w:r>
              <w:rPr>
                <w:rFonts w:hint="eastAsia" w:ascii="仿宋" w:hAnsi="仿宋" w:eastAsia="仿宋" w:cs="仿宋"/>
                <w:i w:val="0"/>
                <w:iCs w:val="0"/>
                <w:color w:val="000000"/>
                <w:kern w:val="0"/>
                <w:sz w:val="21"/>
                <w:szCs w:val="21"/>
                <w:u w:val="none"/>
                <w:lang w:val="en-US" w:eastAsia="zh-CN" w:bidi="ar"/>
              </w:rPr>
              <w:t>≤2mm</w:t>
            </w:r>
            <w:r>
              <w:rPr>
                <w:rFonts w:hint="eastAsia" w:ascii="仿宋" w:hAnsi="仿宋" w:eastAsia="仿宋" w:cs="仿宋"/>
                <w:b/>
                <w:bCs/>
                <w:i w:val="0"/>
                <w:iCs w:val="0"/>
                <w:color w:val="000000"/>
                <w:kern w:val="0"/>
                <w:sz w:val="21"/>
                <w:szCs w:val="21"/>
                <w:u w:val="none"/>
                <w:lang w:val="en-US" w:eastAsia="zh-CN" w:bidi="ar"/>
              </w:rPr>
              <w:t>）</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19D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参考图片</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5E84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数量（个）</w:t>
            </w:r>
          </w:p>
        </w:tc>
      </w:tr>
      <w:tr w14:paraId="57A54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A6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AE5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数据</w:t>
            </w:r>
          </w:p>
        </w:tc>
        <w:tc>
          <w:tcPr>
            <w:tcW w:w="27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2C8E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-54610</wp:posOffset>
                  </wp:positionH>
                  <wp:positionV relativeFrom="paragraph">
                    <wp:posOffset>678815</wp:posOffset>
                  </wp:positionV>
                  <wp:extent cx="1606550" cy="2216785"/>
                  <wp:effectExtent l="0" t="0" r="12700" b="12065"/>
                  <wp:wrapNone/>
                  <wp:docPr id="10" name="图片_1"/>
                  <wp:cNvGraphicFramePr/>
                  <a:graphic xmlns:a="http://schemas.openxmlformats.org/drawingml/2006/main">
                    <a:graphicData uri="http://schemas.openxmlformats.org/drawingml/2006/picture">
                      <pic:pic xmlns:pic="http://schemas.openxmlformats.org/drawingml/2006/picture">
                        <pic:nvPicPr>
                          <pic:cNvPr id="10" name="图片_1"/>
                          <pic:cNvPicPr/>
                        </pic:nvPicPr>
                        <pic:blipFill>
                          <a:blip r:embed="rId16"/>
                          <a:stretch>
                            <a:fillRect/>
                          </a:stretch>
                        </pic:blipFill>
                        <pic:spPr>
                          <a:xfrm>
                            <a:off x="0" y="0"/>
                            <a:ext cx="1606550" cy="2216785"/>
                          </a:xfrm>
                          <a:prstGeom prst="rect">
                            <a:avLst/>
                          </a:prstGeom>
                          <a:noFill/>
                          <a:ln>
                            <a:noFill/>
                          </a:ln>
                        </pic:spPr>
                      </pic:pic>
                    </a:graphicData>
                  </a:graphic>
                </wp:anchor>
              </w:drawing>
            </w:r>
          </w:p>
        </w:tc>
        <w:tc>
          <w:tcPr>
            <w:tcW w:w="8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2B6973">
            <w:pPr>
              <w:jc w:val="both"/>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12</w:t>
            </w:r>
          </w:p>
        </w:tc>
      </w:tr>
      <w:tr w14:paraId="3C0BC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14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工作电压</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58DE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AC170V~AC260V/50Hz</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063B8">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4FA52">
            <w:pPr>
              <w:jc w:val="center"/>
              <w:rPr>
                <w:rFonts w:hint="eastAsia" w:ascii="仿宋" w:hAnsi="仿宋" w:eastAsia="仿宋" w:cs="仿宋"/>
                <w:i w:val="0"/>
                <w:iCs w:val="0"/>
                <w:color w:val="000000"/>
                <w:sz w:val="21"/>
                <w:szCs w:val="21"/>
                <w:u w:val="none"/>
              </w:rPr>
            </w:pPr>
          </w:p>
        </w:tc>
      </w:tr>
      <w:tr w14:paraId="3C41F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D8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典型功率</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B58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≤5W(不含连接的探测器和配套设备)</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0A8C8">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AC9A7">
            <w:pPr>
              <w:jc w:val="center"/>
              <w:rPr>
                <w:rFonts w:hint="eastAsia" w:ascii="仿宋" w:hAnsi="仿宋" w:eastAsia="仿宋" w:cs="仿宋"/>
                <w:i w:val="0"/>
                <w:iCs w:val="0"/>
                <w:color w:val="000000"/>
                <w:sz w:val="21"/>
                <w:szCs w:val="21"/>
                <w:u w:val="none"/>
              </w:rPr>
            </w:pPr>
          </w:p>
        </w:tc>
      </w:tr>
      <w:tr w14:paraId="1C2B7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1C0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备用电池</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2A45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铅酸蓄电池</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9A013">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2FEAD">
            <w:pPr>
              <w:jc w:val="center"/>
              <w:rPr>
                <w:rFonts w:hint="eastAsia" w:ascii="仿宋" w:hAnsi="仿宋" w:eastAsia="仿宋" w:cs="仿宋"/>
                <w:i w:val="0"/>
                <w:iCs w:val="0"/>
                <w:color w:val="000000"/>
                <w:sz w:val="21"/>
                <w:szCs w:val="21"/>
                <w:u w:val="none"/>
              </w:rPr>
            </w:pPr>
          </w:p>
        </w:tc>
      </w:tr>
      <w:tr w14:paraId="5D0EA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B15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显示方式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737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3.2寸LCD点阵液晶</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45415">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E21FF">
            <w:pPr>
              <w:jc w:val="center"/>
              <w:rPr>
                <w:rFonts w:hint="eastAsia" w:ascii="仿宋" w:hAnsi="仿宋" w:eastAsia="仿宋" w:cs="仿宋"/>
                <w:i w:val="0"/>
                <w:iCs w:val="0"/>
                <w:color w:val="000000"/>
                <w:sz w:val="21"/>
                <w:szCs w:val="21"/>
                <w:u w:val="none"/>
              </w:rPr>
            </w:pPr>
          </w:p>
        </w:tc>
      </w:tr>
      <w:tr w14:paraId="5FAD7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51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通讯方式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117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XBUS/HBUS总线通讯</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83C33">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DF9EA">
            <w:pPr>
              <w:jc w:val="center"/>
              <w:rPr>
                <w:rFonts w:hint="eastAsia" w:ascii="仿宋" w:hAnsi="仿宋" w:eastAsia="仿宋" w:cs="仿宋"/>
                <w:i w:val="0"/>
                <w:iCs w:val="0"/>
                <w:color w:val="000000"/>
                <w:sz w:val="21"/>
                <w:szCs w:val="21"/>
                <w:u w:val="none"/>
              </w:rPr>
            </w:pPr>
          </w:p>
        </w:tc>
      </w:tr>
      <w:tr w14:paraId="50B9F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89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安装方式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6C1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壁挂式</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AB812">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211A7">
            <w:pPr>
              <w:jc w:val="center"/>
              <w:rPr>
                <w:rFonts w:hint="eastAsia" w:ascii="仿宋" w:hAnsi="仿宋" w:eastAsia="仿宋" w:cs="仿宋"/>
                <w:i w:val="0"/>
                <w:iCs w:val="0"/>
                <w:color w:val="000000"/>
                <w:sz w:val="21"/>
                <w:szCs w:val="21"/>
                <w:u w:val="none"/>
              </w:rPr>
            </w:pPr>
          </w:p>
        </w:tc>
      </w:tr>
      <w:tr w14:paraId="60FA2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6B9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报警输出</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751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2组无源可编程外控输出(触点容量AC220V/2A或DC24V/2A)</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3D16E">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B0946">
            <w:pPr>
              <w:jc w:val="center"/>
              <w:rPr>
                <w:rFonts w:hint="eastAsia" w:ascii="仿宋" w:hAnsi="仿宋" w:eastAsia="仿宋" w:cs="仿宋"/>
                <w:i w:val="0"/>
                <w:iCs w:val="0"/>
                <w:color w:val="000000"/>
                <w:sz w:val="21"/>
                <w:szCs w:val="21"/>
                <w:u w:val="none"/>
              </w:rPr>
            </w:pPr>
          </w:p>
        </w:tc>
      </w:tr>
      <w:tr w14:paraId="00775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60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输出类型</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D3E2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保持/脉冲输出(可按需修改)</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794BF">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21176">
            <w:pPr>
              <w:jc w:val="center"/>
              <w:rPr>
                <w:rFonts w:hint="eastAsia" w:ascii="仿宋" w:hAnsi="仿宋" w:eastAsia="仿宋" w:cs="仿宋"/>
                <w:i w:val="0"/>
                <w:iCs w:val="0"/>
                <w:color w:val="000000"/>
                <w:sz w:val="21"/>
                <w:szCs w:val="21"/>
                <w:u w:val="none"/>
              </w:rPr>
            </w:pPr>
          </w:p>
        </w:tc>
      </w:tr>
      <w:tr w14:paraId="68338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702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输入类型</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2958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内置一组开关量输入接口，可通过联动编程控制外控输出</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AF990">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C0BD1">
            <w:pPr>
              <w:jc w:val="center"/>
              <w:rPr>
                <w:rFonts w:hint="eastAsia" w:ascii="仿宋" w:hAnsi="仿宋" w:eastAsia="仿宋" w:cs="仿宋"/>
                <w:i w:val="0"/>
                <w:iCs w:val="0"/>
                <w:color w:val="000000"/>
                <w:sz w:val="21"/>
                <w:szCs w:val="21"/>
                <w:u w:val="none"/>
              </w:rPr>
            </w:pPr>
          </w:p>
        </w:tc>
      </w:tr>
      <w:tr w14:paraId="7E193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56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适配探测器</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29C5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采用HBUS(4总线)、XBUS(2/4总线)通讯的气体探测器</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AF15A">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B0633">
            <w:pPr>
              <w:jc w:val="center"/>
              <w:rPr>
                <w:rFonts w:hint="eastAsia" w:ascii="仿宋" w:hAnsi="仿宋" w:eastAsia="仿宋" w:cs="仿宋"/>
                <w:i w:val="0"/>
                <w:iCs w:val="0"/>
                <w:color w:val="000000"/>
                <w:sz w:val="21"/>
                <w:szCs w:val="21"/>
                <w:u w:val="none"/>
              </w:rPr>
            </w:pPr>
          </w:p>
        </w:tc>
      </w:tr>
      <w:tr w14:paraId="244EA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D5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传输距离</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D99E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1500m</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4B706">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87E95">
            <w:pPr>
              <w:jc w:val="center"/>
              <w:rPr>
                <w:rFonts w:hint="eastAsia" w:ascii="仿宋" w:hAnsi="仿宋" w:eastAsia="仿宋" w:cs="仿宋"/>
                <w:i w:val="0"/>
                <w:iCs w:val="0"/>
                <w:color w:val="000000"/>
                <w:sz w:val="21"/>
                <w:szCs w:val="21"/>
                <w:u w:val="none"/>
              </w:rPr>
            </w:pPr>
          </w:p>
        </w:tc>
      </w:tr>
      <w:tr w14:paraId="4B229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D0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典型容量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3DF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4、8、16、32(其它容量可选)</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F19BE">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08D261">
            <w:pPr>
              <w:jc w:val="center"/>
              <w:rPr>
                <w:rFonts w:hint="eastAsia" w:ascii="仿宋" w:hAnsi="仿宋" w:eastAsia="仿宋" w:cs="仿宋"/>
                <w:i w:val="0"/>
                <w:iCs w:val="0"/>
                <w:color w:val="000000"/>
                <w:sz w:val="21"/>
                <w:szCs w:val="21"/>
                <w:u w:val="none"/>
              </w:rPr>
            </w:pPr>
          </w:p>
        </w:tc>
      </w:tr>
      <w:tr w14:paraId="43546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08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通讯回路</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FE7F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EDDC2">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3BEB2">
            <w:pPr>
              <w:jc w:val="center"/>
              <w:rPr>
                <w:rFonts w:hint="eastAsia" w:ascii="仿宋" w:hAnsi="仿宋" w:eastAsia="仿宋" w:cs="仿宋"/>
                <w:i w:val="0"/>
                <w:iCs w:val="0"/>
                <w:color w:val="000000"/>
                <w:sz w:val="21"/>
                <w:szCs w:val="21"/>
                <w:u w:val="none"/>
              </w:rPr>
            </w:pPr>
          </w:p>
        </w:tc>
      </w:tr>
      <w:tr w14:paraId="5576C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CF5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无线远传</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8F6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(wifi、NB、4G)</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AFEE6">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61A22">
            <w:pPr>
              <w:jc w:val="center"/>
              <w:rPr>
                <w:rFonts w:hint="eastAsia" w:ascii="仿宋" w:hAnsi="仿宋" w:eastAsia="仿宋" w:cs="仿宋"/>
                <w:i w:val="0"/>
                <w:iCs w:val="0"/>
                <w:color w:val="000000"/>
                <w:sz w:val="21"/>
                <w:szCs w:val="21"/>
                <w:u w:val="none"/>
              </w:rPr>
            </w:pPr>
          </w:p>
        </w:tc>
      </w:tr>
      <w:tr w14:paraId="61BFA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81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外形尺寸</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3260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宋体" w:hAnsi="宋体" w:cs="宋体"/>
                <w:color w:val="auto"/>
                <w:kern w:val="0"/>
                <w:sz w:val="24"/>
                <w:szCs w:val="24"/>
                <w:highlight w:val="none"/>
                <w:lang w:val="en-US" w:eastAsia="zh-CN" w:bidi="ar"/>
              </w:rPr>
              <w:t>≥</w:t>
            </w:r>
            <w:r>
              <w:rPr>
                <w:rFonts w:hint="eastAsia" w:ascii="仿宋" w:hAnsi="仿宋" w:eastAsia="仿宋" w:cs="仿宋"/>
                <w:i w:val="0"/>
                <w:iCs w:val="0"/>
                <w:color w:val="000000"/>
                <w:kern w:val="0"/>
                <w:sz w:val="21"/>
                <w:szCs w:val="21"/>
                <w:u w:val="none"/>
                <w:lang w:val="en-US" w:eastAsia="zh-CN" w:bidi="ar"/>
              </w:rPr>
              <w:t>320mmx240mmx86mm</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41466">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AAA35">
            <w:pPr>
              <w:jc w:val="center"/>
              <w:rPr>
                <w:rFonts w:hint="eastAsia" w:ascii="仿宋" w:hAnsi="仿宋" w:eastAsia="仿宋" w:cs="仿宋"/>
                <w:i w:val="0"/>
                <w:iCs w:val="0"/>
                <w:color w:val="000000"/>
                <w:sz w:val="21"/>
                <w:szCs w:val="21"/>
                <w:u w:val="none"/>
              </w:rPr>
            </w:pPr>
          </w:p>
        </w:tc>
      </w:tr>
      <w:tr w14:paraId="654FF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CF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特点</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6759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中文液晶显示方便调试，支持显示设备安装地址、支持两线制/四线制XBUS协议通讯，布线灵活方便、支持分区域报警和联动，适用于分区域联动控制器的中小项目、兼容HBUS通讯协议，可用于升级已损坏的老旧主机、可选无线网关，实现物联远传功能</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E9673">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01E01">
            <w:pPr>
              <w:jc w:val="center"/>
              <w:rPr>
                <w:rFonts w:hint="eastAsia" w:ascii="仿宋" w:hAnsi="仿宋" w:eastAsia="仿宋" w:cs="仿宋"/>
                <w:i w:val="0"/>
                <w:iCs w:val="0"/>
                <w:color w:val="000000"/>
                <w:sz w:val="21"/>
                <w:szCs w:val="21"/>
                <w:u w:val="none"/>
              </w:rPr>
            </w:pPr>
          </w:p>
        </w:tc>
      </w:tr>
      <w:tr w14:paraId="357C7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59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63DC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可燃气体探测器参数</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967A">
            <w:pPr>
              <w:rPr>
                <w:rFonts w:hint="eastAsia" w:ascii="仿宋" w:hAnsi="仿宋" w:eastAsia="仿宋" w:cs="仿宋"/>
                <w:i w:val="0"/>
                <w:iCs w:val="0"/>
                <w:color w:val="000000"/>
                <w:sz w:val="21"/>
                <w:szCs w:val="21"/>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61C25">
            <w:pPr>
              <w:rPr>
                <w:rFonts w:hint="eastAsia" w:ascii="仿宋" w:hAnsi="仿宋" w:eastAsia="仿宋" w:cs="仿宋"/>
                <w:i w:val="0"/>
                <w:iCs w:val="0"/>
                <w:color w:val="000000"/>
                <w:sz w:val="21"/>
                <w:szCs w:val="21"/>
                <w:u w:val="none"/>
              </w:rPr>
            </w:pPr>
          </w:p>
        </w:tc>
      </w:tr>
      <w:tr w14:paraId="7BEAF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BE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9E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数据</w:t>
            </w:r>
          </w:p>
        </w:tc>
        <w:tc>
          <w:tcPr>
            <w:tcW w:w="27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C3191">
            <w:pPr>
              <w:jc w:val="center"/>
              <w:rPr>
                <w:rFonts w:hint="eastAsia" w:ascii="仿宋" w:hAnsi="仿宋" w:eastAsia="仿宋" w:cs="仿宋"/>
                <w:i w:val="0"/>
                <w:iCs w:val="0"/>
                <w:color w:val="000000"/>
                <w:sz w:val="21"/>
                <w:szCs w:val="21"/>
                <w:u w:val="none"/>
              </w:rPr>
            </w:pPr>
          </w:p>
        </w:tc>
        <w:tc>
          <w:tcPr>
            <w:tcW w:w="8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4D0668">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112</w:t>
            </w:r>
          </w:p>
        </w:tc>
      </w:tr>
      <w:tr w14:paraId="4492A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FF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检测对象</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4CE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甲烷、丙烷、异丁烷、氢气等可燃气体（选其中之一）</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A01AD">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A75EC">
            <w:pPr>
              <w:jc w:val="center"/>
              <w:rPr>
                <w:rFonts w:hint="eastAsia" w:ascii="仿宋" w:hAnsi="仿宋" w:eastAsia="仿宋" w:cs="仿宋"/>
                <w:i w:val="0"/>
                <w:iCs w:val="0"/>
                <w:color w:val="000000"/>
                <w:sz w:val="21"/>
                <w:szCs w:val="21"/>
                <w:u w:val="none"/>
              </w:rPr>
            </w:pPr>
          </w:p>
        </w:tc>
      </w:tr>
      <w:tr w14:paraId="2F0BC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4E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量程</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46A5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(3~100) %LEL（可设定）</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85954">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5F55E">
            <w:pPr>
              <w:jc w:val="center"/>
              <w:rPr>
                <w:rFonts w:hint="eastAsia" w:ascii="仿宋" w:hAnsi="仿宋" w:eastAsia="仿宋" w:cs="仿宋"/>
                <w:i w:val="0"/>
                <w:iCs w:val="0"/>
                <w:color w:val="000000"/>
                <w:sz w:val="21"/>
                <w:szCs w:val="21"/>
                <w:u w:val="none"/>
              </w:rPr>
            </w:pPr>
          </w:p>
        </w:tc>
      </w:tr>
      <w:tr w14:paraId="72C6C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76F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响应时间</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805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&lt;15s</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F5067">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8DCC4">
            <w:pPr>
              <w:jc w:val="center"/>
              <w:rPr>
                <w:rFonts w:hint="eastAsia" w:ascii="仿宋" w:hAnsi="仿宋" w:eastAsia="仿宋" w:cs="仿宋"/>
                <w:i w:val="0"/>
                <w:iCs w:val="0"/>
                <w:color w:val="000000"/>
                <w:sz w:val="21"/>
                <w:szCs w:val="21"/>
                <w:u w:val="none"/>
              </w:rPr>
            </w:pPr>
          </w:p>
        </w:tc>
      </w:tr>
      <w:tr w14:paraId="1C922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B9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检测原理</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4C8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催化燃烧式</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3C66F">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87EFB">
            <w:pPr>
              <w:jc w:val="center"/>
              <w:rPr>
                <w:rFonts w:hint="eastAsia" w:ascii="仿宋" w:hAnsi="仿宋" w:eastAsia="仿宋" w:cs="仿宋"/>
                <w:i w:val="0"/>
                <w:iCs w:val="0"/>
                <w:color w:val="000000"/>
                <w:sz w:val="21"/>
                <w:szCs w:val="21"/>
                <w:u w:val="none"/>
              </w:rPr>
            </w:pPr>
          </w:p>
        </w:tc>
      </w:tr>
      <w:tr w14:paraId="1DAAF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2F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采样方式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886B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自由扩散式</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BB792">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7FC02">
            <w:pPr>
              <w:jc w:val="center"/>
              <w:rPr>
                <w:rFonts w:hint="eastAsia" w:ascii="仿宋" w:hAnsi="仿宋" w:eastAsia="仿宋" w:cs="仿宋"/>
                <w:i w:val="0"/>
                <w:iCs w:val="0"/>
                <w:color w:val="000000"/>
                <w:sz w:val="21"/>
                <w:szCs w:val="21"/>
                <w:u w:val="none"/>
              </w:rPr>
            </w:pPr>
          </w:p>
        </w:tc>
      </w:tr>
      <w:tr w14:paraId="3CAA0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E3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额定电压</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571C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3009900</wp:posOffset>
                  </wp:positionH>
                  <wp:positionV relativeFrom="paragraph">
                    <wp:posOffset>69850</wp:posOffset>
                  </wp:positionV>
                  <wp:extent cx="1732280" cy="1842770"/>
                  <wp:effectExtent l="0" t="0" r="1270" b="5080"/>
                  <wp:wrapNone/>
                  <wp:docPr id="11" name="图片_2"/>
                  <wp:cNvGraphicFramePr/>
                  <a:graphic xmlns:a="http://schemas.openxmlformats.org/drawingml/2006/main">
                    <a:graphicData uri="http://schemas.openxmlformats.org/drawingml/2006/picture">
                      <pic:pic xmlns:pic="http://schemas.openxmlformats.org/drawingml/2006/picture">
                        <pic:nvPicPr>
                          <pic:cNvPr id="11" name="图片_2"/>
                          <pic:cNvPicPr/>
                        </pic:nvPicPr>
                        <pic:blipFill>
                          <a:blip r:embed="rId17"/>
                          <a:stretch>
                            <a:fillRect/>
                          </a:stretch>
                        </pic:blipFill>
                        <pic:spPr>
                          <a:xfrm>
                            <a:off x="0" y="0"/>
                            <a:ext cx="1732280" cy="1842770"/>
                          </a:xfrm>
                          <a:prstGeom prst="rect">
                            <a:avLst/>
                          </a:prstGeom>
                          <a:noFill/>
                          <a:ln>
                            <a:noFill/>
                          </a:ln>
                        </pic:spPr>
                      </pic:pic>
                    </a:graphicData>
                  </a:graphic>
                </wp:anchor>
              </w:drawing>
            </w:r>
            <w:r>
              <w:rPr>
                <w:rFonts w:hint="eastAsia" w:ascii="仿宋" w:hAnsi="仿宋" w:eastAsia="仿宋" w:cs="仿宋"/>
                <w:i w:val="0"/>
                <w:iCs w:val="0"/>
                <w:color w:val="000000"/>
                <w:kern w:val="0"/>
                <w:sz w:val="21"/>
                <w:szCs w:val="21"/>
                <w:u w:val="none"/>
                <w:lang w:val="en-US" w:eastAsia="zh-CN" w:bidi="ar"/>
              </w:rPr>
              <w:t>DC24V(支持DC14V~32V超宽幅供电)</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4FF21">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AAF72">
            <w:pPr>
              <w:jc w:val="center"/>
              <w:rPr>
                <w:rFonts w:hint="eastAsia" w:ascii="仿宋" w:hAnsi="仿宋" w:eastAsia="仿宋" w:cs="仿宋"/>
                <w:i w:val="0"/>
                <w:iCs w:val="0"/>
                <w:color w:val="000000"/>
                <w:sz w:val="21"/>
                <w:szCs w:val="21"/>
                <w:u w:val="none"/>
              </w:rPr>
            </w:pPr>
          </w:p>
        </w:tc>
      </w:tr>
      <w:tr w14:paraId="05F44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957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功耗</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88F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≤0.9W</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B7946">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37A5E">
            <w:pPr>
              <w:jc w:val="center"/>
              <w:rPr>
                <w:rFonts w:hint="eastAsia" w:ascii="仿宋" w:hAnsi="仿宋" w:eastAsia="仿宋" w:cs="仿宋"/>
                <w:i w:val="0"/>
                <w:iCs w:val="0"/>
                <w:color w:val="000000"/>
                <w:sz w:val="21"/>
                <w:szCs w:val="21"/>
                <w:u w:val="none"/>
              </w:rPr>
            </w:pPr>
          </w:p>
        </w:tc>
      </w:tr>
      <w:tr w14:paraId="4CEA1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4D6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通讯方式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93D3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XBUS2/4总线和4~20mA</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117A7">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4599A">
            <w:pPr>
              <w:jc w:val="center"/>
              <w:rPr>
                <w:rFonts w:hint="eastAsia" w:ascii="仿宋" w:hAnsi="仿宋" w:eastAsia="仿宋" w:cs="仿宋"/>
                <w:i w:val="0"/>
                <w:iCs w:val="0"/>
                <w:color w:val="000000"/>
                <w:sz w:val="21"/>
                <w:szCs w:val="21"/>
                <w:u w:val="none"/>
              </w:rPr>
            </w:pPr>
          </w:p>
        </w:tc>
      </w:tr>
      <w:tr w14:paraId="5CECD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649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通讯距离</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CA5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XBUS总线 1500m/4~20mA 1200m</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A3A0F">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27C3D">
            <w:pPr>
              <w:jc w:val="center"/>
              <w:rPr>
                <w:rFonts w:hint="eastAsia" w:ascii="仿宋" w:hAnsi="仿宋" w:eastAsia="仿宋" w:cs="仿宋"/>
                <w:i w:val="0"/>
                <w:iCs w:val="0"/>
                <w:color w:val="000000"/>
                <w:sz w:val="21"/>
                <w:szCs w:val="21"/>
                <w:u w:val="none"/>
              </w:rPr>
            </w:pPr>
          </w:p>
        </w:tc>
      </w:tr>
      <w:tr w14:paraId="2DA28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32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报警输出</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701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声光报警输出50mA</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8C592">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26546">
            <w:pPr>
              <w:jc w:val="center"/>
              <w:rPr>
                <w:rFonts w:hint="eastAsia" w:ascii="仿宋" w:hAnsi="仿宋" w:eastAsia="仿宋" w:cs="仿宋"/>
                <w:i w:val="0"/>
                <w:iCs w:val="0"/>
                <w:color w:val="000000"/>
                <w:sz w:val="21"/>
                <w:szCs w:val="21"/>
                <w:u w:val="none"/>
              </w:rPr>
            </w:pPr>
          </w:p>
        </w:tc>
      </w:tr>
      <w:tr w14:paraId="002C1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2E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出线孔规格</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B42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两个M26X1.5内螺纹口(管螺纹3/4”和NPT3/4”可选)</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C1D6D">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318C6">
            <w:pPr>
              <w:jc w:val="center"/>
              <w:rPr>
                <w:rFonts w:hint="eastAsia" w:ascii="仿宋" w:hAnsi="仿宋" w:eastAsia="仿宋" w:cs="仿宋"/>
                <w:i w:val="0"/>
                <w:iCs w:val="0"/>
                <w:color w:val="000000"/>
                <w:sz w:val="21"/>
                <w:szCs w:val="21"/>
                <w:u w:val="none"/>
              </w:rPr>
            </w:pPr>
          </w:p>
        </w:tc>
      </w:tr>
      <w:tr w14:paraId="4DCF2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6F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安装方式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443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贴墙安装，穿管安装，吊顶安装</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AD9BF">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921D6">
            <w:pPr>
              <w:jc w:val="center"/>
              <w:rPr>
                <w:rFonts w:hint="eastAsia" w:ascii="仿宋" w:hAnsi="仿宋" w:eastAsia="仿宋" w:cs="仿宋"/>
                <w:i w:val="0"/>
                <w:iCs w:val="0"/>
                <w:color w:val="000000"/>
                <w:sz w:val="21"/>
                <w:szCs w:val="21"/>
                <w:u w:val="none"/>
              </w:rPr>
            </w:pPr>
          </w:p>
        </w:tc>
      </w:tr>
      <w:tr w14:paraId="2EC41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93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主体材质</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5C14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铝合金</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0CC36">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0FA56">
            <w:pPr>
              <w:jc w:val="center"/>
              <w:rPr>
                <w:rFonts w:hint="eastAsia" w:ascii="仿宋" w:hAnsi="仿宋" w:eastAsia="仿宋" w:cs="仿宋"/>
                <w:i w:val="0"/>
                <w:iCs w:val="0"/>
                <w:color w:val="000000"/>
                <w:sz w:val="21"/>
                <w:szCs w:val="21"/>
                <w:u w:val="none"/>
              </w:rPr>
            </w:pPr>
          </w:p>
        </w:tc>
      </w:tr>
      <w:tr w14:paraId="5E80C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6E4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防爆等级</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93F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Exdb IICT6Gb/ExtbIICT85°CDb</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C90AA">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C52B1">
            <w:pPr>
              <w:jc w:val="center"/>
              <w:rPr>
                <w:rFonts w:hint="eastAsia" w:ascii="仿宋" w:hAnsi="仿宋" w:eastAsia="仿宋" w:cs="仿宋"/>
                <w:i w:val="0"/>
                <w:iCs w:val="0"/>
                <w:color w:val="000000"/>
                <w:sz w:val="21"/>
                <w:szCs w:val="21"/>
                <w:u w:val="none"/>
              </w:rPr>
            </w:pPr>
          </w:p>
        </w:tc>
      </w:tr>
      <w:tr w14:paraId="3F7DB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D7A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环境温度</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D37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(-40~70)°C</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8DF66">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A5583">
            <w:pPr>
              <w:jc w:val="center"/>
              <w:rPr>
                <w:rFonts w:hint="eastAsia" w:ascii="仿宋" w:hAnsi="仿宋" w:eastAsia="仿宋" w:cs="仿宋"/>
                <w:i w:val="0"/>
                <w:iCs w:val="0"/>
                <w:color w:val="000000"/>
                <w:sz w:val="21"/>
                <w:szCs w:val="21"/>
                <w:u w:val="none"/>
              </w:rPr>
            </w:pPr>
          </w:p>
        </w:tc>
      </w:tr>
      <w:tr w14:paraId="1F94B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9C1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大气压力</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459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(86~106) kPa</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4F56D">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E7164">
            <w:pPr>
              <w:jc w:val="center"/>
              <w:rPr>
                <w:rFonts w:hint="eastAsia" w:ascii="仿宋" w:hAnsi="仿宋" w:eastAsia="仿宋" w:cs="仿宋"/>
                <w:i w:val="0"/>
                <w:iCs w:val="0"/>
                <w:color w:val="000000"/>
                <w:sz w:val="21"/>
                <w:szCs w:val="21"/>
                <w:u w:val="none"/>
              </w:rPr>
            </w:pPr>
          </w:p>
        </w:tc>
      </w:tr>
      <w:tr w14:paraId="2D120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B4C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相对湿度</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EF8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≤95%(无凝露)</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0BACA">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8BB2D">
            <w:pPr>
              <w:jc w:val="center"/>
              <w:rPr>
                <w:rFonts w:hint="eastAsia" w:ascii="仿宋" w:hAnsi="仿宋" w:eastAsia="仿宋" w:cs="仿宋"/>
                <w:i w:val="0"/>
                <w:iCs w:val="0"/>
                <w:color w:val="000000"/>
                <w:sz w:val="21"/>
                <w:szCs w:val="21"/>
                <w:u w:val="none"/>
              </w:rPr>
            </w:pPr>
          </w:p>
        </w:tc>
      </w:tr>
      <w:tr w14:paraId="62677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86B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特点</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A9D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隔爆型和防粉尘点燃外壳保护型、双出线接口，方便安装布线和连接声光警报器、液晶显示，现场即可查看浓度值、采用数字传感器组件，更换组件不用现场标定、支持XBUS总线和4~20mA模拟量信号通讯方式可、替换任意厂家三线或四线制4~20mA分线探测器、标配声光接口，可现场扩展声光报警输出、可替换XBUS两总线探测器</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499B7">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247CA">
            <w:pPr>
              <w:jc w:val="center"/>
              <w:rPr>
                <w:rFonts w:hint="eastAsia" w:ascii="仿宋" w:hAnsi="仿宋" w:eastAsia="仿宋" w:cs="仿宋"/>
                <w:i w:val="0"/>
                <w:iCs w:val="0"/>
                <w:color w:val="000000"/>
                <w:sz w:val="21"/>
                <w:szCs w:val="21"/>
                <w:u w:val="none"/>
              </w:rPr>
            </w:pPr>
          </w:p>
        </w:tc>
      </w:tr>
      <w:tr w14:paraId="1FB32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59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6EEC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 xml:space="preserve"> 联动控制箱参数</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80960">
            <w:pPr>
              <w:rPr>
                <w:rFonts w:hint="eastAsia" w:ascii="仿宋" w:hAnsi="仿宋" w:eastAsia="仿宋" w:cs="仿宋"/>
                <w:i w:val="0"/>
                <w:iCs w:val="0"/>
                <w:color w:val="000000"/>
                <w:sz w:val="21"/>
                <w:szCs w:val="21"/>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00E4">
            <w:pPr>
              <w:rPr>
                <w:rFonts w:hint="eastAsia" w:ascii="仿宋" w:hAnsi="仿宋" w:eastAsia="仿宋" w:cs="仿宋"/>
                <w:i w:val="0"/>
                <w:iCs w:val="0"/>
                <w:color w:val="000000"/>
                <w:sz w:val="21"/>
                <w:szCs w:val="21"/>
                <w:u w:val="none"/>
              </w:rPr>
            </w:pPr>
          </w:p>
        </w:tc>
      </w:tr>
      <w:tr w14:paraId="31C00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DFA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项目</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75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数据</w:t>
            </w:r>
          </w:p>
        </w:tc>
        <w:tc>
          <w:tcPr>
            <w:tcW w:w="27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3B5114">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-66675</wp:posOffset>
                  </wp:positionH>
                  <wp:positionV relativeFrom="paragraph">
                    <wp:posOffset>552450</wp:posOffset>
                  </wp:positionV>
                  <wp:extent cx="1696720" cy="2294255"/>
                  <wp:effectExtent l="0" t="0" r="17780" b="10795"/>
                  <wp:wrapNone/>
                  <wp:docPr id="12" name="图片_3"/>
                  <wp:cNvGraphicFramePr/>
                  <a:graphic xmlns:a="http://schemas.openxmlformats.org/drawingml/2006/main">
                    <a:graphicData uri="http://schemas.openxmlformats.org/drawingml/2006/picture">
                      <pic:pic xmlns:pic="http://schemas.openxmlformats.org/drawingml/2006/picture">
                        <pic:nvPicPr>
                          <pic:cNvPr id="12" name="图片_3"/>
                          <pic:cNvPicPr/>
                        </pic:nvPicPr>
                        <pic:blipFill>
                          <a:blip r:embed="rId18"/>
                          <a:stretch>
                            <a:fillRect/>
                          </a:stretch>
                        </pic:blipFill>
                        <pic:spPr>
                          <a:xfrm>
                            <a:off x="0" y="0"/>
                            <a:ext cx="1696720" cy="2294255"/>
                          </a:xfrm>
                          <a:prstGeom prst="rect">
                            <a:avLst/>
                          </a:prstGeom>
                          <a:noFill/>
                          <a:ln>
                            <a:noFill/>
                          </a:ln>
                        </pic:spPr>
                      </pic:pic>
                    </a:graphicData>
                  </a:graphic>
                </wp:anchor>
              </w:drawing>
            </w:r>
          </w:p>
        </w:tc>
        <w:tc>
          <w:tcPr>
            <w:tcW w:w="8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80CCAF">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65</w:t>
            </w:r>
          </w:p>
        </w:tc>
      </w:tr>
      <w:tr w14:paraId="12EF8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33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通讯方式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BB64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XBUS两总线</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1C320">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56805">
            <w:pPr>
              <w:jc w:val="center"/>
              <w:rPr>
                <w:rFonts w:hint="eastAsia" w:ascii="仿宋" w:hAnsi="仿宋" w:eastAsia="仿宋" w:cs="仿宋"/>
                <w:i w:val="0"/>
                <w:iCs w:val="0"/>
                <w:color w:val="000000"/>
                <w:sz w:val="21"/>
                <w:szCs w:val="21"/>
                <w:u w:val="none"/>
              </w:rPr>
            </w:pPr>
          </w:p>
        </w:tc>
      </w:tr>
      <w:tr w14:paraId="31F85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2AE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显示方式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DB2A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数码管显示</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B13DB">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6F11A">
            <w:pPr>
              <w:jc w:val="center"/>
              <w:rPr>
                <w:rFonts w:hint="eastAsia" w:ascii="仿宋" w:hAnsi="仿宋" w:eastAsia="仿宋" w:cs="仿宋"/>
                <w:i w:val="0"/>
                <w:iCs w:val="0"/>
                <w:color w:val="000000"/>
                <w:sz w:val="21"/>
                <w:szCs w:val="21"/>
                <w:u w:val="none"/>
              </w:rPr>
            </w:pPr>
          </w:p>
        </w:tc>
      </w:tr>
      <w:tr w14:paraId="76C24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A551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启动方式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7FD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联动/手动启停:</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46742">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CD9B4">
            <w:pPr>
              <w:jc w:val="center"/>
              <w:rPr>
                <w:rFonts w:hint="eastAsia" w:ascii="仿宋" w:hAnsi="仿宋" w:eastAsia="仿宋" w:cs="仿宋"/>
                <w:i w:val="0"/>
                <w:iCs w:val="0"/>
                <w:color w:val="000000"/>
                <w:sz w:val="21"/>
                <w:szCs w:val="21"/>
                <w:u w:val="none"/>
              </w:rPr>
            </w:pPr>
          </w:p>
        </w:tc>
      </w:tr>
      <w:tr w14:paraId="3443E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EB3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继电器输出模式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68A3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保持/脉冲(可调)</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9D1FD">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41317">
            <w:pPr>
              <w:jc w:val="center"/>
              <w:rPr>
                <w:rFonts w:hint="eastAsia" w:ascii="仿宋" w:hAnsi="仿宋" w:eastAsia="仿宋" w:cs="仿宋"/>
                <w:i w:val="0"/>
                <w:iCs w:val="0"/>
                <w:color w:val="000000"/>
                <w:sz w:val="21"/>
                <w:szCs w:val="21"/>
                <w:u w:val="none"/>
              </w:rPr>
            </w:pPr>
          </w:p>
        </w:tc>
      </w:tr>
      <w:tr w14:paraId="6CB26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0D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触点容量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8BF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接触器AC220V/9A AC380V/9A 继电器AC220V/2A</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C6A82">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F29B9">
            <w:pPr>
              <w:jc w:val="center"/>
              <w:rPr>
                <w:rFonts w:hint="eastAsia" w:ascii="仿宋" w:hAnsi="仿宋" w:eastAsia="仿宋" w:cs="仿宋"/>
                <w:i w:val="0"/>
                <w:iCs w:val="0"/>
                <w:color w:val="000000"/>
                <w:sz w:val="21"/>
                <w:szCs w:val="21"/>
                <w:u w:val="none"/>
              </w:rPr>
            </w:pPr>
          </w:p>
        </w:tc>
      </w:tr>
      <w:tr w14:paraId="2D2BA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6B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输出电压</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B5C3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DC30V脉冲供电</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66075">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AF745">
            <w:pPr>
              <w:jc w:val="center"/>
              <w:rPr>
                <w:rFonts w:hint="eastAsia" w:ascii="仿宋" w:hAnsi="仿宋" w:eastAsia="仿宋" w:cs="仿宋"/>
                <w:i w:val="0"/>
                <w:iCs w:val="0"/>
                <w:color w:val="000000"/>
                <w:sz w:val="21"/>
                <w:szCs w:val="21"/>
                <w:u w:val="none"/>
              </w:rPr>
            </w:pPr>
          </w:p>
        </w:tc>
      </w:tr>
      <w:tr w14:paraId="34122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E5A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产品尺寸</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CBF2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宋体" w:hAnsi="宋体" w:cs="宋体"/>
                <w:color w:val="auto"/>
                <w:kern w:val="0"/>
                <w:sz w:val="24"/>
                <w:szCs w:val="24"/>
                <w:highlight w:val="none"/>
                <w:lang w:val="en-US" w:eastAsia="zh-CN" w:bidi="ar"/>
              </w:rPr>
              <w:t>≥</w:t>
            </w:r>
            <w:r>
              <w:rPr>
                <w:rFonts w:hint="eastAsia" w:ascii="仿宋" w:hAnsi="仿宋" w:eastAsia="仿宋" w:cs="仿宋"/>
                <w:i w:val="0"/>
                <w:iCs w:val="0"/>
                <w:color w:val="000000"/>
                <w:kern w:val="0"/>
                <w:sz w:val="21"/>
                <w:szCs w:val="21"/>
                <w:u w:val="none"/>
                <w:lang w:val="en-US" w:eastAsia="zh-CN" w:bidi="ar"/>
              </w:rPr>
              <w:t>350mmx260mm X132mm</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FAD88">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7BE2C">
            <w:pPr>
              <w:jc w:val="center"/>
              <w:rPr>
                <w:rFonts w:hint="eastAsia" w:ascii="仿宋" w:hAnsi="仿宋" w:eastAsia="仿宋" w:cs="仿宋"/>
                <w:i w:val="0"/>
                <w:iCs w:val="0"/>
                <w:color w:val="000000"/>
                <w:sz w:val="21"/>
                <w:szCs w:val="21"/>
                <w:u w:val="none"/>
              </w:rPr>
            </w:pPr>
          </w:p>
        </w:tc>
      </w:tr>
      <w:tr w14:paraId="282CE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7"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01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安装方式</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225C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壁挂式</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EF189">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67062">
            <w:pPr>
              <w:jc w:val="center"/>
              <w:rPr>
                <w:rFonts w:hint="eastAsia" w:ascii="仿宋" w:hAnsi="仿宋" w:eastAsia="仿宋" w:cs="仿宋"/>
                <w:i w:val="0"/>
                <w:iCs w:val="0"/>
                <w:color w:val="000000"/>
                <w:sz w:val="21"/>
                <w:szCs w:val="21"/>
                <w:u w:val="none"/>
              </w:rPr>
            </w:pPr>
          </w:p>
        </w:tc>
      </w:tr>
      <w:tr w14:paraId="2CE57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9A4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特点</w:t>
            </w:r>
          </w:p>
        </w:tc>
        <w:tc>
          <w:tcPr>
            <w:tcW w:w="4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BE8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自带大功率交流接触器、手动按钮设计、可独立使用、数码管显示</w:t>
            </w:r>
          </w:p>
        </w:tc>
        <w:tc>
          <w:tcPr>
            <w:tcW w:w="2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ACB13">
            <w:pPr>
              <w:jc w:val="center"/>
              <w:rPr>
                <w:rFonts w:hint="eastAsia" w:ascii="仿宋" w:hAnsi="仿宋" w:eastAsia="仿宋" w:cs="仿宋"/>
                <w:i w:val="0"/>
                <w:iCs w:val="0"/>
                <w:color w:val="000000"/>
                <w:sz w:val="21"/>
                <w:szCs w:val="21"/>
                <w:u w:val="none"/>
              </w:rPr>
            </w:pPr>
          </w:p>
        </w:tc>
        <w:tc>
          <w:tcPr>
            <w:tcW w:w="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1DE88">
            <w:pPr>
              <w:jc w:val="center"/>
              <w:rPr>
                <w:rFonts w:hint="eastAsia" w:ascii="仿宋" w:hAnsi="仿宋" w:eastAsia="仿宋" w:cs="仿宋"/>
                <w:i w:val="0"/>
                <w:iCs w:val="0"/>
                <w:color w:val="000000"/>
                <w:sz w:val="21"/>
                <w:szCs w:val="21"/>
                <w:u w:val="none"/>
              </w:rPr>
            </w:pPr>
          </w:p>
        </w:tc>
      </w:tr>
      <w:tr w14:paraId="721FA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95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89D51C">
            <w:pPr>
              <w:jc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eastAsia="zh-CN"/>
              </w:rPr>
              <w:t>注：各设备「特点」不作为技术参数偏离打分，除特点外，本项目合计</w:t>
            </w:r>
            <w:r>
              <w:rPr>
                <w:rFonts w:hint="eastAsia" w:ascii="仿宋" w:hAnsi="仿宋" w:eastAsia="仿宋" w:cs="仿宋"/>
                <w:i w:val="0"/>
                <w:iCs w:val="0"/>
                <w:color w:val="000000"/>
                <w:sz w:val="21"/>
                <w:szCs w:val="21"/>
                <w:u w:val="none"/>
                <w:lang w:val="en-US" w:eastAsia="zh-CN"/>
              </w:rPr>
              <w:t>40条技术参数。</w:t>
            </w:r>
          </w:p>
        </w:tc>
      </w:tr>
    </w:tbl>
    <w:p w14:paraId="66F06D0C">
      <w:pPr>
        <w:numPr>
          <w:ilvl w:val="0"/>
          <w:numId w:val="4"/>
        </w:numPr>
        <w:adjustRightInd w:val="0"/>
        <w:snapToGrid w:val="0"/>
        <w:spacing w:line="360" w:lineRule="auto"/>
        <w:jc w:val="both"/>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气体报警控制器主机：12台，</w:t>
      </w:r>
      <w:r>
        <w:rPr>
          <w:rFonts w:hint="eastAsia" w:ascii="仿宋" w:hAnsi="仿宋" w:eastAsia="仿宋" w:cs="仿宋"/>
          <w:b/>
          <w:bCs/>
          <w:i w:val="0"/>
          <w:iCs w:val="0"/>
          <w:color w:val="auto"/>
          <w:kern w:val="0"/>
          <w:sz w:val="24"/>
          <w:szCs w:val="24"/>
          <w:highlight w:val="none"/>
          <w:u w:val="none"/>
          <w:lang w:val="en-US" w:eastAsia="zh-CN" w:bidi="ar"/>
        </w:rPr>
        <w:t>可燃气体探测器：112个，联动控制箱：65台，阻燃电线500米，固定支架、防爆软管、接地辅材112</w:t>
      </w:r>
      <w:r>
        <w:rPr>
          <w:rFonts w:hint="default" w:ascii="仿宋" w:hAnsi="仿宋" w:eastAsia="仿宋" w:cs="仿宋"/>
          <w:b/>
          <w:bCs/>
          <w:i w:val="0"/>
          <w:iCs w:val="0"/>
          <w:color w:val="auto"/>
          <w:kern w:val="0"/>
          <w:sz w:val="24"/>
          <w:szCs w:val="24"/>
          <w:highlight w:val="none"/>
          <w:u w:val="none"/>
          <w:lang w:eastAsia="zh-CN" w:bidi="ar"/>
        </w:rPr>
        <w:t>套</w:t>
      </w:r>
      <w:r>
        <w:rPr>
          <w:rFonts w:hint="eastAsia" w:ascii="仿宋" w:hAnsi="仿宋" w:eastAsia="仿宋" w:cs="仿宋"/>
          <w:b/>
          <w:bCs/>
          <w:i w:val="0"/>
          <w:iCs w:val="0"/>
          <w:color w:val="auto"/>
          <w:kern w:val="0"/>
          <w:sz w:val="24"/>
          <w:szCs w:val="24"/>
          <w:highlight w:val="none"/>
          <w:u w:val="none"/>
          <w:lang w:val="en-US" w:eastAsia="zh-CN" w:bidi="ar"/>
        </w:rPr>
        <w:t>.</w:t>
      </w:r>
    </w:p>
    <w:p w14:paraId="7422738E">
      <w:pPr>
        <w:numPr>
          <w:ilvl w:val="0"/>
          <w:numId w:val="4"/>
        </w:numPr>
        <w:adjustRightInd w:val="0"/>
        <w:snapToGrid w:val="0"/>
        <w:spacing w:line="360" w:lineRule="auto"/>
        <w:jc w:val="both"/>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质保期：</w:t>
      </w:r>
      <w:r>
        <w:rPr>
          <w:rFonts w:hint="eastAsia" w:ascii="仿宋" w:hAnsi="仿宋" w:eastAsia="仿宋" w:cs="仿宋"/>
          <w:b/>
          <w:bCs/>
          <w:color w:val="auto"/>
          <w:sz w:val="24"/>
          <w:szCs w:val="24"/>
          <w:highlight w:val="none"/>
          <w:lang w:val="en-US" w:eastAsia="zh-CN"/>
        </w:rPr>
        <w:t>3年</w:t>
      </w:r>
    </w:p>
    <w:p w14:paraId="1FB385F4">
      <w:pPr>
        <w:numPr>
          <w:ilvl w:val="0"/>
          <w:numId w:val="4"/>
        </w:numPr>
        <w:adjustRightInd w:val="0"/>
        <w:snapToGrid w:val="0"/>
        <w:spacing w:line="360" w:lineRule="auto"/>
        <w:jc w:val="both"/>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安装期限：</w:t>
      </w:r>
      <w:r>
        <w:rPr>
          <w:rFonts w:hint="eastAsia" w:ascii="仿宋" w:hAnsi="仿宋" w:eastAsia="仿宋" w:cs="仿宋"/>
          <w:b/>
          <w:bCs/>
          <w:color w:val="auto"/>
          <w:sz w:val="24"/>
          <w:szCs w:val="24"/>
          <w:highlight w:val="none"/>
          <w:lang w:val="en-US" w:eastAsia="zh-CN"/>
        </w:rPr>
        <w:t>15天</w:t>
      </w:r>
    </w:p>
    <w:p w14:paraId="22505DB1">
      <w:pPr>
        <w:numPr>
          <w:ilvl w:val="0"/>
          <w:numId w:val="4"/>
        </w:numPr>
        <w:adjustRightInd w:val="0"/>
        <w:snapToGrid w:val="0"/>
        <w:spacing w:line="360" w:lineRule="auto"/>
        <w:ind w:left="0" w:leftChars="0" w:firstLine="0" w:firstLineChars="0"/>
        <w:jc w:val="both"/>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其它要求：按照采购人要求运送并安装至采购人指定地点，且通过采购人验收。</w:t>
      </w:r>
    </w:p>
    <w:p w14:paraId="2811933B">
      <w:pPr>
        <w:numPr>
          <w:ilvl w:val="0"/>
          <w:numId w:val="4"/>
        </w:numPr>
        <w:adjustRightInd w:val="0"/>
        <w:snapToGrid w:val="0"/>
        <w:spacing w:line="360" w:lineRule="auto"/>
        <w:ind w:left="0" w:leftChars="0" w:firstLine="0" w:firstLineChars="0"/>
        <w:jc w:val="both"/>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气体报警控制器主机</w:t>
      </w:r>
      <w:r>
        <w:rPr>
          <w:rFonts w:hint="eastAsia" w:ascii="仿宋" w:hAnsi="仿宋" w:eastAsia="仿宋" w:cs="仿宋"/>
          <w:b/>
          <w:bCs/>
          <w:i w:val="0"/>
          <w:iCs w:val="0"/>
          <w:color w:val="auto"/>
          <w:kern w:val="0"/>
          <w:sz w:val="24"/>
          <w:szCs w:val="24"/>
          <w:highlight w:val="none"/>
          <w:u w:val="none"/>
          <w:lang w:val="en-US" w:eastAsia="zh-CN" w:bidi="ar"/>
        </w:rPr>
        <w:t>可燃气体探测器联动控制箱</w:t>
      </w:r>
      <w:r>
        <w:rPr>
          <w:rFonts w:hint="eastAsia" w:ascii="仿宋" w:hAnsi="仿宋" w:eastAsia="仿宋" w:cs="仿宋"/>
          <w:b/>
          <w:bCs/>
          <w:color w:val="auto"/>
          <w:sz w:val="24"/>
          <w:szCs w:val="24"/>
          <w:highlight w:val="none"/>
          <w:lang w:val="en-US" w:eastAsia="zh-CN"/>
        </w:rPr>
        <w:t>设备出场日期：必须2026年6月后出场。</w:t>
      </w:r>
    </w:p>
    <w:p w14:paraId="18A1195B">
      <w:pPr>
        <w:numPr>
          <w:ilvl w:val="0"/>
          <w:numId w:val="4"/>
        </w:numPr>
        <w:adjustRightInd w:val="0"/>
        <w:snapToGrid w:val="0"/>
        <w:spacing w:line="360" w:lineRule="auto"/>
        <w:ind w:left="0" w:leftChars="0" w:firstLine="0" w:firstLineChars="0"/>
        <w:jc w:val="both"/>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拆除旧设备安装新设备。</w:t>
      </w:r>
    </w:p>
    <w:p w14:paraId="66D8C313">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lang w:val="zh-CN"/>
        </w:rPr>
      </w:pPr>
      <w:bookmarkStart w:id="62" w:name="_Toc22316"/>
      <w:bookmarkStart w:id="63" w:name="_Toc14754"/>
      <w:bookmarkStart w:id="64" w:name="_Toc11951"/>
      <w:bookmarkStart w:id="65" w:name="_Toc45033360"/>
      <w:bookmarkStart w:id="66" w:name="_Toc15925"/>
      <w:bookmarkStart w:id="67" w:name="_Toc6866"/>
      <w:bookmarkStart w:id="68" w:name="_Toc22502"/>
      <w:bookmarkStart w:id="69" w:name="_Toc20388"/>
      <w:bookmarkStart w:id="70" w:name="_Toc5391"/>
      <w:bookmarkStart w:id="71" w:name="_Toc18729"/>
      <w:bookmarkStart w:id="72" w:name="_Toc5720"/>
      <w:r>
        <w:rPr>
          <w:rFonts w:hint="eastAsia" w:ascii="仿宋" w:hAnsi="仿宋" w:eastAsia="仿宋" w:cs="仿宋"/>
          <w:b/>
          <w:bCs/>
          <w:sz w:val="32"/>
          <w:szCs w:val="32"/>
          <w:highlight w:val="none"/>
          <w:lang w:val="zh-CN"/>
        </w:rPr>
        <w:t>第五章 合同条款</w:t>
      </w:r>
      <w:bookmarkEnd w:id="62"/>
      <w:bookmarkEnd w:id="63"/>
      <w:bookmarkEnd w:id="64"/>
      <w:bookmarkEnd w:id="65"/>
      <w:bookmarkEnd w:id="66"/>
      <w:bookmarkEnd w:id="67"/>
      <w:bookmarkEnd w:id="68"/>
      <w:bookmarkEnd w:id="69"/>
      <w:bookmarkEnd w:id="70"/>
      <w:bookmarkEnd w:id="71"/>
      <w:bookmarkEnd w:id="72"/>
    </w:p>
    <w:p w14:paraId="036E5986">
      <w:pPr>
        <w:autoSpaceDE/>
        <w:autoSpaceDN/>
        <w:adjustRightInd/>
        <w:spacing w:line="360" w:lineRule="auto"/>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（本合同仅供参考，具体以实际签订的为准）</w:t>
      </w:r>
    </w:p>
    <w:p w14:paraId="6440E728">
      <w:pPr>
        <w:pStyle w:val="7"/>
        <w:jc w:val="center"/>
        <w:rPr>
          <w:rFonts w:hint="eastAsia" w:ascii="仿宋" w:hAnsi="仿宋" w:eastAsia="仿宋" w:cs="仿宋"/>
          <w:b/>
          <w:bCs/>
          <w:spacing w:val="-20"/>
          <w:kern w:val="44"/>
          <w:sz w:val="32"/>
          <w:szCs w:val="32"/>
          <w:highlight w:val="none"/>
        </w:rPr>
      </w:pPr>
    </w:p>
    <w:p w14:paraId="6DD57F60">
      <w:pPr>
        <w:pStyle w:val="7"/>
        <w:jc w:val="center"/>
        <w:rPr>
          <w:rFonts w:hint="eastAsia" w:ascii="仿宋" w:hAnsi="仿宋" w:eastAsia="仿宋" w:cs="仿宋"/>
          <w:b/>
          <w:bCs/>
          <w:spacing w:val="-20"/>
          <w:kern w:val="44"/>
          <w:sz w:val="32"/>
          <w:szCs w:val="32"/>
          <w:highlight w:val="none"/>
        </w:rPr>
      </w:pPr>
    </w:p>
    <w:p w14:paraId="04738514">
      <w:pPr>
        <w:pStyle w:val="7"/>
        <w:jc w:val="center"/>
        <w:rPr>
          <w:rFonts w:hint="eastAsia" w:ascii="仿宋" w:hAnsi="仿宋" w:eastAsia="仿宋" w:cs="仿宋"/>
          <w:b/>
          <w:bCs/>
          <w:spacing w:val="-20"/>
          <w:kern w:val="44"/>
          <w:sz w:val="32"/>
          <w:szCs w:val="32"/>
          <w:highlight w:val="none"/>
        </w:rPr>
      </w:pPr>
    </w:p>
    <w:p w14:paraId="12AF92DD">
      <w:pPr>
        <w:pStyle w:val="7"/>
        <w:jc w:val="center"/>
        <w:rPr>
          <w:rFonts w:hint="eastAsia" w:ascii="仿宋" w:hAnsi="仿宋" w:eastAsia="仿宋" w:cs="仿宋"/>
          <w:b/>
          <w:bCs/>
          <w:spacing w:val="-20"/>
          <w:kern w:val="44"/>
          <w:sz w:val="32"/>
          <w:szCs w:val="32"/>
          <w:highlight w:val="none"/>
        </w:rPr>
      </w:pPr>
    </w:p>
    <w:p w14:paraId="33ED032A">
      <w:pPr>
        <w:pStyle w:val="7"/>
        <w:jc w:val="center"/>
        <w:rPr>
          <w:rFonts w:hint="eastAsia" w:ascii="仿宋" w:hAnsi="仿宋" w:eastAsia="仿宋" w:cs="仿宋"/>
          <w:b/>
          <w:bCs/>
          <w:spacing w:val="-20"/>
          <w:kern w:val="44"/>
          <w:sz w:val="32"/>
          <w:szCs w:val="32"/>
          <w:highlight w:val="none"/>
        </w:rPr>
      </w:pPr>
      <w:r>
        <w:rPr>
          <w:rFonts w:hint="eastAsia" w:ascii="仿宋" w:hAnsi="仿宋" w:eastAsia="仿宋" w:cs="仿宋"/>
          <w:b/>
          <w:bCs/>
          <w:spacing w:val="-20"/>
          <w:kern w:val="44"/>
          <w:sz w:val="32"/>
          <w:szCs w:val="32"/>
          <w:highlight w:val="none"/>
        </w:rPr>
        <w:t>政府采购货物买卖合同</w:t>
      </w:r>
    </w:p>
    <w:p w14:paraId="3205B69A">
      <w:pPr>
        <w:pStyle w:val="7"/>
        <w:jc w:val="center"/>
        <w:rPr>
          <w:rFonts w:hint="eastAsia" w:ascii="仿宋" w:hAnsi="仿宋" w:eastAsia="仿宋" w:cs="仿宋"/>
          <w:b/>
          <w:bCs/>
          <w:spacing w:val="-20"/>
          <w:kern w:val="44"/>
          <w:sz w:val="48"/>
          <w:szCs w:val="48"/>
          <w:highlight w:val="none"/>
        </w:rPr>
      </w:pPr>
    </w:p>
    <w:p w14:paraId="6B5D6CCD">
      <w:pPr>
        <w:rPr>
          <w:rFonts w:hint="eastAsia" w:ascii="仿宋" w:hAnsi="仿宋" w:eastAsia="仿宋" w:cs="仿宋"/>
          <w:b/>
          <w:bCs/>
          <w:spacing w:val="-20"/>
          <w:kern w:val="44"/>
          <w:sz w:val="40"/>
          <w:szCs w:val="40"/>
          <w:highlight w:val="none"/>
        </w:rPr>
      </w:pPr>
    </w:p>
    <w:p w14:paraId="38184A38">
      <w:pPr>
        <w:rPr>
          <w:rFonts w:hint="eastAsia" w:ascii="仿宋" w:hAnsi="仿宋" w:eastAsia="仿宋" w:cs="仿宋"/>
          <w:b/>
          <w:bCs/>
          <w:spacing w:val="-20"/>
          <w:kern w:val="44"/>
          <w:sz w:val="40"/>
          <w:szCs w:val="40"/>
          <w:highlight w:val="none"/>
        </w:rPr>
      </w:pPr>
    </w:p>
    <w:p w14:paraId="51AF5F77">
      <w:pPr>
        <w:rPr>
          <w:rFonts w:hint="eastAsia" w:ascii="仿宋" w:hAnsi="仿宋" w:eastAsia="仿宋" w:cs="仿宋"/>
          <w:b/>
          <w:bCs/>
          <w:spacing w:val="-20"/>
          <w:kern w:val="44"/>
          <w:sz w:val="40"/>
          <w:szCs w:val="40"/>
          <w:highlight w:val="none"/>
        </w:rPr>
      </w:pPr>
    </w:p>
    <w:p w14:paraId="2E2572EA">
      <w:pPr>
        <w:spacing w:line="360" w:lineRule="auto"/>
        <w:ind w:left="480" w:left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项目名称：</w:t>
      </w:r>
      <w:r>
        <w:rPr>
          <w:rFonts w:hint="eastAsia" w:ascii="仿宋" w:hAnsi="仿宋" w:eastAsia="仿宋" w:cs="仿宋"/>
          <w:sz w:val="24"/>
          <w:szCs w:val="24"/>
          <w:highlight w:val="none"/>
          <w:u w:val="single"/>
        </w:rPr>
        <w:t xml:space="preserve">                             </w:t>
      </w:r>
    </w:p>
    <w:p w14:paraId="62AACA84">
      <w:pPr>
        <w:spacing w:line="360" w:lineRule="auto"/>
        <w:ind w:left="480" w:left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合同编号：</w:t>
      </w:r>
      <w:r>
        <w:rPr>
          <w:rFonts w:hint="eastAsia" w:ascii="仿宋" w:hAnsi="仿宋" w:eastAsia="仿宋" w:cs="仿宋"/>
          <w:sz w:val="24"/>
          <w:szCs w:val="24"/>
          <w:highlight w:val="none"/>
          <w:u w:val="single"/>
        </w:rPr>
        <w:t xml:space="preserve">                             </w:t>
      </w:r>
    </w:p>
    <w:p w14:paraId="674C65AA">
      <w:pPr>
        <w:spacing w:line="360" w:lineRule="auto"/>
        <w:ind w:left="480" w:leftChars="200"/>
        <w:rPr>
          <w:rFonts w:hint="eastAsia" w:ascii="仿宋" w:hAnsi="仿宋" w:eastAsia="仿宋" w:cs="仿宋"/>
          <w:sz w:val="24"/>
          <w:szCs w:val="24"/>
          <w:highlight w:val="none"/>
        </w:rPr>
      </w:pPr>
      <w:r>
        <w:rPr>
          <w:rFonts w:hint="eastAsia" w:ascii="仿宋" w:hAnsi="仿宋" w:eastAsia="仿宋" w:cs="仿宋"/>
          <w:sz w:val="24"/>
          <w:szCs w:val="24"/>
          <w:highlight w:val="none"/>
        </w:rPr>
        <w:t>甲    方：</w:t>
      </w:r>
      <w:r>
        <w:rPr>
          <w:rFonts w:hint="eastAsia" w:ascii="仿宋" w:hAnsi="仿宋" w:eastAsia="仿宋" w:cs="仿宋"/>
          <w:sz w:val="24"/>
          <w:szCs w:val="24"/>
          <w:highlight w:val="none"/>
          <w:u w:val="single"/>
        </w:rPr>
        <w:t xml:space="preserve">                             </w:t>
      </w:r>
    </w:p>
    <w:p w14:paraId="4969A9D7">
      <w:pPr>
        <w:spacing w:line="360" w:lineRule="auto"/>
        <w:ind w:left="480" w:left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    方：</w:t>
      </w:r>
      <w:r>
        <w:rPr>
          <w:rFonts w:hint="eastAsia" w:ascii="仿宋" w:hAnsi="仿宋" w:eastAsia="仿宋" w:cs="仿宋"/>
          <w:sz w:val="24"/>
          <w:szCs w:val="24"/>
          <w:highlight w:val="none"/>
          <w:u w:val="single"/>
        </w:rPr>
        <w:t xml:space="preserve">                             </w:t>
      </w:r>
    </w:p>
    <w:p w14:paraId="1A33DE24">
      <w:pPr>
        <w:spacing w:line="360" w:lineRule="auto"/>
        <w:ind w:left="480" w:leftChars="200"/>
        <w:rPr>
          <w:rFonts w:hint="eastAsia" w:ascii="仿宋" w:hAnsi="仿宋" w:eastAsia="仿宋" w:cs="仿宋"/>
          <w:sz w:val="24"/>
          <w:szCs w:val="24"/>
          <w:highlight w:val="none"/>
        </w:rPr>
      </w:pPr>
      <w:r>
        <w:rPr>
          <w:rFonts w:hint="eastAsia" w:ascii="仿宋" w:hAnsi="仿宋" w:eastAsia="仿宋" w:cs="仿宋"/>
          <w:sz w:val="24"/>
          <w:szCs w:val="24"/>
          <w:highlight w:val="none"/>
        </w:rPr>
        <w:t>签订时间：</w:t>
      </w:r>
      <w:r>
        <w:rPr>
          <w:rFonts w:hint="eastAsia" w:ascii="仿宋" w:hAnsi="仿宋" w:eastAsia="仿宋" w:cs="仿宋"/>
          <w:sz w:val="24"/>
          <w:szCs w:val="24"/>
          <w:highlight w:val="none"/>
          <w:u w:val="single"/>
        </w:rPr>
        <w:t xml:space="preserve">                             </w:t>
      </w:r>
    </w:p>
    <w:p w14:paraId="7084ECE2">
      <w:pPr>
        <w:rPr>
          <w:rFonts w:hint="eastAsia" w:ascii="仿宋" w:hAnsi="仿宋" w:eastAsia="仿宋" w:cs="仿宋"/>
          <w:sz w:val="24"/>
          <w:szCs w:val="24"/>
          <w:highlight w:val="none"/>
        </w:rPr>
      </w:pPr>
    </w:p>
    <w:p w14:paraId="61D8DF9F">
      <w:pPr>
        <w:jc w:val="center"/>
        <w:rPr>
          <w:rFonts w:hint="eastAsia" w:ascii="仿宋" w:hAnsi="仿宋" w:eastAsia="仿宋" w:cs="仿宋"/>
          <w:sz w:val="28"/>
          <w:szCs w:val="28"/>
          <w:highlight w:val="none"/>
        </w:rPr>
      </w:pPr>
      <w:r>
        <w:rPr>
          <w:rFonts w:hint="eastAsia" w:ascii="仿宋" w:hAnsi="仿宋" w:eastAsia="仿宋" w:cs="仿宋"/>
          <w:sz w:val="44"/>
          <w:szCs w:val="44"/>
          <w:highlight w:val="none"/>
        </w:rPr>
        <w:br w:type="page"/>
      </w:r>
      <w:r>
        <w:rPr>
          <w:rFonts w:hint="eastAsia" w:ascii="仿宋" w:hAnsi="仿宋" w:eastAsia="仿宋" w:cs="仿宋"/>
          <w:sz w:val="28"/>
          <w:szCs w:val="28"/>
          <w:highlight w:val="none"/>
        </w:rPr>
        <w:t>使 用 说 明</w:t>
      </w:r>
    </w:p>
    <w:p w14:paraId="5393E11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1.本合同标准文本适用于购买现成货物的采购项目，不包括需要供应商定制开发、创新研发的货物采购项目。</w:t>
      </w:r>
    </w:p>
    <w:p w14:paraId="3BC5042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2.本合同标准文本为政府采购货物买卖合同编制提供参考，可以结合采购项目具体情况，对文本作必要的调整修订后使用。</w:t>
      </w:r>
    </w:p>
    <w:p w14:paraId="57886B7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3.本合同标准文本各条款中，如涉及填写多家供应商、制造商，多种采购标的、分包主要内容等信息的，可根据采购项目具体情况添加信息项。</w:t>
      </w:r>
    </w:p>
    <w:p w14:paraId="71BEFC9C">
      <w:pPr>
        <w:ind w:firstLine="480" w:firstLineChars="200"/>
        <w:rPr>
          <w:rFonts w:hint="eastAsia" w:ascii="仿宋" w:hAnsi="仿宋" w:eastAsia="仿宋" w:cs="仿宋"/>
          <w:sz w:val="24"/>
          <w:szCs w:val="24"/>
          <w:highlight w:val="none"/>
        </w:rPr>
        <w:sectPr>
          <w:headerReference r:id="rId10" w:type="default"/>
          <w:footerReference r:id="rId11" w:type="default"/>
          <w:pgSz w:w="11906" w:h="16838"/>
          <w:pgMar w:top="1440" w:right="1800" w:bottom="1440" w:left="1800" w:header="851" w:footer="992" w:gutter="0"/>
          <w:pgNumType w:fmt="decimal"/>
          <w:cols w:space="720" w:num="1"/>
          <w:docGrid w:type="lines" w:linePitch="312" w:charSpace="0"/>
        </w:sectPr>
      </w:pPr>
    </w:p>
    <w:p w14:paraId="7C0107B1">
      <w:pPr>
        <w:pStyle w:val="3"/>
        <w:tabs>
          <w:tab w:val="left" w:pos="0"/>
          <w:tab w:val="left" w:pos="420"/>
          <w:tab w:val="left" w:pos="1152"/>
        </w:tabs>
        <w:adjustRightInd w:val="0"/>
        <w:snapToGrid w:val="0"/>
        <w:spacing w:line="400" w:lineRule="exact"/>
        <w:jc w:val="center"/>
        <w:rPr>
          <w:rFonts w:hint="eastAsia" w:ascii="仿宋" w:hAnsi="仿宋" w:eastAsia="仿宋" w:cs="仿宋"/>
          <w:b w:val="0"/>
          <w:sz w:val="28"/>
          <w:szCs w:val="28"/>
          <w:highlight w:val="none"/>
        </w:rPr>
      </w:pPr>
      <w:bookmarkStart w:id="73" w:name="_Toc22209"/>
      <w:bookmarkStart w:id="74" w:name="_Toc28872"/>
      <w:r>
        <w:rPr>
          <w:rFonts w:hint="eastAsia" w:ascii="仿宋" w:hAnsi="仿宋" w:eastAsia="仿宋" w:cs="仿宋"/>
          <w:b w:val="0"/>
          <w:sz w:val="28"/>
          <w:szCs w:val="28"/>
          <w:highlight w:val="none"/>
        </w:rPr>
        <w:t>第一节 政府采购合同协议书</w:t>
      </w:r>
      <w:bookmarkEnd w:id="73"/>
      <w:bookmarkEnd w:id="74"/>
    </w:p>
    <w:p w14:paraId="62D58191">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甲方（全称）：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（采购人、受采购人委托签订合同的单位或采购</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文件约定的合同甲方）</w:t>
      </w:r>
    </w:p>
    <w:p w14:paraId="7540EB61">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乙方（全称）：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w:t>
      </w:r>
    </w:p>
    <w:p w14:paraId="1D62C36F">
      <w:pPr>
        <w:pStyle w:val="8"/>
        <w:adjustRightInd w:val="0"/>
        <w:snapToGrid w:val="0"/>
        <w:spacing w:line="400" w:lineRule="exact"/>
        <w:ind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B3364F2">
      <w:pPr>
        <w:numPr>
          <w:ilvl w:val="0"/>
          <w:numId w:val="5"/>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项目信息</w:t>
      </w:r>
    </w:p>
    <w:p w14:paraId="5320606D">
      <w:pPr>
        <w:pStyle w:val="8"/>
        <w:numPr>
          <w:ilvl w:val="0"/>
          <w:numId w:val="6"/>
        </w:numPr>
        <w:adjustRightInd w:val="0"/>
        <w:snapToGrid w:val="0"/>
        <w:spacing w:line="400" w:lineRule="exact"/>
        <w:ind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采购项目名称：</w:t>
      </w:r>
      <w:r>
        <w:rPr>
          <w:rFonts w:hint="eastAsia" w:ascii="仿宋" w:hAnsi="仿宋" w:eastAsia="仿宋" w:cs="仿宋"/>
          <w:sz w:val="24"/>
          <w:szCs w:val="24"/>
          <w:highlight w:val="none"/>
          <w:u w:val="single"/>
        </w:rPr>
        <w:t xml:space="preserve">                                          </w:t>
      </w:r>
    </w:p>
    <w:p w14:paraId="01C184A9">
      <w:pPr>
        <w:pStyle w:val="8"/>
        <w:tabs>
          <w:tab w:val="left" w:pos="999"/>
        </w:tabs>
        <w:adjustRightInd w:val="0"/>
        <w:snapToGrid w:val="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采购项目编号：</w:t>
      </w:r>
      <w:r>
        <w:rPr>
          <w:rFonts w:hint="eastAsia" w:ascii="仿宋" w:hAnsi="仿宋" w:eastAsia="仿宋" w:cs="仿宋"/>
          <w:sz w:val="24"/>
          <w:szCs w:val="24"/>
          <w:highlight w:val="none"/>
          <w:u w:val="single"/>
        </w:rPr>
        <w:t xml:space="preserve">                                          </w:t>
      </w:r>
    </w:p>
    <w:p w14:paraId="131486DA">
      <w:pPr>
        <w:pStyle w:val="8"/>
        <w:adjustRightInd w:val="0"/>
        <w:snapToGrid w:val="0"/>
        <w:spacing w:line="400" w:lineRule="exact"/>
        <w:ind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（2）采购计划编号：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3387423">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（3）项目内容：</w:t>
      </w:r>
    </w:p>
    <w:p w14:paraId="0C6986F5">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采购标的及数量（台/套</w:t>
      </w:r>
      <w:r>
        <w:rPr>
          <w:rFonts w:hint="eastAsia" w:ascii="仿宋" w:hAnsi="仿宋" w:eastAsia="仿宋" w:cs="仿宋"/>
          <w:sz w:val="24"/>
          <w:szCs w:val="24"/>
          <w:highlight w:val="none"/>
          <w:lang w:val="en"/>
        </w:rPr>
        <w:t>/个/架/组等</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0C80F0A">
      <w:pPr>
        <w:adjustRightInd w:val="0"/>
        <w:snapToGrid w:val="0"/>
        <w:spacing w:line="400" w:lineRule="exact"/>
        <w:ind w:firstLine="480" w:firstLineChars="200"/>
        <w:rPr>
          <w:rFonts w:hint="eastAsia" w:ascii="仿宋" w:hAnsi="仿宋" w:eastAsia="仿宋" w:cs="仿宋"/>
          <w:sz w:val="24"/>
          <w:szCs w:val="24"/>
          <w:highlight w:val="none"/>
          <w:lang w:val="en"/>
        </w:rPr>
      </w:pP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en"/>
        </w:rPr>
        <w:t xml:space="preserve">     </w:t>
      </w:r>
      <w:r>
        <w:rPr>
          <w:rFonts w:hint="eastAsia" w:ascii="仿宋" w:hAnsi="仿宋" w:eastAsia="仿宋" w:cs="仿宋"/>
          <w:sz w:val="24"/>
          <w:szCs w:val="24"/>
          <w:highlight w:val="none"/>
        </w:rPr>
        <w:t>规格型号：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
        </w:rPr>
        <w:t xml:space="preserve">   </w:t>
      </w:r>
    </w:p>
    <w:p w14:paraId="302BC2B7">
      <w:pPr>
        <w:adjustRightInd w:val="0"/>
        <w:snapToGrid w:val="0"/>
        <w:spacing w:line="400" w:lineRule="exact"/>
        <w:ind w:firstLine="1080" w:firstLineChars="45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采购标的的技术要求、商务要求具体见附件。</w:t>
      </w:r>
    </w:p>
    <w:p w14:paraId="2D640A5A">
      <w:pPr>
        <w:adjustRightInd w:val="0"/>
        <w:snapToGrid w:val="0"/>
        <w:spacing w:line="400" w:lineRule="exact"/>
        <w:ind w:firstLine="1080" w:firstLineChars="450"/>
        <w:rPr>
          <w:rFonts w:hint="eastAsia" w:ascii="仿宋" w:hAnsi="仿宋" w:eastAsia="仿宋" w:cs="仿宋"/>
          <w:sz w:val="24"/>
          <w:szCs w:val="24"/>
          <w:highlight w:val="none"/>
        </w:rPr>
      </w:pPr>
      <w:r>
        <w:rPr>
          <w:rFonts w:hint="eastAsia" w:ascii="仿宋" w:hAnsi="仿宋" w:eastAsia="仿宋" w:cs="仿宋"/>
          <w:sz w:val="24"/>
          <w:szCs w:val="24"/>
          <w:highlight w:val="none"/>
        </w:rPr>
        <w:t>①涉及信息类产品，请填写该产品关键部件的品牌、型号：</w:t>
      </w:r>
    </w:p>
    <w:p w14:paraId="10546085">
      <w:pPr>
        <w:adjustRightInd w:val="0"/>
        <w:snapToGrid w:val="0"/>
        <w:spacing w:line="400" w:lineRule="exact"/>
        <w:ind w:firstLine="480" w:firstLineChars="200"/>
        <w:rPr>
          <w:rFonts w:hint="eastAsia" w:ascii="仿宋" w:hAnsi="仿宋" w:eastAsia="仿宋" w:cs="仿宋"/>
          <w:kern w:val="0"/>
          <w:sz w:val="24"/>
          <w:szCs w:val="24"/>
          <w:highlight w:val="none"/>
          <w:u w:val="single"/>
        </w:rPr>
      </w:pPr>
      <w:r>
        <w:rPr>
          <w:rFonts w:hint="eastAsia" w:ascii="仿宋" w:hAnsi="仿宋" w:eastAsia="仿宋" w:cs="仿宋"/>
          <w:sz w:val="24"/>
          <w:szCs w:val="24"/>
          <w:highlight w:val="none"/>
        </w:rPr>
        <w:t xml:space="preserve">     标的名称：</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
        </w:rPr>
        <w:t xml:space="preserve">               </w:t>
      </w:r>
      <w:r>
        <w:rPr>
          <w:rFonts w:hint="eastAsia" w:ascii="仿宋" w:hAnsi="仿宋" w:eastAsia="仿宋" w:cs="仿宋"/>
          <w:kern w:val="0"/>
          <w:sz w:val="24"/>
          <w:szCs w:val="24"/>
          <w:highlight w:val="none"/>
          <w:u w:val="single"/>
        </w:rPr>
        <w:t xml:space="preserve">    </w:t>
      </w:r>
    </w:p>
    <w:p w14:paraId="7DE33CCC">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关键部件：</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 xml:space="preserve"> </w:t>
      </w:r>
      <w:r>
        <w:rPr>
          <w:rFonts w:hint="eastAsia" w:ascii="仿宋" w:hAnsi="仿宋" w:eastAsia="仿宋" w:cs="仿宋"/>
          <w:sz w:val="24"/>
          <w:szCs w:val="24"/>
          <w:highlight w:val="none"/>
        </w:rPr>
        <w:t>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9AD20BA">
      <w:pPr>
        <w:pStyle w:val="63"/>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2"/>
          <w:sz w:val="24"/>
          <w:szCs w:val="24"/>
          <w:highlight w:val="none"/>
        </w:rPr>
        <w:t>关键部件</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1D64E437">
      <w:pPr>
        <w:pStyle w:val="63"/>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p>
    <w:p w14:paraId="75E0A72C">
      <w:pPr>
        <w:pStyle w:val="63"/>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11203BD6">
      <w:pPr>
        <w:pStyle w:val="63"/>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②涉及车辆采购，请填写是否属于新能源汽车：</w:t>
      </w:r>
    </w:p>
    <w:p w14:paraId="30BC4F77">
      <w:pPr>
        <w:pStyle w:val="63"/>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是，《政府采购品目分类目录》底级品目名称：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数量：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50C79035">
      <w:pPr>
        <w:pStyle w:val="63"/>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78E27F4C">
      <w:pPr>
        <w:pStyle w:val="63"/>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
        </w:rPr>
        <w:t>4</w:t>
      </w:r>
      <w:r>
        <w:rPr>
          <w:rFonts w:hint="eastAsia" w:ascii="仿宋" w:hAnsi="仿宋" w:eastAsia="仿宋" w:cs="仿宋"/>
          <w:sz w:val="24"/>
          <w:szCs w:val="24"/>
          <w:highlight w:val="none"/>
        </w:rPr>
        <w:t>）政府采购组织形式：</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政府集中采购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部门集中采购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分散采购</w:t>
      </w:r>
    </w:p>
    <w:p w14:paraId="01CE0EBA">
      <w:pPr>
        <w:pStyle w:val="63"/>
        <w:snapToGrid w:val="0"/>
        <w:ind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
        </w:rPr>
        <w:t>5</w:t>
      </w:r>
      <w:r>
        <w:rPr>
          <w:rFonts w:hint="eastAsia" w:ascii="仿宋" w:hAnsi="仿宋" w:eastAsia="仿宋" w:cs="仿宋"/>
          <w:sz w:val="24"/>
          <w:szCs w:val="24"/>
          <w:highlight w:val="none"/>
        </w:rPr>
        <w:t>）政府采购方式：</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公开招标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邀请招标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竞争性谈判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竞争性磋商</w:t>
      </w:r>
    </w:p>
    <w:p w14:paraId="37E7DDED">
      <w:pPr>
        <w:pStyle w:val="63"/>
        <w:snapToGrid w:val="0"/>
        <w:ind w:firstLine="420" w:firstLineChars="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询价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单一来源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框架协议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其他：</w:t>
      </w:r>
      <w:r>
        <w:rPr>
          <w:rFonts w:hint="eastAsia" w:ascii="仿宋" w:hAnsi="仿宋" w:eastAsia="仿宋" w:cs="仿宋"/>
          <w:sz w:val="24"/>
          <w:szCs w:val="24"/>
          <w:highlight w:val="none"/>
          <w:u w:val="single"/>
        </w:rPr>
        <w:t xml:space="preserve">          </w:t>
      </w:r>
    </w:p>
    <w:p w14:paraId="1C0795A0">
      <w:pPr>
        <w:pStyle w:val="63"/>
        <w:snapToGrid w:val="0"/>
        <w:ind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（注：在框架协议采购的第二阶段，可选择使用该合同文本）</w:t>
      </w:r>
    </w:p>
    <w:p w14:paraId="5372888B">
      <w:pPr>
        <w:pStyle w:val="63"/>
        <w:snapToGrid w:val="0"/>
        <w:ind w:firstLine="240" w:firstLineChars="100"/>
        <w:rPr>
          <w:rFonts w:hint="eastAsia" w:ascii="仿宋" w:hAnsi="仿宋" w:eastAsia="仿宋" w:cs="仿宋"/>
          <w:kern w:val="2"/>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
        </w:rPr>
        <w:t>6</w:t>
      </w:r>
      <w:r>
        <w:rPr>
          <w:rFonts w:hint="eastAsia" w:ascii="仿宋" w:hAnsi="仿宋" w:eastAsia="仿宋" w:cs="仿宋"/>
          <w:sz w:val="24"/>
          <w:szCs w:val="24"/>
          <w:highlight w:val="none"/>
        </w:rPr>
        <w:t>）</w:t>
      </w:r>
      <w:r>
        <w:rPr>
          <w:rFonts w:hint="eastAsia" w:ascii="仿宋" w:hAnsi="仿宋" w:eastAsia="仿宋" w:cs="仿宋"/>
          <w:kern w:val="2"/>
          <w:sz w:val="24"/>
          <w:szCs w:val="24"/>
          <w:highlight w:val="none"/>
        </w:rPr>
        <w:t>中标（成交）采购标的制造商是否为中小企业：</w:t>
      </w:r>
      <w:r>
        <w:rPr>
          <w:rFonts w:hint="eastAsia" w:ascii="仿宋" w:hAnsi="仿宋" w:eastAsia="仿宋" w:cs="仿宋"/>
          <w:kern w:val="2"/>
          <w:sz w:val="24"/>
          <w:szCs w:val="24"/>
          <w:highlight w:val="none"/>
        </w:rPr>
        <w:sym w:font="Wingdings" w:char="00A8"/>
      </w:r>
      <w:r>
        <w:rPr>
          <w:rFonts w:hint="eastAsia" w:ascii="仿宋" w:hAnsi="仿宋" w:eastAsia="仿宋" w:cs="仿宋"/>
          <w:kern w:val="2"/>
          <w:sz w:val="24"/>
          <w:szCs w:val="24"/>
          <w:highlight w:val="none"/>
        </w:rPr>
        <w:t xml:space="preserve">是      </w:t>
      </w:r>
      <w:r>
        <w:rPr>
          <w:rFonts w:hint="eastAsia" w:ascii="仿宋" w:hAnsi="仿宋" w:eastAsia="仿宋" w:cs="仿宋"/>
          <w:kern w:val="2"/>
          <w:sz w:val="24"/>
          <w:szCs w:val="24"/>
          <w:highlight w:val="none"/>
        </w:rPr>
        <w:sym w:font="Wingdings" w:char="00A8"/>
      </w:r>
      <w:r>
        <w:rPr>
          <w:rFonts w:hint="eastAsia" w:ascii="仿宋" w:hAnsi="仿宋" w:eastAsia="仿宋" w:cs="仿宋"/>
          <w:kern w:val="2"/>
          <w:sz w:val="24"/>
          <w:szCs w:val="24"/>
          <w:highlight w:val="none"/>
        </w:rPr>
        <w:t>否</w:t>
      </w:r>
    </w:p>
    <w:p w14:paraId="2529E4F5">
      <w:pPr>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本合同是否为专门面向中小企业的采购合同（中小企业预留合同）：</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40C62627">
      <w:pPr>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若本项目不专门面向中小企业采购，是否给予小微企业评审优惠：</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7AD13490">
      <w:pPr>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中标（成交）采购标的制造商是否为残疾人福利性单位：</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7A42E26D">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中标（成交）采购标的制造商是否为监狱企业：</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27B55621">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
        </w:rPr>
        <w:t>7</w:t>
      </w:r>
      <w:r>
        <w:rPr>
          <w:rFonts w:hint="eastAsia" w:ascii="仿宋" w:hAnsi="仿宋" w:eastAsia="仿宋" w:cs="仿宋"/>
          <w:sz w:val="24"/>
          <w:szCs w:val="24"/>
          <w:highlight w:val="none"/>
        </w:rPr>
        <w:t>）合同是否分包：</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0091217C">
      <w:pPr>
        <w:adjustRightInd w:val="0"/>
        <w:snapToGrid w:val="0"/>
        <w:spacing w:line="40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分包主要内容：</w:t>
      </w:r>
      <w:r>
        <w:rPr>
          <w:rFonts w:hint="eastAsia" w:ascii="仿宋" w:hAnsi="仿宋" w:eastAsia="仿宋" w:cs="仿宋"/>
          <w:sz w:val="24"/>
          <w:szCs w:val="24"/>
          <w:highlight w:val="none"/>
          <w:u w:val="single"/>
        </w:rPr>
        <w:t xml:space="preserve">                                            </w:t>
      </w:r>
    </w:p>
    <w:p w14:paraId="298920AA">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分包供应商/制造商名称（如供应商和制造商不同，请分别填写）：</w:t>
      </w:r>
    </w:p>
    <w:p w14:paraId="5EFBED35">
      <w:pPr>
        <w:adjustRightInd w:val="0"/>
        <w:snapToGrid w:val="0"/>
        <w:spacing w:line="40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p>
    <w:p w14:paraId="15A278FE">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分包供应商/制造商类型（如果供应商和制造商不同，只填写制造商类型）：</w:t>
      </w:r>
    </w:p>
    <w:p w14:paraId="45A10252">
      <w:pPr>
        <w:adjustRightInd w:val="0"/>
        <w:snapToGrid w:val="0"/>
        <w:spacing w:line="400" w:lineRule="exact"/>
        <w:ind w:firstLine="960" w:firstLineChars="400"/>
        <w:rPr>
          <w:rFonts w:hint="eastAsia" w:ascii="仿宋" w:hAnsi="仿宋" w:eastAsia="仿宋" w:cs="仿宋"/>
          <w:iCs/>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大型企业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中型企业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小微型企业  </w:t>
      </w:r>
    </w:p>
    <w:p w14:paraId="1C963722">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残疾人福利性单位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监狱企业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其他</w:t>
      </w:r>
    </w:p>
    <w:p w14:paraId="11F2CFE8">
      <w:pPr>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
        </w:rPr>
        <w:t>8</w:t>
      </w:r>
      <w:r>
        <w:rPr>
          <w:rFonts w:hint="eastAsia" w:ascii="仿宋" w:hAnsi="仿宋" w:eastAsia="仿宋" w:cs="仿宋"/>
          <w:sz w:val="24"/>
          <w:szCs w:val="24"/>
          <w:highlight w:val="none"/>
        </w:rPr>
        <w:t>）中标（成交）供应商是否为外商投资企业：</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23EB3199">
      <w:pPr>
        <w:pStyle w:val="63"/>
        <w:tabs>
          <w:tab w:val="left" w:pos="1340"/>
        </w:tabs>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外商投资企业类型：</w:t>
      </w:r>
      <w:r>
        <w:rPr>
          <w:rFonts w:hint="eastAsia" w:ascii="仿宋" w:hAnsi="仿宋" w:eastAsia="仿宋" w:cs="仿宋"/>
          <w:iCs/>
          <w:sz w:val="24"/>
          <w:szCs w:val="24"/>
          <w:highlight w:val="none"/>
        </w:rPr>
        <w:sym w:font="Wingdings" w:char="00A8"/>
      </w:r>
      <w:r>
        <w:rPr>
          <w:rFonts w:hint="eastAsia" w:ascii="仿宋" w:hAnsi="仿宋" w:eastAsia="仿宋" w:cs="仿宋"/>
          <w:sz w:val="24"/>
          <w:szCs w:val="24"/>
          <w:highlight w:val="none"/>
        </w:rPr>
        <w:t xml:space="preserve">全部由外国投资者投资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部分由外国投资者投资</w:t>
      </w:r>
    </w:p>
    <w:p w14:paraId="4B73481C">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
        </w:rPr>
        <w:t>9</w:t>
      </w:r>
      <w:r>
        <w:rPr>
          <w:rFonts w:hint="eastAsia" w:ascii="仿宋" w:hAnsi="仿宋" w:eastAsia="仿宋" w:cs="仿宋"/>
          <w:sz w:val="24"/>
          <w:szCs w:val="24"/>
          <w:highlight w:val="none"/>
        </w:rPr>
        <w:t>）是否涉及进口产品：</w:t>
      </w:r>
    </w:p>
    <w:p w14:paraId="16D0A202">
      <w:pPr>
        <w:adjustRightInd w:val="0"/>
        <w:snapToGrid w:val="0"/>
        <w:spacing w:line="40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是，《政府采购品目分类目录》底级品目名称：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金额：</w:t>
      </w:r>
      <w:r>
        <w:rPr>
          <w:rFonts w:hint="eastAsia" w:ascii="仿宋" w:hAnsi="仿宋" w:eastAsia="仿宋" w:cs="仿宋"/>
          <w:sz w:val="24"/>
          <w:szCs w:val="24"/>
          <w:highlight w:val="none"/>
          <w:u w:val="single"/>
        </w:rPr>
        <w:t xml:space="preserve">        </w:t>
      </w:r>
    </w:p>
    <w:p w14:paraId="2761D897">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国别：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规格型号：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CF394ED">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580E7158">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w:t>
      </w:r>
      <w:r>
        <w:rPr>
          <w:rFonts w:hint="eastAsia" w:ascii="仿宋" w:hAnsi="仿宋" w:eastAsia="仿宋" w:cs="仿宋"/>
          <w:sz w:val="24"/>
          <w:szCs w:val="24"/>
          <w:highlight w:val="none"/>
          <w:lang w:val="en"/>
        </w:rPr>
        <w:t>0</w:t>
      </w:r>
      <w:r>
        <w:rPr>
          <w:rFonts w:hint="eastAsia" w:ascii="仿宋" w:hAnsi="仿宋" w:eastAsia="仿宋" w:cs="仿宋"/>
          <w:sz w:val="24"/>
          <w:szCs w:val="24"/>
          <w:highlight w:val="none"/>
        </w:rPr>
        <w:t>）是否涉及节能产品：</w:t>
      </w:r>
    </w:p>
    <w:p w14:paraId="6DC38BA5">
      <w:pPr>
        <w:tabs>
          <w:tab w:val="left" w:pos="740"/>
        </w:tabs>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是，《节能产品政府采购品目清单》的底级品目名称：</w:t>
      </w:r>
      <w:r>
        <w:rPr>
          <w:rFonts w:hint="eastAsia" w:ascii="仿宋" w:hAnsi="仿宋" w:eastAsia="仿宋" w:cs="仿宋"/>
          <w:sz w:val="24"/>
          <w:szCs w:val="24"/>
          <w:highlight w:val="none"/>
          <w:u w:val="single"/>
        </w:rPr>
        <w:t xml:space="preserve">         </w:t>
      </w:r>
      <w:r>
        <w:rPr>
          <w:rFonts w:hint="eastAsia" w:ascii="仿宋" w:hAnsi="仿宋" w:eastAsia="仿宋" w:cs="仿宋"/>
          <w:iCs/>
          <w:sz w:val="24"/>
          <w:szCs w:val="24"/>
          <w:highlight w:val="none"/>
        </w:rPr>
        <w:t xml:space="preserve">     </w:t>
      </w:r>
    </w:p>
    <w:p w14:paraId="6FB84A38">
      <w:pPr>
        <w:tabs>
          <w:tab w:val="left" w:pos="740"/>
        </w:tabs>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优先采购    </w:t>
      </w:r>
    </w:p>
    <w:p w14:paraId="1FD81CCF">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5B6F9D7D">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是否涉及环境标志产品：</w:t>
      </w:r>
    </w:p>
    <w:p w14:paraId="7EFA0838">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是，《环境标志产品政府采购品目清单》的底级品目名称：</w:t>
      </w:r>
      <w:r>
        <w:rPr>
          <w:rFonts w:hint="eastAsia" w:ascii="仿宋" w:hAnsi="仿宋" w:eastAsia="仿宋" w:cs="仿宋"/>
          <w:sz w:val="24"/>
          <w:szCs w:val="24"/>
          <w:highlight w:val="none"/>
          <w:u w:val="single"/>
        </w:rPr>
        <w:t xml:space="preserve">         </w:t>
      </w:r>
      <w:r>
        <w:rPr>
          <w:rFonts w:hint="eastAsia" w:ascii="仿宋" w:hAnsi="仿宋" w:eastAsia="仿宋" w:cs="仿宋"/>
          <w:iCs/>
          <w:sz w:val="24"/>
          <w:szCs w:val="24"/>
          <w:highlight w:val="none"/>
        </w:rPr>
        <w:t xml:space="preserve"> </w:t>
      </w:r>
    </w:p>
    <w:p w14:paraId="6FDB86EA">
      <w:pPr>
        <w:tabs>
          <w:tab w:val="left" w:pos="740"/>
        </w:tabs>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优先采购    </w:t>
      </w:r>
    </w:p>
    <w:p w14:paraId="481BA8D0">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0A962685">
      <w:pPr>
        <w:pStyle w:val="63"/>
        <w:snapToGrid w:val="0"/>
        <w:ind w:firstLine="0" w:firstLineChars="0"/>
        <w:rPr>
          <w:rFonts w:hint="eastAsia" w:ascii="仿宋" w:hAnsi="仿宋" w:eastAsia="仿宋" w:cs="仿宋"/>
          <w:kern w:val="2"/>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2"/>
          <w:sz w:val="24"/>
          <w:szCs w:val="24"/>
          <w:highlight w:val="none"/>
        </w:rPr>
        <w:t xml:space="preserve">是否涉及绿色产品： </w:t>
      </w:r>
    </w:p>
    <w:p w14:paraId="2F99C13B">
      <w:pPr>
        <w:pStyle w:val="63"/>
        <w:ind w:firstLine="420" w:firstLineChars="0"/>
        <w:rPr>
          <w:rFonts w:hint="eastAsia" w:ascii="仿宋" w:hAnsi="仿宋" w:eastAsia="仿宋" w:cs="仿宋"/>
          <w:sz w:val="24"/>
          <w:szCs w:val="24"/>
          <w:highlight w:val="none"/>
          <w:u w:val="single"/>
        </w:rPr>
      </w:pPr>
      <w:r>
        <w:rPr>
          <w:rFonts w:hint="eastAsia" w:ascii="仿宋" w:hAnsi="仿宋" w:eastAsia="仿宋" w:cs="仿宋"/>
          <w:kern w:val="2"/>
          <w:sz w:val="24"/>
          <w:szCs w:val="24"/>
          <w:highlight w:val="none"/>
        </w:rPr>
        <w:t xml:space="preserve">     </w:t>
      </w:r>
      <w:r>
        <w:rPr>
          <w:rFonts w:hint="eastAsia" w:ascii="仿宋" w:hAnsi="仿宋" w:eastAsia="仿宋" w:cs="仿宋"/>
          <w:kern w:val="2"/>
          <w:sz w:val="24"/>
          <w:szCs w:val="24"/>
          <w:highlight w:val="none"/>
        </w:rPr>
        <w:sym w:font="Wingdings" w:char="00A8"/>
      </w:r>
      <w:r>
        <w:rPr>
          <w:rFonts w:hint="eastAsia" w:ascii="仿宋" w:hAnsi="仿宋" w:eastAsia="仿宋" w:cs="仿宋"/>
          <w:kern w:val="2"/>
          <w:sz w:val="24"/>
          <w:szCs w:val="24"/>
          <w:highlight w:val="none"/>
        </w:rPr>
        <w:t>是，绿色产品政府采购相关政策确定的底级品目名称：</w:t>
      </w:r>
      <w:r>
        <w:rPr>
          <w:rFonts w:hint="eastAsia" w:ascii="仿宋" w:hAnsi="仿宋" w:eastAsia="仿宋" w:cs="仿宋"/>
          <w:sz w:val="24"/>
          <w:szCs w:val="24"/>
          <w:highlight w:val="none"/>
          <w:u w:val="single"/>
        </w:rPr>
        <w:t xml:space="preserve">         </w:t>
      </w:r>
    </w:p>
    <w:p w14:paraId="67E45CF0">
      <w:pPr>
        <w:tabs>
          <w:tab w:val="left" w:pos="740"/>
        </w:tabs>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优先采购    </w:t>
      </w:r>
    </w:p>
    <w:p w14:paraId="0C85A869">
      <w:pPr>
        <w:pStyle w:val="63"/>
        <w:ind w:firstLine="420" w:firstLineChars="0"/>
        <w:rPr>
          <w:rFonts w:hint="eastAsia" w:ascii="仿宋" w:hAnsi="仿宋" w:eastAsia="仿宋" w:cs="仿宋"/>
          <w:sz w:val="24"/>
          <w:szCs w:val="24"/>
          <w:highlight w:val="none"/>
        </w:rPr>
      </w:pPr>
      <w:r>
        <w:rPr>
          <w:rFonts w:hint="eastAsia" w:ascii="仿宋" w:hAnsi="仿宋" w:eastAsia="仿宋" w:cs="仿宋"/>
          <w:kern w:val="2"/>
          <w:sz w:val="24"/>
          <w:szCs w:val="24"/>
          <w:highlight w:val="none"/>
        </w:rPr>
        <w:t xml:space="preserve">     </w:t>
      </w:r>
      <w:r>
        <w:rPr>
          <w:rFonts w:hint="eastAsia" w:ascii="仿宋" w:hAnsi="仿宋" w:eastAsia="仿宋" w:cs="仿宋"/>
          <w:kern w:val="2"/>
          <w:sz w:val="24"/>
          <w:szCs w:val="24"/>
          <w:highlight w:val="none"/>
        </w:rPr>
        <w:sym w:font="Wingdings" w:char="00A8"/>
      </w:r>
      <w:r>
        <w:rPr>
          <w:rFonts w:hint="eastAsia" w:ascii="仿宋" w:hAnsi="仿宋" w:eastAsia="仿宋" w:cs="仿宋"/>
          <w:kern w:val="2"/>
          <w:sz w:val="24"/>
          <w:szCs w:val="24"/>
          <w:highlight w:val="none"/>
        </w:rPr>
        <w:t>否</w:t>
      </w:r>
    </w:p>
    <w:p w14:paraId="02FC5D75">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w:t>
      </w:r>
      <w:r>
        <w:rPr>
          <w:rFonts w:hint="eastAsia" w:ascii="仿宋" w:hAnsi="仿宋" w:eastAsia="仿宋" w:cs="仿宋"/>
          <w:sz w:val="24"/>
          <w:szCs w:val="24"/>
          <w:highlight w:val="none"/>
          <w:lang w:val="en"/>
        </w:rPr>
        <w:t>1</w:t>
      </w:r>
      <w:r>
        <w:rPr>
          <w:rFonts w:hint="eastAsia" w:ascii="仿宋" w:hAnsi="仿宋" w:eastAsia="仿宋" w:cs="仿宋"/>
          <w:sz w:val="24"/>
          <w:szCs w:val="24"/>
          <w:highlight w:val="none"/>
        </w:rPr>
        <w:t>）涉及商品包装和快递包装的，是否参考《商品包装政府采购需求标准（试行）》、《快递包装政府采购需求标准（试行）》明确产品及相关快递服务的具体包装要求：</w:t>
      </w:r>
    </w:p>
    <w:p w14:paraId="2F517ADD">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否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不涉及</w:t>
      </w:r>
    </w:p>
    <w:p w14:paraId="0A733ABD">
      <w:pPr>
        <w:numPr>
          <w:ilvl w:val="0"/>
          <w:numId w:val="5"/>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合同金额</w:t>
      </w:r>
    </w:p>
    <w:p w14:paraId="3A46957F">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（1）合同金额小写：</w:t>
      </w:r>
      <w:r>
        <w:rPr>
          <w:rFonts w:hint="eastAsia" w:ascii="仿宋" w:hAnsi="仿宋" w:eastAsia="仿宋" w:cs="仿宋"/>
          <w:sz w:val="24"/>
          <w:szCs w:val="24"/>
          <w:highlight w:val="none"/>
          <w:u w:val="single"/>
        </w:rPr>
        <w:t xml:space="preserve">                           </w:t>
      </w:r>
    </w:p>
    <w:p w14:paraId="49E94344">
      <w:pPr>
        <w:adjustRightInd w:val="0"/>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大写：</w:t>
      </w:r>
      <w:r>
        <w:rPr>
          <w:rFonts w:hint="eastAsia" w:ascii="仿宋" w:hAnsi="仿宋" w:eastAsia="仿宋" w:cs="仿宋"/>
          <w:sz w:val="24"/>
          <w:szCs w:val="24"/>
          <w:highlight w:val="none"/>
          <w:u w:val="single"/>
        </w:rPr>
        <w:t xml:space="preserve">                           </w:t>
      </w:r>
    </w:p>
    <w:p w14:paraId="21059737">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分包金额（如有）小写：</w:t>
      </w:r>
      <w:r>
        <w:rPr>
          <w:rFonts w:hint="eastAsia" w:ascii="仿宋" w:hAnsi="仿宋" w:eastAsia="仿宋" w:cs="仿宋"/>
          <w:sz w:val="24"/>
          <w:szCs w:val="24"/>
          <w:highlight w:val="none"/>
          <w:u w:val="single"/>
        </w:rPr>
        <w:t xml:space="preserve">                   </w:t>
      </w:r>
    </w:p>
    <w:p w14:paraId="5A2D23DF">
      <w:pPr>
        <w:adjustRightInd w:val="0"/>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大写：</w:t>
      </w:r>
      <w:r>
        <w:rPr>
          <w:rFonts w:hint="eastAsia" w:ascii="仿宋" w:hAnsi="仿宋" w:eastAsia="仿宋" w:cs="仿宋"/>
          <w:sz w:val="24"/>
          <w:szCs w:val="24"/>
          <w:highlight w:val="none"/>
          <w:u w:val="single"/>
        </w:rPr>
        <w:t xml:space="preserve">                       </w:t>
      </w:r>
    </w:p>
    <w:p w14:paraId="28FF18B2">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（注：固定单价合同应填写单价和最高限价）</w:t>
      </w:r>
    </w:p>
    <w:p w14:paraId="7A2CECC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（2）合同定价方式（采用组合定价方式的，可以勾选多项）：</w:t>
      </w:r>
    </w:p>
    <w:p w14:paraId="74F543FE">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固定总价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固定单价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固定费率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成本补偿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绩效激励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其他</w:t>
      </w:r>
      <w:r>
        <w:rPr>
          <w:rFonts w:hint="eastAsia" w:ascii="仿宋" w:hAnsi="仿宋" w:eastAsia="仿宋" w:cs="仿宋"/>
          <w:sz w:val="24"/>
          <w:szCs w:val="24"/>
          <w:highlight w:val="none"/>
          <w:u w:val="single"/>
        </w:rPr>
        <w:t xml:space="preserve">       </w:t>
      </w:r>
    </w:p>
    <w:p w14:paraId="3472B95C">
      <w:pPr>
        <w:pStyle w:val="64"/>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（3）付款方式（按项目实际勾选填写）：</w:t>
      </w:r>
    </w:p>
    <w:p w14:paraId="239CDBF8">
      <w:pPr>
        <w:adjustRightInd w:val="0"/>
        <w:snapToGrid w:val="0"/>
        <w:spacing w:line="400" w:lineRule="exact"/>
        <w:ind w:firstLine="720" w:firstLineChars="3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全额付款：</w:t>
      </w:r>
      <w:r>
        <w:rPr>
          <w:rFonts w:hint="eastAsia" w:ascii="仿宋" w:hAnsi="仿宋" w:eastAsia="仿宋" w:cs="仿宋"/>
          <w:sz w:val="24"/>
          <w:szCs w:val="24"/>
          <w:highlight w:val="none"/>
          <w:u w:val="single"/>
        </w:rPr>
        <w:t xml:space="preserve">     （应明确一次性支付合同款项的条件）                    </w:t>
      </w:r>
    </w:p>
    <w:p w14:paraId="4B140BBE">
      <w:pPr>
        <w:snapToGrid w:val="0"/>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分期付款：</w:t>
      </w:r>
      <w:r>
        <w:rPr>
          <w:rFonts w:hint="eastAsia" w:ascii="仿宋" w:hAnsi="仿宋" w:eastAsia="仿宋" w:cs="仿宋"/>
          <w:sz w:val="24"/>
          <w:szCs w:val="24"/>
          <w:highlight w:val="none"/>
          <w:u w:val="single"/>
        </w:rPr>
        <w:t xml:space="preserve">  （应明确分期支付合同款项的各期比例和支付条件，各期支付条件应与分期履约验收情况挂钩） </w:t>
      </w:r>
      <w:r>
        <w:rPr>
          <w:rFonts w:hint="eastAsia" w:ascii="仿宋" w:hAnsi="仿宋" w:eastAsia="仿宋" w:cs="仿宋"/>
          <w:sz w:val="24"/>
          <w:szCs w:val="24"/>
          <w:highlight w:val="none"/>
        </w:rPr>
        <w:t>，其中涉及预付款的：</w:t>
      </w:r>
      <w:r>
        <w:rPr>
          <w:rFonts w:hint="eastAsia" w:ascii="仿宋" w:hAnsi="仿宋" w:eastAsia="仿宋" w:cs="仿宋"/>
          <w:sz w:val="24"/>
          <w:szCs w:val="24"/>
          <w:highlight w:val="none"/>
          <w:u w:val="single"/>
        </w:rPr>
        <w:t xml:space="preserve"> （应明确预付款的支付比例和支付条件） </w:t>
      </w:r>
    </w:p>
    <w:p w14:paraId="604F09D7">
      <w:pPr>
        <w:adjustRightInd w:val="0"/>
        <w:snapToGrid w:val="0"/>
        <w:spacing w:line="400" w:lineRule="exact"/>
        <w:ind w:firstLine="720" w:firstLineChars="3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成本补偿：</w:t>
      </w:r>
      <w:r>
        <w:rPr>
          <w:rFonts w:hint="eastAsia" w:ascii="仿宋" w:hAnsi="仿宋" w:eastAsia="仿宋" w:cs="仿宋"/>
          <w:sz w:val="24"/>
          <w:szCs w:val="24"/>
          <w:highlight w:val="none"/>
          <w:u w:val="single"/>
        </w:rPr>
        <w:t xml:space="preserve">      （应明确按照成本补偿方式的支付方式和支付条件）   </w:t>
      </w:r>
    </w:p>
    <w:p w14:paraId="0A66FB3B">
      <w:pPr>
        <w:adjustRightInd w:val="0"/>
        <w:snapToGrid w:val="0"/>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绩效激励：</w:t>
      </w:r>
      <w:r>
        <w:rPr>
          <w:rFonts w:hint="eastAsia" w:ascii="仿宋" w:hAnsi="仿宋" w:eastAsia="仿宋" w:cs="仿宋"/>
          <w:sz w:val="24"/>
          <w:szCs w:val="24"/>
          <w:highlight w:val="none"/>
          <w:u w:val="single"/>
        </w:rPr>
        <w:t xml:space="preserve">      （应明确按照绩效激励方式的支付方式和支付条件）   </w:t>
      </w:r>
    </w:p>
    <w:p w14:paraId="43119ABA">
      <w:pPr>
        <w:numPr>
          <w:ilvl w:val="0"/>
          <w:numId w:val="5"/>
        </w:numPr>
        <w:adjustRightInd w:val="0"/>
        <w:snapToGrid w:val="0"/>
        <w:spacing w:line="400" w:lineRule="exact"/>
        <w:ind w:firstLine="482" w:firstLineChars="200"/>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合同履行</w:t>
      </w:r>
    </w:p>
    <w:p w14:paraId="3F89DAFA">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（1）起始日期：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日，完成日期：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1A0BF5FC">
      <w:pPr>
        <w:adjustRightInd w:val="0"/>
        <w:snapToGrid w:val="0"/>
        <w:spacing w:line="400" w:lineRule="exact"/>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（2）履约地点</w:t>
      </w:r>
      <w:r>
        <w:rPr>
          <w:rFonts w:hint="eastAsia" w:ascii="仿宋" w:hAnsi="仿宋" w:eastAsia="仿宋" w:cs="仿宋"/>
          <w:bCs/>
          <w:sz w:val="24"/>
          <w:szCs w:val="24"/>
          <w:highlight w:val="none"/>
        </w:rPr>
        <w:t>：</w:t>
      </w:r>
      <w:r>
        <w:rPr>
          <w:rFonts w:hint="eastAsia" w:ascii="仿宋" w:hAnsi="仿宋" w:eastAsia="仿宋" w:cs="仿宋"/>
          <w:sz w:val="24"/>
          <w:szCs w:val="24"/>
          <w:highlight w:val="none"/>
          <w:u w:val="single"/>
        </w:rPr>
        <w:t xml:space="preserve">                             </w:t>
      </w:r>
    </w:p>
    <w:p w14:paraId="50A2E27D">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rPr>
        <w:t>（3）履约担保：</w:t>
      </w:r>
      <w:r>
        <w:rPr>
          <w:rFonts w:hint="eastAsia" w:ascii="仿宋" w:hAnsi="仿宋" w:eastAsia="仿宋" w:cs="仿宋"/>
          <w:sz w:val="24"/>
          <w:szCs w:val="24"/>
          <w:highlight w:val="none"/>
        </w:rPr>
        <w:t>是否收取履约保证金：</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2600FA3D">
      <w:pPr>
        <w:pStyle w:val="63"/>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t xml:space="preserve">  收取履约保证金形式：</w:t>
      </w:r>
      <w:r>
        <w:rPr>
          <w:rFonts w:hint="eastAsia" w:ascii="仿宋" w:hAnsi="仿宋" w:eastAsia="仿宋" w:cs="仿宋"/>
          <w:bCs/>
          <w:sz w:val="24"/>
          <w:szCs w:val="24"/>
          <w:highlight w:val="none"/>
          <w:u w:val="single"/>
        </w:rPr>
        <w:t xml:space="preserve">                            </w:t>
      </w:r>
    </w:p>
    <w:p w14:paraId="2CA12F52">
      <w:pPr>
        <w:pStyle w:val="63"/>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收取履约保证金金额：</w:t>
      </w:r>
      <w:r>
        <w:rPr>
          <w:rFonts w:hint="eastAsia" w:ascii="仿宋" w:hAnsi="仿宋" w:eastAsia="仿宋" w:cs="仿宋"/>
          <w:bCs/>
          <w:sz w:val="24"/>
          <w:szCs w:val="24"/>
          <w:highlight w:val="none"/>
          <w:u w:val="single"/>
        </w:rPr>
        <w:t xml:space="preserve">                            </w:t>
      </w:r>
    </w:p>
    <w:p w14:paraId="0F69B4ED">
      <w:pPr>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    履约担保期限：</w:t>
      </w:r>
      <w:r>
        <w:rPr>
          <w:rFonts w:hint="eastAsia" w:ascii="仿宋" w:hAnsi="仿宋" w:eastAsia="仿宋" w:cs="仿宋"/>
          <w:bCs/>
          <w:sz w:val="24"/>
          <w:szCs w:val="24"/>
          <w:highlight w:val="none"/>
          <w:u w:val="single"/>
        </w:rPr>
        <w:t xml:space="preserve">                                  </w:t>
      </w:r>
    </w:p>
    <w:p w14:paraId="2FB53010">
      <w:pPr>
        <w:adjustRightInd w:val="0"/>
        <w:snapToGrid w:val="0"/>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（4）分期履行要求：</w:t>
      </w:r>
      <w:r>
        <w:rPr>
          <w:rFonts w:hint="eastAsia" w:ascii="仿宋" w:hAnsi="仿宋" w:eastAsia="仿宋" w:cs="仿宋"/>
          <w:bCs/>
          <w:sz w:val="24"/>
          <w:szCs w:val="24"/>
          <w:highlight w:val="none"/>
          <w:u w:val="single"/>
        </w:rPr>
        <w:t xml:space="preserve">                                 </w:t>
      </w:r>
    </w:p>
    <w:p w14:paraId="494CE889">
      <w:pPr>
        <w:adjustRightInd w:val="0"/>
        <w:snapToGrid w:val="0"/>
        <w:spacing w:line="400" w:lineRule="exact"/>
        <w:ind w:firstLine="480" w:firstLineChars="200"/>
        <w:rPr>
          <w:rFonts w:hint="eastAsia" w:ascii="仿宋" w:hAnsi="仿宋" w:eastAsia="仿宋" w:cs="仿宋"/>
          <w:sz w:val="24"/>
          <w:szCs w:val="24"/>
          <w:highlight w:val="none"/>
          <w:u w:val="single"/>
        </w:rPr>
      </w:pPr>
      <w:r>
        <w:rPr>
          <w:rFonts w:hint="eastAsia" w:ascii="仿宋" w:hAnsi="仿宋" w:eastAsia="仿宋" w:cs="仿宋"/>
          <w:bCs/>
          <w:sz w:val="24"/>
          <w:szCs w:val="24"/>
          <w:highlight w:val="none"/>
        </w:rPr>
        <w:t>（5）风险处置措施和替代方案：</w:t>
      </w:r>
      <w:r>
        <w:rPr>
          <w:rFonts w:hint="eastAsia" w:ascii="仿宋" w:hAnsi="仿宋" w:eastAsia="仿宋" w:cs="仿宋"/>
          <w:color w:val="0000FF"/>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sz w:val="24"/>
          <w:szCs w:val="24"/>
          <w:highlight w:val="none"/>
          <w:u w:val="single"/>
        </w:rPr>
        <w:t xml:space="preserve">        </w:t>
      </w:r>
    </w:p>
    <w:p w14:paraId="004DF4E3">
      <w:pPr>
        <w:numPr>
          <w:ilvl w:val="0"/>
          <w:numId w:val="5"/>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合同验收</w:t>
      </w:r>
    </w:p>
    <w:p w14:paraId="373D8F24">
      <w:pPr>
        <w:numPr>
          <w:ilvl w:val="0"/>
          <w:numId w:val="7"/>
        </w:numPr>
        <w:adjustRightInd w:val="0"/>
        <w:snapToGrid w:val="0"/>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验收组织方式：</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自行组织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委托第三方组织</w:t>
      </w:r>
    </w:p>
    <w:p w14:paraId="49EA47B6">
      <w:pPr>
        <w:adjustRightInd w:val="0"/>
        <w:snapToGrid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验收主体：</w:t>
      </w:r>
      <w:r>
        <w:rPr>
          <w:rFonts w:hint="eastAsia" w:ascii="仿宋" w:hAnsi="仿宋" w:eastAsia="仿宋" w:cs="仿宋"/>
          <w:bCs/>
          <w:sz w:val="24"/>
          <w:szCs w:val="24"/>
          <w:highlight w:val="none"/>
          <w:u w:val="single"/>
        </w:rPr>
        <w:t xml:space="preserve">                  </w:t>
      </w:r>
    </w:p>
    <w:p w14:paraId="118C7120">
      <w:pPr>
        <w:adjustRightInd w:val="0"/>
        <w:snapToGrid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是否邀请本项目的其他供应商参加验收：</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49FD5BB2">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是否邀请专家参加验收：</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088BB785">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是否邀请服务对象参加验收：</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434947AF">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是否邀请第三方检测机构参加验收：</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02BBD1FC">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是否进行抽查检测：</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是，抽查比例：</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397D2781">
      <w:pPr>
        <w:adjustRightInd w:val="0"/>
        <w:snapToGrid w:val="0"/>
        <w:spacing w:line="400" w:lineRule="exact"/>
        <w:ind w:firstLine="960" w:firstLineChars="4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是否存在破坏性检测：</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是，</w:t>
      </w:r>
      <w:r>
        <w:rPr>
          <w:rFonts w:hint="eastAsia" w:ascii="仿宋" w:hAnsi="仿宋" w:eastAsia="仿宋" w:cs="仿宋"/>
          <w:bCs/>
          <w:sz w:val="24"/>
          <w:szCs w:val="24"/>
          <w:highlight w:val="none"/>
          <w:u w:val="single"/>
        </w:rPr>
        <w:t>（应明确对被破坏的检测产品的处理方式）</w:t>
      </w:r>
    </w:p>
    <w:p w14:paraId="57EC4885">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1DDC6A5D">
      <w:pPr>
        <w:adjustRightInd w:val="0"/>
        <w:snapToGrid w:val="0"/>
        <w:spacing w:line="400" w:lineRule="exact"/>
        <w:ind w:firstLine="960" w:firstLineChars="4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验收组织的其他事项：</w:t>
      </w:r>
      <w:r>
        <w:rPr>
          <w:rFonts w:hint="eastAsia" w:ascii="仿宋" w:hAnsi="仿宋" w:eastAsia="仿宋" w:cs="仿宋"/>
          <w:bCs/>
          <w:sz w:val="24"/>
          <w:szCs w:val="24"/>
          <w:highlight w:val="none"/>
          <w:u w:val="single"/>
        </w:rPr>
        <w:t xml:space="preserve">                </w:t>
      </w:r>
    </w:p>
    <w:p w14:paraId="4B35FDF9">
      <w:pPr>
        <w:adjustRightInd w:val="0"/>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（2）履约验收时间：</w:t>
      </w:r>
      <w:r>
        <w:rPr>
          <w:rFonts w:hint="eastAsia" w:ascii="仿宋" w:hAnsi="仿宋" w:eastAsia="仿宋" w:cs="仿宋"/>
          <w:bCs/>
          <w:sz w:val="24"/>
          <w:szCs w:val="24"/>
          <w:highlight w:val="none"/>
          <w:u w:val="single"/>
        </w:rPr>
        <w:t xml:space="preserve">（计划于何时验收/供应商提出验收申请之日起   日内组织验收） </w:t>
      </w:r>
    </w:p>
    <w:p w14:paraId="620BBDCA">
      <w:pPr>
        <w:adjustRightInd w:val="0"/>
        <w:snapToGrid w:val="0"/>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（3）履约验收方式：</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一次性验收         </w:t>
      </w:r>
    </w:p>
    <w:p w14:paraId="63C83650">
      <w:pPr>
        <w:adjustRightInd w:val="0"/>
        <w:snapToGrid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分期/分项验收：</w:t>
      </w:r>
      <w:r>
        <w:rPr>
          <w:rFonts w:hint="eastAsia" w:ascii="仿宋" w:hAnsi="仿宋" w:eastAsia="仿宋" w:cs="仿宋"/>
          <w:bCs/>
          <w:sz w:val="24"/>
          <w:szCs w:val="24"/>
          <w:highlight w:val="none"/>
          <w:u w:val="single"/>
        </w:rPr>
        <w:t xml:space="preserve"> （应明确分期</w:t>
      </w:r>
      <w:r>
        <w:rPr>
          <w:rFonts w:hint="eastAsia" w:ascii="仿宋" w:hAnsi="仿宋" w:eastAsia="仿宋" w:cs="仿宋"/>
          <w:bCs/>
          <w:sz w:val="24"/>
          <w:szCs w:val="24"/>
          <w:highlight w:val="none"/>
          <w:u w:val="single"/>
          <w:lang w:val="en"/>
        </w:rPr>
        <w:t>/分项验收的工作安排</w:t>
      </w:r>
      <w:r>
        <w:rPr>
          <w:rFonts w:hint="eastAsia" w:ascii="仿宋" w:hAnsi="仿宋" w:eastAsia="仿宋" w:cs="仿宋"/>
          <w:bCs/>
          <w:sz w:val="24"/>
          <w:szCs w:val="24"/>
          <w:highlight w:val="none"/>
          <w:u w:val="single"/>
        </w:rPr>
        <w:t xml:space="preserve">）  </w:t>
      </w:r>
    </w:p>
    <w:p w14:paraId="10DACD08">
      <w:pPr>
        <w:adjustRightInd w:val="0"/>
        <w:snapToGrid w:val="0"/>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（4）履约验收程序：</w:t>
      </w:r>
      <w:r>
        <w:rPr>
          <w:rFonts w:hint="eastAsia" w:ascii="仿宋" w:hAnsi="仿宋" w:eastAsia="仿宋" w:cs="仿宋"/>
          <w:bCs/>
          <w:sz w:val="24"/>
          <w:szCs w:val="24"/>
          <w:highlight w:val="none"/>
          <w:u w:val="single"/>
        </w:rPr>
        <w:t xml:space="preserve">                                         </w:t>
      </w:r>
    </w:p>
    <w:p w14:paraId="292D54D7">
      <w:pPr>
        <w:adjustRightInd w:val="0"/>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（5）履约验收的内容：</w:t>
      </w:r>
      <w:r>
        <w:rPr>
          <w:rFonts w:hint="eastAsia" w:ascii="仿宋" w:hAnsi="仿宋" w:eastAsia="仿宋" w:cs="仿宋"/>
          <w:bCs/>
          <w:sz w:val="24"/>
          <w:szCs w:val="24"/>
          <w:highlight w:val="none"/>
          <w:u w:val="single"/>
        </w:rPr>
        <w:t xml:space="preserve"> （应当包括每一项技术和商务要求的履约情况，特别是落实政府采购扶持中小企业，支持绿色发展和乡村振兴等政策情况）                                      </w:t>
      </w:r>
    </w:p>
    <w:p w14:paraId="1600F08C">
      <w:pPr>
        <w:adjustRightInd w:val="0"/>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（6）履约验收标准：</w:t>
      </w:r>
      <w:r>
        <w:rPr>
          <w:rFonts w:hint="eastAsia" w:ascii="仿宋" w:hAnsi="仿宋" w:eastAsia="仿宋" w:cs="仿宋"/>
          <w:bCs/>
          <w:sz w:val="24"/>
          <w:szCs w:val="24"/>
          <w:highlight w:val="none"/>
          <w:u w:val="single"/>
        </w:rPr>
        <w:t xml:space="preserve">                                         </w:t>
      </w:r>
    </w:p>
    <w:p w14:paraId="2672836D">
      <w:pPr>
        <w:pStyle w:val="63"/>
        <w:ind w:firstLine="420"/>
        <w:rPr>
          <w:rFonts w:hint="eastAsia" w:ascii="仿宋" w:hAnsi="仿宋" w:eastAsia="仿宋" w:cs="仿宋"/>
          <w:sz w:val="24"/>
          <w:szCs w:val="24"/>
          <w:highlight w:val="none"/>
        </w:rPr>
      </w:pPr>
      <w:r>
        <w:rPr>
          <w:rFonts w:hint="eastAsia" w:ascii="仿宋" w:hAnsi="仿宋" w:eastAsia="仿宋" w:cs="仿宋"/>
          <w:bCs/>
          <w:sz w:val="24"/>
          <w:szCs w:val="24"/>
          <w:highlight w:val="none"/>
        </w:rPr>
        <w:t>（7）是否以采购活动中供应商提供的样品作为参考：</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39F1769C">
      <w:pPr>
        <w:adjustRightInd w:val="0"/>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（8）履约验收其他事项：</w:t>
      </w:r>
      <w:r>
        <w:rPr>
          <w:rFonts w:hint="eastAsia" w:ascii="仿宋" w:hAnsi="仿宋" w:eastAsia="仿宋" w:cs="仿宋"/>
          <w:bCs/>
          <w:sz w:val="24"/>
          <w:szCs w:val="24"/>
          <w:highlight w:val="none"/>
          <w:u w:val="single"/>
        </w:rPr>
        <w:t xml:space="preserve">      （产权过户登记等）          </w:t>
      </w:r>
    </w:p>
    <w:p w14:paraId="6818050A">
      <w:pPr>
        <w:numPr>
          <w:ilvl w:val="0"/>
          <w:numId w:val="5"/>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组成合同的文件</w:t>
      </w:r>
    </w:p>
    <w:p w14:paraId="2934B6EA">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本协议书与下列文件一起构成合同文件，如下述文件之间有任何抵触、矛盾或歧义，应按以下顺序解释：</w:t>
      </w:r>
    </w:p>
    <w:p w14:paraId="51079283">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（1）政府采购合同协议书及其变更、补充协议</w:t>
      </w:r>
    </w:p>
    <w:p w14:paraId="1C509195">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（2）政府采购合同专用条款</w:t>
      </w:r>
    </w:p>
    <w:p w14:paraId="785D9E02">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（3）政府采购合同通用条款</w:t>
      </w:r>
    </w:p>
    <w:p w14:paraId="7DE381BE">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（4）中标（成交）通知书</w:t>
      </w:r>
    </w:p>
    <w:p w14:paraId="435876F9">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（5）投标（响应）文件</w:t>
      </w:r>
    </w:p>
    <w:p w14:paraId="62EC8D3E">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（6）采购文件</w:t>
      </w:r>
    </w:p>
    <w:p w14:paraId="49EBA4B0">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（7）有关技术文件，图纸</w:t>
      </w:r>
    </w:p>
    <w:p w14:paraId="096ACCD2">
      <w:pPr>
        <w:pStyle w:val="63"/>
        <w:ind w:firstLine="420"/>
        <w:rPr>
          <w:rFonts w:hint="eastAsia" w:ascii="仿宋" w:hAnsi="仿宋" w:eastAsia="仿宋" w:cs="仿宋"/>
          <w:kern w:val="2"/>
          <w:sz w:val="24"/>
          <w:szCs w:val="24"/>
          <w:highlight w:val="none"/>
        </w:rPr>
      </w:pPr>
      <w:r>
        <w:rPr>
          <w:rFonts w:hint="eastAsia" w:ascii="仿宋" w:hAnsi="仿宋" w:eastAsia="仿宋" w:cs="仿宋"/>
          <w:sz w:val="24"/>
          <w:szCs w:val="24"/>
          <w:highlight w:val="none"/>
        </w:rPr>
        <w:t>（8）</w:t>
      </w:r>
      <w:r>
        <w:rPr>
          <w:rFonts w:hint="eastAsia" w:ascii="仿宋" w:hAnsi="仿宋" w:eastAsia="仿宋" w:cs="仿宋"/>
          <w:color w:val="000000"/>
          <w:kern w:val="2"/>
          <w:sz w:val="24"/>
          <w:szCs w:val="24"/>
          <w:highlight w:val="none"/>
        </w:rPr>
        <w:t>国家法律、行政法规和规章制度规定或合同约定的作为合同组成部分的其他文件</w:t>
      </w:r>
    </w:p>
    <w:p w14:paraId="35C3DF6D">
      <w:pPr>
        <w:numPr>
          <w:ilvl w:val="0"/>
          <w:numId w:val="5"/>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合同生效</w:t>
      </w:r>
    </w:p>
    <w:p w14:paraId="0791FFEB">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本合同自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生效。</w:t>
      </w:r>
    </w:p>
    <w:p w14:paraId="02EF3747">
      <w:pPr>
        <w:numPr>
          <w:ilvl w:val="0"/>
          <w:numId w:val="5"/>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合同份数</w:t>
      </w:r>
    </w:p>
    <w:p w14:paraId="3CA09531">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本合同一式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份，甲方执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份，乙方执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份，均具有同等法律效力。</w:t>
      </w:r>
    </w:p>
    <w:p w14:paraId="084CCDC3">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合同订立时间：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01A53D9">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合同订立地点：</w:t>
      </w:r>
      <w:r>
        <w:rPr>
          <w:rFonts w:hint="eastAsia" w:ascii="仿宋" w:hAnsi="仿宋" w:eastAsia="仿宋" w:cs="仿宋"/>
          <w:sz w:val="24"/>
          <w:szCs w:val="24"/>
          <w:highlight w:val="none"/>
          <w:u w:val="single"/>
        </w:rPr>
        <w:t xml:space="preserve">                           </w:t>
      </w:r>
    </w:p>
    <w:p w14:paraId="104E05D0">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附件：具体标的及其技术要求和商务要求、联合协议、分包意向协议等。</w:t>
      </w:r>
    </w:p>
    <w:p w14:paraId="6CD46068">
      <w:pPr>
        <w:pStyle w:val="64"/>
        <w:spacing w:line="400" w:lineRule="exact"/>
        <w:rPr>
          <w:rFonts w:hint="eastAsia" w:ascii="仿宋" w:hAnsi="仿宋" w:eastAsia="仿宋" w:cs="仿宋"/>
          <w:sz w:val="24"/>
          <w:szCs w:val="24"/>
          <w:highlight w:val="none"/>
        </w:rPr>
      </w:pPr>
    </w:p>
    <w:p w14:paraId="1B641F5F">
      <w:pPr>
        <w:pStyle w:val="3"/>
        <w:tabs>
          <w:tab w:val="left" w:pos="0"/>
          <w:tab w:val="left" w:pos="420"/>
          <w:tab w:val="left" w:pos="1152"/>
        </w:tabs>
        <w:spacing w:line="400" w:lineRule="exact"/>
        <w:rPr>
          <w:rFonts w:hint="eastAsia" w:ascii="仿宋" w:hAnsi="仿宋" w:eastAsia="仿宋" w:cs="仿宋"/>
          <w:b w:val="0"/>
          <w:sz w:val="24"/>
          <w:szCs w:val="24"/>
          <w:highlight w:val="none"/>
        </w:rPr>
      </w:pPr>
      <w:r>
        <w:rPr>
          <w:rFonts w:hint="eastAsia" w:ascii="仿宋" w:hAnsi="仿宋" w:eastAsia="仿宋" w:cs="仿宋"/>
          <w:sz w:val="24"/>
          <w:szCs w:val="24"/>
          <w:highlight w:val="none"/>
          <w:lang w:val="en"/>
        </w:rPr>
        <w:t xml:space="preserve">   </w:t>
      </w:r>
    </w:p>
    <w:p w14:paraId="417F4B95">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6D17707">
      <w:pPr>
        <w:pStyle w:val="64"/>
        <w:rPr>
          <w:rFonts w:hint="eastAsia" w:ascii="仿宋" w:hAnsi="仿宋" w:eastAsia="仿宋" w:cs="仿宋"/>
          <w:sz w:val="24"/>
          <w:szCs w:val="24"/>
          <w:highlight w:val="none"/>
        </w:rPr>
      </w:pP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8"/>
        <w:gridCol w:w="2604"/>
        <w:gridCol w:w="2132"/>
        <w:gridCol w:w="2285"/>
      </w:tblGrid>
      <w:tr w14:paraId="6DF69A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38A49DE5">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693731DE">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乙方（供应商）</w:t>
            </w:r>
          </w:p>
        </w:tc>
      </w:tr>
      <w:tr w14:paraId="331AAB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noWrap w:val="0"/>
            <w:vAlign w:val="center"/>
          </w:tcPr>
          <w:p w14:paraId="0DDE3123">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DC7E6C0">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19FBA87B">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单位名称（公章或合同章）</w:t>
            </w:r>
          </w:p>
        </w:tc>
        <w:tc>
          <w:tcPr>
            <w:tcW w:w="1259" w:type="pct"/>
            <w:tcBorders>
              <w:top w:val="single" w:color="auto" w:sz="2" w:space="0"/>
              <w:left w:val="single" w:color="auto" w:sz="2" w:space="0"/>
              <w:bottom w:val="single" w:color="auto" w:sz="2" w:space="0"/>
            </w:tcBorders>
            <w:noWrap w:val="0"/>
            <w:vAlign w:val="center"/>
          </w:tcPr>
          <w:p w14:paraId="294E4675">
            <w:pPr>
              <w:adjustRightInd w:val="0"/>
              <w:snapToGrid w:val="0"/>
              <w:spacing w:line="300" w:lineRule="exact"/>
              <w:jc w:val="center"/>
              <w:rPr>
                <w:rFonts w:hint="eastAsia" w:ascii="仿宋" w:hAnsi="仿宋" w:eastAsia="仿宋" w:cs="仿宋"/>
                <w:spacing w:val="20"/>
                <w:sz w:val="21"/>
                <w:szCs w:val="21"/>
                <w:highlight w:val="none"/>
              </w:rPr>
            </w:pPr>
          </w:p>
        </w:tc>
      </w:tr>
      <w:tr w14:paraId="684774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noWrap w:val="0"/>
            <w:vAlign w:val="center"/>
          </w:tcPr>
          <w:p w14:paraId="5A5E5B5E">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法定代表人</w:t>
            </w:r>
          </w:p>
          <w:p w14:paraId="79F31F62">
            <w:pPr>
              <w:adjustRightInd w:val="0"/>
              <w:snapToGrid w:val="0"/>
              <w:spacing w:line="300" w:lineRule="exact"/>
              <w:ind w:firstLine="100" w:firstLineChars="4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0369F66B">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right w:val="single" w:color="auto" w:sz="2" w:space="0"/>
            </w:tcBorders>
            <w:noWrap w:val="0"/>
            <w:vAlign w:val="center"/>
          </w:tcPr>
          <w:p w14:paraId="68206961">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法定代表人</w:t>
            </w:r>
          </w:p>
          <w:p w14:paraId="2D1C5A68">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或其委托代理人（签章）</w:t>
            </w:r>
          </w:p>
        </w:tc>
        <w:tc>
          <w:tcPr>
            <w:tcW w:w="1259" w:type="pct"/>
            <w:tcBorders>
              <w:top w:val="single" w:color="auto" w:sz="2" w:space="0"/>
              <w:left w:val="single" w:color="auto" w:sz="2" w:space="0"/>
              <w:bottom w:val="single" w:color="auto" w:sz="2" w:space="0"/>
            </w:tcBorders>
            <w:noWrap w:val="0"/>
            <w:vAlign w:val="center"/>
          </w:tcPr>
          <w:p w14:paraId="61D33F55">
            <w:pPr>
              <w:adjustRightInd w:val="0"/>
              <w:snapToGrid w:val="0"/>
              <w:spacing w:line="300" w:lineRule="exact"/>
              <w:jc w:val="center"/>
              <w:rPr>
                <w:rFonts w:hint="eastAsia" w:ascii="仿宋" w:hAnsi="仿宋" w:eastAsia="仿宋" w:cs="仿宋"/>
                <w:sz w:val="21"/>
                <w:szCs w:val="21"/>
                <w:highlight w:val="none"/>
              </w:rPr>
            </w:pPr>
          </w:p>
        </w:tc>
      </w:tr>
      <w:tr w14:paraId="53EA89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noWrap w:val="0"/>
            <w:vAlign w:val="center"/>
          </w:tcPr>
          <w:p w14:paraId="0EA32553">
            <w:pPr>
              <w:adjustRightInd w:val="0"/>
              <w:snapToGrid w:val="0"/>
              <w:spacing w:line="300" w:lineRule="exact"/>
              <w:jc w:val="center"/>
              <w:rPr>
                <w:rFonts w:hint="eastAsia" w:ascii="仿宋" w:hAnsi="仿宋" w:eastAsia="仿宋" w:cs="仿宋"/>
                <w:sz w:val="21"/>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613A1374">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02A6DC1F">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44EE5C83">
            <w:pPr>
              <w:adjustRightInd w:val="0"/>
              <w:snapToGrid w:val="0"/>
              <w:spacing w:line="300" w:lineRule="exact"/>
              <w:jc w:val="center"/>
              <w:rPr>
                <w:rFonts w:hint="eastAsia" w:ascii="仿宋" w:hAnsi="仿宋" w:eastAsia="仿宋" w:cs="仿宋"/>
                <w:spacing w:val="20"/>
                <w:sz w:val="21"/>
                <w:szCs w:val="21"/>
                <w:highlight w:val="none"/>
              </w:rPr>
            </w:pPr>
          </w:p>
        </w:tc>
      </w:tr>
      <w:tr w14:paraId="7C2705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95BED9E">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2346E09">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171BD58F">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住  所</w:t>
            </w:r>
          </w:p>
        </w:tc>
        <w:tc>
          <w:tcPr>
            <w:tcW w:w="1259" w:type="pct"/>
            <w:tcBorders>
              <w:top w:val="single" w:color="auto" w:sz="2" w:space="0"/>
              <w:left w:val="single" w:color="auto" w:sz="2" w:space="0"/>
              <w:bottom w:val="single" w:color="auto" w:sz="2" w:space="0"/>
            </w:tcBorders>
            <w:noWrap w:val="0"/>
            <w:vAlign w:val="center"/>
          </w:tcPr>
          <w:p w14:paraId="73926CC3">
            <w:pPr>
              <w:adjustRightInd w:val="0"/>
              <w:snapToGrid w:val="0"/>
              <w:spacing w:line="300" w:lineRule="exact"/>
              <w:jc w:val="center"/>
              <w:rPr>
                <w:rFonts w:hint="eastAsia" w:ascii="仿宋" w:hAnsi="仿宋" w:eastAsia="仿宋" w:cs="仿宋"/>
                <w:spacing w:val="20"/>
                <w:sz w:val="21"/>
                <w:szCs w:val="21"/>
                <w:highlight w:val="none"/>
              </w:rPr>
            </w:pPr>
          </w:p>
        </w:tc>
      </w:tr>
      <w:tr w14:paraId="6A7EC5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2A93AB2">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D1102EC">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47C317D8">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4BAABAF5">
            <w:pPr>
              <w:adjustRightInd w:val="0"/>
              <w:snapToGrid w:val="0"/>
              <w:spacing w:line="300" w:lineRule="exact"/>
              <w:jc w:val="center"/>
              <w:rPr>
                <w:rFonts w:hint="eastAsia" w:ascii="仿宋" w:hAnsi="仿宋" w:eastAsia="仿宋" w:cs="仿宋"/>
                <w:spacing w:val="20"/>
                <w:sz w:val="21"/>
                <w:szCs w:val="21"/>
                <w:highlight w:val="none"/>
              </w:rPr>
            </w:pPr>
          </w:p>
        </w:tc>
      </w:tr>
      <w:tr w14:paraId="7D224C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9A091B9">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0389060">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08956ED2">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7C030F6C">
            <w:pPr>
              <w:adjustRightInd w:val="0"/>
              <w:snapToGrid w:val="0"/>
              <w:spacing w:line="300" w:lineRule="exact"/>
              <w:jc w:val="center"/>
              <w:rPr>
                <w:rFonts w:hint="eastAsia" w:ascii="仿宋" w:hAnsi="仿宋" w:eastAsia="仿宋" w:cs="仿宋"/>
                <w:spacing w:val="20"/>
                <w:sz w:val="21"/>
                <w:szCs w:val="21"/>
                <w:highlight w:val="none"/>
              </w:rPr>
            </w:pPr>
          </w:p>
        </w:tc>
      </w:tr>
      <w:tr w14:paraId="6980775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541CEAC5">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5665058">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0C99526C">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4EFD2FAE">
            <w:pPr>
              <w:adjustRightInd w:val="0"/>
              <w:snapToGrid w:val="0"/>
              <w:spacing w:line="300" w:lineRule="exact"/>
              <w:jc w:val="center"/>
              <w:rPr>
                <w:rFonts w:hint="eastAsia" w:ascii="仿宋" w:hAnsi="仿宋" w:eastAsia="仿宋" w:cs="仿宋"/>
                <w:spacing w:val="20"/>
                <w:sz w:val="21"/>
                <w:szCs w:val="21"/>
                <w:highlight w:val="none"/>
              </w:rPr>
            </w:pPr>
          </w:p>
        </w:tc>
      </w:tr>
      <w:tr w14:paraId="3BA646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6B9590F">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7AA0D9D">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30CCB62D">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3865C806">
            <w:pPr>
              <w:adjustRightInd w:val="0"/>
              <w:snapToGrid w:val="0"/>
              <w:spacing w:line="300" w:lineRule="exact"/>
              <w:jc w:val="center"/>
              <w:rPr>
                <w:rFonts w:hint="eastAsia" w:ascii="仿宋" w:hAnsi="仿宋" w:eastAsia="仿宋" w:cs="仿宋"/>
                <w:spacing w:val="20"/>
                <w:sz w:val="21"/>
                <w:szCs w:val="21"/>
                <w:highlight w:val="none"/>
              </w:rPr>
            </w:pPr>
          </w:p>
        </w:tc>
      </w:tr>
      <w:tr w14:paraId="3FF8C5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BD6FFC4">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E91043">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4E03E75A">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78DEEA49">
            <w:pPr>
              <w:adjustRightInd w:val="0"/>
              <w:snapToGrid w:val="0"/>
              <w:spacing w:line="300" w:lineRule="exact"/>
              <w:jc w:val="center"/>
              <w:rPr>
                <w:rFonts w:hint="eastAsia" w:ascii="仿宋" w:hAnsi="仿宋" w:eastAsia="仿宋" w:cs="仿宋"/>
                <w:spacing w:val="20"/>
                <w:sz w:val="21"/>
                <w:szCs w:val="21"/>
                <w:highlight w:val="none"/>
              </w:rPr>
            </w:pPr>
          </w:p>
        </w:tc>
      </w:tr>
      <w:tr w14:paraId="66D435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A50584E">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B420854">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2AD20EFD">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31A9C202">
            <w:pPr>
              <w:adjustRightInd w:val="0"/>
              <w:snapToGrid w:val="0"/>
              <w:spacing w:line="300" w:lineRule="exact"/>
              <w:jc w:val="center"/>
              <w:rPr>
                <w:rFonts w:hint="eastAsia" w:ascii="仿宋" w:hAnsi="仿宋" w:eastAsia="仿宋" w:cs="仿宋"/>
                <w:spacing w:val="20"/>
                <w:sz w:val="21"/>
                <w:szCs w:val="21"/>
                <w:highlight w:val="none"/>
              </w:rPr>
            </w:pPr>
          </w:p>
        </w:tc>
      </w:tr>
      <w:tr w14:paraId="281BBE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165DDB4">
            <w:pPr>
              <w:adjustRightInd w:val="0"/>
              <w:snapToGrid w:val="0"/>
              <w:spacing w:line="300" w:lineRule="exact"/>
              <w:jc w:val="center"/>
              <w:rPr>
                <w:rFonts w:hint="eastAsia" w:ascii="仿宋" w:hAnsi="仿宋" w:eastAsia="仿宋" w:cs="仿宋"/>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42FCB27">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5732B7EF">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69B6B86B">
            <w:pPr>
              <w:adjustRightInd w:val="0"/>
              <w:snapToGrid w:val="0"/>
              <w:spacing w:line="300" w:lineRule="exact"/>
              <w:jc w:val="center"/>
              <w:rPr>
                <w:rFonts w:hint="eastAsia" w:ascii="仿宋" w:hAnsi="仿宋" w:eastAsia="仿宋" w:cs="仿宋"/>
                <w:spacing w:val="20"/>
                <w:sz w:val="21"/>
                <w:szCs w:val="21"/>
                <w:highlight w:val="none"/>
              </w:rPr>
            </w:pPr>
          </w:p>
        </w:tc>
      </w:tr>
      <w:tr w14:paraId="5E7D7F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489E2F37">
            <w:pPr>
              <w:adjustRightInd w:val="0"/>
              <w:snapToGrid w:val="0"/>
              <w:spacing w:line="300" w:lineRule="exact"/>
              <w:jc w:val="center"/>
              <w:rPr>
                <w:rFonts w:hint="eastAsia" w:ascii="仿宋" w:hAnsi="仿宋" w:eastAsia="仿宋" w:cs="仿宋"/>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D4A7FC">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7296B6E6">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6C00ABBB">
            <w:pPr>
              <w:adjustRightInd w:val="0"/>
              <w:snapToGrid w:val="0"/>
              <w:spacing w:line="300" w:lineRule="exact"/>
              <w:jc w:val="center"/>
              <w:rPr>
                <w:rFonts w:hint="eastAsia" w:ascii="仿宋" w:hAnsi="仿宋" w:eastAsia="仿宋" w:cs="仿宋"/>
                <w:spacing w:val="20"/>
                <w:sz w:val="21"/>
                <w:szCs w:val="21"/>
                <w:highlight w:val="none"/>
              </w:rPr>
            </w:pPr>
          </w:p>
        </w:tc>
      </w:tr>
      <w:tr w14:paraId="7A718C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5AFF2F51">
            <w:pPr>
              <w:adjustRightInd w:val="0"/>
              <w:snapToGrid w:val="0"/>
              <w:spacing w:line="300" w:lineRule="exact"/>
              <w:jc w:val="center"/>
              <w:rPr>
                <w:rFonts w:hint="eastAsia" w:ascii="仿宋" w:hAnsi="仿宋" w:eastAsia="仿宋" w:cs="仿宋"/>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0253026">
            <w:pPr>
              <w:adjustRightInd w:val="0"/>
              <w:snapToGrid w:val="0"/>
              <w:spacing w:line="300" w:lineRule="exact"/>
              <w:jc w:val="center"/>
              <w:rPr>
                <w:rFonts w:hint="eastAsia" w:ascii="仿宋" w:hAnsi="仿宋" w:eastAsia="仿宋" w:cs="仿宋"/>
                <w:sz w:val="21"/>
                <w:szCs w:val="21"/>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0FE19BA5">
            <w:pPr>
              <w:adjustRightInd w:val="0"/>
              <w:snapToGrid w:val="0"/>
              <w:spacing w:line="300" w:lineRule="exact"/>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173DB977">
            <w:pPr>
              <w:adjustRightInd w:val="0"/>
              <w:snapToGrid w:val="0"/>
              <w:spacing w:line="300" w:lineRule="exact"/>
              <w:jc w:val="center"/>
              <w:rPr>
                <w:rFonts w:hint="eastAsia" w:ascii="仿宋" w:hAnsi="仿宋" w:eastAsia="仿宋" w:cs="仿宋"/>
                <w:spacing w:val="20"/>
                <w:sz w:val="21"/>
                <w:szCs w:val="21"/>
                <w:highlight w:val="none"/>
              </w:rPr>
            </w:pPr>
          </w:p>
        </w:tc>
      </w:tr>
      <w:tr w14:paraId="10E9197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7E9F4678">
            <w:pPr>
              <w:pStyle w:val="8"/>
              <w:adjustRightInd w:val="0"/>
              <w:snapToGrid w:val="0"/>
              <w:spacing w:before="204" w:beforeLines="50" w:line="360" w:lineRule="auto"/>
              <w:jc w:val="left"/>
              <w:rPr>
                <w:rFonts w:hint="eastAsia" w:ascii="仿宋" w:hAnsi="仿宋" w:eastAsia="仿宋" w:cs="仿宋"/>
                <w:spacing w:val="20"/>
                <w:sz w:val="21"/>
                <w:szCs w:val="21"/>
                <w:highlight w:val="none"/>
              </w:rPr>
            </w:pPr>
            <w:r>
              <w:rPr>
                <w:rFonts w:hint="eastAsia" w:ascii="仿宋" w:hAnsi="仿宋" w:eastAsia="仿宋" w:cs="仿宋"/>
                <w:sz w:val="21"/>
                <w:szCs w:val="21"/>
                <w:highlight w:val="none"/>
              </w:rPr>
              <w:t>注：涉及联合体或其他合同主体的信息应按上表格式加列。</w:t>
            </w:r>
          </w:p>
        </w:tc>
      </w:tr>
    </w:tbl>
    <w:p w14:paraId="52120CE0">
      <w:pPr>
        <w:pStyle w:val="3"/>
        <w:tabs>
          <w:tab w:val="left" w:pos="0"/>
          <w:tab w:val="left" w:pos="420"/>
          <w:tab w:val="left" w:pos="1152"/>
        </w:tabs>
        <w:adjustRightInd w:val="0"/>
        <w:snapToGrid w:val="0"/>
        <w:spacing w:before="204" w:beforeLines="50"/>
        <w:jc w:val="center"/>
        <w:rPr>
          <w:rFonts w:hint="eastAsia" w:ascii="仿宋" w:hAnsi="仿宋" w:eastAsia="仿宋" w:cs="仿宋"/>
          <w:sz w:val="28"/>
          <w:szCs w:val="28"/>
          <w:highlight w:val="none"/>
        </w:rPr>
      </w:pPr>
      <w:r>
        <w:rPr>
          <w:rFonts w:hint="eastAsia" w:ascii="仿宋" w:hAnsi="仿宋" w:eastAsia="仿宋" w:cs="仿宋"/>
          <w:sz w:val="24"/>
          <w:szCs w:val="24"/>
          <w:highlight w:val="none"/>
          <w:u w:val="single"/>
        </w:rPr>
        <w:br w:type="page"/>
      </w:r>
      <w:bookmarkStart w:id="75" w:name="_Toc10176"/>
      <w:bookmarkStart w:id="76" w:name="_Toc27624"/>
      <w:r>
        <w:rPr>
          <w:rFonts w:hint="eastAsia" w:ascii="仿宋" w:hAnsi="仿宋" w:eastAsia="仿宋" w:cs="仿宋"/>
          <w:b w:val="0"/>
          <w:sz w:val="28"/>
          <w:szCs w:val="28"/>
          <w:highlight w:val="none"/>
        </w:rPr>
        <w:t>第二节 政府采购合同通用条款</w:t>
      </w:r>
      <w:bookmarkEnd w:id="75"/>
      <w:bookmarkEnd w:id="76"/>
    </w:p>
    <w:p w14:paraId="29BA2652">
      <w:pPr>
        <w:tabs>
          <w:tab w:val="left" w:pos="8820"/>
          <w:tab w:val="left" w:pos="9345"/>
          <w:tab w:val="left" w:pos="9765"/>
        </w:tabs>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1. </w:t>
      </w:r>
      <w:r>
        <w:rPr>
          <w:rFonts w:hint="eastAsia" w:ascii="仿宋" w:hAnsi="仿宋" w:eastAsia="仿宋" w:cs="仿宋"/>
          <w:b/>
          <w:bCs/>
          <w:sz w:val="24"/>
          <w:szCs w:val="24"/>
          <w:highlight w:val="none"/>
        </w:rPr>
        <w:t>定义</w:t>
      </w:r>
    </w:p>
    <w:p w14:paraId="3BBA1368">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1.1合同当事人</w:t>
      </w:r>
    </w:p>
    <w:p w14:paraId="603E6E31">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（1）采购人（以下称甲方）是指使用财政性资金，通过政府采购方式向供应商购买货物及其相关服务的国家机关、事业单位、团体组织。</w:t>
      </w:r>
    </w:p>
    <w:p w14:paraId="2750C9A5">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（2）供应商（以下称乙方）是指参加政府采购活动并且中标（成交），向采购人提供合同约定的货物及其相关服务的法人、非法人组织或者自然人。</w:t>
      </w:r>
    </w:p>
    <w:p w14:paraId="1C01655E">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（3）其他合同主体是指除采购人和供应商以外，</w:t>
      </w:r>
      <w:r>
        <w:rPr>
          <w:rFonts w:hint="eastAsia" w:ascii="仿宋" w:hAnsi="仿宋" w:eastAsia="仿宋" w:cs="仿宋"/>
          <w:bCs/>
          <w:color w:val="000000"/>
          <w:sz w:val="24"/>
          <w:szCs w:val="24"/>
          <w:highlight w:val="none"/>
        </w:rPr>
        <w:t>依法参与合同缔结或履行，享有权利、承担义务的合同当事人</w:t>
      </w:r>
      <w:r>
        <w:rPr>
          <w:rFonts w:hint="eastAsia" w:ascii="仿宋" w:hAnsi="仿宋" w:eastAsia="仿宋" w:cs="仿宋"/>
          <w:sz w:val="24"/>
          <w:szCs w:val="24"/>
          <w:highlight w:val="none"/>
        </w:rPr>
        <w:t>。</w:t>
      </w:r>
    </w:p>
    <w:p w14:paraId="3BB6EEC1">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1.2本合同下列术语应解释为：</w:t>
      </w:r>
    </w:p>
    <w:p w14:paraId="1CF15492">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（1）“合同”系指</w:t>
      </w:r>
      <w:r>
        <w:rPr>
          <w:rFonts w:hint="eastAsia" w:ascii="仿宋" w:hAnsi="仿宋" w:eastAsia="仿宋" w:cs="仿宋"/>
          <w:bCs/>
          <w:color w:val="000000"/>
          <w:sz w:val="24"/>
          <w:szCs w:val="24"/>
          <w:highlight w:val="none"/>
        </w:rPr>
        <w:t>合同当事人意思表示达成一致的任何协议，包括签署的</w:t>
      </w:r>
      <w:r>
        <w:rPr>
          <w:rFonts w:hint="eastAsia" w:ascii="仿宋" w:hAnsi="仿宋" w:eastAsia="仿宋" w:cs="仿宋"/>
          <w:sz w:val="24"/>
          <w:szCs w:val="24"/>
          <w:highlight w:val="none"/>
        </w:rPr>
        <w:t>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sz w:val="24"/>
          <w:szCs w:val="24"/>
          <w:highlight w:val="none"/>
        </w:rPr>
        <w:t>国家法律、行政法规和规章制度规定或合同约定的作为合同组成部分的其他文件</w:t>
      </w:r>
      <w:r>
        <w:rPr>
          <w:rFonts w:hint="eastAsia" w:ascii="仿宋" w:hAnsi="仿宋" w:eastAsia="仿宋" w:cs="仿宋"/>
          <w:sz w:val="24"/>
          <w:szCs w:val="24"/>
          <w:highlight w:val="none"/>
        </w:rPr>
        <w:t>。</w:t>
      </w:r>
    </w:p>
    <w:p w14:paraId="788DD314">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（2）“合同价款”系指根据本合同规定乙方在全面履行合同义务后甲方应支付给乙方的价款。</w:t>
      </w:r>
    </w:p>
    <w:p w14:paraId="51A40C1D">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（3）“货物”系指乙方根据本合同规定须向甲方提供的各种形态和种类的物品，包括原材料、设备、产品（</w:t>
      </w:r>
      <w:r>
        <w:rPr>
          <w:rFonts w:hint="eastAsia" w:ascii="仿宋" w:hAnsi="仿宋" w:eastAsia="仿宋" w:cs="仿宋"/>
          <w:color w:val="000000"/>
          <w:sz w:val="24"/>
          <w:szCs w:val="24"/>
          <w:highlight w:val="none"/>
        </w:rPr>
        <w:t>包括软件）及相关的其备品备件、工具、手册及</w:t>
      </w:r>
      <w:r>
        <w:rPr>
          <w:rFonts w:hint="eastAsia" w:ascii="仿宋" w:hAnsi="仿宋" w:eastAsia="仿宋" w:cs="仿宋"/>
          <w:color w:val="000000"/>
          <w:sz w:val="24"/>
          <w:szCs w:val="24"/>
          <w:highlight w:val="none"/>
          <w:lang w:val="en"/>
        </w:rPr>
        <w:t>其他</w:t>
      </w:r>
      <w:r>
        <w:rPr>
          <w:rFonts w:hint="eastAsia" w:ascii="仿宋" w:hAnsi="仿宋" w:eastAsia="仿宋" w:cs="仿宋"/>
          <w:color w:val="000000"/>
          <w:sz w:val="24"/>
          <w:szCs w:val="24"/>
          <w:highlight w:val="none"/>
        </w:rPr>
        <w:t>技术资料和材料等。</w:t>
      </w:r>
    </w:p>
    <w:p w14:paraId="55B9E547">
      <w:pPr>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r>
        <w:rPr>
          <w:rFonts w:hint="eastAsia" w:ascii="仿宋" w:hAnsi="仿宋" w:eastAsia="仿宋" w:cs="仿宋"/>
          <w:sz w:val="24"/>
          <w:szCs w:val="24"/>
          <w:highlight w:val="none"/>
        </w:rPr>
        <w:t>相关</w:t>
      </w:r>
      <w:r>
        <w:rPr>
          <w:rFonts w:hint="eastAsia" w:ascii="仿宋" w:hAnsi="仿宋" w:eastAsia="仿宋" w:cs="仿宋"/>
          <w:color w:val="000000"/>
          <w:sz w:val="24"/>
          <w:szCs w:val="24"/>
          <w:highlight w:val="none"/>
        </w:rPr>
        <w:t>服务”系指根据合同规定，乙方应提供的与货物有关的技术、管理和</w:t>
      </w:r>
      <w:r>
        <w:rPr>
          <w:rFonts w:hint="eastAsia" w:ascii="仿宋" w:hAnsi="仿宋" w:eastAsia="仿宋" w:cs="仿宋"/>
          <w:color w:val="000000"/>
          <w:sz w:val="24"/>
          <w:szCs w:val="24"/>
          <w:highlight w:val="none"/>
          <w:lang w:val="en"/>
        </w:rPr>
        <w:t>其他</w:t>
      </w:r>
      <w:r>
        <w:rPr>
          <w:rFonts w:hint="eastAsia" w:ascii="仿宋" w:hAnsi="仿宋" w:eastAsia="仿宋" w:cs="仿宋"/>
          <w:color w:val="000000"/>
          <w:sz w:val="24"/>
          <w:szCs w:val="24"/>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4"/>
          <w:szCs w:val="24"/>
          <w:highlight w:val="none"/>
          <w:lang w:val="en"/>
        </w:rPr>
        <w:t>其他</w:t>
      </w:r>
      <w:r>
        <w:rPr>
          <w:rFonts w:hint="eastAsia" w:ascii="仿宋" w:hAnsi="仿宋" w:eastAsia="仿宋" w:cs="仿宋"/>
          <w:color w:val="000000"/>
          <w:sz w:val="24"/>
          <w:szCs w:val="24"/>
          <w:highlight w:val="none"/>
        </w:rPr>
        <w:t>义务。</w:t>
      </w:r>
    </w:p>
    <w:p w14:paraId="157D5F5D">
      <w:pPr>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（5）“分包”系指中标（成交）供应商按采购文件、投标（响应）文件的规定，根据分包意向协议，将中标（成交）项目中的部分履约内容，分给具有相应资质条件的供应商履行合同的行为。</w:t>
      </w:r>
    </w:p>
    <w:p w14:paraId="4B9FF36E">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r>
        <w:rPr>
          <w:rFonts w:hint="eastAsia" w:ascii="仿宋" w:hAnsi="仿宋" w:eastAsia="仿宋" w:cs="仿宋"/>
          <w:sz w:val="24"/>
          <w:szCs w:val="24"/>
          <w:highlight w:val="none"/>
        </w:rPr>
        <w:t>“联合体”系指由两个以上的自然人、法人或者非法人组织组成，以一个供应商的身份共同参加政府采购的主体</w:t>
      </w:r>
      <w:r>
        <w:rPr>
          <w:rFonts w:hint="eastAsia" w:ascii="仿宋" w:hAnsi="仿宋" w:eastAsia="仿宋" w:cs="仿宋"/>
          <w:color w:val="000000"/>
          <w:sz w:val="24"/>
          <w:szCs w:val="24"/>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highlight w:val="none"/>
        </w:rPr>
        <w:t>政府采购合同专用条款</w:t>
      </w:r>
      <w:r>
        <w:rPr>
          <w:rFonts w:hint="eastAsia" w:ascii="仿宋" w:hAnsi="仿宋" w:eastAsia="仿宋" w:cs="仿宋"/>
          <w:color w:val="000000"/>
          <w:sz w:val="24"/>
          <w:szCs w:val="24"/>
          <w:highlight w:val="none"/>
        </w:rPr>
        <w:t>】。</w:t>
      </w:r>
    </w:p>
    <w:p w14:paraId="382D995D">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（7）其他术语解释，见【</w:t>
      </w:r>
      <w:r>
        <w:rPr>
          <w:rFonts w:hint="eastAsia" w:ascii="仿宋" w:hAnsi="仿宋" w:eastAsia="仿宋" w:cs="仿宋"/>
          <w:b/>
          <w:bCs/>
          <w:color w:val="000000"/>
          <w:sz w:val="24"/>
          <w:szCs w:val="24"/>
          <w:highlight w:val="none"/>
        </w:rPr>
        <w:t>政府采购合同专用条款</w:t>
      </w:r>
      <w:r>
        <w:rPr>
          <w:rFonts w:hint="eastAsia" w:ascii="仿宋" w:hAnsi="仿宋" w:eastAsia="仿宋" w:cs="仿宋"/>
          <w:color w:val="000000"/>
          <w:sz w:val="24"/>
          <w:szCs w:val="24"/>
          <w:highlight w:val="none"/>
        </w:rPr>
        <w:t>】。</w:t>
      </w:r>
    </w:p>
    <w:p w14:paraId="0EE08B1F">
      <w:pPr>
        <w:numPr>
          <w:ilvl w:val="0"/>
          <w:numId w:val="8"/>
        </w:num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合同标的及金额</w:t>
      </w:r>
    </w:p>
    <w:p w14:paraId="4C215ABE">
      <w:pPr>
        <w:autoSpaceDE w:val="0"/>
        <w:autoSpaceDN w:val="0"/>
        <w:adjustRightInd w:val="0"/>
        <w:snapToGrid w:val="0"/>
        <w:spacing w:line="400" w:lineRule="exact"/>
        <w:ind w:firstLine="480" w:firstLineChars="200"/>
        <w:jc w:val="lef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rPr>
        <w:t>2.1 合同标的及金额应与中标（成交）结果一致。乙方为履行本合同而发生的所有费用均应包含在合同价款中，甲方不再另行支付</w:t>
      </w:r>
      <w:r>
        <w:rPr>
          <w:rFonts w:hint="eastAsia" w:ascii="仿宋" w:hAnsi="仿宋" w:eastAsia="仿宋" w:cs="仿宋"/>
          <w:color w:val="000000"/>
          <w:sz w:val="24"/>
          <w:szCs w:val="24"/>
          <w:highlight w:val="none"/>
          <w:lang w:val="en"/>
        </w:rPr>
        <w:t>其他</w:t>
      </w:r>
      <w:r>
        <w:rPr>
          <w:rFonts w:hint="eastAsia" w:ascii="仿宋" w:hAnsi="仿宋" w:eastAsia="仿宋" w:cs="仿宋"/>
          <w:color w:val="000000"/>
          <w:sz w:val="24"/>
          <w:szCs w:val="24"/>
          <w:highlight w:val="none"/>
        </w:rPr>
        <w:t>任何费用。</w:t>
      </w:r>
    </w:p>
    <w:p w14:paraId="467C3684">
      <w:pPr>
        <w:adjustRightInd w:val="0"/>
        <w:snapToGrid w:val="0"/>
        <w:spacing w:line="400" w:lineRule="exact"/>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3. 履行合同的时间、地点和方式</w:t>
      </w:r>
    </w:p>
    <w:p w14:paraId="6A343C8B">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w:t>
      </w:r>
      <w:r>
        <w:rPr>
          <w:rFonts w:hint="eastAsia" w:ascii="仿宋" w:hAnsi="仿宋" w:eastAsia="仿宋" w:cs="仿宋"/>
          <w:sz w:val="24"/>
          <w:szCs w:val="24"/>
          <w:highlight w:val="none"/>
        </w:rPr>
        <w:t>乙方应当在约定的时间、地点，按照约定方式履行合同。</w:t>
      </w:r>
    </w:p>
    <w:p w14:paraId="064E11A8">
      <w:p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4. 甲方的权利和义务</w:t>
      </w:r>
    </w:p>
    <w:p w14:paraId="48692379">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1FDBF11">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0FFBF5E9">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4.3 甲方有权要求乙方对缺陷部分予以修复，并按合同约定享有货物保修及其他合同约定的权利。</w:t>
      </w:r>
    </w:p>
    <w:p w14:paraId="5AE6A020">
      <w:pPr>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4.4 甲方应当按照合同约定及时对交付的货物进行验收，</w:t>
      </w:r>
      <w:r>
        <w:rPr>
          <w:rFonts w:hint="eastAsia" w:ascii="仿宋" w:hAnsi="仿宋" w:eastAsia="仿宋" w:cs="仿宋"/>
          <w:sz w:val="24"/>
          <w:szCs w:val="24"/>
          <w:highlight w:val="none"/>
        </w:rPr>
        <w:t>未</w:t>
      </w:r>
      <w:r>
        <w:rPr>
          <w:rFonts w:hint="eastAsia" w:ascii="仿宋" w:hAnsi="仿宋" w:eastAsia="仿宋" w:cs="仿宋"/>
          <w:color w:val="000000"/>
          <w:sz w:val="24"/>
          <w:szCs w:val="24"/>
          <w:highlight w:val="none"/>
        </w:rPr>
        <w:t>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约定的期限内对乙方履约提出任何异议或者向乙方作出任何说明的，</w:t>
      </w:r>
      <w:r>
        <w:rPr>
          <w:rFonts w:hint="eastAsia" w:ascii="仿宋" w:hAnsi="仿宋" w:eastAsia="仿宋" w:cs="仿宋"/>
          <w:color w:val="000000"/>
          <w:sz w:val="24"/>
          <w:szCs w:val="24"/>
          <w:highlight w:val="none"/>
        </w:rPr>
        <w:t>视为验收通过。</w:t>
      </w:r>
    </w:p>
    <w:p w14:paraId="1E000DC1">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4.5 甲方应当根据合同约定及时向乙方支付合同价款，不得以内部人员变更、履行内部付款流程等为由，拒绝或迟延支付。</w:t>
      </w:r>
    </w:p>
    <w:p w14:paraId="2B8B71E7">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4.6 国家法律法规规定及</w:t>
      </w:r>
      <w:r>
        <w:rPr>
          <w:rFonts w:hint="eastAsia" w:ascii="仿宋" w:hAnsi="仿宋" w:eastAsia="仿宋" w:cs="仿宋"/>
          <w:b/>
          <w:bCs/>
          <w:sz w:val="24"/>
          <w:szCs w:val="24"/>
          <w:highlight w:val="none"/>
        </w:rPr>
        <w:t>【政府采购合同专用条款】</w:t>
      </w:r>
      <w:r>
        <w:rPr>
          <w:rFonts w:hint="eastAsia" w:ascii="仿宋" w:hAnsi="仿宋" w:eastAsia="仿宋" w:cs="仿宋"/>
          <w:color w:val="000000"/>
          <w:sz w:val="24"/>
          <w:szCs w:val="24"/>
          <w:highlight w:val="none"/>
        </w:rPr>
        <w:t>约定应由甲方承担的其他义务和责任。</w:t>
      </w:r>
    </w:p>
    <w:p w14:paraId="38ADD659">
      <w:p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5. 乙方的权利和义务</w:t>
      </w:r>
    </w:p>
    <w:p w14:paraId="2E566600">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5.1 签署合同后，乙方应确定项目负责人（或项目联系人），负责与本合同有关的事务。</w:t>
      </w:r>
    </w:p>
    <w:p w14:paraId="76AFCB91">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1D002E3">
      <w:pPr>
        <w:pStyle w:val="7"/>
        <w:spacing w:line="400" w:lineRule="exact"/>
        <w:ind w:firstLine="422" w:firstLineChars="17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5.3乙方有权根据合同约定向甲方收取合同价款。</w:t>
      </w:r>
    </w:p>
    <w:p w14:paraId="0EA2CB8F">
      <w:pPr>
        <w:pStyle w:val="7"/>
        <w:spacing w:line="400" w:lineRule="exact"/>
        <w:ind w:firstLine="422" w:firstLineChars="17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5.4国家法律法规规定及</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约定应</w:t>
      </w:r>
      <w:r>
        <w:rPr>
          <w:rFonts w:hint="eastAsia" w:ascii="仿宋" w:hAnsi="仿宋" w:eastAsia="仿宋" w:cs="仿宋"/>
          <w:color w:val="000000"/>
          <w:sz w:val="24"/>
          <w:szCs w:val="24"/>
          <w:highlight w:val="none"/>
        </w:rPr>
        <w:t>由乙方承担的其他义务和责任。</w:t>
      </w:r>
    </w:p>
    <w:p w14:paraId="57EF25E0">
      <w:pPr>
        <w:numPr>
          <w:ilvl w:val="0"/>
          <w:numId w:val="9"/>
        </w:num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合同履行</w:t>
      </w:r>
    </w:p>
    <w:p w14:paraId="30DDB4F0">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6.1 甲乙双方应当按照</w:t>
      </w:r>
      <w:r>
        <w:rPr>
          <w:rFonts w:hint="eastAsia" w:ascii="仿宋" w:hAnsi="仿宋" w:eastAsia="仿宋" w:cs="仿宋"/>
          <w:b/>
          <w:bCs/>
          <w:sz w:val="24"/>
          <w:szCs w:val="24"/>
          <w:highlight w:val="none"/>
        </w:rPr>
        <w:t>【政府采购合同专用条款】</w:t>
      </w:r>
      <w:r>
        <w:rPr>
          <w:rFonts w:hint="eastAsia" w:ascii="仿宋" w:hAnsi="仿宋" w:eastAsia="仿宋" w:cs="仿宋"/>
          <w:color w:val="000000"/>
          <w:sz w:val="24"/>
          <w:szCs w:val="24"/>
          <w:highlight w:val="none"/>
        </w:rPr>
        <w:t>约定顺序履行合同义务；如果没有先后顺序的，应当同时履行。</w:t>
      </w:r>
    </w:p>
    <w:p w14:paraId="2C1314DF">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638D427D">
      <w:pPr>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7. 货物包装、运输、保险和交付要求</w:t>
      </w:r>
    </w:p>
    <w:p w14:paraId="0AD9BE8F">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7.1 本合同</w:t>
      </w:r>
      <w:r>
        <w:rPr>
          <w:rFonts w:hint="eastAsia" w:ascii="仿宋" w:hAnsi="仿宋" w:eastAsia="仿宋" w:cs="仿宋"/>
          <w:bCs/>
          <w:color w:val="000000"/>
          <w:sz w:val="24"/>
          <w:szCs w:val="24"/>
          <w:highlight w:val="none"/>
        </w:rPr>
        <w:t>涉及商品包装、快递包装的，</w:t>
      </w:r>
      <w:r>
        <w:rPr>
          <w:rFonts w:hint="eastAsia" w:ascii="仿宋" w:hAnsi="仿宋" w:eastAsia="仿宋" w:cs="仿宋"/>
          <w:color w:val="000000"/>
          <w:sz w:val="24"/>
          <w:szCs w:val="24"/>
          <w:highlight w:val="none"/>
        </w:rPr>
        <w:t>除</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另有约定外，</w:t>
      </w:r>
      <w:r>
        <w:rPr>
          <w:rFonts w:hint="eastAsia" w:ascii="仿宋" w:hAnsi="仿宋" w:eastAsia="仿宋" w:cs="仿宋"/>
          <w:color w:val="000000"/>
          <w:sz w:val="24"/>
          <w:szCs w:val="24"/>
          <w:highlight w:val="none"/>
        </w:rPr>
        <w:t>包装应适应远距离运输、防潮、防震、防锈和防野蛮装卸等要求，确保货物安全无损地运抵</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约定的</w:t>
      </w:r>
      <w:r>
        <w:rPr>
          <w:rFonts w:hint="eastAsia" w:ascii="仿宋" w:hAnsi="仿宋" w:eastAsia="仿宋" w:cs="仿宋"/>
          <w:color w:val="000000"/>
          <w:sz w:val="24"/>
          <w:szCs w:val="24"/>
          <w:highlight w:val="none"/>
        </w:rPr>
        <w:t>指定现场。</w:t>
      </w:r>
    </w:p>
    <w:p w14:paraId="029F52E6">
      <w:pPr>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7.2 除</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另有约定外，</w:t>
      </w:r>
      <w:r>
        <w:rPr>
          <w:rFonts w:hint="eastAsia" w:ascii="仿宋" w:hAnsi="仿宋" w:eastAsia="仿宋" w:cs="仿宋"/>
          <w:color w:val="000000"/>
          <w:sz w:val="24"/>
          <w:szCs w:val="24"/>
          <w:highlight w:val="none"/>
        </w:rPr>
        <w:t>乙方负责办理将货物运抵本合同规定的交货地点，并装卸、交付至甲方的一切运输事项，相关费用应包含在合同价款中。</w:t>
      </w:r>
    </w:p>
    <w:p w14:paraId="4DF27F55">
      <w:pPr>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7.3 货物保险要求按</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规定执行</w:t>
      </w:r>
      <w:r>
        <w:rPr>
          <w:rFonts w:hint="eastAsia" w:ascii="仿宋" w:hAnsi="仿宋" w:eastAsia="仿宋" w:cs="仿宋"/>
          <w:color w:val="000000"/>
          <w:sz w:val="24"/>
          <w:szCs w:val="24"/>
          <w:highlight w:val="none"/>
        </w:rPr>
        <w:t>。</w:t>
      </w:r>
    </w:p>
    <w:p w14:paraId="71E1B485">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E9D4B7D">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7.5 乙方在运输到达之前应提前通知甲方，并提示货物运输装卸的注意事项，甲方配合乙方做好货物的接收工作。</w:t>
      </w:r>
    </w:p>
    <w:p w14:paraId="25ED2ED4">
      <w:pPr>
        <w:pStyle w:val="63"/>
        <w:ind w:firstLine="420"/>
        <w:rPr>
          <w:rFonts w:hint="eastAsia" w:ascii="仿宋" w:hAnsi="仿宋" w:eastAsia="仿宋" w:cs="仿宋"/>
          <w:sz w:val="24"/>
          <w:szCs w:val="24"/>
          <w:highlight w:val="none"/>
        </w:rPr>
      </w:pPr>
      <w:r>
        <w:rPr>
          <w:rFonts w:hint="eastAsia" w:ascii="仿宋" w:hAnsi="仿宋" w:eastAsia="仿宋" w:cs="仿宋"/>
          <w:color w:val="000000"/>
          <w:kern w:val="2"/>
          <w:sz w:val="24"/>
          <w:szCs w:val="24"/>
          <w:highlight w:val="none"/>
        </w:rPr>
        <w:t>7.6 如因包装、运输问题导致货物损毁、丢失或者品质下降，甲方有权要求降价、换货、拒收部分或整批货物，由此产生的费用和损失，均由乙方承担。</w:t>
      </w:r>
    </w:p>
    <w:p w14:paraId="58085DC8">
      <w:pPr>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color w:val="000000"/>
          <w:sz w:val="24"/>
          <w:szCs w:val="24"/>
          <w:highlight w:val="none"/>
        </w:rPr>
        <w:t xml:space="preserve">8. </w:t>
      </w:r>
      <w:r>
        <w:rPr>
          <w:rFonts w:hint="eastAsia" w:ascii="仿宋" w:hAnsi="仿宋" w:eastAsia="仿宋" w:cs="仿宋"/>
          <w:b/>
          <w:sz w:val="24"/>
          <w:szCs w:val="24"/>
          <w:highlight w:val="none"/>
        </w:rPr>
        <w:t>质量标准和保证</w:t>
      </w:r>
    </w:p>
    <w:p w14:paraId="7BF94E2F">
      <w:pPr>
        <w:pStyle w:val="12"/>
        <w:adjustRightInd w:val="0"/>
        <w:snapToGrid w:val="0"/>
        <w:spacing w:line="400" w:lineRule="exact"/>
        <w:ind w:firstLine="480" w:firstLineChars="200"/>
        <w:jc w:val="left"/>
        <w:rPr>
          <w:rFonts w:hint="eastAsia" w:ascii="仿宋" w:hAnsi="仿宋" w:eastAsia="仿宋" w:cs="仿宋"/>
          <w:b/>
          <w:sz w:val="24"/>
          <w:szCs w:val="24"/>
          <w:highlight w:val="none"/>
        </w:rPr>
      </w:pPr>
      <w:r>
        <w:rPr>
          <w:rFonts w:hint="eastAsia" w:ascii="仿宋" w:hAnsi="仿宋" w:eastAsia="仿宋" w:cs="仿宋"/>
          <w:sz w:val="24"/>
          <w:szCs w:val="24"/>
          <w:highlight w:val="none"/>
        </w:rPr>
        <w:t>8.1 质量标准</w:t>
      </w:r>
    </w:p>
    <w:p w14:paraId="3CA27B18">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（1）本合同下提供的货物应符合合同</w:t>
      </w:r>
      <w:r>
        <w:rPr>
          <w:rFonts w:hint="eastAsia" w:ascii="仿宋" w:hAnsi="仿宋" w:eastAsia="仿宋" w:cs="仿宋"/>
          <w:color w:val="000000"/>
          <w:sz w:val="24"/>
          <w:szCs w:val="24"/>
          <w:highlight w:val="none"/>
        </w:rPr>
        <w:t>约定的</w:t>
      </w:r>
      <w:r>
        <w:rPr>
          <w:rFonts w:hint="eastAsia" w:ascii="仿宋" w:hAnsi="仿宋" w:eastAsia="仿宋" w:cs="仿宋"/>
          <w:sz w:val="24"/>
          <w:szCs w:val="24"/>
          <w:highlight w:val="none"/>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DB0294D">
      <w:pPr>
        <w:pStyle w:val="12"/>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（2）采用中华人民共和国法定计量单位。</w:t>
      </w:r>
    </w:p>
    <w:p w14:paraId="7D5288FA">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（3）乙方所提供的货物应符合国家有关安全、环保、卫生的规定。</w:t>
      </w:r>
    </w:p>
    <w:p w14:paraId="6CBB58CF">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1C35B0FF">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8.2 保证</w:t>
      </w:r>
    </w:p>
    <w:p w14:paraId="6F6AA209">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规定或乙方书面承诺（两者以较长的为准）的质量保证期内，本保证保持有效。</w:t>
      </w:r>
    </w:p>
    <w:p w14:paraId="25B5D908">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（2）在质量保证期内所发现的缺陷，甲方应尽快以书面形式通知乙方。</w:t>
      </w:r>
    </w:p>
    <w:p w14:paraId="4AF4FB13">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（3）乙方收到通知后，应在</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规定的响应时间内以合理的速度免费维修或更换有缺陷的货物或部件。</w:t>
      </w:r>
    </w:p>
    <w:p w14:paraId="5D20BA19">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szCs w:val="24"/>
          <w:highlight w:val="none"/>
        </w:rPr>
        <w:t>5</w:t>
      </w:r>
      <w:r>
        <w:rPr>
          <w:rFonts w:hint="eastAsia" w:ascii="仿宋" w:hAnsi="仿宋" w:eastAsia="仿宋" w:cs="仿宋"/>
          <w:sz w:val="24"/>
          <w:szCs w:val="24"/>
          <w:highlight w:val="none"/>
        </w:rPr>
        <w:t>.1条规定以书面形式</w:t>
      </w:r>
      <w:r>
        <w:rPr>
          <w:rFonts w:hint="eastAsia" w:ascii="仿宋" w:hAnsi="仿宋" w:eastAsia="仿宋" w:cs="仿宋"/>
          <w:color w:val="000000"/>
          <w:sz w:val="24"/>
          <w:szCs w:val="24"/>
          <w:highlight w:val="none"/>
        </w:rPr>
        <w:t>追究</w:t>
      </w:r>
      <w:r>
        <w:rPr>
          <w:rFonts w:hint="eastAsia" w:ascii="仿宋" w:hAnsi="仿宋" w:eastAsia="仿宋" w:cs="仿宋"/>
          <w:sz w:val="24"/>
          <w:szCs w:val="24"/>
          <w:highlight w:val="none"/>
        </w:rPr>
        <w:t>乙方</w:t>
      </w:r>
      <w:r>
        <w:rPr>
          <w:rFonts w:hint="eastAsia" w:ascii="仿宋" w:hAnsi="仿宋" w:eastAsia="仿宋" w:cs="仿宋"/>
          <w:color w:val="000000"/>
          <w:sz w:val="24"/>
          <w:szCs w:val="24"/>
          <w:highlight w:val="none"/>
        </w:rPr>
        <w:t>的违约责任</w:t>
      </w:r>
      <w:r>
        <w:rPr>
          <w:rFonts w:hint="eastAsia" w:ascii="仿宋" w:hAnsi="仿宋" w:eastAsia="仿宋" w:cs="仿宋"/>
          <w:sz w:val="24"/>
          <w:szCs w:val="24"/>
          <w:highlight w:val="none"/>
        </w:rPr>
        <w:t>。</w:t>
      </w:r>
    </w:p>
    <w:p w14:paraId="3BC0389F">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（5）乙方在约定的时间内未能弥补缺陷，甲方可采取必要的补救措施，但其风险和费用将由乙方承担，甲方根据合同约定对乙方行使的其他权利不受影响。</w:t>
      </w:r>
    </w:p>
    <w:p w14:paraId="23CBEBAB">
      <w:pPr>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9</w:t>
      </w:r>
      <w:r>
        <w:rPr>
          <w:rFonts w:hint="eastAsia" w:ascii="仿宋" w:hAnsi="仿宋" w:eastAsia="仿宋" w:cs="仿宋"/>
          <w:b/>
          <w:bCs/>
          <w:sz w:val="24"/>
          <w:szCs w:val="24"/>
          <w:highlight w:val="none"/>
        </w:rPr>
        <w:t>.</w:t>
      </w:r>
      <w:r>
        <w:rPr>
          <w:rFonts w:hint="eastAsia" w:ascii="仿宋" w:hAnsi="仿宋" w:eastAsia="仿宋" w:cs="仿宋"/>
          <w:b/>
          <w:bCs/>
          <w:color w:val="000000"/>
          <w:sz w:val="24"/>
          <w:szCs w:val="24"/>
          <w:highlight w:val="none"/>
        </w:rPr>
        <w:t xml:space="preserve"> </w:t>
      </w:r>
      <w:r>
        <w:rPr>
          <w:rFonts w:hint="eastAsia" w:ascii="仿宋" w:hAnsi="仿宋" w:eastAsia="仿宋" w:cs="仿宋"/>
          <w:b/>
          <w:bCs/>
          <w:sz w:val="24"/>
          <w:szCs w:val="24"/>
          <w:highlight w:val="none"/>
        </w:rPr>
        <w:t>权利瑕疵担保</w:t>
      </w:r>
    </w:p>
    <w:p w14:paraId="3B6DD529">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9.1 乙方保证对其出售的货物享有合法的权利。</w:t>
      </w:r>
    </w:p>
    <w:p w14:paraId="7D656CEE">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w:t>
      </w:r>
      <w:r>
        <w:rPr>
          <w:rFonts w:hint="eastAsia" w:ascii="仿宋" w:hAnsi="仿宋" w:eastAsia="仿宋" w:cs="仿宋"/>
          <w:sz w:val="24"/>
          <w:szCs w:val="24"/>
          <w:highlight w:val="none"/>
        </w:rPr>
        <w:t>乙方保证在交付的货物上不存在抵押权等担保物权。</w:t>
      </w:r>
    </w:p>
    <w:p w14:paraId="4EDFA98C">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9.3 如甲方使用上述货物构成对第三人侵权的，则由乙方承担全部责任。</w:t>
      </w:r>
    </w:p>
    <w:p w14:paraId="37C53F4C">
      <w:p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10. 知识产权保护</w:t>
      </w:r>
    </w:p>
    <w:p w14:paraId="0D5832D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10.1 乙方对其所销售的货物应当享有知识产权或经权利人合法授权，保证没有侵犯任</w:t>
      </w:r>
      <w:r>
        <w:rPr>
          <w:rFonts w:hint="eastAsia" w:ascii="仿宋" w:hAnsi="仿宋" w:eastAsia="仿宋" w:cs="仿宋"/>
          <w:sz w:val="24"/>
          <w:szCs w:val="24"/>
          <w:highlight w:val="none"/>
        </w:rPr>
        <w:t>何第三人的知识产权等权利。</w:t>
      </w:r>
      <w:bookmarkStart w:id="77" w:name="_Hlk163047038"/>
      <w:r>
        <w:rPr>
          <w:rFonts w:hint="eastAsia" w:ascii="仿宋" w:hAnsi="仿宋" w:eastAsia="仿宋" w:cs="仿宋"/>
          <w:sz w:val="24"/>
          <w:szCs w:val="24"/>
          <w:highlight w:val="none"/>
        </w:rPr>
        <w:t>因违反前述约定对第三人构成侵权的，应当由乙方向第三人承担法律责任；甲方依法向第三人赔偿后，有权向乙方追偿。甲方有其他损失的，乙方应当赔偿</w:t>
      </w:r>
      <w:bookmarkEnd w:id="77"/>
      <w:r>
        <w:rPr>
          <w:rFonts w:hint="eastAsia" w:ascii="仿宋" w:hAnsi="仿宋" w:eastAsia="仿宋" w:cs="仿宋"/>
          <w:sz w:val="24"/>
          <w:szCs w:val="24"/>
          <w:highlight w:val="none"/>
        </w:rPr>
        <w:t>。</w:t>
      </w:r>
    </w:p>
    <w:p w14:paraId="5AA7EAEB">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 保密义务</w:t>
      </w:r>
    </w:p>
    <w:p w14:paraId="216D7F1B">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中约定。</w:t>
      </w:r>
    </w:p>
    <w:p w14:paraId="20E41B21">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12. 合同价款支付</w:t>
      </w:r>
    </w:p>
    <w:p w14:paraId="6011FBC8">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12.1 合同价款支付按照国库集中支付制度及财政管理相关规定执行。</w:t>
      </w:r>
    </w:p>
    <w:p w14:paraId="4BD48DEB">
      <w:pPr>
        <w:pStyle w:val="3"/>
        <w:tabs>
          <w:tab w:val="left" w:pos="0"/>
          <w:tab w:val="left" w:pos="420"/>
          <w:tab w:val="left" w:pos="1152"/>
        </w:tabs>
        <w:spacing w:line="400" w:lineRule="exact"/>
        <w:ind w:firstLine="480" w:firstLineChars="200"/>
        <w:rPr>
          <w:rFonts w:hint="eastAsia" w:ascii="仿宋" w:hAnsi="仿宋" w:eastAsia="仿宋" w:cs="仿宋"/>
          <w:sz w:val="24"/>
          <w:szCs w:val="24"/>
          <w:highlight w:val="none"/>
        </w:rPr>
      </w:pPr>
      <w:bookmarkStart w:id="78" w:name="_Toc16436"/>
      <w:r>
        <w:rPr>
          <w:rFonts w:hint="eastAsia" w:ascii="仿宋" w:hAnsi="仿宋" w:eastAsia="仿宋" w:cs="仿宋"/>
          <w:b w:val="0"/>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Cs/>
          <w:sz w:val="24"/>
          <w:szCs w:val="24"/>
          <w:highlight w:val="none"/>
        </w:rPr>
        <w:t>政府采购合同专用条款</w:t>
      </w:r>
      <w:r>
        <w:rPr>
          <w:rFonts w:hint="eastAsia" w:ascii="仿宋" w:hAnsi="仿宋" w:eastAsia="仿宋" w:cs="仿宋"/>
          <w:b w:val="0"/>
          <w:sz w:val="24"/>
          <w:szCs w:val="24"/>
          <w:highlight w:val="none"/>
        </w:rPr>
        <w:t>】中约定。</w:t>
      </w:r>
      <w:bookmarkEnd w:id="78"/>
    </w:p>
    <w:p w14:paraId="51204968">
      <w:pPr>
        <w:pStyle w:val="7"/>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13. 履约保证金</w:t>
      </w:r>
    </w:p>
    <w:p w14:paraId="75915798">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13.1 乙方应当以支票、汇票、本票或者金融机构、担保机构出具的保函等非现金形式提交。</w:t>
      </w:r>
    </w:p>
    <w:p w14:paraId="47BB6ED1">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13.2 如果乙方出现</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06FB80FE">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13.3 甲方在项目通过验收后按照</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规定的时间内将履约保证金退还乙方；逾期退还的，乙方可要求甲方支付违约金，违约金按照</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规定支付。</w:t>
      </w:r>
    </w:p>
    <w:p w14:paraId="286732F5">
      <w:pPr>
        <w:autoSpaceDE w:val="0"/>
        <w:autoSpaceDN w:val="0"/>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14. </w:t>
      </w:r>
      <w:r>
        <w:rPr>
          <w:rFonts w:hint="eastAsia" w:ascii="仿宋" w:hAnsi="仿宋" w:eastAsia="仿宋" w:cs="仿宋"/>
          <w:b/>
          <w:sz w:val="24"/>
          <w:szCs w:val="24"/>
          <w:highlight w:val="none"/>
        </w:rPr>
        <w:t>售后服务</w:t>
      </w:r>
    </w:p>
    <w:p w14:paraId="15420D49">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14.1 除项目不涉及或采购活动中明确约定无须承担外，乙方还应提供下列服务：</w:t>
      </w:r>
    </w:p>
    <w:p w14:paraId="1C9A09DA">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（1）货物的现场移动、安装、调试、启动监督及技术支持；</w:t>
      </w:r>
    </w:p>
    <w:p w14:paraId="6317DC1D">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（2）提供货物组装和维修所需的专用工具和辅助材料；</w:t>
      </w:r>
    </w:p>
    <w:p w14:paraId="1D9B49C1">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约定的期限内对所有的货物实施运行监督、维修，但前提条件是该服务并不能免除乙方在质量保证期内所承担的义务；</w:t>
      </w:r>
    </w:p>
    <w:p w14:paraId="5FF0D0F7">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（4）在制造商所在地或指定现场就货物的安装、启动、运营、维护、废弃处置等对甲方操作人员进行培训；</w:t>
      </w:r>
    </w:p>
    <w:p w14:paraId="040EBA41">
      <w:pPr>
        <w:pStyle w:val="63"/>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（5）依照法律、行政法规的规定或者按照</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约定，货物在有效使用年限届满后应予回收的，乙方负有自行或者委托第三人对货物予以回收的义务；</w:t>
      </w:r>
    </w:p>
    <w:p w14:paraId="5839DE0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规定由乙方提供的其他服务。</w:t>
      </w:r>
    </w:p>
    <w:p w14:paraId="42C911DD">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14.2 乙方提供的售后服务的费用已包含在合同价款中，甲方不再另行支付。</w:t>
      </w:r>
    </w:p>
    <w:p w14:paraId="62F06DDD">
      <w:pPr>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15. 违约责任</w:t>
      </w:r>
    </w:p>
    <w:p w14:paraId="56FAC4CA">
      <w:pPr>
        <w:adjustRightInd w:val="0"/>
        <w:snapToGrid w:val="0"/>
        <w:spacing w:line="400" w:lineRule="exact"/>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15.1质量瑕疵的违约责任</w:t>
      </w:r>
    </w:p>
    <w:p w14:paraId="7DA7349A">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乙方提供的产品不符合合同约定的质量标准或存在产品质量缺陷，甲方有权要求乙方根据</w:t>
      </w:r>
      <w:r>
        <w:rPr>
          <w:rFonts w:hint="eastAsia" w:ascii="仿宋" w:hAnsi="仿宋" w:eastAsia="仿宋" w:cs="仿宋"/>
          <w:b/>
          <w:sz w:val="24"/>
          <w:szCs w:val="24"/>
          <w:highlight w:val="none"/>
        </w:rPr>
        <w:t>【政府采购合同专用条款】</w:t>
      </w:r>
      <w:r>
        <w:rPr>
          <w:rFonts w:hint="eastAsia" w:ascii="仿宋" w:hAnsi="仿宋" w:eastAsia="仿宋" w:cs="仿宋"/>
          <w:bCs/>
          <w:sz w:val="24"/>
          <w:szCs w:val="24"/>
          <w:highlight w:val="none"/>
        </w:rPr>
        <w:t>要求</w:t>
      </w:r>
      <w:r>
        <w:rPr>
          <w:rFonts w:hint="eastAsia" w:ascii="仿宋" w:hAnsi="仿宋" w:eastAsia="仿宋" w:cs="仿宋"/>
          <w:sz w:val="24"/>
          <w:szCs w:val="24"/>
          <w:highlight w:val="none"/>
        </w:rPr>
        <w:t>及时修理、重作、更换，并承担由此给甲方造成的损失。</w:t>
      </w:r>
    </w:p>
    <w:p w14:paraId="2F039252">
      <w:pPr>
        <w:autoSpaceDE w:val="0"/>
        <w:autoSpaceDN w:val="0"/>
        <w:adjustRightInd w:val="0"/>
        <w:snapToGrid w:val="0"/>
        <w:spacing w:line="400" w:lineRule="exact"/>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15.2 迟延交货的违约责任</w:t>
      </w:r>
    </w:p>
    <w:p w14:paraId="6EF815A0">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8A5348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规定执行。如果涉及公共利益，且赔偿金额无法弥补公共利益损失，甲方可要求继续履行或者采取其他补救措施。</w:t>
      </w:r>
    </w:p>
    <w:p w14:paraId="60066D5E">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15.3 迟延支付的违约责任</w:t>
      </w:r>
    </w:p>
    <w:p w14:paraId="070130A3">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甲方存在迟延支付乙方合同款项的，应当承担</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规定的逾期付款利息。</w:t>
      </w:r>
    </w:p>
    <w:p w14:paraId="2550E131">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15.4其他违约责任根据项目实际需要按</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规定执行。</w:t>
      </w:r>
    </w:p>
    <w:p w14:paraId="4F380EF4">
      <w:pPr>
        <w:numPr>
          <w:ilvl w:val="0"/>
          <w:numId w:val="10"/>
        </w:numPr>
        <w:autoSpaceDE w:val="0"/>
        <w:autoSpaceDN w:val="0"/>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合同变更、中止与终止</w:t>
      </w:r>
    </w:p>
    <w:p w14:paraId="3278636E">
      <w:pPr>
        <w:adjustRightInd w:val="0"/>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16.1合同的变更</w:t>
      </w:r>
    </w:p>
    <w:p w14:paraId="5680639E">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政府采购合同履行中，在不改变合同其他条款的前提下，甲方可以在合同价款10%的范围内追加与合同标的相同的货物，并就此与乙方协商一致后签订补充协议。</w:t>
      </w:r>
    </w:p>
    <w:p w14:paraId="3B76AB50">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16.2合同的中止</w:t>
      </w:r>
    </w:p>
    <w:p w14:paraId="6A803760">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（1）合同履行过程中因供应商就采购文件、采购过程或结果提起投诉的，甲方认为有必要的，可以中止合同的履行。</w:t>
      </w:r>
    </w:p>
    <w:p w14:paraId="79D5BADF">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0B1DEBE">
      <w:pPr>
        <w:pStyle w:val="63"/>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4EBEF4E3">
      <w:pPr>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（4）甲方不得以行政区划调整、政府换届、机构或者职能调整以及相关责任人更替为由中止合同。</w:t>
      </w:r>
    </w:p>
    <w:p w14:paraId="39CDCDBF">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16.3合同的终止</w:t>
      </w:r>
    </w:p>
    <w:p w14:paraId="202E1730">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（1）合同因有效期限届满而终止；</w:t>
      </w:r>
    </w:p>
    <w:p w14:paraId="66C1E3F4">
      <w:pPr>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（2）乙方未按合同约定履行，构成根本性违约的，甲方有权终止合同，并追究乙方的违约责任。</w:t>
      </w:r>
    </w:p>
    <w:p w14:paraId="203DF311">
      <w:pPr>
        <w:pStyle w:val="63"/>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16.4 </w:t>
      </w:r>
      <w:r>
        <w:rPr>
          <w:rFonts w:hint="eastAsia" w:ascii="仿宋" w:hAnsi="仿宋" w:eastAsia="仿宋" w:cs="仿宋"/>
          <w:kern w:val="2"/>
          <w:sz w:val="24"/>
          <w:szCs w:val="24"/>
          <w:highlight w:val="none"/>
        </w:rPr>
        <w:t>涉及国家利益、社会公共利益的情形</w:t>
      </w:r>
    </w:p>
    <w:p w14:paraId="09F79196">
      <w:pPr>
        <w:pStyle w:val="63"/>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7366A7FC">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17. 合同分包</w:t>
      </w:r>
    </w:p>
    <w:p w14:paraId="540A4250">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17.1 乙方不得将合同转包给其他供应商。涉及合同分包的，乙方应根据采购文件和投标（响应）文件规定进行合同分包。</w:t>
      </w:r>
    </w:p>
    <w:p w14:paraId="62DBCA5D">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 乙方执行政府采购政策向中小企业依法分包的，乙方应当按采购文件和投标（响应）文件签订分包意向协议，分包意向协议属于本合同组成部分。</w:t>
      </w:r>
    </w:p>
    <w:p w14:paraId="09851AB8">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18. 不可抗力</w:t>
      </w:r>
    </w:p>
    <w:p w14:paraId="78E5E93A">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18.1 不可抗力是指合同双方不能预见、不能避免且不能克服的客观情况。</w:t>
      </w:r>
    </w:p>
    <w:p w14:paraId="6DDCDCE7">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18.2 任何一方对由于不可抗力造成的部分或全部不能履行合同不承担违约责任。但迟延履行后发生不可抗力的，不能免除责任。</w:t>
      </w:r>
    </w:p>
    <w:p w14:paraId="6699528F">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32F7B52">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19. 解决争议的方法</w:t>
      </w:r>
    </w:p>
    <w:p w14:paraId="5504D890">
      <w:pPr>
        <w:pStyle w:val="63"/>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39B0AEB">
      <w:pPr>
        <w:pStyle w:val="63"/>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19.2 选择仲裁的，应在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中明确仲裁机构及仲裁地；通过诉讼方式解决的，可以在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中进一步约定选择与争议有实际联系的地点的人民法院管辖，但管辖法院的约定不得违反级别管辖和专属管辖的规定。</w:t>
      </w:r>
    </w:p>
    <w:p w14:paraId="4A64A90C">
      <w:pPr>
        <w:pStyle w:val="63"/>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19.3 如甲乙双方有争议的事项不影响合同其他部分的履行，在争议解决期间，合同其他部分应当继续履行。</w:t>
      </w:r>
    </w:p>
    <w:p w14:paraId="3B3A1AB8">
      <w:pPr>
        <w:autoSpaceDE w:val="0"/>
        <w:autoSpaceDN w:val="0"/>
        <w:adjustRightInd w:val="0"/>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b/>
          <w:sz w:val="24"/>
          <w:szCs w:val="24"/>
          <w:highlight w:val="none"/>
        </w:rPr>
        <w:t>20. 政府采购政策</w:t>
      </w:r>
    </w:p>
    <w:p w14:paraId="4C187EAC">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 </w:t>
      </w:r>
      <w:r>
        <w:rPr>
          <w:rFonts w:hint="eastAsia" w:ascii="仿宋" w:hAnsi="仿宋" w:eastAsia="仿宋" w:cs="仿宋"/>
          <w:sz w:val="24"/>
          <w:szCs w:val="24"/>
          <w:highlight w:val="none"/>
          <w:lang w:val="en-GB"/>
        </w:rPr>
        <w:t>本合同应当按照规定执行政府采购政策。</w:t>
      </w:r>
    </w:p>
    <w:p w14:paraId="61712C0C">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20.2 本合同依法执行政府采购政策的方式和内容，属于合同履约验收的范围。甲乙双方</w:t>
      </w:r>
      <w:r>
        <w:rPr>
          <w:rFonts w:hint="eastAsia" w:ascii="仿宋" w:hAnsi="仿宋" w:eastAsia="仿宋" w:cs="仿宋"/>
          <w:sz w:val="24"/>
          <w:szCs w:val="24"/>
          <w:highlight w:val="none"/>
          <w:lang w:val="en-GB"/>
        </w:rPr>
        <w:t>未按规定要求执行政府采购政策造成损失的</w:t>
      </w:r>
      <w:r>
        <w:rPr>
          <w:rFonts w:hint="eastAsia" w:ascii="仿宋" w:hAnsi="仿宋" w:eastAsia="仿宋" w:cs="仿宋"/>
          <w:sz w:val="24"/>
          <w:szCs w:val="24"/>
          <w:highlight w:val="none"/>
        </w:rPr>
        <w:t>，有过错的一方应当承担赔偿责任，双方都有过错的，各自承担相应的责任。</w:t>
      </w:r>
    </w:p>
    <w:p w14:paraId="2DB23614">
      <w:pPr>
        <w:pStyle w:val="7"/>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A7DF019">
      <w:pPr>
        <w:autoSpaceDE w:val="0"/>
        <w:autoSpaceDN w:val="0"/>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21. 法律适用</w:t>
      </w:r>
    </w:p>
    <w:p w14:paraId="34AC1DF8">
      <w:pPr>
        <w:pStyle w:val="63"/>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21.1 本合同的订立、生效、解释、履行及与本合同有关的争议解决，均适用法律、行政法规。</w:t>
      </w:r>
    </w:p>
    <w:p w14:paraId="0FE5DD79">
      <w:pPr>
        <w:pStyle w:val="63"/>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21.2 本合同条款与法律、行政法规的强制性规定不一致的，双方当事人应按照法律、行政法规的强制性规定修改本合同的相关条款。</w:t>
      </w:r>
    </w:p>
    <w:p w14:paraId="3FF88390">
      <w:pPr>
        <w:autoSpaceDE w:val="0"/>
        <w:autoSpaceDN w:val="0"/>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22. 通知</w:t>
      </w:r>
    </w:p>
    <w:p w14:paraId="76E1F7DA">
      <w:pPr>
        <w:pStyle w:val="63"/>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22.1 本合同任何一方向对方发出的通知、信件、数据电文等，应当发送至本合同第一部分《政府采购合同协议书》所约定的通讯地址、联系人、联系电话或电子邮箱。</w:t>
      </w:r>
    </w:p>
    <w:p w14:paraId="380B9BC4">
      <w:pPr>
        <w:pStyle w:val="63"/>
        <w:ind w:firstLine="0"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0802A803">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22.3本合同一方给另一方的通知均应采用书面形式，传真或快递送到本合同中规定的对方的地址和办理签收手续。</w:t>
      </w:r>
    </w:p>
    <w:p w14:paraId="37AEEADA">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22.4通知以送达之日或通知书中规定的生效之日起生效，两者中以较迟之日为准。</w:t>
      </w:r>
    </w:p>
    <w:p w14:paraId="1500E8BF">
      <w:pPr>
        <w:numPr>
          <w:ilvl w:val="0"/>
          <w:numId w:val="11"/>
        </w:numPr>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合同未尽事项</w:t>
      </w:r>
    </w:p>
    <w:p w14:paraId="58967579">
      <w:pPr>
        <w:adjustRightInd w:val="0"/>
        <w:snapToGrid w:val="0"/>
        <w:spacing w:line="400" w:lineRule="exact"/>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23.1合同未尽事项见</w:t>
      </w:r>
      <w:r>
        <w:rPr>
          <w:rFonts w:hint="eastAsia" w:ascii="仿宋" w:hAnsi="仿宋" w:eastAsia="仿宋" w:cs="仿宋"/>
          <w:b/>
          <w:sz w:val="24"/>
          <w:szCs w:val="24"/>
          <w:highlight w:val="none"/>
        </w:rPr>
        <w:t>【政府采购合同专用条款】</w:t>
      </w:r>
      <w:r>
        <w:rPr>
          <w:rFonts w:hint="eastAsia" w:ascii="仿宋" w:hAnsi="仿宋" w:eastAsia="仿宋" w:cs="仿宋"/>
          <w:bCs/>
          <w:sz w:val="24"/>
          <w:szCs w:val="24"/>
          <w:highlight w:val="none"/>
        </w:rPr>
        <w:t>。</w:t>
      </w:r>
    </w:p>
    <w:p w14:paraId="3C5B4721">
      <w:pPr>
        <w:adjustRightInd w:val="0"/>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    23.2 合同附件与合同正文具有同等的法律效力。</w:t>
      </w:r>
      <w:bookmarkStart w:id="79" w:name="_Toc20313"/>
    </w:p>
    <w:p w14:paraId="009A69D9">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9ED9AF1">
      <w:pPr>
        <w:pStyle w:val="3"/>
        <w:tabs>
          <w:tab w:val="left" w:pos="0"/>
          <w:tab w:val="left" w:pos="420"/>
          <w:tab w:val="left" w:pos="1152"/>
        </w:tabs>
        <w:adjustRightInd w:val="0"/>
        <w:snapToGrid w:val="0"/>
        <w:jc w:val="center"/>
        <w:rPr>
          <w:rFonts w:hint="eastAsia" w:ascii="仿宋" w:hAnsi="仿宋" w:eastAsia="仿宋" w:cs="仿宋"/>
          <w:b w:val="0"/>
          <w:sz w:val="28"/>
          <w:szCs w:val="28"/>
          <w:highlight w:val="none"/>
        </w:rPr>
      </w:pPr>
      <w:bookmarkStart w:id="80" w:name="_Toc20015"/>
      <w:r>
        <w:rPr>
          <w:rFonts w:hint="eastAsia" w:ascii="仿宋" w:hAnsi="仿宋" w:eastAsia="仿宋" w:cs="仿宋"/>
          <w:b w:val="0"/>
          <w:sz w:val="28"/>
          <w:szCs w:val="28"/>
          <w:highlight w:val="none"/>
        </w:rPr>
        <w:t>第三节 政府采购合同专用条款</w:t>
      </w:r>
      <w:bookmarkEnd w:id="79"/>
      <w:bookmarkEnd w:id="80"/>
    </w:p>
    <w:tbl>
      <w:tblPr>
        <w:tblStyle w:val="20"/>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06"/>
        <w:gridCol w:w="1852"/>
        <w:gridCol w:w="5499"/>
      </w:tblGrid>
      <w:tr w14:paraId="4DB60A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4B1DB004">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1B21FA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第1.2（6）项</w:t>
            </w:r>
          </w:p>
        </w:tc>
        <w:tc>
          <w:tcPr>
            <w:tcW w:w="1022" w:type="pct"/>
            <w:noWrap w:val="0"/>
            <w:vAlign w:val="center"/>
          </w:tcPr>
          <w:p w14:paraId="4A356708">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联合体具体要求</w:t>
            </w:r>
          </w:p>
        </w:tc>
        <w:tc>
          <w:tcPr>
            <w:tcW w:w="3035" w:type="pct"/>
            <w:noWrap w:val="0"/>
            <w:vAlign w:val="center"/>
          </w:tcPr>
          <w:p w14:paraId="156C18A9">
            <w:pPr>
              <w:adjustRightInd w:val="0"/>
              <w:snapToGrid w:val="0"/>
              <w:jc w:val="left"/>
              <w:rPr>
                <w:rFonts w:hint="eastAsia" w:ascii="仿宋" w:hAnsi="仿宋" w:eastAsia="仿宋" w:cs="仿宋"/>
                <w:sz w:val="21"/>
                <w:szCs w:val="21"/>
                <w:highlight w:val="none"/>
              </w:rPr>
            </w:pPr>
          </w:p>
        </w:tc>
      </w:tr>
      <w:tr w14:paraId="71E745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60D9A0A0">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1279994">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第1.2（7）项</w:t>
            </w:r>
          </w:p>
        </w:tc>
        <w:tc>
          <w:tcPr>
            <w:tcW w:w="1022" w:type="pct"/>
            <w:noWrap w:val="0"/>
            <w:vAlign w:val="center"/>
          </w:tcPr>
          <w:p w14:paraId="4388CB2D">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其他术语解释</w:t>
            </w:r>
          </w:p>
        </w:tc>
        <w:tc>
          <w:tcPr>
            <w:tcW w:w="3035" w:type="pct"/>
            <w:noWrap w:val="0"/>
            <w:vAlign w:val="center"/>
          </w:tcPr>
          <w:p w14:paraId="7E61B143">
            <w:pPr>
              <w:adjustRightInd w:val="0"/>
              <w:snapToGrid w:val="0"/>
              <w:jc w:val="left"/>
              <w:rPr>
                <w:rFonts w:hint="eastAsia" w:ascii="仿宋" w:hAnsi="仿宋" w:eastAsia="仿宋" w:cs="仿宋"/>
                <w:sz w:val="21"/>
                <w:szCs w:val="21"/>
                <w:highlight w:val="none"/>
              </w:rPr>
            </w:pPr>
          </w:p>
        </w:tc>
      </w:tr>
      <w:tr w14:paraId="0C45AD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278F5C2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20DFE16">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第4.4款</w:t>
            </w:r>
          </w:p>
        </w:tc>
        <w:tc>
          <w:tcPr>
            <w:tcW w:w="1022" w:type="pct"/>
            <w:noWrap w:val="0"/>
            <w:vAlign w:val="center"/>
          </w:tcPr>
          <w:p w14:paraId="0DA974FC">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履约验收中甲方提出异议或作出说明的期限</w:t>
            </w:r>
          </w:p>
        </w:tc>
        <w:tc>
          <w:tcPr>
            <w:tcW w:w="3035" w:type="pct"/>
            <w:noWrap w:val="0"/>
            <w:vAlign w:val="center"/>
          </w:tcPr>
          <w:p w14:paraId="3B4FE8CF">
            <w:pPr>
              <w:adjustRightInd w:val="0"/>
              <w:snapToGrid w:val="0"/>
              <w:jc w:val="left"/>
              <w:rPr>
                <w:rFonts w:hint="eastAsia" w:ascii="仿宋" w:hAnsi="仿宋" w:eastAsia="仿宋" w:cs="仿宋"/>
                <w:sz w:val="21"/>
                <w:szCs w:val="21"/>
                <w:highlight w:val="none"/>
              </w:rPr>
            </w:pPr>
          </w:p>
        </w:tc>
      </w:tr>
      <w:tr w14:paraId="5C59E2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5D24077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7ECA046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第4.6款</w:t>
            </w:r>
          </w:p>
        </w:tc>
        <w:tc>
          <w:tcPr>
            <w:tcW w:w="1022" w:type="pct"/>
            <w:noWrap w:val="0"/>
            <w:vAlign w:val="center"/>
          </w:tcPr>
          <w:p w14:paraId="530A618A">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约定甲方承担的其他义务和责任</w:t>
            </w:r>
          </w:p>
        </w:tc>
        <w:tc>
          <w:tcPr>
            <w:tcW w:w="3035" w:type="pct"/>
            <w:noWrap w:val="0"/>
            <w:vAlign w:val="center"/>
          </w:tcPr>
          <w:p w14:paraId="45B446AF">
            <w:pPr>
              <w:adjustRightInd w:val="0"/>
              <w:snapToGrid w:val="0"/>
              <w:jc w:val="left"/>
              <w:rPr>
                <w:rFonts w:hint="eastAsia" w:ascii="仿宋" w:hAnsi="仿宋" w:eastAsia="仿宋" w:cs="仿宋"/>
                <w:sz w:val="21"/>
                <w:szCs w:val="21"/>
                <w:highlight w:val="none"/>
              </w:rPr>
            </w:pPr>
          </w:p>
        </w:tc>
      </w:tr>
      <w:tr w14:paraId="24E860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1B1510A1">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1DB9952">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第5.4款</w:t>
            </w:r>
          </w:p>
        </w:tc>
        <w:tc>
          <w:tcPr>
            <w:tcW w:w="1022" w:type="pct"/>
            <w:noWrap w:val="0"/>
            <w:vAlign w:val="center"/>
          </w:tcPr>
          <w:p w14:paraId="6A69364B">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约定乙方承担的其他义务和责任</w:t>
            </w:r>
          </w:p>
        </w:tc>
        <w:tc>
          <w:tcPr>
            <w:tcW w:w="3035" w:type="pct"/>
            <w:noWrap w:val="0"/>
            <w:vAlign w:val="center"/>
          </w:tcPr>
          <w:p w14:paraId="64E1B6A7">
            <w:pPr>
              <w:adjustRightInd w:val="0"/>
              <w:snapToGrid w:val="0"/>
              <w:jc w:val="left"/>
              <w:rPr>
                <w:rFonts w:hint="eastAsia" w:ascii="仿宋" w:hAnsi="仿宋" w:eastAsia="仿宋" w:cs="仿宋"/>
                <w:sz w:val="21"/>
                <w:szCs w:val="21"/>
                <w:highlight w:val="none"/>
              </w:rPr>
            </w:pPr>
          </w:p>
        </w:tc>
      </w:tr>
      <w:tr w14:paraId="56194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654EA9AC">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5D738842">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第6.1款</w:t>
            </w:r>
          </w:p>
        </w:tc>
        <w:tc>
          <w:tcPr>
            <w:tcW w:w="1022" w:type="pct"/>
            <w:noWrap w:val="0"/>
            <w:vAlign w:val="center"/>
          </w:tcPr>
          <w:p w14:paraId="0FD11AA6">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履行合同义务的顺序</w:t>
            </w:r>
          </w:p>
        </w:tc>
        <w:tc>
          <w:tcPr>
            <w:tcW w:w="3035" w:type="pct"/>
            <w:noWrap w:val="0"/>
            <w:vAlign w:val="center"/>
          </w:tcPr>
          <w:p w14:paraId="513F7786">
            <w:pPr>
              <w:adjustRightInd w:val="0"/>
              <w:snapToGrid w:val="0"/>
              <w:jc w:val="left"/>
              <w:rPr>
                <w:rFonts w:hint="eastAsia" w:ascii="仿宋" w:hAnsi="仿宋" w:eastAsia="仿宋" w:cs="仿宋"/>
                <w:sz w:val="21"/>
                <w:szCs w:val="21"/>
                <w:highlight w:val="none"/>
              </w:rPr>
            </w:pPr>
          </w:p>
        </w:tc>
      </w:tr>
      <w:tr w14:paraId="6098DD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Merge w:val="restart"/>
            <w:noWrap w:val="0"/>
            <w:vAlign w:val="center"/>
          </w:tcPr>
          <w:p w14:paraId="2C5456A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78BB1B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第7.1款</w:t>
            </w:r>
          </w:p>
        </w:tc>
        <w:tc>
          <w:tcPr>
            <w:tcW w:w="1022" w:type="pct"/>
            <w:noWrap w:val="0"/>
            <w:vAlign w:val="center"/>
          </w:tcPr>
          <w:p w14:paraId="0C903D32">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包装特殊要求</w:t>
            </w:r>
          </w:p>
        </w:tc>
        <w:tc>
          <w:tcPr>
            <w:tcW w:w="3035" w:type="pct"/>
            <w:noWrap w:val="0"/>
            <w:vAlign w:val="center"/>
          </w:tcPr>
          <w:p w14:paraId="3BE7F6BC">
            <w:pPr>
              <w:rPr>
                <w:rFonts w:hint="eastAsia" w:ascii="仿宋" w:hAnsi="仿宋" w:eastAsia="仿宋" w:cs="仿宋"/>
                <w:sz w:val="21"/>
                <w:szCs w:val="21"/>
                <w:highlight w:val="none"/>
              </w:rPr>
            </w:pPr>
          </w:p>
        </w:tc>
      </w:tr>
      <w:tr w14:paraId="7D2A7E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Merge w:val="continue"/>
            <w:noWrap w:val="0"/>
            <w:vAlign w:val="center"/>
          </w:tcPr>
          <w:p w14:paraId="139EAEEE">
            <w:pPr>
              <w:adjustRightInd w:val="0"/>
              <w:snapToGrid w:val="0"/>
              <w:jc w:val="center"/>
              <w:rPr>
                <w:rFonts w:hint="eastAsia" w:ascii="仿宋" w:hAnsi="仿宋" w:eastAsia="仿宋" w:cs="仿宋"/>
                <w:sz w:val="21"/>
                <w:szCs w:val="21"/>
                <w:highlight w:val="none"/>
              </w:rPr>
            </w:pPr>
          </w:p>
        </w:tc>
        <w:tc>
          <w:tcPr>
            <w:tcW w:w="1022" w:type="pct"/>
            <w:noWrap w:val="0"/>
            <w:vAlign w:val="center"/>
          </w:tcPr>
          <w:p w14:paraId="1C0A1A79">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指定现场</w:t>
            </w:r>
          </w:p>
        </w:tc>
        <w:tc>
          <w:tcPr>
            <w:tcW w:w="3035" w:type="pct"/>
            <w:noWrap w:val="0"/>
            <w:vAlign w:val="center"/>
          </w:tcPr>
          <w:p w14:paraId="0FEFB349">
            <w:pPr>
              <w:rPr>
                <w:rFonts w:hint="eastAsia" w:ascii="仿宋" w:hAnsi="仿宋" w:eastAsia="仿宋" w:cs="仿宋"/>
                <w:sz w:val="21"/>
                <w:szCs w:val="21"/>
                <w:highlight w:val="none"/>
              </w:rPr>
            </w:pPr>
          </w:p>
        </w:tc>
      </w:tr>
      <w:tr w14:paraId="05336C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7A8B8D4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22D48B4C">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第7.2款</w:t>
            </w:r>
          </w:p>
        </w:tc>
        <w:tc>
          <w:tcPr>
            <w:tcW w:w="1022" w:type="pct"/>
            <w:noWrap w:val="0"/>
            <w:vAlign w:val="center"/>
          </w:tcPr>
          <w:p w14:paraId="6D1B5C4A">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运输特殊要求</w:t>
            </w:r>
          </w:p>
        </w:tc>
        <w:tc>
          <w:tcPr>
            <w:tcW w:w="3035" w:type="pct"/>
            <w:noWrap w:val="0"/>
            <w:vAlign w:val="center"/>
          </w:tcPr>
          <w:p w14:paraId="63DB585E">
            <w:pPr>
              <w:rPr>
                <w:rFonts w:hint="eastAsia" w:ascii="仿宋" w:hAnsi="仿宋" w:eastAsia="仿宋" w:cs="仿宋"/>
                <w:sz w:val="21"/>
                <w:szCs w:val="21"/>
                <w:highlight w:val="none"/>
              </w:rPr>
            </w:pPr>
          </w:p>
        </w:tc>
      </w:tr>
      <w:tr w14:paraId="4ED80D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1DA50B20">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557AE31">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第7.3款</w:t>
            </w:r>
          </w:p>
        </w:tc>
        <w:tc>
          <w:tcPr>
            <w:tcW w:w="1022" w:type="pct"/>
            <w:noWrap w:val="0"/>
            <w:vAlign w:val="center"/>
          </w:tcPr>
          <w:p w14:paraId="51D80A07">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保险要求</w:t>
            </w:r>
          </w:p>
        </w:tc>
        <w:tc>
          <w:tcPr>
            <w:tcW w:w="3035" w:type="pct"/>
            <w:noWrap w:val="0"/>
            <w:vAlign w:val="center"/>
          </w:tcPr>
          <w:p w14:paraId="53332A9E">
            <w:pPr>
              <w:rPr>
                <w:rFonts w:hint="eastAsia" w:ascii="仿宋" w:hAnsi="仿宋" w:eastAsia="仿宋" w:cs="仿宋"/>
                <w:sz w:val="21"/>
                <w:szCs w:val="21"/>
                <w:highlight w:val="none"/>
              </w:rPr>
            </w:pPr>
          </w:p>
        </w:tc>
      </w:tr>
      <w:tr w14:paraId="783160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3087E8A5">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2D7F18C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第8.2（1）项</w:t>
            </w:r>
          </w:p>
        </w:tc>
        <w:tc>
          <w:tcPr>
            <w:tcW w:w="1022" w:type="pct"/>
            <w:noWrap w:val="0"/>
            <w:vAlign w:val="center"/>
          </w:tcPr>
          <w:p w14:paraId="418B6620">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质量保证期</w:t>
            </w:r>
          </w:p>
        </w:tc>
        <w:tc>
          <w:tcPr>
            <w:tcW w:w="3035" w:type="pct"/>
            <w:noWrap w:val="0"/>
            <w:vAlign w:val="center"/>
          </w:tcPr>
          <w:p w14:paraId="48F0560A">
            <w:pPr>
              <w:autoSpaceDE w:val="0"/>
              <w:autoSpaceDN w:val="0"/>
              <w:adjustRightInd w:val="0"/>
              <w:snapToGrid w:val="0"/>
              <w:jc w:val="left"/>
              <w:rPr>
                <w:rFonts w:hint="eastAsia" w:ascii="仿宋" w:hAnsi="仿宋" w:eastAsia="仿宋" w:cs="仿宋"/>
                <w:sz w:val="21"/>
                <w:szCs w:val="21"/>
                <w:highlight w:val="none"/>
              </w:rPr>
            </w:pPr>
          </w:p>
        </w:tc>
      </w:tr>
      <w:tr w14:paraId="4C4D8B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1" w:hRule="atLeast"/>
          <w:jc w:val="center"/>
        </w:trPr>
        <w:tc>
          <w:tcPr>
            <w:tcW w:w="942" w:type="pct"/>
            <w:noWrap w:val="0"/>
            <w:vAlign w:val="center"/>
          </w:tcPr>
          <w:p w14:paraId="5A25AFB5">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2FC5DE5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第8.2（3）项</w:t>
            </w:r>
          </w:p>
        </w:tc>
        <w:tc>
          <w:tcPr>
            <w:tcW w:w="1022" w:type="pct"/>
            <w:noWrap w:val="0"/>
            <w:vAlign w:val="center"/>
          </w:tcPr>
          <w:p w14:paraId="43A1896B">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货物质量缺陷</w:t>
            </w:r>
          </w:p>
          <w:p w14:paraId="0AB62EEB">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响应时间</w:t>
            </w:r>
          </w:p>
        </w:tc>
        <w:tc>
          <w:tcPr>
            <w:tcW w:w="3035" w:type="pct"/>
            <w:noWrap w:val="0"/>
            <w:vAlign w:val="center"/>
          </w:tcPr>
          <w:p w14:paraId="41253695">
            <w:pPr>
              <w:adjustRightInd w:val="0"/>
              <w:snapToGrid w:val="0"/>
              <w:jc w:val="left"/>
              <w:rPr>
                <w:rFonts w:hint="eastAsia" w:ascii="仿宋" w:hAnsi="仿宋" w:eastAsia="仿宋" w:cs="仿宋"/>
                <w:sz w:val="21"/>
                <w:szCs w:val="21"/>
                <w:highlight w:val="none"/>
              </w:rPr>
            </w:pPr>
          </w:p>
        </w:tc>
      </w:tr>
      <w:tr w14:paraId="708C03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146F6A36">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5F46B269">
            <w:pPr>
              <w:pStyle w:val="63"/>
              <w:ind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第11.1款</w:t>
            </w:r>
          </w:p>
        </w:tc>
        <w:tc>
          <w:tcPr>
            <w:tcW w:w="1022" w:type="pct"/>
            <w:noWrap w:val="0"/>
            <w:vAlign w:val="center"/>
          </w:tcPr>
          <w:p w14:paraId="043127C7">
            <w:pPr>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其他应当保密的信息</w:t>
            </w:r>
          </w:p>
        </w:tc>
        <w:tc>
          <w:tcPr>
            <w:tcW w:w="3035" w:type="pct"/>
            <w:noWrap w:val="0"/>
            <w:vAlign w:val="center"/>
          </w:tcPr>
          <w:p w14:paraId="297193CC">
            <w:pPr>
              <w:adjustRightInd w:val="0"/>
              <w:snapToGrid w:val="0"/>
              <w:jc w:val="left"/>
              <w:rPr>
                <w:rFonts w:hint="eastAsia" w:ascii="仿宋" w:hAnsi="仿宋" w:eastAsia="仿宋" w:cs="仿宋"/>
                <w:sz w:val="21"/>
                <w:szCs w:val="21"/>
                <w:highlight w:val="none"/>
              </w:rPr>
            </w:pPr>
          </w:p>
        </w:tc>
      </w:tr>
      <w:tr w14:paraId="217C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4" w:hRule="atLeast"/>
          <w:jc w:val="center"/>
        </w:trPr>
        <w:tc>
          <w:tcPr>
            <w:tcW w:w="942" w:type="pct"/>
            <w:noWrap w:val="0"/>
            <w:vAlign w:val="center"/>
          </w:tcPr>
          <w:p w14:paraId="5B266E9A">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FEA5DF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第12.2款</w:t>
            </w:r>
          </w:p>
        </w:tc>
        <w:tc>
          <w:tcPr>
            <w:tcW w:w="1022" w:type="pct"/>
            <w:noWrap w:val="0"/>
            <w:vAlign w:val="center"/>
          </w:tcPr>
          <w:p w14:paraId="4CF7471B">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合同价款支付时间</w:t>
            </w:r>
          </w:p>
        </w:tc>
        <w:tc>
          <w:tcPr>
            <w:tcW w:w="3035" w:type="pct"/>
            <w:noWrap w:val="0"/>
            <w:vAlign w:val="center"/>
          </w:tcPr>
          <w:p w14:paraId="50352217">
            <w:pPr>
              <w:adjustRightInd w:val="0"/>
              <w:snapToGrid w:val="0"/>
              <w:jc w:val="left"/>
              <w:rPr>
                <w:rFonts w:hint="eastAsia" w:ascii="仿宋" w:hAnsi="仿宋" w:eastAsia="仿宋" w:cs="仿宋"/>
                <w:sz w:val="21"/>
                <w:szCs w:val="21"/>
                <w:highlight w:val="none"/>
              </w:rPr>
            </w:pPr>
          </w:p>
        </w:tc>
      </w:tr>
      <w:tr w14:paraId="5572EB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64D15B33">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76CC9DDC">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第13.2款</w:t>
            </w:r>
          </w:p>
        </w:tc>
        <w:tc>
          <w:tcPr>
            <w:tcW w:w="1022" w:type="pct"/>
            <w:noWrap w:val="0"/>
            <w:vAlign w:val="center"/>
          </w:tcPr>
          <w:p w14:paraId="3991DBA2">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履约保证金不予退还的情形</w:t>
            </w:r>
          </w:p>
        </w:tc>
        <w:tc>
          <w:tcPr>
            <w:tcW w:w="3035" w:type="pct"/>
            <w:noWrap w:val="0"/>
            <w:vAlign w:val="center"/>
          </w:tcPr>
          <w:p w14:paraId="7273D63C">
            <w:pPr>
              <w:adjustRightInd w:val="0"/>
              <w:snapToGrid w:val="0"/>
              <w:jc w:val="left"/>
              <w:rPr>
                <w:rFonts w:hint="eastAsia" w:ascii="仿宋" w:hAnsi="仿宋" w:eastAsia="仿宋" w:cs="仿宋"/>
                <w:sz w:val="21"/>
                <w:szCs w:val="21"/>
                <w:highlight w:val="none"/>
              </w:rPr>
            </w:pPr>
          </w:p>
        </w:tc>
      </w:tr>
      <w:tr w14:paraId="04B378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2C07F93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86CB15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第13.3款</w:t>
            </w:r>
          </w:p>
        </w:tc>
        <w:tc>
          <w:tcPr>
            <w:tcW w:w="1022" w:type="pct"/>
            <w:noWrap w:val="0"/>
            <w:vAlign w:val="center"/>
          </w:tcPr>
          <w:p w14:paraId="49CF9F64">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履约保证金退还时间及逾期退还的违约金</w:t>
            </w:r>
          </w:p>
        </w:tc>
        <w:tc>
          <w:tcPr>
            <w:tcW w:w="3035" w:type="pct"/>
            <w:noWrap w:val="0"/>
            <w:vAlign w:val="center"/>
          </w:tcPr>
          <w:p w14:paraId="66CD49DC">
            <w:pPr>
              <w:adjustRightInd w:val="0"/>
              <w:snapToGrid w:val="0"/>
              <w:jc w:val="left"/>
              <w:rPr>
                <w:rFonts w:hint="eastAsia" w:ascii="仿宋" w:hAnsi="仿宋" w:eastAsia="仿宋" w:cs="仿宋"/>
                <w:sz w:val="21"/>
                <w:szCs w:val="21"/>
                <w:highlight w:val="none"/>
              </w:rPr>
            </w:pPr>
          </w:p>
        </w:tc>
      </w:tr>
      <w:tr w14:paraId="2226F0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108F623E">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489719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第14.1（3）项</w:t>
            </w:r>
          </w:p>
        </w:tc>
        <w:tc>
          <w:tcPr>
            <w:tcW w:w="1022" w:type="pct"/>
            <w:noWrap w:val="0"/>
            <w:vAlign w:val="center"/>
          </w:tcPr>
          <w:p w14:paraId="4210A318">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运行监督、维修期限</w:t>
            </w:r>
          </w:p>
        </w:tc>
        <w:tc>
          <w:tcPr>
            <w:tcW w:w="3035" w:type="pct"/>
            <w:noWrap w:val="0"/>
            <w:vAlign w:val="center"/>
          </w:tcPr>
          <w:p w14:paraId="28D88C84">
            <w:pPr>
              <w:adjustRightInd w:val="0"/>
              <w:snapToGrid w:val="0"/>
              <w:jc w:val="left"/>
              <w:rPr>
                <w:rFonts w:hint="eastAsia" w:ascii="仿宋" w:hAnsi="仿宋" w:eastAsia="仿宋" w:cs="仿宋"/>
                <w:sz w:val="21"/>
                <w:szCs w:val="21"/>
                <w:highlight w:val="none"/>
              </w:rPr>
            </w:pPr>
          </w:p>
        </w:tc>
      </w:tr>
      <w:tr w14:paraId="2F00B2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0A0B503E">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10947CB6">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第14.1（5）项</w:t>
            </w:r>
          </w:p>
        </w:tc>
        <w:tc>
          <w:tcPr>
            <w:tcW w:w="1022" w:type="pct"/>
            <w:noWrap w:val="0"/>
            <w:vAlign w:val="center"/>
          </w:tcPr>
          <w:p w14:paraId="7D2FE07A">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货物回收的约定</w:t>
            </w:r>
          </w:p>
        </w:tc>
        <w:tc>
          <w:tcPr>
            <w:tcW w:w="3035" w:type="pct"/>
            <w:noWrap w:val="0"/>
            <w:vAlign w:val="center"/>
          </w:tcPr>
          <w:p w14:paraId="21E47338">
            <w:pPr>
              <w:adjustRightInd w:val="0"/>
              <w:snapToGrid w:val="0"/>
              <w:jc w:val="left"/>
              <w:rPr>
                <w:rFonts w:hint="eastAsia" w:ascii="仿宋" w:hAnsi="仿宋" w:eastAsia="仿宋" w:cs="仿宋"/>
                <w:sz w:val="21"/>
                <w:szCs w:val="21"/>
                <w:highlight w:val="none"/>
              </w:rPr>
            </w:pPr>
          </w:p>
        </w:tc>
      </w:tr>
      <w:tr w14:paraId="41E02D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5BCB2BCC">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DDB6A16">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第14.1（6）项</w:t>
            </w:r>
          </w:p>
        </w:tc>
        <w:tc>
          <w:tcPr>
            <w:tcW w:w="1022" w:type="pct"/>
            <w:noWrap w:val="0"/>
            <w:vAlign w:val="center"/>
          </w:tcPr>
          <w:p w14:paraId="0A2E61DC">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乙方提供的其他服务</w:t>
            </w:r>
          </w:p>
        </w:tc>
        <w:tc>
          <w:tcPr>
            <w:tcW w:w="3035" w:type="pct"/>
            <w:noWrap w:val="0"/>
            <w:vAlign w:val="center"/>
          </w:tcPr>
          <w:p w14:paraId="6207A229">
            <w:pPr>
              <w:adjustRightInd w:val="0"/>
              <w:snapToGrid w:val="0"/>
              <w:jc w:val="left"/>
              <w:rPr>
                <w:rFonts w:hint="eastAsia" w:ascii="仿宋" w:hAnsi="仿宋" w:eastAsia="仿宋" w:cs="仿宋"/>
                <w:sz w:val="21"/>
                <w:szCs w:val="21"/>
                <w:highlight w:val="none"/>
              </w:rPr>
            </w:pPr>
          </w:p>
        </w:tc>
      </w:tr>
      <w:tr w14:paraId="69FF80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6690A0A0">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34A2840">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第15.1款</w:t>
            </w:r>
          </w:p>
        </w:tc>
        <w:tc>
          <w:tcPr>
            <w:tcW w:w="1022" w:type="pct"/>
            <w:noWrap w:val="0"/>
            <w:vAlign w:val="center"/>
          </w:tcPr>
          <w:p w14:paraId="203BF78F">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修理、重作、更换相关具体规定</w:t>
            </w:r>
          </w:p>
        </w:tc>
        <w:tc>
          <w:tcPr>
            <w:tcW w:w="3035" w:type="pct"/>
            <w:noWrap w:val="0"/>
            <w:vAlign w:val="center"/>
          </w:tcPr>
          <w:p w14:paraId="7B7F268B">
            <w:pPr>
              <w:adjustRightInd w:val="0"/>
              <w:snapToGrid w:val="0"/>
              <w:jc w:val="left"/>
              <w:rPr>
                <w:rFonts w:hint="eastAsia" w:ascii="仿宋" w:hAnsi="仿宋" w:eastAsia="仿宋" w:cs="仿宋"/>
                <w:sz w:val="21"/>
                <w:szCs w:val="21"/>
                <w:highlight w:val="none"/>
              </w:rPr>
            </w:pPr>
          </w:p>
        </w:tc>
      </w:tr>
      <w:tr w14:paraId="001D21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57E9B141">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56D7200">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第15.2（2）项</w:t>
            </w:r>
          </w:p>
        </w:tc>
        <w:tc>
          <w:tcPr>
            <w:tcW w:w="1022" w:type="pct"/>
            <w:noWrap w:val="0"/>
            <w:vAlign w:val="center"/>
          </w:tcPr>
          <w:p w14:paraId="402F7B44">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迟延交货赔偿费</w:t>
            </w:r>
          </w:p>
        </w:tc>
        <w:tc>
          <w:tcPr>
            <w:tcW w:w="3035" w:type="pct"/>
            <w:noWrap w:val="0"/>
            <w:vAlign w:val="center"/>
          </w:tcPr>
          <w:p w14:paraId="7CEB21DE">
            <w:pPr>
              <w:adjustRightInd w:val="0"/>
              <w:snapToGrid w:val="0"/>
              <w:jc w:val="left"/>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乙方延迟交货的，每逾期一天应按本合同总金额1%向甲方支付违约金，至本合同项下货物交付之日止，支付违约金后乙方仍需履行合同交付等义务。</w:t>
            </w:r>
          </w:p>
        </w:tc>
      </w:tr>
      <w:tr w14:paraId="478FA2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2010B90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309799A">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第15.3款</w:t>
            </w:r>
          </w:p>
        </w:tc>
        <w:tc>
          <w:tcPr>
            <w:tcW w:w="1022" w:type="pct"/>
            <w:noWrap w:val="0"/>
            <w:vAlign w:val="center"/>
          </w:tcPr>
          <w:p w14:paraId="20FA738E">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逾期付款利息</w:t>
            </w:r>
          </w:p>
        </w:tc>
        <w:tc>
          <w:tcPr>
            <w:tcW w:w="3035" w:type="pct"/>
            <w:noWrap w:val="0"/>
            <w:vAlign w:val="center"/>
          </w:tcPr>
          <w:p w14:paraId="7767831B">
            <w:pPr>
              <w:adjustRightInd w:val="0"/>
              <w:snapToGrid w:val="0"/>
              <w:jc w:val="left"/>
              <w:rPr>
                <w:rFonts w:hint="eastAsia" w:ascii="仿宋" w:hAnsi="仿宋" w:eastAsia="仿宋" w:cs="仿宋"/>
                <w:sz w:val="21"/>
                <w:szCs w:val="21"/>
                <w:highlight w:val="none"/>
                <w:u w:val="single"/>
              </w:rPr>
            </w:pPr>
          </w:p>
        </w:tc>
      </w:tr>
      <w:tr w14:paraId="467907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bottom w:val="single" w:color="auto" w:sz="2" w:space="0"/>
              <w:right w:val="single" w:color="auto" w:sz="2" w:space="0"/>
            </w:tcBorders>
            <w:noWrap w:val="0"/>
            <w:vAlign w:val="center"/>
          </w:tcPr>
          <w:p w14:paraId="3FAC028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4334765">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第15.4款</w:t>
            </w:r>
          </w:p>
        </w:tc>
        <w:tc>
          <w:tcPr>
            <w:tcW w:w="1022" w:type="pct"/>
            <w:tcBorders>
              <w:left w:val="single" w:color="auto" w:sz="2" w:space="0"/>
              <w:bottom w:val="single" w:color="auto" w:sz="2" w:space="0"/>
              <w:right w:val="single" w:color="auto" w:sz="2" w:space="0"/>
            </w:tcBorders>
            <w:noWrap w:val="0"/>
            <w:vAlign w:val="center"/>
          </w:tcPr>
          <w:p w14:paraId="09D9E099">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其他违约责任</w:t>
            </w:r>
          </w:p>
        </w:tc>
        <w:tc>
          <w:tcPr>
            <w:tcW w:w="3035" w:type="pct"/>
            <w:tcBorders>
              <w:left w:val="single" w:color="auto" w:sz="2" w:space="0"/>
              <w:bottom w:val="single" w:color="auto" w:sz="2" w:space="0"/>
            </w:tcBorders>
            <w:noWrap w:val="0"/>
            <w:vAlign w:val="center"/>
          </w:tcPr>
          <w:p w14:paraId="45433FA6">
            <w:pPr>
              <w:adjustRightInd w:val="0"/>
              <w:snapToGrid w:val="0"/>
              <w:jc w:val="left"/>
              <w:rPr>
                <w:rFonts w:hint="eastAsia" w:ascii="仿宋" w:hAnsi="仿宋" w:eastAsia="仿宋" w:cs="仿宋"/>
                <w:sz w:val="21"/>
                <w:szCs w:val="21"/>
                <w:highlight w:val="none"/>
                <w:u w:val="single"/>
              </w:rPr>
            </w:pPr>
          </w:p>
        </w:tc>
      </w:tr>
      <w:tr w14:paraId="6987B1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top w:val="single" w:color="auto" w:sz="2" w:space="0"/>
              <w:right w:val="single" w:color="auto" w:sz="2" w:space="0"/>
            </w:tcBorders>
            <w:noWrap w:val="0"/>
            <w:vAlign w:val="center"/>
          </w:tcPr>
          <w:p w14:paraId="210DA25E">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5A137F1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第19.2款</w:t>
            </w:r>
          </w:p>
        </w:tc>
        <w:tc>
          <w:tcPr>
            <w:tcW w:w="1022" w:type="pct"/>
            <w:tcBorders>
              <w:top w:val="single" w:color="auto" w:sz="2" w:space="0"/>
              <w:left w:val="single" w:color="auto" w:sz="2" w:space="0"/>
              <w:right w:val="single" w:color="auto" w:sz="2" w:space="0"/>
            </w:tcBorders>
            <w:noWrap w:val="0"/>
            <w:vAlign w:val="center"/>
          </w:tcPr>
          <w:p w14:paraId="107296C0">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解决争议的方法</w:t>
            </w:r>
          </w:p>
        </w:tc>
        <w:tc>
          <w:tcPr>
            <w:tcW w:w="3035" w:type="pct"/>
            <w:tcBorders>
              <w:top w:val="single" w:color="auto" w:sz="2" w:space="0"/>
              <w:left w:val="single" w:color="auto" w:sz="2" w:space="0"/>
            </w:tcBorders>
            <w:noWrap w:val="0"/>
            <w:vAlign w:val="center"/>
          </w:tcPr>
          <w:p w14:paraId="2795949B">
            <w:pPr>
              <w:autoSpaceDE w:val="0"/>
              <w:autoSpaceDN w:val="0"/>
              <w:adjustRightInd w:val="0"/>
              <w:snapToGrid w:val="0"/>
              <w:spacing w:line="400" w:lineRule="exact"/>
              <w:jc w:val="left"/>
              <w:rPr>
                <w:rFonts w:hint="eastAsia" w:ascii="仿宋" w:hAnsi="仿宋" w:eastAsia="仿宋" w:cs="仿宋"/>
                <w:iCs/>
                <w:sz w:val="21"/>
                <w:szCs w:val="21"/>
                <w:highlight w:val="none"/>
              </w:rPr>
            </w:pPr>
            <w:r>
              <w:rPr>
                <w:rFonts w:hint="eastAsia" w:ascii="仿宋" w:hAnsi="仿宋" w:eastAsia="仿宋" w:cs="仿宋"/>
                <w:iCs/>
                <w:sz w:val="21"/>
                <w:szCs w:val="21"/>
                <w:highlight w:val="none"/>
              </w:rPr>
              <w:t>因本合同及合同有关事项发生的争议，按下列第</w:t>
            </w:r>
            <w:r>
              <w:rPr>
                <w:rFonts w:hint="eastAsia" w:ascii="仿宋" w:hAnsi="仿宋" w:eastAsia="仿宋" w:cs="仿宋"/>
                <w:iCs/>
                <w:sz w:val="21"/>
                <w:szCs w:val="21"/>
                <w:highlight w:val="none"/>
                <w:u w:val="single"/>
              </w:rPr>
              <w:t>（2）</w:t>
            </w:r>
            <w:r>
              <w:rPr>
                <w:rFonts w:hint="eastAsia" w:ascii="仿宋" w:hAnsi="仿宋" w:eastAsia="仿宋" w:cs="仿宋"/>
                <w:iCs/>
                <w:sz w:val="21"/>
                <w:szCs w:val="21"/>
                <w:highlight w:val="none"/>
              </w:rPr>
              <w:t>种方式解决：</w:t>
            </w:r>
          </w:p>
          <w:p w14:paraId="79FE39E6">
            <w:pPr>
              <w:autoSpaceDE w:val="0"/>
              <w:autoSpaceDN w:val="0"/>
              <w:adjustRightInd w:val="0"/>
              <w:snapToGrid w:val="0"/>
              <w:spacing w:line="400" w:lineRule="exact"/>
              <w:jc w:val="left"/>
              <w:rPr>
                <w:rFonts w:hint="eastAsia" w:ascii="仿宋" w:hAnsi="仿宋" w:eastAsia="仿宋" w:cs="仿宋"/>
                <w:iCs/>
                <w:sz w:val="21"/>
                <w:szCs w:val="21"/>
                <w:highlight w:val="none"/>
              </w:rPr>
            </w:pPr>
            <w:r>
              <w:rPr>
                <w:rFonts w:hint="eastAsia" w:ascii="仿宋" w:hAnsi="仿宋" w:eastAsia="仿宋" w:cs="仿宋"/>
                <w:iCs/>
                <w:sz w:val="21"/>
                <w:szCs w:val="21"/>
                <w:highlight w:val="none"/>
              </w:rPr>
              <w:t>（1）向</w:t>
            </w:r>
            <w:r>
              <w:rPr>
                <w:rFonts w:hint="eastAsia" w:ascii="仿宋" w:hAnsi="仿宋" w:eastAsia="仿宋" w:cs="仿宋"/>
                <w:iCs/>
                <w:sz w:val="21"/>
                <w:szCs w:val="21"/>
                <w:highlight w:val="none"/>
                <w:u w:val="single"/>
              </w:rPr>
              <w:t xml:space="preserve">                    </w:t>
            </w:r>
            <w:r>
              <w:rPr>
                <w:rFonts w:hint="eastAsia" w:ascii="仿宋" w:hAnsi="仿宋" w:eastAsia="仿宋" w:cs="仿宋"/>
                <w:iCs/>
                <w:sz w:val="21"/>
                <w:szCs w:val="21"/>
                <w:highlight w:val="none"/>
              </w:rPr>
              <w:t>仲裁委员会申请仲裁，仲裁地点为</w:t>
            </w:r>
            <w:r>
              <w:rPr>
                <w:rFonts w:hint="eastAsia" w:ascii="仿宋" w:hAnsi="仿宋" w:eastAsia="仿宋" w:cs="仿宋"/>
                <w:iCs/>
                <w:sz w:val="21"/>
                <w:szCs w:val="21"/>
                <w:highlight w:val="none"/>
                <w:u w:val="single"/>
              </w:rPr>
              <w:t xml:space="preserve">           </w:t>
            </w:r>
            <w:r>
              <w:rPr>
                <w:rFonts w:hint="eastAsia" w:ascii="仿宋" w:hAnsi="仿宋" w:eastAsia="仿宋" w:cs="仿宋"/>
                <w:iCs/>
                <w:sz w:val="21"/>
                <w:szCs w:val="21"/>
                <w:highlight w:val="none"/>
              </w:rPr>
              <w:t>；</w:t>
            </w:r>
          </w:p>
          <w:p w14:paraId="6BC8C9DB">
            <w:pPr>
              <w:adjustRightInd w:val="0"/>
              <w:snapToGrid w:val="0"/>
              <w:jc w:val="left"/>
              <w:rPr>
                <w:rFonts w:hint="eastAsia" w:ascii="仿宋" w:hAnsi="仿宋" w:eastAsia="仿宋" w:cs="仿宋"/>
                <w:sz w:val="21"/>
                <w:szCs w:val="21"/>
                <w:highlight w:val="none"/>
                <w:u w:val="single"/>
              </w:rPr>
            </w:pPr>
            <w:r>
              <w:rPr>
                <w:rFonts w:hint="eastAsia" w:ascii="仿宋" w:hAnsi="仿宋" w:eastAsia="仿宋" w:cs="仿宋"/>
                <w:iCs/>
                <w:sz w:val="21"/>
                <w:szCs w:val="21"/>
                <w:highlight w:val="none"/>
              </w:rPr>
              <w:t>（2）向</w:t>
            </w:r>
            <w:r>
              <w:rPr>
                <w:rFonts w:hint="eastAsia" w:ascii="仿宋" w:hAnsi="仿宋" w:eastAsia="仿宋" w:cs="仿宋"/>
                <w:iCs/>
                <w:sz w:val="21"/>
                <w:szCs w:val="21"/>
                <w:highlight w:val="none"/>
                <w:u w:val="single"/>
              </w:rPr>
              <w:t>甲方(采购人)所在地有管辖权的</w:t>
            </w:r>
            <w:r>
              <w:rPr>
                <w:rFonts w:hint="eastAsia" w:ascii="仿宋" w:hAnsi="仿宋" w:eastAsia="仿宋" w:cs="仿宋"/>
                <w:iCs/>
                <w:sz w:val="21"/>
                <w:szCs w:val="21"/>
                <w:highlight w:val="none"/>
              </w:rPr>
              <w:t>人民法院起诉。</w:t>
            </w:r>
          </w:p>
        </w:tc>
      </w:tr>
      <w:tr w14:paraId="78C543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00B1631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855DE8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第23.1款</w:t>
            </w:r>
          </w:p>
        </w:tc>
        <w:tc>
          <w:tcPr>
            <w:tcW w:w="1022" w:type="pct"/>
            <w:noWrap w:val="0"/>
            <w:vAlign w:val="center"/>
          </w:tcPr>
          <w:p w14:paraId="398A62D4">
            <w:pPr>
              <w:adjustRightInd w:val="0"/>
              <w:snapToGrid w:val="0"/>
              <w:jc w:val="left"/>
              <w:rPr>
                <w:rFonts w:hint="eastAsia" w:ascii="仿宋" w:hAnsi="仿宋" w:eastAsia="仿宋" w:cs="仿宋"/>
                <w:sz w:val="21"/>
                <w:szCs w:val="21"/>
                <w:highlight w:val="none"/>
              </w:rPr>
            </w:pPr>
            <w:r>
              <w:rPr>
                <w:rFonts w:hint="eastAsia" w:ascii="仿宋" w:hAnsi="仿宋" w:eastAsia="仿宋" w:cs="仿宋"/>
                <w:bCs/>
                <w:sz w:val="21"/>
                <w:szCs w:val="21"/>
                <w:highlight w:val="none"/>
              </w:rPr>
              <w:t>其他专用条款</w:t>
            </w:r>
          </w:p>
        </w:tc>
        <w:tc>
          <w:tcPr>
            <w:tcW w:w="3035" w:type="pct"/>
            <w:noWrap w:val="0"/>
            <w:vAlign w:val="center"/>
          </w:tcPr>
          <w:p w14:paraId="08011802">
            <w:pPr>
              <w:adjustRightInd w:val="0"/>
              <w:snapToGrid w:val="0"/>
              <w:jc w:val="left"/>
              <w:rPr>
                <w:rFonts w:hint="eastAsia" w:ascii="仿宋" w:hAnsi="仿宋" w:eastAsia="仿宋" w:cs="仿宋"/>
                <w:sz w:val="21"/>
                <w:szCs w:val="21"/>
                <w:highlight w:val="none"/>
              </w:rPr>
            </w:pPr>
          </w:p>
        </w:tc>
      </w:tr>
    </w:tbl>
    <w:p w14:paraId="7E8C3A6B">
      <w:pPr>
        <w:rPr>
          <w:rFonts w:hint="eastAsia" w:ascii="仿宋" w:hAnsi="仿宋" w:eastAsia="仿宋" w:cs="仿宋"/>
          <w:sz w:val="24"/>
          <w:szCs w:val="24"/>
          <w:highlight w:val="none"/>
        </w:rPr>
      </w:pPr>
    </w:p>
    <w:p w14:paraId="4CC102BF">
      <w:pPr>
        <w:pStyle w:val="33"/>
        <w:rPr>
          <w:rFonts w:hint="eastAsia" w:ascii="仿宋" w:hAnsi="仿宋" w:eastAsia="仿宋" w:cs="仿宋"/>
          <w:b/>
          <w:sz w:val="24"/>
          <w:szCs w:val="24"/>
          <w:highlight w:val="none"/>
          <w:u w:val="single"/>
        </w:rPr>
      </w:pPr>
    </w:p>
    <w:p w14:paraId="7AEEE5D4">
      <w:pPr>
        <w:pStyle w:val="33"/>
        <w:rPr>
          <w:rFonts w:hint="eastAsia" w:ascii="仿宋" w:hAnsi="仿宋" w:eastAsia="仿宋" w:cs="仿宋"/>
          <w:b/>
          <w:sz w:val="24"/>
          <w:szCs w:val="24"/>
          <w:highlight w:val="none"/>
          <w:u w:val="single"/>
        </w:rPr>
      </w:pPr>
    </w:p>
    <w:p w14:paraId="3EB4234F">
      <w:pPr>
        <w:pStyle w:val="33"/>
        <w:rPr>
          <w:rFonts w:hint="eastAsia" w:ascii="仿宋" w:hAnsi="仿宋" w:eastAsia="仿宋" w:cs="仿宋"/>
          <w:b/>
          <w:sz w:val="28"/>
          <w:highlight w:val="none"/>
          <w:u w:val="single"/>
        </w:rPr>
      </w:pPr>
    </w:p>
    <w:p w14:paraId="4645C929">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lang w:val="zh-CN"/>
        </w:rPr>
      </w:pPr>
      <w:bookmarkStart w:id="81" w:name="_Toc5311"/>
      <w:bookmarkStart w:id="82" w:name="_Toc26957"/>
      <w:bookmarkStart w:id="83" w:name="_Toc19978"/>
      <w:bookmarkStart w:id="84" w:name="_Toc23265"/>
      <w:bookmarkStart w:id="85" w:name="_Toc13287"/>
      <w:bookmarkStart w:id="86" w:name="_Toc45033361"/>
      <w:bookmarkStart w:id="87" w:name="_Toc10084"/>
      <w:bookmarkStart w:id="88" w:name="_Toc25524"/>
      <w:bookmarkStart w:id="89" w:name="_Toc909"/>
      <w:bookmarkStart w:id="90" w:name="_Toc14661"/>
      <w:bookmarkStart w:id="91" w:name="_Toc12262"/>
      <w:r>
        <w:rPr>
          <w:rFonts w:hint="eastAsia" w:ascii="仿宋" w:hAnsi="仿宋" w:eastAsia="仿宋" w:cs="仿宋"/>
          <w:b/>
          <w:bCs/>
          <w:sz w:val="32"/>
          <w:szCs w:val="32"/>
          <w:highlight w:val="none"/>
          <w:lang w:val="zh-CN"/>
        </w:rPr>
        <w:t>第六章  投标文件格式</w:t>
      </w:r>
      <w:bookmarkEnd w:id="81"/>
      <w:bookmarkEnd w:id="82"/>
      <w:bookmarkEnd w:id="83"/>
      <w:bookmarkEnd w:id="84"/>
      <w:bookmarkEnd w:id="85"/>
      <w:bookmarkEnd w:id="86"/>
      <w:bookmarkEnd w:id="87"/>
      <w:bookmarkEnd w:id="88"/>
      <w:bookmarkEnd w:id="89"/>
      <w:bookmarkEnd w:id="90"/>
      <w:bookmarkEnd w:id="91"/>
    </w:p>
    <w:p w14:paraId="037A425C">
      <w:pPr>
        <w:spacing w:line="360" w:lineRule="auto"/>
        <w:jc w:val="center"/>
        <w:rPr>
          <w:rFonts w:hint="eastAsia" w:ascii="仿宋" w:hAnsi="仿宋" w:eastAsia="仿宋" w:cs="仿宋"/>
          <w:b/>
          <w:sz w:val="28"/>
          <w:szCs w:val="28"/>
          <w:highlight w:val="none"/>
        </w:rPr>
      </w:pPr>
    </w:p>
    <w:p w14:paraId="2DEB4E15">
      <w:pPr>
        <w:pStyle w:val="5"/>
        <w:rPr>
          <w:rFonts w:hint="eastAsia"/>
          <w:highlight w:val="none"/>
        </w:rPr>
      </w:pPr>
    </w:p>
    <w:p w14:paraId="769EA544">
      <w:pPr>
        <w:spacing w:line="480" w:lineRule="auto"/>
        <w:jc w:val="center"/>
        <w:rPr>
          <w:rFonts w:hint="eastAsia" w:ascii="仿宋" w:hAnsi="仿宋" w:eastAsia="仿宋" w:cs="仿宋"/>
          <w:sz w:val="28"/>
          <w:szCs w:val="28"/>
          <w:highlight w:val="none"/>
        </w:rPr>
      </w:pPr>
    </w:p>
    <w:p w14:paraId="6AD86A75">
      <w:pPr>
        <w:pStyle w:val="5"/>
        <w:rPr>
          <w:rFonts w:hint="eastAsia"/>
          <w:highlight w:val="none"/>
        </w:rPr>
      </w:pPr>
    </w:p>
    <w:p w14:paraId="1AECD6B6">
      <w:pPr>
        <w:spacing w:line="48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bookmarkStart w:id="92" w:name="_Toc13452"/>
      <w:bookmarkStart w:id="93" w:name="_Toc12819"/>
      <w:bookmarkStart w:id="94" w:name="_Toc4606"/>
      <w:bookmarkStart w:id="95" w:name="_Toc12032"/>
      <w:bookmarkStart w:id="96" w:name="_Toc9049"/>
      <w:bookmarkStart w:id="97" w:name="_Toc17827"/>
      <w:bookmarkStart w:id="98" w:name="_Toc8744"/>
      <w:bookmarkStart w:id="99" w:name="_Toc16121"/>
      <w:r>
        <w:rPr>
          <w:rFonts w:hint="eastAsia" w:ascii="仿宋" w:hAnsi="仿宋" w:eastAsia="仿宋" w:cs="仿宋"/>
          <w:sz w:val="28"/>
          <w:szCs w:val="28"/>
          <w:highlight w:val="none"/>
        </w:rPr>
        <w:t>（项目名称）</w:t>
      </w:r>
      <w:bookmarkEnd w:id="92"/>
      <w:bookmarkEnd w:id="93"/>
      <w:bookmarkEnd w:id="94"/>
      <w:bookmarkEnd w:id="95"/>
      <w:bookmarkEnd w:id="96"/>
      <w:bookmarkEnd w:id="97"/>
      <w:bookmarkEnd w:id="98"/>
      <w:bookmarkEnd w:id="99"/>
    </w:p>
    <w:p w14:paraId="5AFCC99D">
      <w:pPr>
        <w:spacing w:line="480" w:lineRule="auto"/>
        <w:jc w:val="center"/>
        <w:rPr>
          <w:rFonts w:hint="eastAsia" w:ascii="仿宋" w:hAnsi="仿宋" w:eastAsia="仿宋" w:cs="仿宋"/>
          <w:sz w:val="52"/>
          <w:szCs w:val="52"/>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bookmarkStart w:id="100" w:name="_Toc1324"/>
      <w:bookmarkStart w:id="101" w:name="_Toc8452"/>
      <w:bookmarkStart w:id="102" w:name="_Toc24830"/>
      <w:bookmarkStart w:id="103" w:name="_Toc851"/>
      <w:bookmarkStart w:id="104" w:name="_Toc2111"/>
      <w:bookmarkStart w:id="105" w:name="_Toc14205"/>
      <w:bookmarkStart w:id="106" w:name="_Toc23994"/>
      <w:bookmarkStart w:id="107" w:name="_Toc22832"/>
      <w:r>
        <w:rPr>
          <w:rFonts w:hint="eastAsia" w:ascii="仿宋" w:hAnsi="仿宋" w:eastAsia="仿宋" w:cs="仿宋"/>
          <w:sz w:val="28"/>
          <w:szCs w:val="28"/>
          <w:highlight w:val="none"/>
        </w:rPr>
        <w:t>（项目编号）</w:t>
      </w:r>
      <w:bookmarkEnd w:id="100"/>
      <w:bookmarkEnd w:id="101"/>
      <w:bookmarkEnd w:id="102"/>
      <w:bookmarkEnd w:id="103"/>
      <w:bookmarkEnd w:id="104"/>
      <w:bookmarkEnd w:id="105"/>
      <w:bookmarkEnd w:id="106"/>
      <w:bookmarkEnd w:id="107"/>
    </w:p>
    <w:p w14:paraId="6D7E189D">
      <w:pPr>
        <w:spacing w:line="360" w:lineRule="auto"/>
        <w:jc w:val="center"/>
        <w:rPr>
          <w:rFonts w:hint="eastAsia" w:ascii="仿宋" w:hAnsi="仿宋" w:eastAsia="仿宋" w:cs="仿宋"/>
          <w:sz w:val="52"/>
          <w:szCs w:val="52"/>
          <w:highlight w:val="none"/>
        </w:rPr>
      </w:pPr>
    </w:p>
    <w:p w14:paraId="1F4B55F3">
      <w:pPr>
        <w:pStyle w:val="5"/>
        <w:rPr>
          <w:rFonts w:hint="eastAsia"/>
          <w:highlight w:val="none"/>
        </w:rPr>
      </w:pPr>
    </w:p>
    <w:p w14:paraId="376D9E59">
      <w:pPr>
        <w:pStyle w:val="5"/>
        <w:rPr>
          <w:rFonts w:hint="eastAsia"/>
          <w:highlight w:val="none"/>
        </w:rPr>
      </w:pPr>
    </w:p>
    <w:p w14:paraId="027BFC8D">
      <w:pPr>
        <w:spacing w:line="360" w:lineRule="auto"/>
        <w:jc w:val="center"/>
        <w:rPr>
          <w:rFonts w:hint="eastAsia" w:ascii="仿宋" w:hAnsi="仿宋" w:eastAsia="仿宋" w:cs="仿宋"/>
          <w:b/>
          <w:bCs/>
          <w:sz w:val="56"/>
          <w:szCs w:val="56"/>
          <w:highlight w:val="none"/>
          <w:lang w:val="zh-CN"/>
        </w:rPr>
      </w:pPr>
      <w:bookmarkStart w:id="108" w:name="_Toc10979"/>
      <w:bookmarkStart w:id="109" w:name="_Toc17404"/>
      <w:bookmarkStart w:id="110" w:name="_Toc28776"/>
      <w:bookmarkStart w:id="111" w:name="_Toc10589"/>
      <w:bookmarkStart w:id="112" w:name="_Toc16711"/>
      <w:bookmarkStart w:id="113" w:name="_Toc3128"/>
      <w:bookmarkStart w:id="114" w:name="_Toc31295"/>
      <w:r>
        <w:rPr>
          <w:rFonts w:hint="eastAsia" w:ascii="仿宋" w:hAnsi="仿宋" w:eastAsia="仿宋" w:cs="仿宋"/>
          <w:b/>
          <w:bCs/>
          <w:sz w:val="56"/>
          <w:szCs w:val="56"/>
          <w:highlight w:val="none"/>
        </w:rPr>
        <w:t>投标</w:t>
      </w:r>
      <w:r>
        <w:rPr>
          <w:rFonts w:hint="eastAsia" w:ascii="仿宋" w:hAnsi="仿宋" w:eastAsia="仿宋" w:cs="仿宋"/>
          <w:b/>
          <w:bCs/>
          <w:sz w:val="56"/>
          <w:szCs w:val="56"/>
          <w:highlight w:val="none"/>
          <w:lang w:val="zh-CN"/>
        </w:rPr>
        <w:t>文件</w:t>
      </w:r>
      <w:bookmarkEnd w:id="108"/>
      <w:bookmarkEnd w:id="109"/>
      <w:bookmarkEnd w:id="110"/>
      <w:bookmarkEnd w:id="111"/>
      <w:bookmarkEnd w:id="112"/>
      <w:bookmarkEnd w:id="113"/>
      <w:bookmarkEnd w:id="114"/>
    </w:p>
    <w:p w14:paraId="4EAA96A5">
      <w:pPr>
        <w:pStyle w:val="5"/>
        <w:ind w:firstLine="560"/>
        <w:rPr>
          <w:rFonts w:hint="eastAsia" w:ascii="仿宋" w:hAnsi="仿宋" w:eastAsia="仿宋" w:cs="仿宋"/>
          <w:sz w:val="28"/>
          <w:szCs w:val="28"/>
          <w:highlight w:val="none"/>
          <w:lang w:val="zh-CN"/>
        </w:rPr>
      </w:pPr>
    </w:p>
    <w:p w14:paraId="1D7438AC">
      <w:pPr>
        <w:pStyle w:val="5"/>
        <w:ind w:firstLine="560"/>
        <w:rPr>
          <w:rFonts w:hint="eastAsia" w:ascii="仿宋" w:hAnsi="仿宋" w:eastAsia="仿宋" w:cs="仿宋"/>
          <w:sz w:val="28"/>
          <w:szCs w:val="28"/>
          <w:highlight w:val="none"/>
          <w:lang w:val="zh-CN"/>
        </w:rPr>
      </w:pPr>
    </w:p>
    <w:p w14:paraId="2AE994F0">
      <w:pPr>
        <w:rPr>
          <w:rFonts w:hint="eastAsia" w:ascii="仿宋" w:hAnsi="仿宋" w:eastAsia="仿宋" w:cs="仿宋"/>
          <w:sz w:val="28"/>
          <w:szCs w:val="28"/>
          <w:highlight w:val="none"/>
          <w:lang w:val="zh-CN"/>
        </w:rPr>
      </w:pPr>
    </w:p>
    <w:p w14:paraId="4070878D">
      <w:pPr>
        <w:pStyle w:val="5"/>
        <w:ind w:firstLine="560"/>
        <w:rPr>
          <w:rFonts w:hint="eastAsia" w:ascii="仿宋" w:hAnsi="仿宋" w:eastAsia="仿宋" w:cs="仿宋"/>
          <w:sz w:val="28"/>
          <w:szCs w:val="28"/>
          <w:highlight w:val="none"/>
          <w:lang w:val="zh-CN"/>
        </w:rPr>
      </w:pPr>
    </w:p>
    <w:p w14:paraId="4C717499">
      <w:pPr>
        <w:rPr>
          <w:rFonts w:hint="eastAsia" w:ascii="仿宋" w:hAnsi="仿宋" w:eastAsia="仿宋" w:cs="仿宋"/>
          <w:sz w:val="28"/>
          <w:szCs w:val="28"/>
          <w:highlight w:val="none"/>
          <w:lang w:val="zh-CN"/>
        </w:rPr>
      </w:pPr>
    </w:p>
    <w:p w14:paraId="4C839EE8">
      <w:pPr>
        <w:pStyle w:val="5"/>
        <w:ind w:firstLine="560"/>
        <w:rPr>
          <w:rFonts w:hint="eastAsia" w:ascii="仿宋" w:hAnsi="仿宋" w:eastAsia="仿宋" w:cs="仿宋"/>
          <w:sz w:val="28"/>
          <w:szCs w:val="28"/>
          <w:highlight w:val="none"/>
          <w:lang w:val="zh-CN"/>
        </w:rPr>
      </w:pPr>
    </w:p>
    <w:p w14:paraId="075DD3AA">
      <w:pPr>
        <w:rPr>
          <w:rFonts w:hint="eastAsia"/>
          <w:highlight w:val="none"/>
          <w:lang w:val="zh-CN"/>
        </w:rPr>
      </w:pPr>
    </w:p>
    <w:p w14:paraId="4E0CA43C">
      <w:pPr>
        <w:rPr>
          <w:rFonts w:hint="eastAsia"/>
          <w:highlight w:val="none"/>
          <w:lang w:val="zh-CN"/>
        </w:rPr>
      </w:pPr>
    </w:p>
    <w:p w14:paraId="4A922E12">
      <w:pPr>
        <w:rPr>
          <w:rFonts w:hint="eastAsia" w:ascii="仿宋" w:hAnsi="仿宋" w:eastAsia="仿宋" w:cs="仿宋"/>
          <w:sz w:val="28"/>
          <w:szCs w:val="28"/>
          <w:highlight w:val="none"/>
          <w:lang w:val="zh-CN"/>
        </w:rPr>
      </w:pPr>
      <w:bookmarkStart w:id="115" w:name="_Toc21827"/>
      <w:bookmarkStart w:id="116" w:name="_Toc12654"/>
      <w:bookmarkStart w:id="117" w:name="_Toc12958"/>
      <w:bookmarkStart w:id="118" w:name="_Toc25109"/>
      <w:bookmarkStart w:id="119" w:name="_Toc20610"/>
      <w:bookmarkStart w:id="120" w:name="_Toc21526"/>
      <w:bookmarkStart w:id="121" w:name="_Toc24163"/>
      <w:bookmarkStart w:id="122" w:name="_Toc16234"/>
      <w:r>
        <w:rPr>
          <w:rFonts w:hint="eastAsia" w:ascii="仿宋" w:hAnsi="仿宋" w:eastAsia="仿宋" w:cs="仿宋"/>
          <w:sz w:val="28"/>
          <w:szCs w:val="28"/>
          <w:highlight w:val="none"/>
          <w:lang w:val="zh-CN"/>
        </w:rPr>
        <w:t>供应商全称</w:t>
      </w:r>
      <w:r>
        <w:rPr>
          <w:rFonts w:hint="eastAsia" w:ascii="仿宋" w:hAnsi="仿宋" w:eastAsia="仿宋" w:cs="仿宋"/>
          <w:sz w:val="28"/>
          <w:szCs w:val="28"/>
          <w:highlight w:val="none"/>
        </w:rPr>
        <w:t xml:space="preserve"> (盖章)</w:t>
      </w:r>
      <w:r>
        <w:rPr>
          <w:rFonts w:hint="eastAsia" w:ascii="仿宋" w:hAnsi="仿宋" w:eastAsia="仿宋" w:cs="仿宋"/>
          <w:sz w:val="28"/>
          <w:szCs w:val="28"/>
          <w:highlight w:val="none"/>
          <w:lang w:val="zh-CN"/>
        </w:rPr>
        <w:t>：</w:t>
      </w:r>
      <w:bookmarkEnd w:id="115"/>
      <w:bookmarkEnd w:id="116"/>
      <w:bookmarkEnd w:id="117"/>
      <w:bookmarkEnd w:id="118"/>
      <w:bookmarkEnd w:id="119"/>
      <w:bookmarkEnd w:id="120"/>
      <w:bookmarkEnd w:id="121"/>
      <w:bookmarkEnd w:id="122"/>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14:paraId="3B8CE063">
      <w:pPr>
        <w:pStyle w:val="5"/>
        <w:ind w:firstLine="560"/>
        <w:rPr>
          <w:rFonts w:hint="eastAsia" w:ascii="仿宋" w:hAnsi="仿宋" w:eastAsia="仿宋" w:cs="仿宋"/>
          <w:sz w:val="28"/>
          <w:szCs w:val="28"/>
          <w:highlight w:val="none"/>
          <w:lang w:val="zh-CN"/>
        </w:rPr>
      </w:pPr>
    </w:p>
    <w:p w14:paraId="0EC3AB7E">
      <w:pPr>
        <w:rPr>
          <w:rFonts w:hint="eastAsia" w:ascii="仿宋" w:hAnsi="仿宋" w:eastAsia="仿宋" w:cs="仿宋"/>
          <w:sz w:val="28"/>
          <w:szCs w:val="28"/>
          <w:highlight w:val="none"/>
        </w:rPr>
      </w:pPr>
      <w:bookmarkStart w:id="123" w:name="_Toc22883"/>
      <w:bookmarkStart w:id="124" w:name="_Toc17806"/>
      <w:bookmarkStart w:id="125" w:name="_Toc2489"/>
      <w:bookmarkStart w:id="126" w:name="_Toc19557"/>
      <w:bookmarkStart w:id="127" w:name="_Toc16718"/>
      <w:bookmarkStart w:id="128" w:name="_Toc17863"/>
      <w:bookmarkStart w:id="129" w:name="_Toc31976"/>
      <w:bookmarkStart w:id="130" w:name="_Toc10632"/>
      <w:r>
        <w:rPr>
          <w:rFonts w:hint="eastAsia" w:ascii="仿宋" w:hAnsi="仿宋" w:eastAsia="仿宋" w:cs="仿宋"/>
          <w:sz w:val="28"/>
          <w:szCs w:val="28"/>
          <w:highlight w:val="none"/>
          <w:lang w:val="zh-CN"/>
        </w:rPr>
        <w:t>法定代表人或授权代表(</w:t>
      </w:r>
      <w:r>
        <w:rPr>
          <w:rFonts w:hint="eastAsia" w:ascii="仿宋" w:hAnsi="仿宋" w:eastAsia="仿宋" w:cs="仿宋"/>
          <w:sz w:val="28"/>
          <w:szCs w:val="28"/>
          <w:highlight w:val="none"/>
          <w:lang w:val="en-US" w:eastAsia="zh-CN"/>
        </w:rPr>
        <w:t>签字或盖章</w:t>
      </w:r>
      <w:r>
        <w:rPr>
          <w:rFonts w:hint="eastAsia" w:ascii="仿宋" w:hAnsi="仿宋" w:eastAsia="仿宋" w:cs="仿宋"/>
          <w:sz w:val="28"/>
          <w:szCs w:val="28"/>
          <w:highlight w:val="none"/>
          <w:lang w:val="zh-CN"/>
        </w:rPr>
        <w:t>):</w:t>
      </w:r>
      <w:bookmarkEnd w:id="123"/>
      <w:bookmarkEnd w:id="124"/>
      <w:bookmarkEnd w:id="125"/>
      <w:bookmarkEnd w:id="126"/>
      <w:bookmarkEnd w:id="127"/>
      <w:bookmarkEnd w:id="128"/>
      <w:bookmarkEnd w:id="129"/>
      <w:bookmarkEnd w:id="130"/>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14:paraId="080B83CC">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1F882095">
      <w:pPr>
        <w:rPr>
          <w:rFonts w:hint="eastAsia" w:ascii="仿宋" w:hAnsi="仿宋" w:eastAsia="仿宋" w:cs="仿宋"/>
          <w:sz w:val="28"/>
          <w:szCs w:val="28"/>
          <w:highlight w:val="none"/>
        </w:rPr>
      </w:pPr>
      <w:bookmarkStart w:id="131" w:name="_Toc12443"/>
      <w:bookmarkStart w:id="132" w:name="_Toc6088"/>
      <w:bookmarkStart w:id="133" w:name="_Toc11845"/>
      <w:bookmarkStart w:id="134" w:name="_Toc16083"/>
      <w:bookmarkStart w:id="135" w:name="_Toc3470"/>
      <w:bookmarkStart w:id="136" w:name="_Toc5670"/>
      <w:bookmarkStart w:id="137" w:name="_Toc22428"/>
      <w:bookmarkStart w:id="138" w:name="_Toc16793"/>
      <w:r>
        <w:rPr>
          <w:rFonts w:hint="eastAsia" w:ascii="仿宋" w:hAnsi="仿宋" w:eastAsia="仿宋" w:cs="仿宋"/>
          <w:sz w:val="28"/>
          <w:szCs w:val="28"/>
          <w:highlight w:val="none"/>
        </w:rPr>
        <w:t>联系电话：</w:t>
      </w:r>
      <w:bookmarkEnd w:id="131"/>
      <w:bookmarkEnd w:id="132"/>
      <w:bookmarkEnd w:id="133"/>
      <w:bookmarkEnd w:id="134"/>
      <w:bookmarkEnd w:id="135"/>
      <w:bookmarkEnd w:id="136"/>
      <w:bookmarkEnd w:id="137"/>
      <w:bookmarkEnd w:id="138"/>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14:paraId="408440E1">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37F75614">
      <w:pPr>
        <w:rPr>
          <w:rFonts w:hint="eastAsia" w:ascii="仿宋" w:hAnsi="仿宋" w:eastAsia="仿宋" w:cs="仿宋"/>
          <w:sz w:val="28"/>
          <w:szCs w:val="28"/>
          <w:highlight w:val="none"/>
        </w:rPr>
      </w:pPr>
      <w:bookmarkStart w:id="139" w:name="_Toc327"/>
      <w:bookmarkStart w:id="140" w:name="_Toc29534"/>
      <w:bookmarkStart w:id="141" w:name="_Toc12492"/>
      <w:bookmarkStart w:id="142" w:name="_Toc14535"/>
      <w:bookmarkStart w:id="143" w:name="_Toc1067"/>
      <w:bookmarkStart w:id="144" w:name="_Toc20221"/>
      <w:bookmarkStart w:id="145" w:name="_Toc13531"/>
      <w:bookmarkStart w:id="146" w:name="_Toc8203"/>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地址：</w:t>
      </w:r>
      <w:bookmarkEnd w:id="139"/>
      <w:bookmarkEnd w:id="140"/>
      <w:bookmarkEnd w:id="141"/>
      <w:bookmarkEnd w:id="142"/>
      <w:bookmarkEnd w:id="143"/>
      <w:bookmarkEnd w:id="144"/>
      <w:bookmarkEnd w:id="145"/>
      <w:bookmarkEnd w:id="146"/>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p>
    <w:p w14:paraId="2165A9F3">
      <w:pPr>
        <w:rPr>
          <w:rFonts w:hint="eastAsia" w:ascii="仿宋" w:hAnsi="仿宋" w:eastAsia="仿宋" w:cs="仿宋"/>
          <w:sz w:val="28"/>
          <w:szCs w:val="28"/>
          <w:highlight w:val="none"/>
        </w:rPr>
      </w:pPr>
    </w:p>
    <w:p w14:paraId="0E7976BD">
      <w:pPr>
        <w:rPr>
          <w:rFonts w:hint="eastAsia" w:ascii="仿宋" w:hAnsi="仿宋" w:eastAsia="仿宋" w:cs="仿宋"/>
          <w:sz w:val="28"/>
          <w:szCs w:val="28"/>
          <w:highlight w:val="none"/>
        </w:rPr>
      </w:pPr>
      <w:bookmarkStart w:id="147" w:name="_Toc8896"/>
      <w:bookmarkStart w:id="148" w:name="_Toc26016"/>
      <w:bookmarkStart w:id="149" w:name="_Toc20904"/>
      <w:bookmarkStart w:id="150" w:name="_Toc29446"/>
      <w:bookmarkStart w:id="151" w:name="_Toc13059"/>
      <w:bookmarkStart w:id="152" w:name="_Toc16959"/>
      <w:bookmarkStart w:id="153" w:name="_Toc18778"/>
      <w:bookmarkStart w:id="154" w:name="_Toc831"/>
      <w:r>
        <w:rPr>
          <w:rFonts w:hint="eastAsia" w:ascii="仿宋" w:hAnsi="仿宋" w:eastAsia="仿宋" w:cs="仿宋"/>
          <w:sz w:val="28"/>
          <w:szCs w:val="28"/>
          <w:highlight w:val="none"/>
        </w:rPr>
        <w:t>编制时间：    年   月   日</w:t>
      </w:r>
      <w:bookmarkEnd w:id="147"/>
      <w:bookmarkEnd w:id="148"/>
      <w:bookmarkEnd w:id="149"/>
      <w:bookmarkEnd w:id="150"/>
      <w:bookmarkEnd w:id="151"/>
      <w:bookmarkEnd w:id="152"/>
      <w:bookmarkEnd w:id="153"/>
      <w:bookmarkEnd w:id="154"/>
      <w:r>
        <w:rPr>
          <w:rFonts w:hint="eastAsia" w:ascii="仿宋" w:hAnsi="仿宋" w:eastAsia="仿宋" w:cs="仿宋"/>
          <w:sz w:val="28"/>
          <w:szCs w:val="28"/>
          <w:highlight w:val="none"/>
        </w:rPr>
        <w:t xml:space="preserve"> </w:t>
      </w:r>
    </w:p>
    <w:p w14:paraId="5E01DB2F">
      <w:pPr>
        <w:pStyle w:val="9"/>
        <w:rPr>
          <w:highlight w:val="none"/>
        </w:rPr>
      </w:pPr>
    </w:p>
    <w:p w14:paraId="0A5FC473">
      <w:pPr>
        <w:rPr>
          <w:highlight w:val="none"/>
        </w:rPr>
      </w:pPr>
    </w:p>
    <w:p w14:paraId="2B8B38AA">
      <w:pPr>
        <w:pStyle w:val="16"/>
        <w:rPr>
          <w:highlight w:val="none"/>
        </w:rPr>
      </w:pPr>
    </w:p>
    <w:p w14:paraId="781E4425">
      <w:pPr>
        <w:rPr>
          <w:rFonts w:hint="eastAsia"/>
          <w:highlight w:val="none"/>
        </w:rPr>
      </w:pPr>
    </w:p>
    <w:p w14:paraId="1D06EEAA">
      <w:pPr>
        <w:spacing w:line="360" w:lineRule="auto"/>
        <w:ind w:firstLine="482" w:firstLineChars="150"/>
        <w:jc w:val="center"/>
        <w:rPr>
          <w:rFonts w:hint="eastAsia" w:ascii="仿宋" w:hAnsi="仿宋" w:eastAsia="仿宋" w:cs="仿宋"/>
          <w:b/>
          <w:kern w:val="2"/>
          <w:sz w:val="32"/>
          <w:szCs w:val="32"/>
          <w:highlight w:val="none"/>
          <w:lang w:val="zh-CN"/>
        </w:rPr>
      </w:pPr>
      <w:bookmarkStart w:id="155" w:name="_Toc17164"/>
      <w:bookmarkStart w:id="156" w:name="_Toc5991"/>
      <w:bookmarkStart w:id="157" w:name="_Toc30316"/>
      <w:bookmarkStart w:id="158" w:name="_Toc3492"/>
      <w:bookmarkStart w:id="159" w:name="_Toc7410"/>
      <w:bookmarkStart w:id="160" w:name="_Toc4705"/>
      <w:bookmarkStart w:id="161" w:name="_Toc15094"/>
      <w:bookmarkStart w:id="162" w:name="_Toc8208"/>
      <w:r>
        <w:rPr>
          <w:rFonts w:hint="eastAsia" w:ascii="仿宋" w:hAnsi="仿宋" w:eastAsia="仿宋" w:cs="仿宋"/>
          <w:b/>
          <w:kern w:val="2"/>
          <w:sz w:val="32"/>
          <w:szCs w:val="32"/>
          <w:highlight w:val="none"/>
          <w:lang w:val="zh-CN"/>
        </w:rPr>
        <w:t>目  录</w:t>
      </w:r>
      <w:bookmarkEnd w:id="155"/>
      <w:bookmarkEnd w:id="156"/>
      <w:bookmarkEnd w:id="157"/>
      <w:bookmarkEnd w:id="158"/>
      <w:bookmarkEnd w:id="159"/>
      <w:bookmarkEnd w:id="160"/>
      <w:bookmarkEnd w:id="161"/>
      <w:bookmarkEnd w:id="162"/>
    </w:p>
    <w:p w14:paraId="32526D4D">
      <w:pPr>
        <w:spacing w:line="360" w:lineRule="auto"/>
        <w:ind w:firstLine="361" w:firstLineChars="150"/>
        <w:rPr>
          <w:rFonts w:hint="eastAsia" w:ascii="仿宋" w:hAnsi="仿宋" w:eastAsia="仿宋" w:cs="仿宋"/>
          <w:b/>
          <w:kern w:val="2"/>
          <w:highlight w:val="none"/>
          <w:lang w:val="zh-CN"/>
        </w:rPr>
      </w:pPr>
    </w:p>
    <w:p w14:paraId="1CDFF07C">
      <w:pPr>
        <w:spacing w:line="360" w:lineRule="auto"/>
        <w:ind w:firstLine="360" w:firstLineChars="150"/>
        <w:rPr>
          <w:rFonts w:hint="eastAsia" w:ascii="仿宋" w:hAnsi="仿宋" w:eastAsia="仿宋" w:cs="仿宋"/>
          <w:bCs/>
          <w:kern w:val="2"/>
          <w:highlight w:val="none"/>
          <w:lang w:val="zh-CN"/>
        </w:rPr>
      </w:pPr>
      <w:bookmarkStart w:id="163" w:name="_Toc1970"/>
      <w:bookmarkStart w:id="164" w:name="_Toc11613"/>
      <w:bookmarkStart w:id="165" w:name="_Toc3967"/>
      <w:bookmarkStart w:id="166" w:name="_Toc20376"/>
      <w:bookmarkStart w:id="167" w:name="_Toc28262"/>
      <w:bookmarkStart w:id="168" w:name="_Toc27973"/>
      <w:bookmarkStart w:id="169" w:name="_Toc30947"/>
      <w:bookmarkStart w:id="170" w:name="_Toc16896"/>
      <w:bookmarkStart w:id="171" w:name="_Toc4965"/>
      <w:bookmarkStart w:id="172" w:name="_Toc15030"/>
      <w:bookmarkStart w:id="173" w:name="_Toc13288"/>
      <w:bookmarkStart w:id="174" w:name="_Toc7792"/>
      <w:r>
        <w:rPr>
          <w:rFonts w:hint="eastAsia" w:ascii="仿宋" w:hAnsi="仿宋" w:eastAsia="仿宋" w:cs="仿宋"/>
          <w:bCs/>
          <w:kern w:val="2"/>
          <w:highlight w:val="none"/>
          <w:lang w:val="zh-CN"/>
        </w:rPr>
        <w:t>一、投标函</w:t>
      </w:r>
      <w:bookmarkEnd w:id="163"/>
      <w:bookmarkEnd w:id="164"/>
      <w:bookmarkEnd w:id="165"/>
      <w:bookmarkEnd w:id="166"/>
      <w:bookmarkEnd w:id="167"/>
      <w:bookmarkEnd w:id="168"/>
      <w:bookmarkEnd w:id="169"/>
      <w:bookmarkEnd w:id="170"/>
    </w:p>
    <w:p w14:paraId="6388E8E7">
      <w:pPr>
        <w:spacing w:line="360" w:lineRule="auto"/>
        <w:ind w:firstLine="360" w:firstLineChars="150"/>
        <w:rPr>
          <w:rFonts w:hint="eastAsia" w:ascii="仿宋" w:hAnsi="仿宋" w:eastAsia="仿宋" w:cs="仿宋"/>
          <w:bCs/>
          <w:kern w:val="2"/>
          <w:highlight w:val="none"/>
          <w:lang w:val="zh-CN"/>
        </w:rPr>
      </w:pPr>
      <w:bookmarkStart w:id="175" w:name="_Toc16505"/>
      <w:bookmarkStart w:id="176" w:name="_Toc24357"/>
      <w:bookmarkStart w:id="177" w:name="_Toc31933"/>
      <w:bookmarkStart w:id="178" w:name="_Toc11212"/>
      <w:bookmarkStart w:id="179" w:name="_Toc19961"/>
      <w:bookmarkStart w:id="180" w:name="_Toc17439"/>
      <w:bookmarkStart w:id="181" w:name="_Toc28"/>
      <w:bookmarkStart w:id="182" w:name="_Toc30200"/>
      <w:r>
        <w:rPr>
          <w:rFonts w:hint="eastAsia" w:ascii="仿宋" w:hAnsi="仿宋" w:eastAsia="仿宋" w:cs="仿宋"/>
          <w:bCs/>
          <w:kern w:val="2"/>
          <w:highlight w:val="none"/>
          <w:lang w:val="zh-CN"/>
        </w:rPr>
        <w:t>二、法定代表人资格证明书及授权委托书</w:t>
      </w:r>
      <w:bookmarkEnd w:id="175"/>
      <w:bookmarkEnd w:id="176"/>
      <w:bookmarkEnd w:id="177"/>
      <w:bookmarkEnd w:id="178"/>
      <w:bookmarkEnd w:id="179"/>
      <w:bookmarkEnd w:id="180"/>
      <w:bookmarkEnd w:id="181"/>
      <w:bookmarkEnd w:id="182"/>
    </w:p>
    <w:p w14:paraId="3A1EA282">
      <w:pPr>
        <w:spacing w:line="360" w:lineRule="auto"/>
        <w:ind w:firstLine="360" w:firstLineChars="150"/>
        <w:rPr>
          <w:rFonts w:hint="eastAsia" w:ascii="仿宋" w:hAnsi="仿宋" w:eastAsia="仿宋" w:cs="仿宋"/>
          <w:bCs/>
          <w:kern w:val="2"/>
          <w:highlight w:val="none"/>
          <w:lang w:val="zh-CN"/>
        </w:rPr>
      </w:pPr>
      <w:bookmarkStart w:id="183" w:name="_Toc22013"/>
      <w:bookmarkStart w:id="184" w:name="_Toc17704"/>
      <w:bookmarkStart w:id="185" w:name="_Toc28309"/>
      <w:bookmarkStart w:id="186" w:name="_Toc30625"/>
      <w:bookmarkStart w:id="187" w:name="_Toc19648"/>
      <w:bookmarkStart w:id="188" w:name="_Toc18766"/>
      <w:bookmarkStart w:id="189" w:name="_Toc3818"/>
      <w:bookmarkStart w:id="190" w:name="_Toc26852"/>
      <w:r>
        <w:rPr>
          <w:rFonts w:hint="eastAsia" w:ascii="仿宋" w:hAnsi="仿宋" w:eastAsia="仿宋" w:cs="仿宋"/>
          <w:bCs/>
          <w:kern w:val="2"/>
          <w:highlight w:val="none"/>
          <w:lang w:val="zh-CN"/>
        </w:rPr>
        <w:t>三、资格证明文件</w:t>
      </w:r>
      <w:bookmarkEnd w:id="183"/>
      <w:bookmarkEnd w:id="184"/>
      <w:bookmarkEnd w:id="185"/>
      <w:bookmarkEnd w:id="186"/>
      <w:bookmarkEnd w:id="187"/>
      <w:bookmarkEnd w:id="188"/>
      <w:bookmarkEnd w:id="189"/>
      <w:bookmarkEnd w:id="190"/>
    </w:p>
    <w:p w14:paraId="295382A9">
      <w:pPr>
        <w:spacing w:line="360" w:lineRule="auto"/>
        <w:ind w:firstLine="360" w:firstLineChars="150"/>
        <w:rPr>
          <w:rFonts w:hint="eastAsia" w:ascii="仿宋" w:hAnsi="仿宋" w:eastAsia="仿宋" w:cs="仿宋"/>
          <w:bCs/>
          <w:kern w:val="2"/>
          <w:highlight w:val="none"/>
          <w:lang w:val="zh-CN"/>
        </w:rPr>
      </w:pPr>
      <w:bookmarkStart w:id="191" w:name="_Toc30312"/>
      <w:bookmarkStart w:id="192" w:name="_Toc1226"/>
      <w:bookmarkStart w:id="193" w:name="_Toc12732"/>
      <w:bookmarkStart w:id="194" w:name="_Toc3860"/>
      <w:bookmarkStart w:id="195" w:name="_Toc1560"/>
      <w:bookmarkStart w:id="196" w:name="_Toc25421"/>
      <w:bookmarkStart w:id="197" w:name="_Toc27213"/>
      <w:bookmarkStart w:id="198" w:name="_Toc24543"/>
      <w:r>
        <w:rPr>
          <w:rFonts w:hint="eastAsia" w:ascii="仿宋" w:hAnsi="仿宋" w:eastAsia="仿宋" w:cs="仿宋"/>
          <w:bCs/>
          <w:kern w:val="2"/>
          <w:highlight w:val="none"/>
          <w:lang w:val="zh-CN"/>
        </w:rPr>
        <w:t>四、开标一览表</w:t>
      </w:r>
      <w:bookmarkEnd w:id="191"/>
      <w:bookmarkEnd w:id="192"/>
      <w:bookmarkEnd w:id="193"/>
      <w:bookmarkEnd w:id="194"/>
      <w:bookmarkEnd w:id="195"/>
      <w:bookmarkEnd w:id="196"/>
      <w:bookmarkEnd w:id="197"/>
      <w:bookmarkEnd w:id="198"/>
    </w:p>
    <w:p w14:paraId="3C1298A0">
      <w:pPr>
        <w:spacing w:line="360" w:lineRule="auto"/>
        <w:ind w:firstLine="360" w:firstLineChars="150"/>
        <w:rPr>
          <w:rFonts w:hint="eastAsia" w:ascii="仿宋" w:hAnsi="仿宋" w:eastAsia="仿宋" w:cs="仿宋"/>
          <w:bCs/>
          <w:kern w:val="2"/>
          <w:highlight w:val="none"/>
          <w:lang w:val="zh-CN"/>
        </w:rPr>
      </w:pPr>
      <w:bookmarkStart w:id="199" w:name="_Toc23897"/>
      <w:bookmarkStart w:id="200" w:name="_Toc8323"/>
      <w:bookmarkStart w:id="201" w:name="_Toc22055"/>
      <w:bookmarkStart w:id="202" w:name="_Toc27405"/>
      <w:bookmarkStart w:id="203" w:name="_Toc30067"/>
      <w:bookmarkStart w:id="204" w:name="_Toc15902"/>
      <w:bookmarkStart w:id="205" w:name="_Toc12362"/>
      <w:bookmarkStart w:id="206" w:name="_Toc6014"/>
      <w:r>
        <w:rPr>
          <w:rFonts w:hint="eastAsia" w:ascii="仿宋" w:hAnsi="仿宋" w:eastAsia="仿宋" w:cs="仿宋"/>
          <w:bCs/>
          <w:kern w:val="2"/>
          <w:highlight w:val="none"/>
          <w:lang w:val="zh-CN"/>
        </w:rPr>
        <w:t>五、投标报价明细表</w:t>
      </w:r>
      <w:bookmarkEnd w:id="199"/>
      <w:bookmarkEnd w:id="200"/>
      <w:bookmarkEnd w:id="201"/>
      <w:bookmarkEnd w:id="202"/>
      <w:bookmarkEnd w:id="203"/>
      <w:bookmarkEnd w:id="204"/>
      <w:bookmarkEnd w:id="205"/>
      <w:bookmarkEnd w:id="206"/>
    </w:p>
    <w:p w14:paraId="2FF624E2">
      <w:pPr>
        <w:spacing w:line="360" w:lineRule="auto"/>
        <w:ind w:firstLine="360" w:firstLineChars="150"/>
        <w:rPr>
          <w:rFonts w:hint="eastAsia" w:ascii="仿宋" w:hAnsi="仿宋" w:eastAsia="仿宋" w:cs="仿宋"/>
          <w:bCs/>
          <w:kern w:val="2"/>
          <w:highlight w:val="none"/>
          <w:lang w:val="zh-CN"/>
        </w:rPr>
      </w:pPr>
      <w:bookmarkStart w:id="207" w:name="_Toc9055"/>
      <w:bookmarkStart w:id="208" w:name="_Toc25374"/>
      <w:bookmarkStart w:id="209" w:name="_Toc13245"/>
      <w:bookmarkStart w:id="210" w:name="_Toc15410"/>
      <w:bookmarkStart w:id="211" w:name="_Toc8390"/>
      <w:bookmarkStart w:id="212" w:name="_Toc747"/>
      <w:bookmarkStart w:id="213" w:name="_Toc1840"/>
      <w:bookmarkStart w:id="214" w:name="_Toc14074"/>
      <w:r>
        <w:rPr>
          <w:rFonts w:hint="eastAsia" w:ascii="仿宋" w:hAnsi="仿宋" w:eastAsia="仿宋" w:cs="仿宋"/>
          <w:bCs/>
          <w:kern w:val="2"/>
          <w:highlight w:val="none"/>
          <w:lang w:val="zh-CN"/>
        </w:rPr>
        <w:t>六、近年（20</w:t>
      </w:r>
      <w:r>
        <w:rPr>
          <w:rFonts w:hint="eastAsia" w:ascii="仿宋" w:hAnsi="仿宋" w:eastAsia="仿宋" w:cs="仿宋"/>
          <w:bCs/>
          <w:kern w:val="2"/>
          <w:highlight w:val="none"/>
          <w:lang w:val="en-US" w:eastAsia="zh-CN"/>
        </w:rPr>
        <w:t>23</w:t>
      </w:r>
      <w:r>
        <w:rPr>
          <w:rFonts w:hint="eastAsia" w:ascii="仿宋" w:hAnsi="仿宋" w:eastAsia="仿宋" w:cs="仿宋"/>
          <w:bCs/>
          <w:kern w:val="2"/>
          <w:highlight w:val="none"/>
          <w:lang w:val="zh-CN"/>
        </w:rPr>
        <w:t>年1月1日至今）类似项目业绩</w:t>
      </w:r>
      <w:bookmarkEnd w:id="207"/>
      <w:bookmarkEnd w:id="208"/>
      <w:bookmarkEnd w:id="209"/>
      <w:bookmarkEnd w:id="210"/>
      <w:bookmarkEnd w:id="211"/>
      <w:bookmarkEnd w:id="212"/>
      <w:bookmarkEnd w:id="213"/>
      <w:bookmarkEnd w:id="214"/>
    </w:p>
    <w:p w14:paraId="116BFF54">
      <w:pPr>
        <w:spacing w:line="360" w:lineRule="auto"/>
        <w:ind w:firstLine="360" w:firstLineChars="150"/>
        <w:rPr>
          <w:rFonts w:hint="eastAsia" w:ascii="仿宋" w:hAnsi="仿宋" w:eastAsia="仿宋" w:cs="仿宋"/>
          <w:bCs/>
          <w:kern w:val="2"/>
          <w:highlight w:val="none"/>
          <w:lang w:val="zh-CN"/>
        </w:rPr>
      </w:pPr>
      <w:bookmarkStart w:id="215" w:name="_Toc306"/>
      <w:bookmarkStart w:id="216" w:name="_Toc26191"/>
      <w:bookmarkStart w:id="217" w:name="_Toc19569"/>
      <w:bookmarkStart w:id="218" w:name="_Toc1462"/>
      <w:bookmarkStart w:id="219" w:name="_Toc23376"/>
      <w:bookmarkStart w:id="220" w:name="_Toc29375"/>
      <w:bookmarkStart w:id="221" w:name="_Toc2037"/>
      <w:bookmarkStart w:id="222" w:name="_Toc19316"/>
      <w:r>
        <w:rPr>
          <w:rFonts w:hint="eastAsia" w:ascii="仿宋" w:hAnsi="仿宋" w:eastAsia="仿宋" w:cs="仿宋"/>
          <w:bCs/>
          <w:kern w:val="2"/>
          <w:highlight w:val="none"/>
          <w:lang w:val="zh-CN"/>
        </w:rPr>
        <w:t>七、</w:t>
      </w:r>
      <w:bookmarkEnd w:id="215"/>
      <w:bookmarkEnd w:id="216"/>
      <w:bookmarkEnd w:id="217"/>
      <w:bookmarkEnd w:id="218"/>
      <w:bookmarkEnd w:id="219"/>
      <w:bookmarkEnd w:id="220"/>
      <w:bookmarkEnd w:id="221"/>
      <w:bookmarkEnd w:id="222"/>
      <w:r>
        <w:rPr>
          <w:rFonts w:hint="eastAsia" w:ascii="仿宋" w:hAnsi="仿宋" w:eastAsia="仿宋" w:cs="宋体"/>
          <w:sz w:val="24"/>
          <w:szCs w:val="24"/>
          <w:highlight w:val="none"/>
          <w:lang w:val="zh-CN"/>
        </w:rPr>
        <w:t>拟配备人员一览表</w:t>
      </w:r>
    </w:p>
    <w:p w14:paraId="40DC408D">
      <w:pPr>
        <w:spacing w:line="360" w:lineRule="auto"/>
        <w:ind w:firstLine="360" w:firstLineChars="150"/>
        <w:rPr>
          <w:rFonts w:hint="eastAsia" w:ascii="仿宋" w:hAnsi="仿宋" w:eastAsia="仿宋" w:cs="仿宋"/>
          <w:bCs/>
          <w:kern w:val="2"/>
          <w:highlight w:val="none"/>
          <w:lang w:val="zh-CN"/>
        </w:rPr>
      </w:pPr>
      <w:bookmarkStart w:id="223" w:name="_Toc16615"/>
      <w:bookmarkStart w:id="224" w:name="_Toc17801"/>
      <w:bookmarkStart w:id="225" w:name="_Toc4286"/>
      <w:bookmarkStart w:id="226" w:name="_Toc22255"/>
      <w:bookmarkStart w:id="227" w:name="_Toc165"/>
      <w:bookmarkStart w:id="228" w:name="_Toc30677"/>
      <w:bookmarkStart w:id="229" w:name="_Toc25911"/>
      <w:bookmarkStart w:id="230" w:name="_Toc14814"/>
      <w:r>
        <w:rPr>
          <w:rFonts w:hint="eastAsia" w:ascii="仿宋" w:hAnsi="仿宋" w:eastAsia="仿宋" w:cs="仿宋"/>
          <w:bCs/>
          <w:kern w:val="2"/>
          <w:highlight w:val="none"/>
          <w:lang w:val="zh-CN"/>
        </w:rPr>
        <w:t>八、商务条款偏离说明表</w:t>
      </w:r>
      <w:bookmarkEnd w:id="223"/>
      <w:bookmarkEnd w:id="224"/>
      <w:bookmarkEnd w:id="225"/>
      <w:bookmarkEnd w:id="226"/>
      <w:bookmarkEnd w:id="227"/>
      <w:bookmarkEnd w:id="228"/>
      <w:bookmarkEnd w:id="229"/>
      <w:bookmarkEnd w:id="230"/>
    </w:p>
    <w:p w14:paraId="2BD78E7C">
      <w:pPr>
        <w:spacing w:line="360" w:lineRule="auto"/>
        <w:ind w:firstLine="360" w:firstLineChars="150"/>
        <w:rPr>
          <w:rFonts w:ascii="仿宋" w:hAnsi="仿宋" w:eastAsia="仿宋" w:cs="仿宋"/>
          <w:bCs/>
          <w:kern w:val="2"/>
          <w:highlight w:val="none"/>
        </w:rPr>
      </w:pPr>
      <w:bookmarkStart w:id="231" w:name="_Toc7920"/>
      <w:bookmarkStart w:id="232" w:name="_Toc12003"/>
      <w:bookmarkStart w:id="233" w:name="_Toc25968"/>
      <w:bookmarkStart w:id="234" w:name="_Toc19552"/>
      <w:bookmarkStart w:id="235" w:name="_Toc14918"/>
      <w:bookmarkStart w:id="236" w:name="_Toc13876"/>
      <w:bookmarkStart w:id="237" w:name="_Toc15606"/>
      <w:bookmarkStart w:id="238" w:name="_Toc26162"/>
      <w:r>
        <w:rPr>
          <w:rFonts w:hint="eastAsia" w:ascii="仿宋" w:hAnsi="仿宋" w:eastAsia="仿宋" w:cs="仿宋"/>
          <w:bCs/>
          <w:kern w:val="2"/>
          <w:highlight w:val="none"/>
          <w:lang w:val="zh-CN"/>
        </w:rPr>
        <w:t>九、技术文件</w:t>
      </w:r>
      <w:bookmarkEnd w:id="231"/>
      <w:bookmarkEnd w:id="232"/>
      <w:bookmarkEnd w:id="233"/>
      <w:bookmarkEnd w:id="234"/>
      <w:bookmarkEnd w:id="235"/>
      <w:bookmarkEnd w:id="236"/>
      <w:bookmarkEnd w:id="237"/>
      <w:bookmarkEnd w:id="238"/>
    </w:p>
    <w:p w14:paraId="3FB3DAF2">
      <w:pPr>
        <w:spacing w:line="360" w:lineRule="auto"/>
        <w:ind w:firstLine="360" w:firstLineChars="150"/>
        <w:rPr>
          <w:rFonts w:hint="eastAsia" w:ascii="仿宋" w:hAnsi="仿宋" w:eastAsia="仿宋" w:cs="仿宋"/>
          <w:bCs/>
          <w:kern w:val="2"/>
          <w:highlight w:val="none"/>
          <w:lang w:val="zh-CN"/>
        </w:rPr>
      </w:pPr>
      <w:bookmarkStart w:id="239" w:name="_Toc10388"/>
      <w:bookmarkStart w:id="240" w:name="_Toc11540"/>
      <w:bookmarkStart w:id="241" w:name="_Toc31272"/>
      <w:bookmarkStart w:id="242" w:name="_Toc21841"/>
      <w:bookmarkStart w:id="243" w:name="_Toc31453"/>
      <w:bookmarkStart w:id="244" w:name="_Toc3780"/>
      <w:bookmarkStart w:id="245" w:name="_Toc9689"/>
      <w:bookmarkStart w:id="246" w:name="_Toc31412"/>
      <w:r>
        <w:rPr>
          <w:rFonts w:hint="eastAsia" w:ascii="仿宋" w:hAnsi="仿宋" w:eastAsia="仿宋" w:cs="仿宋"/>
          <w:bCs/>
          <w:kern w:val="2"/>
          <w:highlight w:val="none"/>
          <w:lang w:val="zh-CN"/>
        </w:rPr>
        <w:t>十、技术条款偏离表</w:t>
      </w:r>
      <w:bookmarkEnd w:id="239"/>
      <w:bookmarkEnd w:id="240"/>
      <w:bookmarkEnd w:id="241"/>
      <w:bookmarkEnd w:id="242"/>
      <w:bookmarkEnd w:id="243"/>
      <w:bookmarkEnd w:id="244"/>
      <w:bookmarkEnd w:id="245"/>
      <w:bookmarkEnd w:id="246"/>
    </w:p>
    <w:p w14:paraId="2A930EE3">
      <w:pPr>
        <w:spacing w:line="360" w:lineRule="auto"/>
        <w:ind w:firstLine="360" w:firstLineChars="150"/>
        <w:rPr>
          <w:rFonts w:hint="eastAsia" w:ascii="仿宋" w:hAnsi="仿宋" w:eastAsia="仿宋" w:cs="仿宋"/>
          <w:bCs/>
          <w:kern w:val="2"/>
          <w:highlight w:val="none"/>
          <w:lang w:val="zh-CN"/>
        </w:rPr>
      </w:pPr>
      <w:bookmarkStart w:id="247" w:name="_Toc8188"/>
      <w:bookmarkStart w:id="248" w:name="_Toc2416"/>
      <w:bookmarkStart w:id="249" w:name="_Toc14173"/>
      <w:bookmarkStart w:id="250" w:name="_Toc8707"/>
      <w:bookmarkStart w:id="251" w:name="_Toc15121"/>
      <w:bookmarkStart w:id="252" w:name="_Toc14668"/>
      <w:bookmarkStart w:id="253" w:name="_Toc29918"/>
      <w:bookmarkStart w:id="254" w:name="_Toc23342"/>
      <w:r>
        <w:rPr>
          <w:rFonts w:hint="eastAsia" w:ascii="仿宋" w:hAnsi="仿宋" w:eastAsia="仿宋" w:cs="仿宋"/>
          <w:bCs/>
          <w:kern w:val="2"/>
          <w:highlight w:val="none"/>
          <w:lang w:val="zh-CN"/>
        </w:rPr>
        <w:t>十</w:t>
      </w:r>
      <w:r>
        <w:rPr>
          <w:rFonts w:hint="eastAsia" w:ascii="仿宋" w:hAnsi="仿宋" w:eastAsia="仿宋" w:cs="仿宋"/>
          <w:bCs/>
          <w:kern w:val="2"/>
          <w:highlight w:val="none"/>
        </w:rPr>
        <w:t>一</w:t>
      </w:r>
      <w:r>
        <w:rPr>
          <w:rFonts w:hint="eastAsia" w:ascii="仿宋" w:hAnsi="仿宋" w:eastAsia="仿宋" w:cs="仿宋"/>
          <w:bCs/>
          <w:kern w:val="2"/>
          <w:highlight w:val="none"/>
          <w:lang w:val="zh-CN"/>
        </w:rPr>
        <w:t>、其他材料</w:t>
      </w:r>
      <w:bookmarkEnd w:id="247"/>
      <w:bookmarkEnd w:id="248"/>
      <w:bookmarkEnd w:id="249"/>
      <w:bookmarkEnd w:id="250"/>
      <w:bookmarkEnd w:id="251"/>
      <w:bookmarkEnd w:id="252"/>
      <w:bookmarkEnd w:id="253"/>
      <w:bookmarkEnd w:id="254"/>
    </w:p>
    <w:p w14:paraId="0914DB80">
      <w:pPr>
        <w:pStyle w:val="35"/>
        <w:adjustRightInd w:val="0"/>
        <w:snapToGrid w:val="0"/>
        <w:spacing w:line="360" w:lineRule="auto"/>
        <w:ind w:firstLine="480" w:firstLineChars="200"/>
        <w:jc w:val="both"/>
        <w:rPr>
          <w:rFonts w:hint="eastAsia" w:ascii="仿宋" w:hAnsi="仿宋" w:eastAsia="仿宋" w:cs="仿宋"/>
          <w:b w:val="0"/>
          <w:bCs/>
          <w:kern w:val="2"/>
          <w:sz w:val="24"/>
          <w:highlight w:val="none"/>
        </w:rPr>
      </w:pPr>
    </w:p>
    <w:p w14:paraId="2EC1B251">
      <w:pPr>
        <w:pStyle w:val="35"/>
        <w:adjustRightInd w:val="0"/>
        <w:snapToGrid w:val="0"/>
        <w:spacing w:line="360" w:lineRule="auto"/>
        <w:ind w:firstLine="480" w:firstLineChars="200"/>
        <w:jc w:val="both"/>
        <w:rPr>
          <w:rFonts w:hint="eastAsia" w:ascii="仿宋" w:hAnsi="仿宋" w:eastAsia="仿宋" w:cs="仿宋"/>
          <w:b w:val="0"/>
          <w:bCs/>
          <w:kern w:val="2"/>
          <w:sz w:val="24"/>
          <w:highlight w:val="none"/>
        </w:rPr>
      </w:pPr>
    </w:p>
    <w:p w14:paraId="634E3B23">
      <w:pPr>
        <w:pStyle w:val="35"/>
        <w:adjustRightInd w:val="0"/>
        <w:snapToGrid w:val="0"/>
        <w:spacing w:line="360" w:lineRule="auto"/>
        <w:ind w:firstLine="482" w:firstLineChars="200"/>
        <w:jc w:val="both"/>
        <w:rPr>
          <w:rFonts w:hint="eastAsia" w:ascii="仿宋" w:hAnsi="仿宋" w:eastAsia="仿宋" w:cs="仿宋"/>
          <w:kern w:val="2"/>
          <w:sz w:val="24"/>
          <w:highlight w:val="none"/>
        </w:rPr>
      </w:pPr>
      <w:r>
        <w:rPr>
          <w:rFonts w:hint="eastAsia" w:ascii="仿宋" w:hAnsi="仿宋" w:eastAsia="仿宋" w:cs="仿宋"/>
          <w:kern w:val="2"/>
          <w:sz w:val="24"/>
          <w:highlight w:val="none"/>
        </w:rPr>
        <w:t>注：格式自拟，包括但不限于上述内容，必须注明页码</w:t>
      </w:r>
      <w:bookmarkEnd w:id="171"/>
      <w:bookmarkEnd w:id="172"/>
      <w:bookmarkEnd w:id="173"/>
      <w:bookmarkEnd w:id="174"/>
    </w:p>
    <w:p w14:paraId="0F417369">
      <w:pPr>
        <w:spacing w:line="360" w:lineRule="auto"/>
        <w:ind w:firstLine="361" w:firstLineChars="150"/>
        <w:rPr>
          <w:rFonts w:hint="eastAsia" w:ascii="仿宋" w:hAnsi="仿宋" w:eastAsia="仿宋" w:cs="仿宋"/>
          <w:b/>
          <w:highlight w:val="none"/>
        </w:rPr>
      </w:pPr>
    </w:p>
    <w:p w14:paraId="031CAB84">
      <w:pPr>
        <w:pStyle w:val="5"/>
        <w:ind w:firstLine="422"/>
        <w:rPr>
          <w:rFonts w:hint="eastAsia" w:ascii="仿宋" w:hAnsi="仿宋" w:eastAsia="仿宋" w:cs="仿宋"/>
          <w:b/>
          <w:highlight w:val="none"/>
        </w:rPr>
      </w:pPr>
    </w:p>
    <w:p w14:paraId="764475B6">
      <w:pPr>
        <w:rPr>
          <w:rFonts w:hint="eastAsia" w:ascii="仿宋" w:hAnsi="仿宋" w:eastAsia="仿宋" w:cs="仿宋"/>
          <w:b/>
          <w:highlight w:val="none"/>
        </w:rPr>
      </w:pPr>
    </w:p>
    <w:p w14:paraId="791B0372">
      <w:pPr>
        <w:pStyle w:val="5"/>
        <w:ind w:firstLine="422"/>
        <w:rPr>
          <w:rFonts w:hint="eastAsia" w:ascii="仿宋" w:hAnsi="仿宋" w:eastAsia="仿宋" w:cs="仿宋"/>
          <w:b/>
          <w:highlight w:val="none"/>
        </w:rPr>
      </w:pPr>
    </w:p>
    <w:p w14:paraId="40053D07">
      <w:pPr>
        <w:rPr>
          <w:rFonts w:hint="eastAsia" w:ascii="仿宋" w:hAnsi="仿宋" w:eastAsia="仿宋" w:cs="仿宋"/>
          <w:b/>
          <w:highlight w:val="none"/>
        </w:rPr>
      </w:pPr>
    </w:p>
    <w:p w14:paraId="1B304C23">
      <w:pPr>
        <w:pStyle w:val="5"/>
        <w:ind w:firstLine="422"/>
        <w:rPr>
          <w:rFonts w:hint="eastAsia" w:ascii="仿宋" w:hAnsi="仿宋" w:eastAsia="仿宋" w:cs="仿宋"/>
          <w:b/>
          <w:highlight w:val="none"/>
        </w:rPr>
      </w:pPr>
    </w:p>
    <w:p w14:paraId="6D919B57">
      <w:pPr>
        <w:rPr>
          <w:rFonts w:hint="eastAsia" w:ascii="仿宋" w:hAnsi="仿宋" w:eastAsia="仿宋" w:cs="仿宋"/>
          <w:b/>
          <w:highlight w:val="none"/>
        </w:rPr>
      </w:pPr>
    </w:p>
    <w:p w14:paraId="68152105">
      <w:pPr>
        <w:pStyle w:val="5"/>
        <w:ind w:firstLine="422"/>
        <w:rPr>
          <w:rFonts w:hint="eastAsia" w:ascii="仿宋" w:hAnsi="仿宋" w:eastAsia="仿宋" w:cs="仿宋"/>
          <w:b/>
          <w:highlight w:val="none"/>
        </w:rPr>
      </w:pPr>
    </w:p>
    <w:p w14:paraId="63C5F878">
      <w:pPr>
        <w:rPr>
          <w:rFonts w:hint="eastAsia"/>
          <w:highlight w:val="none"/>
        </w:rPr>
      </w:pPr>
    </w:p>
    <w:p w14:paraId="7D06E458">
      <w:pPr>
        <w:pageBreakBefore/>
        <w:snapToGrid w:val="0"/>
        <w:spacing w:line="360" w:lineRule="auto"/>
        <w:jc w:val="center"/>
        <w:rPr>
          <w:rFonts w:hint="eastAsia" w:ascii="仿宋" w:hAnsi="仿宋" w:eastAsia="仿宋" w:cs="仿宋"/>
          <w:b/>
          <w:sz w:val="28"/>
          <w:szCs w:val="28"/>
          <w:highlight w:val="none"/>
        </w:rPr>
      </w:pPr>
      <w:bookmarkStart w:id="255" w:name="_Toc22061"/>
      <w:bookmarkStart w:id="256" w:name="_Toc3269"/>
      <w:bookmarkStart w:id="257" w:name="_Toc25376"/>
      <w:bookmarkStart w:id="258" w:name="_Toc17935"/>
      <w:bookmarkStart w:id="259" w:name="_Toc25022"/>
      <w:bookmarkStart w:id="260" w:name="_Toc3557"/>
      <w:bookmarkStart w:id="261" w:name="_Toc10970"/>
      <w:bookmarkStart w:id="262" w:name="_Toc27215"/>
      <w:bookmarkStart w:id="263" w:name="_Toc8360"/>
      <w:bookmarkStart w:id="264" w:name="_Toc14206"/>
      <w:bookmarkStart w:id="265" w:name="_Toc3890"/>
      <w:bookmarkStart w:id="266" w:name="_Toc13743"/>
      <w:bookmarkStart w:id="267" w:name="_Toc26835"/>
      <w:r>
        <w:rPr>
          <w:rFonts w:hint="eastAsia" w:ascii="仿宋" w:hAnsi="仿宋" w:eastAsia="仿宋" w:cs="仿宋"/>
          <w:b/>
          <w:sz w:val="28"/>
          <w:szCs w:val="28"/>
          <w:highlight w:val="none"/>
        </w:rPr>
        <w:t>一、投标函</w:t>
      </w:r>
      <w:bookmarkEnd w:id="255"/>
      <w:bookmarkEnd w:id="256"/>
      <w:bookmarkEnd w:id="257"/>
      <w:bookmarkEnd w:id="258"/>
      <w:bookmarkEnd w:id="259"/>
      <w:bookmarkEnd w:id="260"/>
      <w:bookmarkEnd w:id="261"/>
      <w:bookmarkEnd w:id="262"/>
      <w:bookmarkEnd w:id="263"/>
      <w:bookmarkEnd w:id="264"/>
      <w:bookmarkEnd w:id="265"/>
      <w:bookmarkEnd w:id="266"/>
      <w:bookmarkEnd w:id="267"/>
    </w:p>
    <w:p w14:paraId="11CB4F9E">
      <w:pPr>
        <w:pStyle w:val="36"/>
        <w:widowControl/>
        <w:adjustRightInd w:val="0"/>
        <w:snapToGrid w:val="0"/>
        <w:spacing w:line="360" w:lineRule="auto"/>
        <w:ind w:left="0" w:leftChars="0"/>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（采购人）：</w:t>
      </w:r>
    </w:p>
    <w:p w14:paraId="05BC5804">
      <w:pPr>
        <w:pStyle w:val="36"/>
        <w:widowControl/>
        <w:adjustRightInd w:val="0"/>
        <w:snapToGrid w:val="0"/>
        <w:spacing w:line="360" w:lineRule="auto"/>
        <w:ind w:left="0" w:leftChars="0"/>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（采购代理机构）：</w:t>
      </w:r>
    </w:p>
    <w:p w14:paraId="48B40676">
      <w:pPr>
        <w:pStyle w:val="36"/>
        <w:widowControl/>
        <w:adjustRightInd w:val="0"/>
        <w:snapToGrid w:val="0"/>
        <w:spacing w:line="360" w:lineRule="auto"/>
        <w:ind w:left="0" w:leftChars="0"/>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名称)授权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委托代理人姓名)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(职务)为我方代表，参加贵方组织的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(项目名称、项目编号)招标的有关活动，并对此项目进行投标。为此：</w:t>
      </w:r>
    </w:p>
    <w:p w14:paraId="6654B46E">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1、我方同意在本项目招标文件中规定的投标有效期内遵守本投标文件中的承诺且在此期限期满之前均具有约束力。</w:t>
      </w:r>
    </w:p>
    <w:p w14:paraId="3E3FB47F">
      <w:pPr>
        <w:pStyle w:val="36"/>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2、我方承诺已经具备《中华人民共和国政府采购法》中规定的参加政府采购活动的供应商应当具备的条件：</w:t>
      </w:r>
    </w:p>
    <w:p w14:paraId="43C91BAA">
      <w:pPr>
        <w:pStyle w:val="36"/>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1）具有独立承担民事责任的能力；</w:t>
      </w:r>
    </w:p>
    <w:p w14:paraId="44279BAE">
      <w:pPr>
        <w:pStyle w:val="36"/>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2）具有良好的商业信誉和健全的财务会计制度；</w:t>
      </w:r>
    </w:p>
    <w:p w14:paraId="54D46992">
      <w:pPr>
        <w:pStyle w:val="36"/>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3）具有履行合同所必需的设备和专业技术能力；</w:t>
      </w:r>
    </w:p>
    <w:p w14:paraId="101A637B">
      <w:pPr>
        <w:pStyle w:val="36"/>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4）有依法缴纳税收和社会保障资金的良好记录；</w:t>
      </w:r>
    </w:p>
    <w:p w14:paraId="746F0BCD">
      <w:pPr>
        <w:pStyle w:val="36"/>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5）参加此项采购活动前三年内，在经营活动中没有重大违法记录；</w:t>
      </w:r>
    </w:p>
    <w:p w14:paraId="2A708C14">
      <w:pPr>
        <w:pStyle w:val="36"/>
        <w:widowControl/>
        <w:adjustRightInd w:val="0"/>
        <w:snapToGrid w:val="0"/>
        <w:spacing w:line="360" w:lineRule="auto"/>
        <w:ind w:left="0" w:leftChars="0" w:firstLine="480" w:firstLineChars="200"/>
        <w:rPr>
          <w:rFonts w:hint="eastAsia" w:eastAsia="宋体"/>
          <w:highlight w:val="none"/>
          <w:lang w:val="en-US" w:eastAsia="zh-CN"/>
        </w:rPr>
      </w:pPr>
      <w:r>
        <w:rPr>
          <w:rFonts w:hint="eastAsia" w:ascii="仿宋" w:hAnsi="仿宋" w:eastAsia="仿宋" w:cs="仿宋"/>
          <w:sz w:val="24"/>
          <w:highlight w:val="none"/>
          <w:lang w:val="en-US" w:eastAsia="zh-CN"/>
        </w:rPr>
        <w:t>6）法律、行政法规规定的其他条件。</w:t>
      </w:r>
    </w:p>
    <w:p w14:paraId="659B1AAB">
      <w:pPr>
        <w:pStyle w:val="37"/>
        <w:adjustRightInd w:val="0"/>
        <w:snapToGrid w:val="0"/>
        <w:spacing w:line="360" w:lineRule="auto"/>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、提供</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须知规定的全部投标文件</w:t>
      </w:r>
      <w:r>
        <w:rPr>
          <w:rFonts w:hint="eastAsia" w:ascii="仿宋" w:hAnsi="仿宋" w:eastAsia="仿宋" w:cs="仿宋"/>
          <w:sz w:val="24"/>
          <w:highlight w:val="none"/>
          <w:lang w:eastAsia="zh-CN"/>
        </w:rPr>
        <w:t>。</w:t>
      </w:r>
    </w:p>
    <w:p w14:paraId="4BDF4084">
      <w:pPr>
        <w:pStyle w:val="36"/>
        <w:widowControl/>
        <w:adjustRightInd w:val="0"/>
        <w:snapToGrid w:val="0"/>
        <w:spacing w:line="360" w:lineRule="auto"/>
        <w:ind w:left="0" w:leftChars="0" w:firstLine="480" w:firstLineChars="200"/>
        <w:rPr>
          <w:rFonts w:hint="default" w:ascii="仿宋" w:hAnsi="仿宋" w:eastAsia="仿宋" w:cs="仿宋"/>
          <w:sz w:val="24"/>
          <w:highlight w:val="none"/>
          <w:u w:val="none"/>
          <w:lang w:val="en-US" w:eastAsia="zh-CN"/>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、我方承诺：保证在与业主签订合同后立即开展工作，非业主原因，我方保证</w:t>
      </w:r>
      <w:r>
        <w:rPr>
          <w:rFonts w:hint="eastAsia" w:ascii="仿宋" w:hAnsi="仿宋" w:eastAsia="仿宋" w:cs="仿宋"/>
          <w:sz w:val="24"/>
          <w:highlight w:val="none"/>
          <w:lang w:eastAsia="zh-CN"/>
        </w:rPr>
        <w:t>合同履约</w:t>
      </w:r>
      <w:r>
        <w:rPr>
          <w:rFonts w:hint="eastAsia" w:ascii="仿宋" w:hAnsi="仿宋" w:eastAsia="仿宋" w:cs="仿宋"/>
          <w:sz w:val="24"/>
          <w:highlight w:val="none"/>
        </w:rPr>
        <w:t>期限为：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lang w:eastAsia="zh-CN"/>
        </w:rPr>
        <w:t>，</w:t>
      </w:r>
      <w:r>
        <w:rPr>
          <w:rFonts w:hint="eastAsia" w:ascii="仿宋" w:hAnsi="仿宋" w:eastAsia="仿宋" w:cs="仿宋"/>
          <w:sz w:val="24"/>
          <w:highlight w:val="none"/>
        </w:rPr>
        <w:t>投标有效期为：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none"/>
          <w:lang w:eastAsia="zh-CN"/>
        </w:rPr>
        <w:t>，</w:t>
      </w:r>
      <w:r>
        <w:rPr>
          <w:rFonts w:hint="eastAsia" w:ascii="仿宋" w:hAnsi="仿宋" w:eastAsia="仿宋" w:cs="仿宋"/>
          <w:sz w:val="24"/>
          <w:highlight w:val="none"/>
          <w:u w:val="none"/>
          <w:lang w:val="en-US" w:eastAsia="zh-CN"/>
        </w:rPr>
        <w:t>交货地点：</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lang w:val="en-US" w:eastAsia="zh-CN"/>
        </w:rPr>
        <w:t>。</w:t>
      </w:r>
    </w:p>
    <w:p w14:paraId="375DBB9F">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、我方承诺：完全确满足和响应招标文件中的各项技术和服务要求，若有偏差，已在投标文件偏离表中予以明特别说明。</w:t>
      </w:r>
    </w:p>
    <w:p w14:paraId="19D30489">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我方承诺：与在本项目中设计编制技术规格的机构及其附属机构无任何直接隶属关系和利益关联。</w:t>
      </w:r>
    </w:p>
    <w:p w14:paraId="36ABC2B0">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7</w:t>
      </w:r>
      <w:r>
        <w:rPr>
          <w:rFonts w:hint="eastAsia" w:ascii="仿宋" w:hAnsi="仿宋" w:eastAsia="仿宋" w:cs="仿宋"/>
          <w:sz w:val="24"/>
          <w:highlight w:val="none"/>
        </w:rPr>
        <w:t>、保证忠实地执行双方所签订的合同，并承担合同规定的责任和义务。</w:t>
      </w:r>
    </w:p>
    <w:p w14:paraId="4E805300">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8</w:t>
      </w:r>
      <w:r>
        <w:rPr>
          <w:rFonts w:hint="eastAsia" w:ascii="仿宋" w:hAnsi="仿宋" w:eastAsia="仿宋" w:cs="仿宋"/>
          <w:sz w:val="24"/>
          <w:highlight w:val="none"/>
        </w:rPr>
        <w:t>、我方承诺：投标文件所提供的一切资料均真实、及时、有效。由于我方提供资料不实而造成的责任和后果由我方承担。我方同意按照贵方提出的要求，向贵方提供任何与本项投标有关的数据、情况和技术资料。若贵方需要，我方愿意提供我方作出的一切承诺的证明材料。</w:t>
      </w:r>
    </w:p>
    <w:p w14:paraId="01326443">
      <w:pPr>
        <w:pStyle w:val="37"/>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9</w:t>
      </w:r>
      <w:r>
        <w:rPr>
          <w:rFonts w:hint="eastAsia" w:ascii="仿宋" w:hAnsi="仿宋" w:eastAsia="仿宋" w:cs="仿宋"/>
          <w:kern w:val="0"/>
          <w:sz w:val="24"/>
          <w:highlight w:val="none"/>
        </w:rPr>
        <w:t>、我方承诺：采购人若需追加采购本项目招标文件所列服务的，在不改变合同其他实质性条款的前提下，按合同相关服务条款保证提供服务。</w:t>
      </w:r>
    </w:p>
    <w:p w14:paraId="62109D95">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10</w:t>
      </w:r>
      <w:r>
        <w:rPr>
          <w:rFonts w:hint="eastAsia" w:ascii="仿宋" w:hAnsi="仿宋" w:eastAsia="仿宋" w:cs="仿宋"/>
          <w:sz w:val="24"/>
          <w:highlight w:val="none"/>
        </w:rPr>
        <w:t>、我方承诺：接受招标文件中的全部条款且无任何异议，保证遵守招标文件的规定。</w:t>
      </w:r>
    </w:p>
    <w:p w14:paraId="23D8C1CC">
      <w:pPr>
        <w:pStyle w:val="37"/>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、完全理解投标报价若未响应招标文件要求时，投标将被拒绝。</w:t>
      </w:r>
    </w:p>
    <w:p w14:paraId="771E078D">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、如果在开标后规定的投标有效期内撤回投标，我方的投标保证金可被贵方没收。</w:t>
      </w:r>
    </w:p>
    <w:p w14:paraId="71FC3CC3">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、我方完全理解贵方不一定接受最低价的投标或收到的任何投标。</w:t>
      </w:r>
    </w:p>
    <w:p w14:paraId="693D5381">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、我方已详细审核全部投标文件，包括投标文件修改书（如有的话）、参考资料及有关附件，确认无误。</w:t>
      </w:r>
    </w:p>
    <w:p w14:paraId="550AA1AA">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我方将严格遵守《中华人民共和国政府采购法》的有关规定，若有下列情形之一的，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D3A308D">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1）提供虚假材料谋取中标、成交的；</w:t>
      </w:r>
    </w:p>
    <w:p w14:paraId="577C4878">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2）采取不正当手段诋毁、排挤其他</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的；</w:t>
      </w:r>
    </w:p>
    <w:p w14:paraId="41549DFA">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3）与采购人、其他</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或者采购代理机构工作人员恶意串通的；</w:t>
      </w:r>
    </w:p>
    <w:p w14:paraId="3A41AFBE">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4）向采购人、采购代理机构工作人员行贿或者提供其他不正当利益的；</w:t>
      </w:r>
    </w:p>
    <w:p w14:paraId="6824D73F">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5）在采购过程中与采购人进行协商谈判的；</w:t>
      </w:r>
    </w:p>
    <w:p w14:paraId="36440546">
      <w:pPr>
        <w:pStyle w:val="36"/>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6）拒绝有关部门监督检查或提供虚假情况的。</w:t>
      </w:r>
    </w:p>
    <w:p w14:paraId="1B087DA5">
      <w:pPr>
        <w:pStyle w:val="36"/>
        <w:widowControl/>
        <w:adjustRightInd w:val="0"/>
        <w:snapToGrid w:val="0"/>
        <w:spacing w:line="360" w:lineRule="auto"/>
        <w:ind w:left="115" w:leftChars="48" w:firstLine="361" w:firstLineChars="150"/>
        <w:rPr>
          <w:rFonts w:hint="eastAsia" w:ascii="仿宋" w:hAnsi="仿宋" w:eastAsia="仿宋" w:cs="仿宋"/>
          <w:b/>
          <w:sz w:val="24"/>
          <w:highlight w:val="none"/>
        </w:rPr>
      </w:pPr>
    </w:p>
    <w:p w14:paraId="37F73857">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5B69763C">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293BD3BA">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kern w:val="0"/>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 </w:t>
      </w:r>
      <w:r>
        <w:rPr>
          <w:rFonts w:hint="eastAsia" w:ascii="仿宋" w:hAnsi="仿宋" w:eastAsia="仿宋" w:cs="仿宋"/>
          <w:b/>
          <w:bCs/>
          <w:kern w:val="0"/>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 </w:t>
      </w:r>
      <w:r>
        <w:rPr>
          <w:rFonts w:hint="eastAsia" w:ascii="仿宋" w:hAnsi="仿宋" w:eastAsia="仿宋" w:cs="仿宋"/>
          <w:b/>
          <w:bCs/>
          <w:kern w:val="0"/>
          <w:sz w:val="24"/>
          <w:szCs w:val="24"/>
          <w:highlight w:val="none"/>
        </w:rPr>
        <w:t>日</w:t>
      </w:r>
    </w:p>
    <w:p w14:paraId="10140652">
      <w:pPr>
        <w:pStyle w:val="36"/>
        <w:widowControl/>
        <w:adjustRightInd w:val="0"/>
        <w:snapToGrid w:val="0"/>
        <w:spacing w:line="360" w:lineRule="auto"/>
        <w:ind w:left="0" w:leftChars="0"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说明：除可填报项目外，对本投标函的任何修改将被视为非实质性响应投标，从而导致该投标被拒绝。</w:t>
      </w:r>
    </w:p>
    <w:p w14:paraId="3F4B73C3">
      <w:pPr>
        <w:rPr>
          <w:rFonts w:ascii="仿宋" w:hAnsi="仿宋" w:eastAsia="仿宋" w:cs="仿宋_GB2312"/>
          <w:color w:val="000000"/>
          <w:szCs w:val="21"/>
          <w:highlight w:val="none"/>
        </w:rPr>
      </w:pPr>
    </w:p>
    <w:p w14:paraId="5BAF764F">
      <w:pPr>
        <w:jc w:val="center"/>
        <w:rPr>
          <w:rFonts w:hint="eastAsia" w:ascii="仿宋" w:hAnsi="仿宋" w:eastAsia="仿宋"/>
          <w:b/>
          <w:bCs/>
          <w:sz w:val="32"/>
          <w:szCs w:val="32"/>
          <w:highlight w:val="none"/>
        </w:rPr>
      </w:pPr>
      <w:bookmarkStart w:id="268" w:name="_Toc514163725"/>
      <w:bookmarkStart w:id="269" w:name="_Toc514163612"/>
    </w:p>
    <w:p w14:paraId="27E304FB">
      <w:pPr>
        <w:jc w:val="center"/>
        <w:rPr>
          <w:rFonts w:hint="eastAsia" w:ascii="仿宋" w:hAnsi="仿宋" w:eastAsia="仿宋"/>
          <w:b/>
          <w:bCs/>
          <w:sz w:val="32"/>
          <w:szCs w:val="32"/>
          <w:highlight w:val="none"/>
        </w:rPr>
      </w:pPr>
    </w:p>
    <w:p w14:paraId="6B80A4B6">
      <w:pPr>
        <w:jc w:val="center"/>
        <w:rPr>
          <w:rFonts w:hint="eastAsia" w:ascii="仿宋" w:hAnsi="仿宋" w:eastAsia="仿宋"/>
          <w:b/>
          <w:bCs/>
          <w:sz w:val="32"/>
          <w:szCs w:val="32"/>
          <w:highlight w:val="none"/>
        </w:rPr>
      </w:pPr>
    </w:p>
    <w:p w14:paraId="1D367BA0">
      <w:pPr>
        <w:jc w:val="center"/>
        <w:rPr>
          <w:rFonts w:hint="eastAsia" w:ascii="仿宋" w:hAnsi="仿宋" w:eastAsia="仿宋"/>
          <w:b/>
          <w:bCs/>
          <w:sz w:val="32"/>
          <w:szCs w:val="32"/>
          <w:highlight w:val="none"/>
        </w:rPr>
      </w:pPr>
    </w:p>
    <w:bookmarkEnd w:id="268"/>
    <w:bookmarkEnd w:id="269"/>
    <w:p w14:paraId="49005834">
      <w:pPr>
        <w:pageBreakBefore/>
        <w:snapToGrid w:val="0"/>
        <w:spacing w:line="360" w:lineRule="auto"/>
        <w:jc w:val="center"/>
        <w:rPr>
          <w:rFonts w:hint="eastAsia" w:ascii="仿宋" w:hAnsi="仿宋" w:eastAsia="仿宋" w:cs="仿宋"/>
          <w:b/>
          <w:sz w:val="28"/>
          <w:szCs w:val="28"/>
          <w:highlight w:val="none"/>
        </w:rPr>
      </w:pPr>
      <w:bookmarkStart w:id="270" w:name="_Toc6979"/>
      <w:bookmarkStart w:id="271" w:name="_Toc12435"/>
      <w:bookmarkStart w:id="272" w:name="_Toc18238"/>
      <w:bookmarkStart w:id="273" w:name="_Toc23808"/>
      <w:bookmarkStart w:id="274" w:name="_Toc3544"/>
      <w:bookmarkStart w:id="275" w:name="_Toc14285"/>
      <w:bookmarkStart w:id="276" w:name="_Toc26436"/>
      <w:bookmarkStart w:id="277" w:name="_Toc8716"/>
      <w:bookmarkStart w:id="278" w:name="_Toc488"/>
      <w:bookmarkStart w:id="279" w:name="_Toc32193"/>
      <w:bookmarkStart w:id="280" w:name="_Toc17340"/>
      <w:bookmarkStart w:id="281" w:name="_Toc26784"/>
      <w:bookmarkStart w:id="282" w:name="_Toc19025"/>
      <w:bookmarkStart w:id="283" w:name="_Toc514163726"/>
      <w:bookmarkStart w:id="284" w:name="_Toc514163613"/>
      <w:r>
        <w:rPr>
          <w:rFonts w:hint="eastAsia" w:ascii="仿宋" w:hAnsi="仿宋" w:eastAsia="仿宋" w:cs="仿宋"/>
          <w:b/>
          <w:sz w:val="28"/>
          <w:szCs w:val="28"/>
          <w:highlight w:val="none"/>
        </w:rPr>
        <w:t>二、法定代表人资格证明书及授权委托书</w:t>
      </w:r>
      <w:bookmarkEnd w:id="270"/>
      <w:bookmarkEnd w:id="271"/>
      <w:bookmarkEnd w:id="272"/>
      <w:bookmarkEnd w:id="273"/>
      <w:bookmarkEnd w:id="274"/>
      <w:bookmarkEnd w:id="275"/>
      <w:bookmarkEnd w:id="276"/>
      <w:bookmarkEnd w:id="277"/>
      <w:bookmarkEnd w:id="278"/>
      <w:bookmarkEnd w:id="279"/>
      <w:bookmarkEnd w:id="280"/>
      <w:bookmarkEnd w:id="281"/>
      <w:bookmarkEnd w:id="282"/>
    </w:p>
    <w:p w14:paraId="6EE3BF4C">
      <w:pPr>
        <w:snapToGrid w:val="0"/>
        <w:spacing w:line="360" w:lineRule="auto"/>
        <w:jc w:val="center"/>
        <w:rPr>
          <w:rFonts w:hint="eastAsia" w:ascii="仿宋" w:hAnsi="仿宋" w:eastAsia="仿宋" w:cs="仿宋"/>
          <w:b/>
          <w:sz w:val="28"/>
          <w:szCs w:val="28"/>
          <w:highlight w:val="none"/>
        </w:rPr>
      </w:pPr>
      <w:bookmarkStart w:id="285" w:name="_Toc480368424"/>
      <w:bookmarkStart w:id="286" w:name="_Toc480368595"/>
      <w:bookmarkStart w:id="287" w:name="_Toc480371721"/>
      <w:bookmarkStart w:id="288" w:name="_Toc480368653"/>
      <w:bookmarkStart w:id="289" w:name="_Toc12445"/>
      <w:bookmarkStart w:id="290" w:name="_Toc12348"/>
      <w:bookmarkStart w:id="291" w:name="_Toc18836"/>
      <w:bookmarkStart w:id="292" w:name="_Toc5401"/>
      <w:bookmarkStart w:id="293" w:name="_Toc25553"/>
      <w:r>
        <w:rPr>
          <w:rFonts w:hint="eastAsia" w:ascii="仿宋" w:hAnsi="仿宋" w:eastAsia="仿宋" w:cs="仿宋"/>
          <w:b/>
          <w:sz w:val="28"/>
          <w:szCs w:val="28"/>
          <w:highlight w:val="none"/>
        </w:rPr>
        <w:t>法定代表人资格证明</w:t>
      </w:r>
      <w:bookmarkEnd w:id="285"/>
      <w:bookmarkEnd w:id="286"/>
      <w:bookmarkEnd w:id="287"/>
      <w:bookmarkEnd w:id="288"/>
      <w:r>
        <w:rPr>
          <w:rFonts w:hint="eastAsia" w:ascii="仿宋" w:hAnsi="仿宋" w:eastAsia="仿宋" w:cs="仿宋"/>
          <w:b/>
          <w:sz w:val="28"/>
          <w:szCs w:val="28"/>
          <w:highlight w:val="none"/>
        </w:rPr>
        <w:t>书</w:t>
      </w:r>
      <w:bookmarkEnd w:id="289"/>
      <w:bookmarkEnd w:id="290"/>
      <w:bookmarkEnd w:id="291"/>
      <w:bookmarkEnd w:id="292"/>
      <w:bookmarkEnd w:id="293"/>
    </w:p>
    <w:p w14:paraId="1EC868A7">
      <w:pPr>
        <w:pStyle w:val="40"/>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（代理机构名称）</w:t>
      </w:r>
      <w:r>
        <w:rPr>
          <w:rFonts w:hint="eastAsia" w:ascii="仿宋" w:hAnsi="仿宋" w:eastAsia="仿宋" w:cs="仿宋"/>
          <w:sz w:val="24"/>
          <w:szCs w:val="24"/>
          <w:highlight w:val="none"/>
        </w:rPr>
        <w:t>：</w:t>
      </w:r>
    </w:p>
    <w:p w14:paraId="3707F0D9">
      <w:pPr>
        <w:pStyle w:val="40"/>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兹有</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同志为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公司法定代表人，代表我公司办理一切社会公务事宜，具有法律效力。 </w:t>
      </w:r>
    </w:p>
    <w:p w14:paraId="14CC5975">
      <w:pPr>
        <w:pStyle w:val="40"/>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附法定代表人基本情况： </w:t>
      </w:r>
    </w:p>
    <w:p w14:paraId="32C66980">
      <w:pPr>
        <w:pStyle w:val="40"/>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姓名：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年龄：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职务： </w:t>
      </w:r>
      <w:r>
        <w:rPr>
          <w:rFonts w:hint="eastAsia" w:ascii="仿宋" w:hAnsi="仿宋" w:eastAsia="仿宋" w:cs="仿宋"/>
          <w:sz w:val="24"/>
          <w:szCs w:val="24"/>
          <w:highlight w:val="none"/>
          <w:u w:val="single"/>
        </w:rPr>
        <w:t xml:space="preserve">         </w:t>
      </w:r>
    </w:p>
    <w:p w14:paraId="4F9827A0">
      <w:pPr>
        <w:pStyle w:val="40"/>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身份证号码：</w:t>
      </w:r>
      <w:r>
        <w:rPr>
          <w:rFonts w:hint="eastAsia" w:ascii="仿宋" w:hAnsi="仿宋" w:eastAsia="仿宋" w:cs="仿宋"/>
          <w:sz w:val="24"/>
          <w:szCs w:val="24"/>
          <w:highlight w:val="none"/>
          <w:u w:val="single"/>
        </w:rPr>
        <w:t xml:space="preserve">                    </w:t>
      </w:r>
    </w:p>
    <w:p w14:paraId="1AA8BEC6">
      <w:pPr>
        <w:pStyle w:val="40"/>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通讯地址：</w:t>
      </w:r>
      <w:r>
        <w:rPr>
          <w:rFonts w:hint="eastAsia" w:ascii="仿宋" w:hAnsi="仿宋" w:eastAsia="仿宋" w:cs="仿宋"/>
          <w:sz w:val="24"/>
          <w:szCs w:val="24"/>
          <w:highlight w:val="none"/>
          <w:u w:val="single"/>
        </w:rPr>
        <w:t xml:space="preserve">                      </w:t>
      </w:r>
    </w:p>
    <w:p w14:paraId="3EB6CCD2">
      <w:pPr>
        <w:pStyle w:val="40"/>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电话号码：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0E6CE46D">
      <w:pPr>
        <w:pStyle w:val="40"/>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23EEA612">
      <w:pPr>
        <w:pStyle w:val="40"/>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bl>
      <w:tblPr>
        <w:tblStyle w:val="20"/>
        <w:tblW w:w="7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6"/>
      </w:tblGrid>
      <w:tr w14:paraId="058F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jc w:val="center"/>
        </w:trPr>
        <w:tc>
          <w:tcPr>
            <w:tcW w:w="7886" w:type="dxa"/>
            <w:tcBorders>
              <w:top w:val="single" w:color="auto" w:sz="4" w:space="0"/>
              <w:left w:val="single" w:color="auto" w:sz="4" w:space="0"/>
              <w:bottom w:val="single" w:color="auto" w:sz="4" w:space="0"/>
              <w:right w:val="single" w:color="auto" w:sz="4" w:space="0"/>
            </w:tcBorders>
            <w:noWrap w:val="0"/>
            <w:vAlign w:val="top"/>
          </w:tcPr>
          <w:p w14:paraId="3420B49C">
            <w:pPr>
              <w:pStyle w:val="40"/>
              <w:adjustRightInd w:val="0"/>
              <w:snapToGrid w:val="0"/>
              <w:spacing w:line="360" w:lineRule="auto"/>
              <w:jc w:val="center"/>
              <w:rPr>
                <w:rFonts w:hint="eastAsia" w:ascii="仿宋" w:hAnsi="仿宋" w:eastAsia="仿宋" w:cs="仿宋"/>
                <w:sz w:val="24"/>
                <w:szCs w:val="24"/>
                <w:highlight w:val="none"/>
              </w:rPr>
            </w:pPr>
          </w:p>
          <w:p w14:paraId="49C9A7FE">
            <w:pPr>
              <w:pStyle w:val="40"/>
              <w:adjustRightInd w:val="0"/>
              <w:snapToGrid w:val="0"/>
              <w:spacing w:line="360" w:lineRule="auto"/>
              <w:jc w:val="center"/>
              <w:rPr>
                <w:rFonts w:hint="eastAsia" w:ascii="仿宋" w:hAnsi="仿宋" w:eastAsia="仿宋" w:cs="仿宋"/>
                <w:sz w:val="24"/>
                <w:szCs w:val="24"/>
                <w:highlight w:val="none"/>
              </w:rPr>
            </w:pPr>
          </w:p>
          <w:p w14:paraId="47AADCA3">
            <w:pPr>
              <w:pStyle w:val="40"/>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1"/>
                <w:szCs w:val="21"/>
                <w:highlight w:val="none"/>
              </w:rPr>
              <w:t>法定代表人《居民身份证》复印件正反面</w:t>
            </w:r>
          </w:p>
        </w:tc>
      </w:tr>
    </w:tbl>
    <w:p w14:paraId="272942E7">
      <w:pPr>
        <w:pStyle w:val="40"/>
        <w:adjustRightInd w:val="0"/>
        <w:snapToGrid w:val="0"/>
        <w:spacing w:line="360" w:lineRule="auto"/>
        <w:rPr>
          <w:rFonts w:hint="eastAsia" w:ascii="仿宋" w:hAnsi="仿宋" w:eastAsia="仿宋" w:cs="仿宋"/>
          <w:sz w:val="24"/>
          <w:szCs w:val="24"/>
          <w:highlight w:val="none"/>
        </w:rPr>
      </w:pPr>
    </w:p>
    <w:p w14:paraId="58FB1322">
      <w:pPr>
        <w:pStyle w:val="40"/>
        <w:adjustRightInd w:val="0"/>
        <w:snapToGrid w:val="0"/>
        <w:spacing w:line="360" w:lineRule="auto"/>
        <w:rPr>
          <w:rFonts w:hint="eastAsia" w:ascii="仿宋" w:hAnsi="仿宋" w:eastAsia="仿宋" w:cs="仿宋"/>
          <w:sz w:val="24"/>
          <w:szCs w:val="24"/>
          <w:highlight w:val="none"/>
        </w:rPr>
      </w:pPr>
    </w:p>
    <w:p w14:paraId="40EF1E06">
      <w:pPr>
        <w:pStyle w:val="38"/>
        <w:adjustRightInd w:val="0"/>
        <w:snapToGrid w:val="0"/>
        <w:spacing w:line="360" w:lineRule="auto"/>
        <w:ind w:firstLine="480" w:firstLineChars="200"/>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tab/>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277C2C1E">
      <w:pPr>
        <w:pStyle w:val="38"/>
        <w:adjustRightInd w:val="0"/>
        <w:snapToGrid w:val="0"/>
        <w:spacing w:line="360" w:lineRule="auto"/>
        <w:ind w:firstLine="723" w:firstLineChars="300"/>
        <w:rPr>
          <w:rFonts w:hint="eastAsia" w:ascii="仿宋" w:hAnsi="仿宋" w:eastAsia="仿宋" w:cs="仿宋"/>
          <w:b/>
          <w:bCs/>
          <w:sz w:val="24"/>
          <w:szCs w:val="24"/>
          <w:highlight w:val="none"/>
        </w:rPr>
      </w:pPr>
    </w:p>
    <w:p w14:paraId="01CAE2A3">
      <w:pPr>
        <w:pStyle w:val="38"/>
        <w:adjustRightInd w:val="0"/>
        <w:snapToGrid w:val="0"/>
        <w:spacing w:line="360" w:lineRule="auto"/>
        <w:ind w:firstLine="964" w:firstLineChars="4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3D331AE1">
      <w:pPr>
        <w:pStyle w:val="40"/>
        <w:tabs>
          <w:tab w:val="left" w:pos="750"/>
        </w:tabs>
        <w:adjustRightInd w:val="0"/>
        <w:snapToGrid w:val="0"/>
        <w:spacing w:line="360" w:lineRule="auto"/>
        <w:ind w:firstLine="723" w:firstLineChars="300"/>
        <w:rPr>
          <w:rFonts w:hint="eastAsia" w:ascii="仿宋" w:hAnsi="仿宋" w:eastAsia="仿宋" w:cs="仿宋"/>
          <w:b/>
          <w:bCs/>
          <w:sz w:val="24"/>
          <w:szCs w:val="24"/>
          <w:highlight w:val="none"/>
        </w:rPr>
      </w:pPr>
    </w:p>
    <w:p w14:paraId="4EF66F09">
      <w:pPr>
        <w:pStyle w:val="40"/>
        <w:tabs>
          <w:tab w:val="left" w:pos="750"/>
        </w:tabs>
        <w:adjustRightInd w:val="0"/>
        <w:snapToGrid w:val="0"/>
        <w:spacing w:line="360" w:lineRule="auto"/>
        <w:ind w:firstLine="723" w:firstLineChars="3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3A0885CE">
      <w:pPr>
        <w:pStyle w:val="40"/>
        <w:tabs>
          <w:tab w:val="left" w:pos="750"/>
        </w:tabs>
        <w:adjustRightInd w:val="0"/>
        <w:snapToGrid w:val="0"/>
        <w:spacing w:line="360" w:lineRule="auto"/>
        <w:ind w:firstLine="723" w:firstLineChars="300"/>
        <w:rPr>
          <w:rFonts w:hint="eastAsia" w:ascii="仿宋" w:hAnsi="仿宋" w:eastAsia="仿宋" w:cs="仿宋"/>
          <w:b/>
          <w:bCs/>
          <w:sz w:val="24"/>
          <w:szCs w:val="24"/>
          <w:highlight w:val="none"/>
        </w:rPr>
      </w:pPr>
    </w:p>
    <w:p w14:paraId="7E364937">
      <w:pPr>
        <w:jc w:val="center"/>
        <w:rPr>
          <w:rFonts w:hint="eastAsia" w:ascii="仿宋" w:hAnsi="仿宋" w:eastAsia="仿宋"/>
          <w:b/>
          <w:sz w:val="32"/>
          <w:szCs w:val="32"/>
          <w:highlight w:val="none"/>
        </w:rPr>
      </w:pPr>
    </w:p>
    <w:p w14:paraId="36B8BB4D">
      <w:pPr>
        <w:pageBreakBefore/>
        <w:snapToGrid w:val="0"/>
        <w:spacing w:line="360" w:lineRule="auto"/>
        <w:jc w:val="center"/>
        <w:rPr>
          <w:rFonts w:hint="eastAsia" w:ascii="仿宋" w:hAnsi="仿宋" w:eastAsia="仿宋" w:cs="仿宋"/>
          <w:b/>
          <w:sz w:val="28"/>
          <w:szCs w:val="28"/>
          <w:highlight w:val="none"/>
        </w:rPr>
      </w:pPr>
      <w:bookmarkStart w:id="294" w:name="_Toc32739"/>
      <w:bookmarkStart w:id="295" w:name="_Toc23633"/>
      <w:bookmarkStart w:id="296" w:name="_Toc29301"/>
      <w:bookmarkStart w:id="297" w:name="_Toc155"/>
      <w:bookmarkStart w:id="298" w:name="_Toc613"/>
      <w:r>
        <w:rPr>
          <w:rFonts w:hint="eastAsia" w:ascii="仿宋" w:hAnsi="仿宋" w:eastAsia="仿宋" w:cs="仿宋"/>
          <w:b/>
          <w:sz w:val="28"/>
          <w:szCs w:val="28"/>
          <w:highlight w:val="none"/>
        </w:rPr>
        <w:t>法定代表人授权委托书</w:t>
      </w:r>
      <w:bookmarkEnd w:id="294"/>
      <w:bookmarkEnd w:id="295"/>
      <w:bookmarkEnd w:id="296"/>
      <w:bookmarkEnd w:id="297"/>
      <w:bookmarkEnd w:id="298"/>
    </w:p>
    <w:p w14:paraId="2915E580">
      <w:pPr>
        <w:pStyle w:val="40"/>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（代理机构名称）</w:t>
      </w:r>
      <w:r>
        <w:rPr>
          <w:rFonts w:hint="eastAsia" w:ascii="仿宋" w:hAnsi="仿宋" w:eastAsia="仿宋" w:cs="仿宋"/>
          <w:sz w:val="24"/>
          <w:szCs w:val="24"/>
          <w:highlight w:val="none"/>
        </w:rPr>
        <w:t>：</w:t>
      </w:r>
    </w:p>
    <w:p w14:paraId="00B3BB2C">
      <w:pPr>
        <w:pStyle w:val="40"/>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兹授权</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同志为我公司参加贵单位组织的编号为</w:t>
      </w:r>
      <w:r>
        <w:rPr>
          <w:rFonts w:hint="eastAsia" w:ascii="仿宋" w:hAnsi="仿宋" w:eastAsia="仿宋" w:cs="仿宋"/>
          <w:sz w:val="24"/>
          <w:szCs w:val="24"/>
          <w:highlight w:val="none"/>
          <w:u w:val="single"/>
        </w:rPr>
        <w:t>（项目编号）</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（项目名称）</w:t>
      </w:r>
      <w:r>
        <w:rPr>
          <w:rFonts w:hint="eastAsia" w:ascii="仿宋" w:hAnsi="仿宋" w:eastAsia="仿宋" w:cs="仿宋"/>
          <w:sz w:val="24"/>
          <w:szCs w:val="24"/>
          <w:highlight w:val="none"/>
        </w:rPr>
        <w:t>采购活动的委托代理人，全权代表我公司处理在该项目采购活动中的一切事宜。</w:t>
      </w:r>
    </w:p>
    <w:p w14:paraId="3C8E2ACA">
      <w:pPr>
        <w:pStyle w:val="40"/>
        <w:adjustRightInd w:val="0"/>
        <w:snapToGrid w:val="0"/>
        <w:spacing w:line="360" w:lineRule="auto"/>
        <w:rPr>
          <w:rFonts w:hint="eastAsia" w:ascii="仿宋" w:hAnsi="仿宋" w:eastAsia="仿宋" w:cs="仿宋"/>
          <w:sz w:val="24"/>
          <w:szCs w:val="24"/>
          <w:highlight w:val="none"/>
        </w:rPr>
      </w:pPr>
    </w:p>
    <w:p w14:paraId="69CE3E52">
      <w:pPr>
        <w:pStyle w:val="40"/>
        <w:tabs>
          <w:tab w:val="left" w:pos="6163"/>
        </w:tabs>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代理期限：</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tab/>
      </w:r>
    </w:p>
    <w:p w14:paraId="62F61FAC">
      <w:pPr>
        <w:pStyle w:val="40"/>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代理人工作单位：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C94FE97">
      <w:pPr>
        <w:pStyle w:val="40"/>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 </w:t>
      </w:r>
    </w:p>
    <w:p w14:paraId="0019AE57">
      <w:pPr>
        <w:pStyle w:val="40"/>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475E748B">
      <w:pPr>
        <w:pStyle w:val="40"/>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身份证号码：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13FBCB10">
      <w:pPr>
        <w:pStyle w:val="40"/>
        <w:adjustRightInd w:val="0"/>
        <w:snapToGrid w:val="0"/>
        <w:spacing w:line="360" w:lineRule="auto"/>
        <w:ind w:left="-101" w:leftChars="-42" w:firstLine="600" w:firstLineChars="250"/>
        <w:rPr>
          <w:rFonts w:hint="eastAsia" w:ascii="仿宋" w:hAnsi="仿宋" w:eastAsia="仿宋" w:cs="仿宋"/>
          <w:sz w:val="24"/>
          <w:szCs w:val="24"/>
          <w:highlight w:val="none"/>
          <w:u w:val="single"/>
        </w:rPr>
      </w:pPr>
    </w:p>
    <w:tbl>
      <w:tblPr>
        <w:tblStyle w:val="20"/>
        <w:tblW w:w="7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8"/>
      </w:tblGrid>
      <w:tr w14:paraId="3DA65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7668" w:type="dxa"/>
            <w:tcBorders>
              <w:top w:val="single" w:color="auto" w:sz="4" w:space="0"/>
              <w:left w:val="single" w:color="auto" w:sz="4" w:space="0"/>
              <w:bottom w:val="single" w:color="auto" w:sz="4" w:space="0"/>
              <w:right w:val="single" w:color="auto" w:sz="4" w:space="0"/>
            </w:tcBorders>
            <w:noWrap w:val="0"/>
            <w:vAlign w:val="top"/>
          </w:tcPr>
          <w:p w14:paraId="69838D97">
            <w:pPr>
              <w:pStyle w:val="40"/>
              <w:adjustRightInd w:val="0"/>
              <w:snapToGrid w:val="0"/>
              <w:spacing w:line="360" w:lineRule="auto"/>
              <w:rPr>
                <w:rFonts w:hint="eastAsia" w:ascii="仿宋" w:hAnsi="仿宋" w:eastAsia="仿宋" w:cs="仿宋"/>
                <w:sz w:val="21"/>
                <w:szCs w:val="21"/>
                <w:highlight w:val="none"/>
              </w:rPr>
            </w:pPr>
          </w:p>
          <w:p w14:paraId="373461AA">
            <w:pPr>
              <w:pStyle w:val="40"/>
              <w:adjustRightInd w:val="0"/>
              <w:snapToGrid w:val="0"/>
              <w:spacing w:line="360" w:lineRule="auto"/>
              <w:rPr>
                <w:rFonts w:hint="eastAsia" w:ascii="仿宋" w:hAnsi="仿宋" w:eastAsia="仿宋" w:cs="仿宋"/>
                <w:sz w:val="21"/>
                <w:szCs w:val="21"/>
                <w:highlight w:val="none"/>
              </w:rPr>
            </w:pPr>
          </w:p>
          <w:p w14:paraId="525A4081">
            <w:pPr>
              <w:pStyle w:val="40"/>
              <w:adjustRightInd w:val="0"/>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法定代表人身份证正反面</w:t>
            </w:r>
          </w:p>
        </w:tc>
      </w:tr>
    </w:tbl>
    <w:p w14:paraId="6B58E90E">
      <w:pPr>
        <w:pStyle w:val="40"/>
        <w:adjustRightInd w:val="0"/>
        <w:snapToGrid w:val="0"/>
        <w:spacing w:line="360" w:lineRule="auto"/>
        <w:ind w:left="-101" w:leftChars="-42" w:firstLine="525" w:firstLineChars="250"/>
        <w:rPr>
          <w:rFonts w:hint="eastAsia" w:ascii="仿宋" w:hAnsi="仿宋" w:eastAsia="仿宋" w:cs="仿宋"/>
          <w:sz w:val="21"/>
          <w:szCs w:val="21"/>
          <w:highlight w:val="none"/>
          <w:u w:val="single"/>
        </w:rPr>
      </w:pPr>
    </w:p>
    <w:p w14:paraId="6A2079E5">
      <w:pPr>
        <w:pStyle w:val="40"/>
        <w:adjustRightInd w:val="0"/>
        <w:snapToGrid w:val="0"/>
        <w:spacing w:line="360" w:lineRule="auto"/>
        <w:ind w:left="-101" w:leftChars="-42" w:firstLine="525" w:firstLineChars="250"/>
        <w:rPr>
          <w:rFonts w:hint="eastAsia" w:ascii="仿宋" w:hAnsi="仿宋" w:eastAsia="仿宋" w:cs="仿宋"/>
          <w:sz w:val="21"/>
          <w:szCs w:val="21"/>
          <w:highlight w:val="none"/>
          <w:u w:val="single"/>
        </w:rPr>
      </w:pPr>
    </w:p>
    <w:tbl>
      <w:tblPr>
        <w:tblStyle w:val="20"/>
        <w:tblW w:w="7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8"/>
      </w:tblGrid>
      <w:tr w14:paraId="58CC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7668" w:type="dxa"/>
            <w:tcBorders>
              <w:top w:val="single" w:color="auto" w:sz="4" w:space="0"/>
              <w:left w:val="single" w:color="auto" w:sz="4" w:space="0"/>
              <w:bottom w:val="single" w:color="auto" w:sz="4" w:space="0"/>
              <w:right w:val="single" w:color="auto" w:sz="4" w:space="0"/>
            </w:tcBorders>
            <w:noWrap w:val="0"/>
            <w:vAlign w:val="top"/>
          </w:tcPr>
          <w:p w14:paraId="6177CA85">
            <w:pPr>
              <w:pStyle w:val="40"/>
              <w:adjustRightInd w:val="0"/>
              <w:snapToGrid w:val="0"/>
              <w:spacing w:line="360" w:lineRule="auto"/>
              <w:rPr>
                <w:rFonts w:hint="eastAsia" w:ascii="仿宋" w:hAnsi="仿宋" w:eastAsia="仿宋" w:cs="仿宋"/>
                <w:sz w:val="21"/>
                <w:szCs w:val="21"/>
                <w:highlight w:val="none"/>
              </w:rPr>
            </w:pPr>
          </w:p>
          <w:p w14:paraId="3A056811">
            <w:pPr>
              <w:pStyle w:val="40"/>
              <w:adjustRightInd w:val="0"/>
              <w:snapToGrid w:val="0"/>
              <w:spacing w:line="360" w:lineRule="auto"/>
              <w:rPr>
                <w:rFonts w:hint="eastAsia" w:ascii="仿宋" w:hAnsi="仿宋" w:eastAsia="仿宋" w:cs="仿宋"/>
                <w:sz w:val="21"/>
                <w:szCs w:val="21"/>
                <w:highlight w:val="none"/>
              </w:rPr>
            </w:pPr>
          </w:p>
          <w:p w14:paraId="7C3C5D6C">
            <w:pPr>
              <w:pStyle w:val="40"/>
              <w:adjustRightInd w:val="0"/>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被授权人身份证正反面</w:t>
            </w:r>
          </w:p>
        </w:tc>
      </w:tr>
    </w:tbl>
    <w:p w14:paraId="40DE4A04">
      <w:pPr>
        <w:pStyle w:val="41"/>
        <w:tabs>
          <w:tab w:val="left" w:pos="8786"/>
        </w:tabs>
        <w:adjustRightInd w:val="0"/>
        <w:snapToGrid w:val="0"/>
        <w:spacing w:after="0" w:line="360" w:lineRule="auto"/>
        <w:rPr>
          <w:rFonts w:hint="eastAsia" w:ascii="仿宋" w:hAnsi="仿宋" w:eastAsia="仿宋" w:cs="仿宋"/>
          <w:b/>
          <w:sz w:val="24"/>
          <w:highlight w:val="none"/>
        </w:rPr>
      </w:pPr>
    </w:p>
    <w:p w14:paraId="724C122B">
      <w:pPr>
        <w:pStyle w:val="41"/>
        <w:tabs>
          <w:tab w:val="left" w:pos="8786"/>
        </w:tabs>
        <w:adjustRightInd w:val="0"/>
        <w:snapToGrid w:val="0"/>
        <w:spacing w:after="0" w:line="360" w:lineRule="auto"/>
        <w:rPr>
          <w:rFonts w:hint="eastAsia" w:ascii="仿宋" w:hAnsi="仿宋" w:eastAsia="仿宋" w:cs="仿宋"/>
          <w:b/>
          <w:sz w:val="24"/>
          <w:highlight w:val="none"/>
        </w:rPr>
      </w:pPr>
    </w:p>
    <w:bookmarkEnd w:id="283"/>
    <w:bookmarkEnd w:id="284"/>
    <w:p w14:paraId="2084018F">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bookmarkStart w:id="299" w:name="_Toc5455"/>
      <w:bookmarkStart w:id="300" w:name="_Toc14851"/>
      <w:bookmarkStart w:id="301" w:name="_Toc15531"/>
      <w:bookmarkStart w:id="302" w:name="_Toc11007"/>
      <w:bookmarkStart w:id="303" w:name="_Toc30995"/>
      <w:bookmarkStart w:id="304" w:name="_Toc21564"/>
      <w:bookmarkStart w:id="305" w:name="_Toc581"/>
      <w:bookmarkStart w:id="306" w:name="_Toc18775"/>
      <w:bookmarkStart w:id="307" w:name="_Toc11982"/>
      <w:bookmarkStart w:id="308" w:name="_Toc514163617"/>
      <w:bookmarkStart w:id="309" w:name="_Toc514163730"/>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7B464B95">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1BF5D700">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72EB894C">
      <w:pPr>
        <w:pageBreakBefore/>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三、资格证明文件</w:t>
      </w:r>
      <w:bookmarkEnd w:id="299"/>
      <w:bookmarkEnd w:id="300"/>
      <w:bookmarkEnd w:id="301"/>
      <w:bookmarkEnd w:id="302"/>
      <w:bookmarkEnd w:id="303"/>
      <w:bookmarkEnd w:id="304"/>
      <w:bookmarkEnd w:id="305"/>
      <w:bookmarkEnd w:id="306"/>
      <w:bookmarkEnd w:id="307"/>
    </w:p>
    <w:p w14:paraId="2303B2E7">
      <w:pPr>
        <w:pStyle w:val="43"/>
        <w:spacing w:line="360" w:lineRule="auto"/>
        <w:ind w:firstLine="241" w:firstLineChars="100"/>
        <w:outlineLvl w:val="2"/>
        <w:rPr>
          <w:rFonts w:hint="eastAsia" w:ascii="仿宋" w:hAnsi="仿宋" w:eastAsia="仿宋" w:cs="宋体"/>
          <w:bCs/>
          <w:sz w:val="24"/>
          <w:highlight w:val="none"/>
          <w:lang w:eastAsia="zh-CN"/>
        </w:rPr>
      </w:pPr>
      <w:r>
        <w:rPr>
          <w:rFonts w:hint="eastAsia" w:ascii="仿宋" w:hAnsi="仿宋" w:eastAsia="仿宋" w:cs="仿宋"/>
          <w:sz w:val="24"/>
          <w:highlight w:val="none"/>
          <w:lang w:val="en-US" w:eastAsia="zh-CN"/>
        </w:rPr>
        <w:t>供应商对照招标文件第三章评审办法（综合评分法）的《资格审查标准》要求提供相应证明材料。</w:t>
      </w:r>
    </w:p>
    <w:p w14:paraId="7352AA19">
      <w:pPr>
        <w:pStyle w:val="43"/>
        <w:spacing w:line="360" w:lineRule="auto"/>
        <w:outlineLvl w:val="2"/>
        <w:rPr>
          <w:rFonts w:hint="eastAsia" w:ascii="仿宋" w:hAnsi="仿宋" w:eastAsia="仿宋" w:cs="宋体"/>
          <w:bCs/>
          <w:sz w:val="24"/>
          <w:highlight w:val="none"/>
          <w:lang w:eastAsia="zh-CN"/>
        </w:rPr>
      </w:pPr>
    </w:p>
    <w:p w14:paraId="73B55680">
      <w:pPr>
        <w:pStyle w:val="43"/>
        <w:spacing w:line="360" w:lineRule="auto"/>
        <w:outlineLvl w:val="2"/>
        <w:rPr>
          <w:rFonts w:hint="eastAsia" w:ascii="仿宋" w:hAnsi="仿宋" w:eastAsia="仿宋" w:cs="宋体"/>
          <w:bCs/>
          <w:sz w:val="24"/>
          <w:highlight w:val="none"/>
          <w:lang w:eastAsia="zh-CN"/>
        </w:rPr>
      </w:pPr>
    </w:p>
    <w:p w14:paraId="6BE3FA4D">
      <w:pPr>
        <w:pStyle w:val="43"/>
        <w:adjustRightInd w:val="0"/>
        <w:snapToGrid w:val="0"/>
        <w:spacing w:line="360" w:lineRule="auto"/>
        <w:jc w:val="both"/>
        <w:rPr>
          <w:rFonts w:hint="eastAsia" w:ascii="仿宋" w:hAnsi="仿宋" w:eastAsia="仿宋" w:cs="仿宋"/>
          <w:sz w:val="24"/>
          <w:highlight w:val="none"/>
        </w:rPr>
      </w:pPr>
    </w:p>
    <w:p w14:paraId="0B8D9F24">
      <w:pPr>
        <w:pageBreakBefore/>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附件1：</w:t>
      </w:r>
    </w:p>
    <w:p w14:paraId="14DB6F1E">
      <w:pPr>
        <w:widowControl/>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b/>
          <w:sz w:val="28"/>
          <w:szCs w:val="28"/>
          <w:highlight w:val="none"/>
          <w:lang w:eastAsia="zh-CN" w:bidi="ar"/>
        </w:rPr>
        <w:t>供应商</w:t>
      </w:r>
      <w:r>
        <w:rPr>
          <w:rFonts w:hint="eastAsia" w:ascii="仿宋" w:hAnsi="仿宋" w:eastAsia="仿宋" w:cs="仿宋"/>
          <w:b/>
          <w:sz w:val="28"/>
          <w:szCs w:val="28"/>
          <w:highlight w:val="none"/>
          <w:lang w:bidi="ar"/>
        </w:rPr>
        <w:t>声明函</w:t>
      </w:r>
    </w:p>
    <w:p w14:paraId="47FAFFF8">
      <w:pPr>
        <w:widowControl/>
        <w:snapToGrid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t>致：</w:t>
      </w:r>
      <w:r>
        <w:rPr>
          <w:rFonts w:hint="eastAsia" w:ascii="仿宋" w:hAnsi="仿宋" w:eastAsia="仿宋" w:cs="仿宋"/>
          <w:spacing w:val="6"/>
          <w:highlight w:val="none"/>
          <w:u w:val="single"/>
        </w:rPr>
        <w:t>采购人、采购代理机构</w:t>
      </w:r>
      <w:r>
        <w:rPr>
          <w:rFonts w:hint="eastAsia" w:ascii="仿宋" w:hAnsi="仿宋" w:eastAsia="仿宋" w:cs="仿宋"/>
          <w:spacing w:val="6"/>
          <w:highlight w:val="none"/>
        </w:rPr>
        <w:t xml:space="preserve">： </w:t>
      </w:r>
    </w:p>
    <w:p w14:paraId="2DBC297F">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 xml:space="preserve">本公司郑重承诺： </w:t>
      </w:r>
    </w:p>
    <w:p w14:paraId="7168187E">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1.我公司承诺，参加本项目政府采购活动前三年内，在经营活动中没有因违法经营受到刑事处罚或者责令停产停业、吊销许可证或者执照、较大数额罚款等行政处罚（如果因违法经营被禁止在一定期限内参加政府采购活动，期限已经届满）。</w:t>
      </w:r>
    </w:p>
    <w:p w14:paraId="026EB023">
      <w:pPr>
        <w:widowControl/>
        <w:snapToGrid w:val="0"/>
        <w:spacing w:line="360" w:lineRule="auto"/>
        <w:ind w:firstLine="504" w:firstLineChars="200"/>
        <w:rPr>
          <w:rFonts w:hint="eastAsia" w:ascii="仿宋" w:hAnsi="仿宋" w:eastAsia="仿宋" w:cs="仿宋"/>
          <w:spacing w:val="6"/>
          <w:highlight w:val="none"/>
          <w:lang w:eastAsia="zh-CN"/>
        </w:rPr>
      </w:pPr>
      <w:r>
        <w:rPr>
          <w:rFonts w:hint="eastAsia" w:ascii="仿宋" w:hAnsi="仿宋" w:eastAsia="仿宋" w:cs="仿宋"/>
          <w:spacing w:val="6"/>
          <w:highlight w:val="none"/>
        </w:rPr>
        <w:t>2.</w:t>
      </w:r>
      <w:r>
        <w:rPr>
          <w:rFonts w:hint="eastAsia" w:ascii="仿宋" w:hAnsi="仿宋" w:eastAsia="仿宋" w:cs="仿宋"/>
          <w:spacing w:val="6"/>
          <w:highlight w:val="none"/>
          <w:lang w:eastAsia="zh-CN"/>
        </w:rPr>
        <w:t>我单位不存在以下情形：</w:t>
      </w:r>
    </w:p>
    <w:p w14:paraId="1E87D94C">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6FD57305">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与采购人存在利害关系可能影响采购公正性的法人、其他组织或者个人，不得参加本次采购活动。</w:t>
      </w:r>
    </w:p>
    <w:p w14:paraId="4DC05BDB">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3.我公司承诺在投标过程中，保证不与其他单位围标、串标，不出让投标资格，不采取不正当手段诋毁、排挤其他投标</w:t>
      </w:r>
      <w:r>
        <w:rPr>
          <w:rFonts w:hint="eastAsia" w:ascii="仿宋" w:hAnsi="仿宋" w:eastAsia="仿宋" w:cs="仿宋"/>
          <w:spacing w:val="6"/>
          <w:highlight w:val="none"/>
          <w:lang w:eastAsia="zh-CN"/>
        </w:rPr>
        <w:t>供应商</w:t>
      </w:r>
      <w:r>
        <w:rPr>
          <w:rFonts w:hint="eastAsia" w:ascii="仿宋" w:hAnsi="仿宋" w:eastAsia="仿宋" w:cs="仿宋"/>
          <w:spacing w:val="6"/>
          <w:highlight w:val="none"/>
        </w:rPr>
        <w:t>，不向采购代理机构、评标委员会成员行贿。</w:t>
      </w:r>
    </w:p>
    <w:p w14:paraId="6FAF70AB">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 xml:space="preserve">4.若在本次项目的招标投标的全过程中，被查实我公司提供的资料及上述承诺不属实，或提供的相关资料不属实或不满足招标文件的要求，则采购人有权取消我公司的投标及中标资格，且我公司将无条件承担由此给本次招标带来的一切后果(包括经济损失)。 </w:t>
      </w:r>
    </w:p>
    <w:p w14:paraId="0FFB09A8">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特此承诺！</w:t>
      </w:r>
    </w:p>
    <w:p w14:paraId="1C1C2A16">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（A）</w:t>
      </w:r>
    </w:p>
    <w:p w14:paraId="0CD30281">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09AA985D">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70C032E9">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08BB0D72">
      <w:pPr>
        <w:pStyle w:val="38"/>
        <w:adjustRightInd w:val="0"/>
        <w:snapToGrid w:val="0"/>
        <w:spacing w:line="360" w:lineRule="auto"/>
        <w:ind w:firstLine="482" w:firstLineChars="200"/>
        <w:rPr>
          <w:rFonts w:hint="eastAsia" w:ascii="仿宋" w:hAnsi="仿宋" w:eastAsia="仿宋" w:cs="仿宋"/>
          <w:b/>
          <w:bCs/>
          <w:sz w:val="24"/>
          <w:szCs w:val="24"/>
          <w:highlight w:val="none"/>
        </w:rPr>
      </w:pPr>
    </w:p>
    <w:p w14:paraId="0AB3FEE7">
      <w:pPr>
        <w:pStyle w:val="44"/>
        <w:adjustRightInd w:val="0"/>
        <w:snapToGrid w:val="0"/>
        <w:spacing w:line="360" w:lineRule="auto"/>
        <w:ind w:right="-97"/>
        <w:rPr>
          <w:rFonts w:hint="eastAsia" w:ascii="仿宋" w:hAnsi="仿宋" w:eastAsia="仿宋" w:cs="仿宋"/>
          <w:b/>
          <w:sz w:val="24"/>
          <w:highlight w:val="none"/>
        </w:rPr>
      </w:pPr>
    </w:p>
    <w:p w14:paraId="53E5CAD9">
      <w:pPr>
        <w:pStyle w:val="44"/>
        <w:pageBreakBefore/>
        <w:adjustRightInd w:val="0"/>
        <w:snapToGrid w:val="0"/>
        <w:spacing w:line="360" w:lineRule="auto"/>
        <w:ind w:right="-96"/>
        <w:rPr>
          <w:rFonts w:hint="eastAsia" w:ascii="仿宋" w:hAnsi="仿宋" w:eastAsia="仿宋" w:cs="仿宋"/>
          <w:b/>
          <w:sz w:val="28"/>
          <w:szCs w:val="24"/>
          <w:highlight w:val="none"/>
        </w:rPr>
      </w:pPr>
      <w:r>
        <w:rPr>
          <w:rFonts w:hint="eastAsia" w:ascii="仿宋" w:hAnsi="仿宋" w:eastAsia="仿宋" w:cs="仿宋"/>
          <w:b/>
          <w:sz w:val="28"/>
          <w:szCs w:val="24"/>
          <w:highlight w:val="none"/>
        </w:rPr>
        <w:t>附件2：</w:t>
      </w:r>
    </w:p>
    <w:p w14:paraId="144D9230">
      <w:pPr>
        <w:pStyle w:val="44"/>
        <w:adjustRightInd w:val="0"/>
        <w:snapToGrid w:val="0"/>
        <w:spacing w:line="360" w:lineRule="auto"/>
        <w:ind w:right="-97"/>
        <w:jc w:val="center"/>
        <w:rPr>
          <w:rFonts w:hint="eastAsia" w:ascii="仿宋" w:hAnsi="仿宋" w:eastAsia="仿宋" w:cs="仿宋"/>
          <w:b/>
          <w:sz w:val="28"/>
          <w:szCs w:val="24"/>
          <w:highlight w:val="none"/>
          <w:lang w:eastAsia="zh-CN"/>
        </w:rPr>
      </w:pPr>
      <w:r>
        <w:rPr>
          <w:rFonts w:hint="eastAsia" w:ascii="仿宋" w:hAnsi="仿宋" w:eastAsia="仿宋" w:cs="仿宋"/>
          <w:b/>
          <w:sz w:val="28"/>
          <w:szCs w:val="24"/>
          <w:highlight w:val="none"/>
        </w:rPr>
        <w:t>中小企业声明函</w:t>
      </w:r>
      <w:r>
        <w:rPr>
          <w:rFonts w:hint="eastAsia" w:ascii="仿宋" w:hAnsi="仿宋" w:eastAsia="仿宋" w:cs="仿宋"/>
          <w:b/>
          <w:sz w:val="28"/>
          <w:szCs w:val="24"/>
          <w:highlight w:val="none"/>
          <w:lang w:eastAsia="zh-CN"/>
        </w:rPr>
        <w:t>（货物）</w:t>
      </w:r>
    </w:p>
    <w:p w14:paraId="6316C0C9">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26E3332B">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1.</w:t>
      </w:r>
      <w:r>
        <w:rPr>
          <w:rFonts w:hint="eastAsia" w:ascii="仿宋" w:hAnsi="仿宋" w:eastAsia="仿宋" w:cs="宋体"/>
          <w:kern w:val="0"/>
          <w:sz w:val="24"/>
          <w:highlight w:val="none"/>
          <w:u w:val="single"/>
        </w:rPr>
        <w:t>（标的名称）</w:t>
      </w:r>
      <w:r>
        <w:rPr>
          <w:rFonts w:hint="eastAsia" w:ascii="仿宋" w:hAnsi="仿宋" w:eastAsia="仿宋" w:cs="宋体"/>
          <w:kern w:val="0"/>
          <w:sz w:val="24"/>
          <w:highlight w:val="none"/>
        </w:rPr>
        <w:t>，属于</w:t>
      </w:r>
      <w:r>
        <w:rPr>
          <w:rFonts w:hint="eastAsia" w:ascii="仿宋" w:hAnsi="仿宋" w:eastAsia="仿宋" w:cs="宋体"/>
          <w:kern w:val="0"/>
          <w:sz w:val="24"/>
          <w:highlight w:val="none"/>
          <w:u w:val="single"/>
        </w:rPr>
        <w:t>（采购文件中明确的所属行业）</w:t>
      </w:r>
      <w:r>
        <w:rPr>
          <w:rFonts w:hint="eastAsia" w:ascii="仿宋" w:hAnsi="仿宋" w:eastAsia="仿宋" w:cs="宋体"/>
          <w:kern w:val="0"/>
          <w:sz w:val="24"/>
          <w:highlight w:val="none"/>
        </w:rPr>
        <w:t>；制造商为</w:t>
      </w:r>
      <w:r>
        <w:rPr>
          <w:rFonts w:hint="eastAsia" w:ascii="仿宋" w:hAnsi="仿宋" w:eastAsia="仿宋" w:cs="宋体"/>
          <w:kern w:val="0"/>
          <w:sz w:val="24"/>
          <w:highlight w:val="none"/>
          <w:u w:val="single"/>
        </w:rPr>
        <w:t>（企业名称）</w:t>
      </w:r>
      <w:r>
        <w:rPr>
          <w:rFonts w:hint="eastAsia" w:ascii="仿宋" w:hAnsi="仿宋" w:eastAsia="仿宋" w:cs="宋体"/>
          <w:kern w:val="0"/>
          <w:sz w:val="24"/>
          <w:highlight w:val="none"/>
        </w:rPr>
        <w:t>，从业人员</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人，营业收入为</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万元，资产总额为</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万元，属于</w:t>
      </w:r>
      <w:r>
        <w:rPr>
          <w:rFonts w:hint="eastAsia" w:ascii="仿宋" w:hAnsi="仿宋" w:eastAsia="仿宋" w:cs="宋体"/>
          <w:kern w:val="0"/>
          <w:sz w:val="24"/>
          <w:highlight w:val="none"/>
          <w:u w:val="single"/>
        </w:rPr>
        <w:t>（中型企业、小型企业、微型企业）</w:t>
      </w:r>
      <w:r>
        <w:rPr>
          <w:rFonts w:hint="eastAsia" w:ascii="仿宋" w:hAnsi="仿宋" w:eastAsia="仿宋" w:cs="宋体"/>
          <w:kern w:val="0"/>
          <w:sz w:val="24"/>
          <w:highlight w:val="none"/>
        </w:rPr>
        <w:t>；</w:t>
      </w:r>
    </w:p>
    <w:p w14:paraId="25EA5ABC">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 xml:space="preserve">2. </w:t>
      </w:r>
      <w:r>
        <w:rPr>
          <w:rFonts w:hint="eastAsia" w:ascii="仿宋" w:hAnsi="仿宋" w:eastAsia="仿宋" w:cs="宋体"/>
          <w:kern w:val="0"/>
          <w:sz w:val="24"/>
          <w:highlight w:val="none"/>
          <w:u w:val="single"/>
        </w:rPr>
        <w:t>（标的名称）</w:t>
      </w:r>
      <w:r>
        <w:rPr>
          <w:rFonts w:hint="eastAsia" w:ascii="仿宋" w:hAnsi="仿宋" w:eastAsia="仿宋" w:cs="宋体"/>
          <w:kern w:val="0"/>
          <w:sz w:val="24"/>
          <w:highlight w:val="none"/>
        </w:rPr>
        <w:t>，属于</w:t>
      </w:r>
      <w:r>
        <w:rPr>
          <w:rFonts w:hint="eastAsia" w:ascii="仿宋" w:hAnsi="仿宋" w:eastAsia="仿宋" w:cs="宋体"/>
          <w:kern w:val="0"/>
          <w:sz w:val="24"/>
          <w:highlight w:val="none"/>
          <w:u w:val="single"/>
        </w:rPr>
        <w:t>（采购文件中明确的所属行业）</w:t>
      </w:r>
      <w:r>
        <w:rPr>
          <w:rFonts w:hint="eastAsia" w:ascii="仿宋" w:hAnsi="仿宋" w:eastAsia="仿宋" w:cs="宋体"/>
          <w:kern w:val="0"/>
          <w:sz w:val="24"/>
          <w:highlight w:val="none"/>
        </w:rPr>
        <w:t>；制造商为</w:t>
      </w:r>
      <w:r>
        <w:rPr>
          <w:rFonts w:hint="eastAsia" w:ascii="仿宋" w:hAnsi="仿宋" w:eastAsia="仿宋" w:cs="宋体"/>
          <w:kern w:val="0"/>
          <w:sz w:val="24"/>
          <w:highlight w:val="none"/>
          <w:u w:val="single"/>
        </w:rPr>
        <w:t>（企业名称）</w:t>
      </w:r>
      <w:r>
        <w:rPr>
          <w:rFonts w:hint="eastAsia" w:ascii="仿宋" w:hAnsi="仿宋" w:eastAsia="仿宋" w:cs="宋体"/>
          <w:kern w:val="0"/>
          <w:sz w:val="24"/>
          <w:highlight w:val="none"/>
        </w:rPr>
        <w:t>，从业人员</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人，营业收入为</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万元，资产总额为</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万元，属于</w:t>
      </w:r>
      <w:r>
        <w:rPr>
          <w:rFonts w:hint="eastAsia" w:ascii="仿宋" w:hAnsi="仿宋" w:eastAsia="仿宋" w:cs="宋体"/>
          <w:kern w:val="0"/>
          <w:sz w:val="24"/>
          <w:highlight w:val="none"/>
          <w:u w:val="single"/>
        </w:rPr>
        <w:t>（中型企业、小型企业、微型企业）</w:t>
      </w:r>
      <w:r>
        <w:rPr>
          <w:rFonts w:hint="eastAsia" w:ascii="仿宋" w:hAnsi="仿宋" w:eastAsia="仿宋" w:cs="宋体"/>
          <w:kern w:val="0"/>
          <w:sz w:val="24"/>
          <w:highlight w:val="none"/>
        </w:rPr>
        <w:t>；</w:t>
      </w:r>
    </w:p>
    <w:p w14:paraId="7DF670B6">
      <w:pPr>
        <w:widowControl/>
        <w:spacing w:before="100" w:beforeAutospacing="1" w:after="100" w:afterAutospacing="1" w:line="300" w:lineRule="exact"/>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w:t>
      </w:r>
    </w:p>
    <w:p w14:paraId="1712961B">
      <w:pPr>
        <w:widowControl/>
        <w:spacing w:before="100" w:beforeAutospacing="1" w:after="100" w:afterAutospacing="1" w:line="360" w:lineRule="auto"/>
        <w:ind w:firstLine="480" w:firstLineChars="200"/>
        <w:jc w:val="left"/>
        <w:rPr>
          <w:rFonts w:hint="eastAsia" w:ascii="仿宋" w:hAnsi="仿宋" w:eastAsia="仿宋" w:cs="宋体"/>
          <w:kern w:val="0"/>
          <w:sz w:val="24"/>
          <w:highlight w:val="none"/>
        </w:rPr>
      </w:pPr>
      <w:r>
        <w:rPr>
          <w:rFonts w:hint="eastAsia" w:ascii="仿宋" w:hAnsi="仿宋" w:eastAsia="仿宋" w:cs="宋体"/>
          <w:kern w:val="0"/>
          <w:sz w:val="24"/>
          <w:highlight w:val="none"/>
        </w:rPr>
        <w:t>以上企业，不属于大企业的分支机构，不存在控股股东为大企业的情形，也不存在与大企业的负责人为同一人的情形。</w:t>
      </w:r>
    </w:p>
    <w:p w14:paraId="0F65C7C9">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本企业对上述声明内容的真实性负责。如有虚假，将依法承担相应责任。</w:t>
      </w:r>
    </w:p>
    <w:p w14:paraId="6208C178">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 xml:space="preserve">                       企业名称</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r>
        <w:rPr>
          <w:rFonts w:hint="eastAsia" w:ascii="仿宋" w:hAnsi="仿宋" w:eastAsia="仿宋" w:cs="宋体"/>
          <w:kern w:val="0"/>
          <w:sz w:val="24"/>
          <w:highlight w:val="none"/>
        </w:rPr>
        <w:t>：</w:t>
      </w:r>
    </w:p>
    <w:p w14:paraId="5649737B">
      <w:pPr>
        <w:widowControl/>
        <w:spacing w:before="100" w:beforeAutospacing="1" w:after="100" w:afterAutospacing="1" w:line="360" w:lineRule="auto"/>
        <w:ind w:firstLine="480" w:firstLineChars="200"/>
        <w:jc w:val="left"/>
        <w:rPr>
          <w:rFonts w:hint="eastAsia" w:ascii="仿宋" w:hAnsi="仿宋" w:eastAsia="仿宋"/>
          <w:b/>
          <w:sz w:val="18"/>
          <w:szCs w:val="18"/>
          <w:highlight w:val="none"/>
        </w:rPr>
      </w:pPr>
      <w:r>
        <w:rPr>
          <w:rFonts w:hint="eastAsia" w:ascii="仿宋" w:hAnsi="仿宋" w:eastAsia="仿宋" w:cs="宋体"/>
          <w:kern w:val="0"/>
          <w:sz w:val="24"/>
          <w:highlight w:val="none"/>
        </w:rPr>
        <w:t xml:space="preserve">                      日期：</w:t>
      </w:r>
    </w:p>
    <w:p w14:paraId="6B91857C">
      <w:pPr>
        <w:snapToGrid w:val="0"/>
        <w:spacing w:line="360" w:lineRule="auto"/>
        <w:ind w:firstLine="361" w:firstLineChars="200"/>
        <w:rPr>
          <w:rFonts w:ascii="仿宋" w:hAnsi="仿宋" w:eastAsia="仿宋"/>
          <w:b/>
          <w:sz w:val="18"/>
          <w:szCs w:val="18"/>
          <w:highlight w:val="none"/>
        </w:rPr>
      </w:pPr>
      <w:r>
        <w:rPr>
          <w:rFonts w:hint="eastAsia" w:ascii="仿宋" w:hAnsi="仿宋" w:eastAsia="仿宋"/>
          <w:b/>
          <w:sz w:val="18"/>
          <w:szCs w:val="18"/>
          <w:highlight w:val="none"/>
        </w:rPr>
        <w:t>注1：从业人员、营业收入、资产总额填报上一年度数据，无上一年度数据的新成立企业可不填报。</w:t>
      </w:r>
    </w:p>
    <w:p w14:paraId="59CF1F78">
      <w:pPr>
        <w:snapToGrid w:val="0"/>
        <w:spacing w:line="360" w:lineRule="auto"/>
        <w:ind w:firstLine="361" w:firstLineChars="200"/>
        <w:rPr>
          <w:rFonts w:hint="eastAsia" w:ascii="仿宋" w:hAnsi="仿宋" w:eastAsia="仿宋"/>
          <w:b/>
          <w:sz w:val="18"/>
          <w:szCs w:val="18"/>
          <w:highlight w:val="none"/>
        </w:rPr>
      </w:pPr>
      <w:r>
        <w:rPr>
          <w:rFonts w:hint="eastAsia" w:ascii="仿宋" w:hAnsi="仿宋" w:eastAsia="仿宋"/>
          <w:b/>
          <w:sz w:val="18"/>
          <w:szCs w:val="18"/>
          <w:highlight w:val="none"/>
        </w:rPr>
        <w:t>注2：中小企业应当按照《办法》规定和《中小企业划型标准规定》（工信部联企业〔2011〕300号），如实填写并提交《中小企业声明函》，任何单位和个人不得要求中小企业供应商提交《中小企业声明函》之外的证明文件，或事先获得认定及进入名录库等。中小企业对其声明内容的真实性负责，声明函内容不实的，属于提供虚假材料谋取中标、成交，依照《中华人民共和国政府采购法》等国家有关规定追究相应责任。</w:t>
      </w:r>
    </w:p>
    <w:p w14:paraId="5EAA797C">
      <w:pPr>
        <w:snapToGrid w:val="0"/>
        <w:spacing w:line="360" w:lineRule="auto"/>
        <w:ind w:firstLine="361" w:firstLineChars="200"/>
        <w:rPr>
          <w:rFonts w:hint="eastAsia" w:ascii="仿宋" w:hAnsi="仿宋" w:eastAsia="仿宋"/>
          <w:b/>
          <w:sz w:val="18"/>
          <w:szCs w:val="18"/>
          <w:highlight w:val="none"/>
          <w:lang w:val="en-US" w:eastAsia="zh-CN"/>
        </w:rPr>
      </w:pPr>
      <w:r>
        <w:rPr>
          <w:rFonts w:hint="eastAsia" w:ascii="仿宋" w:hAnsi="仿宋" w:eastAsia="仿宋"/>
          <w:b/>
          <w:sz w:val="18"/>
          <w:szCs w:val="18"/>
          <w:highlight w:val="none"/>
          <w:lang w:eastAsia="zh-CN"/>
        </w:rPr>
        <w:t>注</w:t>
      </w:r>
      <w:r>
        <w:rPr>
          <w:rFonts w:hint="eastAsia" w:ascii="仿宋" w:hAnsi="仿宋" w:eastAsia="仿宋"/>
          <w:b/>
          <w:sz w:val="18"/>
          <w:szCs w:val="18"/>
          <w:highlight w:val="none"/>
          <w:lang w:val="en-US" w:eastAsia="zh-CN"/>
        </w:rPr>
        <w:t>3：须按照招标文件第四章采购需求中的货物名称逐个填写本项目招标的货物名称及其相关制造商信息。</w:t>
      </w:r>
    </w:p>
    <w:p w14:paraId="53602328">
      <w:pPr>
        <w:snapToGrid w:val="0"/>
        <w:spacing w:line="360" w:lineRule="auto"/>
        <w:ind w:firstLine="361" w:firstLineChars="200"/>
        <w:rPr>
          <w:rFonts w:hint="eastAsia" w:ascii="仿宋" w:hAnsi="仿宋" w:eastAsia="仿宋"/>
          <w:b/>
          <w:sz w:val="18"/>
          <w:szCs w:val="18"/>
          <w:highlight w:val="none"/>
          <w:lang w:val="en-US" w:eastAsia="zh-CN"/>
        </w:rPr>
      </w:pPr>
    </w:p>
    <w:p w14:paraId="67575637">
      <w:pPr>
        <w:snapToGrid w:val="0"/>
        <w:spacing w:line="360" w:lineRule="auto"/>
        <w:ind w:firstLine="361" w:firstLineChars="200"/>
        <w:rPr>
          <w:rFonts w:hint="eastAsia" w:ascii="仿宋" w:hAnsi="仿宋" w:eastAsia="仿宋"/>
          <w:b/>
          <w:sz w:val="18"/>
          <w:szCs w:val="18"/>
          <w:highlight w:val="none"/>
          <w:lang w:val="en-US" w:eastAsia="zh-CN"/>
        </w:rPr>
      </w:pPr>
    </w:p>
    <w:p w14:paraId="2D381323">
      <w:pPr>
        <w:snapToGrid w:val="0"/>
        <w:spacing w:line="360" w:lineRule="auto"/>
        <w:ind w:firstLine="562" w:firstLineChars="200"/>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附件3：</w:t>
      </w:r>
    </w:p>
    <w:p w14:paraId="3AA3B78B">
      <w:pPr>
        <w:spacing w:line="360" w:lineRule="auto"/>
        <w:ind w:firstLine="141" w:firstLineChars="50"/>
        <w:jc w:val="center"/>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监狱企业声明函</w:t>
      </w:r>
    </w:p>
    <w:p w14:paraId="635D5C16">
      <w:pPr>
        <w:spacing w:line="360" w:lineRule="auto"/>
        <w:jc w:val="center"/>
        <w:rPr>
          <w:rFonts w:ascii="仿宋" w:hAnsi="仿宋" w:eastAsia="仿宋" w:cs="仿宋"/>
          <w:color w:val="000000"/>
          <w:spacing w:val="6"/>
          <w:highlight w:val="none"/>
        </w:rPr>
      </w:pPr>
      <w:r>
        <w:rPr>
          <w:rFonts w:hint="eastAsia" w:ascii="仿宋" w:hAnsi="仿宋" w:eastAsia="仿宋" w:cs="仿宋"/>
          <w:color w:val="000000"/>
          <w:spacing w:val="6"/>
          <w:highlight w:val="none"/>
        </w:rPr>
        <w:t>（监狱企业适用）</w:t>
      </w:r>
    </w:p>
    <w:p w14:paraId="612143E3">
      <w:pPr>
        <w:spacing w:line="360" w:lineRule="auto"/>
        <w:ind w:firstLine="567" w:firstLineChars="225"/>
        <w:rPr>
          <w:rFonts w:ascii="仿宋" w:hAnsi="仿宋" w:eastAsia="仿宋" w:cs="仿宋"/>
          <w:color w:val="000000"/>
          <w:spacing w:val="6"/>
          <w:highlight w:val="none"/>
        </w:rPr>
      </w:pPr>
      <w:r>
        <w:rPr>
          <w:rFonts w:hint="eastAsia" w:ascii="仿宋" w:hAnsi="仿宋" w:eastAsia="仿宋" w:cs="仿宋"/>
          <w:color w:val="000000"/>
          <w:spacing w:val="6"/>
          <w:highlight w:val="none"/>
        </w:rPr>
        <w:t>本公司郑重声明，根据《关于政府采购支持监狱企业发展有关问题的通知》（财库[2014]68号）的规定，本公司为监狱企业。</w:t>
      </w:r>
    </w:p>
    <w:p w14:paraId="13342E3D">
      <w:pPr>
        <w:spacing w:line="360" w:lineRule="auto"/>
        <w:ind w:firstLine="567" w:firstLineChars="225"/>
        <w:rPr>
          <w:rFonts w:ascii="仿宋" w:hAnsi="仿宋" w:eastAsia="仿宋" w:cs="仿宋"/>
          <w:color w:val="000000"/>
          <w:spacing w:val="6"/>
          <w:highlight w:val="none"/>
        </w:rPr>
      </w:pPr>
      <w:r>
        <w:rPr>
          <w:rFonts w:hint="eastAsia" w:ascii="仿宋" w:hAnsi="仿宋" w:eastAsia="仿宋" w:cs="仿宋"/>
          <w:color w:val="000000"/>
          <w:spacing w:val="6"/>
          <w:highlight w:val="none"/>
        </w:rPr>
        <w:t>本公司参加</w:t>
      </w:r>
      <w:r>
        <w:rPr>
          <w:rFonts w:hint="eastAsia" w:ascii="仿宋" w:hAnsi="仿宋" w:eastAsia="仿宋" w:cs="仿宋"/>
          <w:color w:val="000000"/>
          <w:spacing w:val="6"/>
          <w:highlight w:val="none"/>
          <w:u w:val="single"/>
          <w:lang w:val="en-US" w:eastAsia="zh-CN"/>
        </w:rPr>
        <w:t xml:space="preserve">        </w:t>
      </w:r>
      <w:r>
        <w:rPr>
          <w:rFonts w:hint="eastAsia" w:ascii="仿宋" w:hAnsi="仿宋" w:eastAsia="仿宋" w:cs="仿宋"/>
          <w:color w:val="000000"/>
          <w:spacing w:val="6"/>
          <w:highlight w:val="none"/>
        </w:rPr>
        <w:t>单位的</w:t>
      </w:r>
      <w:r>
        <w:rPr>
          <w:rFonts w:hint="eastAsia" w:ascii="仿宋" w:hAnsi="仿宋" w:eastAsia="仿宋" w:cs="仿宋"/>
          <w:color w:val="000000"/>
          <w:spacing w:val="6"/>
          <w:highlight w:val="none"/>
          <w:u w:val="single"/>
          <w:lang w:val="en-US" w:eastAsia="zh-CN"/>
        </w:rPr>
        <w:t xml:space="preserve">        </w:t>
      </w:r>
      <w:r>
        <w:rPr>
          <w:rFonts w:hint="eastAsia" w:ascii="仿宋" w:hAnsi="仿宋" w:eastAsia="仿宋" w:cs="仿宋"/>
          <w:color w:val="000000"/>
          <w:spacing w:val="6"/>
          <w:highlight w:val="none"/>
        </w:rPr>
        <w:t>项目采购活动，采购活动提供本企业（填写制造的货物，由本企业承担工程、提供服务）。</w:t>
      </w:r>
    </w:p>
    <w:p w14:paraId="518EF193">
      <w:pPr>
        <w:spacing w:line="360" w:lineRule="auto"/>
        <w:ind w:firstLine="567" w:firstLineChars="225"/>
        <w:rPr>
          <w:rFonts w:ascii="仿宋" w:hAnsi="仿宋" w:eastAsia="仿宋" w:cs="仿宋"/>
          <w:color w:val="000000"/>
          <w:spacing w:val="6"/>
          <w:highlight w:val="none"/>
        </w:rPr>
      </w:pPr>
      <w:r>
        <w:rPr>
          <w:rFonts w:hint="eastAsia" w:ascii="仿宋" w:hAnsi="仿宋" w:eastAsia="仿宋" w:cs="仿宋"/>
          <w:color w:val="000000"/>
          <w:spacing w:val="6"/>
          <w:highlight w:val="none"/>
        </w:rPr>
        <w:t>本条所称货物不包括使用大型企业注册商标的货物和服务。</w:t>
      </w:r>
    </w:p>
    <w:p w14:paraId="47BEFA91">
      <w:pPr>
        <w:spacing w:line="360" w:lineRule="auto"/>
        <w:ind w:firstLine="567" w:firstLineChars="225"/>
        <w:rPr>
          <w:rFonts w:ascii="仿宋" w:hAnsi="仿宋" w:eastAsia="仿宋" w:cs="仿宋"/>
          <w:color w:val="000000"/>
          <w:spacing w:val="6"/>
          <w:highlight w:val="none"/>
        </w:rPr>
      </w:pPr>
      <w:r>
        <w:rPr>
          <w:rFonts w:hint="eastAsia" w:ascii="仿宋" w:hAnsi="仿宋" w:eastAsia="仿宋" w:cs="仿宋"/>
          <w:color w:val="000000"/>
          <w:spacing w:val="6"/>
          <w:highlight w:val="none"/>
        </w:rPr>
        <w:t>本公司对上述声明的真实性负责。如有虚假，将依法承担相应责任。</w:t>
      </w:r>
    </w:p>
    <w:p w14:paraId="2E6FF425">
      <w:pPr>
        <w:spacing w:line="360" w:lineRule="auto"/>
        <w:ind w:firstLine="5103" w:firstLineChars="2025"/>
        <w:rPr>
          <w:rFonts w:ascii="仿宋" w:hAnsi="仿宋" w:eastAsia="仿宋" w:cs="仿宋"/>
          <w:color w:val="000000"/>
          <w:spacing w:val="6"/>
          <w:highlight w:val="none"/>
        </w:rPr>
      </w:pPr>
    </w:p>
    <w:p w14:paraId="6F8B23F3">
      <w:pPr>
        <w:pStyle w:val="9"/>
        <w:rPr>
          <w:highlight w:val="none"/>
        </w:rPr>
      </w:pPr>
    </w:p>
    <w:p w14:paraId="574219BE">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744468E3">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5957F9EA">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5A4F96DB">
      <w:pPr>
        <w:spacing w:line="360" w:lineRule="auto"/>
        <w:ind w:firstLine="1260" w:firstLineChars="500"/>
        <w:rPr>
          <w:rFonts w:ascii="仿宋" w:hAnsi="仿宋" w:eastAsia="仿宋" w:cs="仿宋"/>
          <w:color w:val="000000"/>
          <w:spacing w:val="6"/>
          <w:highlight w:val="none"/>
        </w:rPr>
      </w:pPr>
    </w:p>
    <w:p w14:paraId="006D7AF0">
      <w:pPr>
        <w:spacing w:line="440" w:lineRule="exact"/>
        <w:ind w:firstLine="141" w:firstLineChars="50"/>
        <w:rPr>
          <w:rFonts w:hint="eastAsia" w:ascii="仿宋" w:hAnsi="仿宋" w:eastAsia="仿宋" w:cs="仿宋"/>
          <w:b/>
          <w:color w:val="000000"/>
          <w:sz w:val="28"/>
          <w:szCs w:val="28"/>
          <w:highlight w:val="none"/>
        </w:rPr>
      </w:pPr>
    </w:p>
    <w:p w14:paraId="7F4334C5">
      <w:pPr>
        <w:spacing w:line="440" w:lineRule="exact"/>
        <w:ind w:firstLine="141" w:firstLineChars="50"/>
        <w:rPr>
          <w:rFonts w:hint="eastAsia" w:ascii="仿宋" w:hAnsi="仿宋" w:eastAsia="仿宋" w:cs="仿宋"/>
          <w:b/>
          <w:color w:val="000000"/>
          <w:sz w:val="28"/>
          <w:szCs w:val="28"/>
          <w:highlight w:val="none"/>
        </w:rPr>
      </w:pPr>
    </w:p>
    <w:p w14:paraId="2C87B68D">
      <w:pPr>
        <w:spacing w:line="440" w:lineRule="exact"/>
        <w:ind w:firstLine="141" w:firstLineChars="50"/>
        <w:rPr>
          <w:rFonts w:hint="eastAsia" w:ascii="仿宋" w:hAnsi="仿宋" w:eastAsia="仿宋" w:cs="仿宋"/>
          <w:b/>
          <w:color w:val="000000"/>
          <w:sz w:val="28"/>
          <w:szCs w:val="28"/>
          <w:highlight w:val="none"/>
        </w:rPr>
      </w:pPr>
    </w:p>
    <w:p w14:paraId="5EF0E49F">
      <w:pPr>
        <w:spacing w:line="440" w:lineRule="exact"/>
        <w:ind w:firstLine="141" w:firstLineChars="50"/>
        <w:rPr>
          <w:rFonts w:hint="eastAsia" w:ascii="仿宋" w:hAnsi="仿宋" w:eastAsia="仿宋" w:cs="仿宋"/>
          <w:b/>
          <w:color w:val="000000"/>
          <w:sz w:val="28"/>
          <w:szCs w:val="28"/>
          <w:highlight w:val="none"/>
        </w:rPr>
      </w:pPr>
    </w:p>
    <w:p w14:paraId="54FAE2C7">
      <w:pPr>
        <w:pStyle w:val="9"/>
        <w:rPr>
          <w:rFonts w:hint="eastAsia" w:ascii="仿宋" w:hAnsi="仿宋" w:eastAsia="仿宋" w:cs="仿宋"/>
          <w:b/>
          <w:color w:val="000000"/>
          <w:sz w:val="28"/>
          <w:szCs w:val="28"/>
          <w:highlight w:val="none"/>
        </w:rPr>
      </w:pPr>
    </w:p>
    <w:p w14:paraId="45EF7CFF">
      <w:pPr>
        <w:rPr>
          <w:rFonts w:hint="eastAsia" w:ascii="仿宋" w:hAnsi="仿宋" w:eastAsia="仿宋" w:cs="仿宋"/>
          <w:b/>
          <w:color w:val="000000"/>
          <w:sz w:val="28"/>
          <w:szCs w:val="28"/>
          <w:highlight w:val="none"/>
        </w:rPr>
      </w:pPr>
    </w:p>
    <w:p w14:paraId="405ED915">
      <w:pPr>
        <w:pStyle w:val="9"/>
        <w:rPr>
          <w:rFonts w:hint="eastAsia" w:ascii="仿宋" w:hAnsi="仿宋" w:eastAsia="仿宋" w:cs="仿宋"/>
          <w:b/>
          <w:color w:val="000000"/>
          <w:sz w:val="28"/>
          <w:szCs w:val="28"/>
          <w:highlight w:val="none"/>
        </w:rPr>
      </w:pPr>
    </w:p>
    <w:p w14:paraId="7B8580BF">
      <w:pPr>
        <w:rPr>
          <w:rFonts w:hint="eastAsia" w:ascii="仿宋" w:hAnsi="仿宋" w:eastAsia="仿宋" w:cs="仿宋"/>
          <w:b/>
          <w:color w:val="000000"/>
          <w:sz w:val="28"/>
          <w:szCs w:val="28"/>
          <w:highlight w:val="none"/>
        </w:rPr>
      </w:pPr>
    </w:p>
    <w:p w14:paraId="4AF97D31">
      <w:pPr>
        <w:pStyle w:val="9"/>
        <w:rPr>
          <w:rFonts w:hint="eastAsia" w:ascii="仿宋" w:hAnsi="仿宋" w:eastAsia="仿宋" w:cs="仿宋"/>
          <w:b/>
          <w:color w:val="000000"/>
          <w:sz w:val="28"/>
          <w:szCs w:val="28"/>
          <w:highlight w:val="none"/>
        </w:rPr>
      </w:pPr>
    </w:p>
    <w:p w14:paraId="2DC44F68">
      <w:pPr>
        <w:rPr>
          <w:rFonts w:hint="eastAsia" w:ascii="仿宋" w:hAnsi="仿宋" w:eastAsia="仿宋" w:cs="仿宋"/>
          <w:b/>
          <w:color w:val="000000"/>
          <w:sz w:val="28"/>
          <w:szCs w:val="28"/>
          <w:highlight w:val="none"/>
        </w:rPr>
      </w:pPr>
    </w:p>
    <w:p w14:paraId="6E98430E">
      <w:pPr>
        <w:pStyle w:val="9"/>
        <w:rPr>
          <w:rFonts w:hint="eastAsia" w:ascii="仿宋" w:hAnsi="仿宋" w:eastAsia="仿宋" w:cs="仿宋"/>
          <w:b/>
          <w:color w:val="000000"/>
          <w:sz w:val="28"/>
          <w:szCs w:val="28"/>
          <w:highlight w:val="none"/>
        </w:rPr>
      </w:pPr>
    </w:p>
    <w:p w14:paraId="1B176440">
      <w:pPr>
        <w:rPr>
          <w:rFonts w:hint="eastAsia" w:ascii="仿宋" w:hAnsi="仿宋" w:eastAsia="仿宋" w:cs="仿宋"/>
          <w:b/>
          <w:color w:val="000000"/>
          <w:sz w:val="28"/>
          <w:szCs w:val="28"/>
          <w:highlight w:val="none"/>
        </w:rPr>
      </w:pPr>
    </w:p>
    <w:p w14:paraId="1E4AB833">
      <w:pPr>
        <w:pStyle w:val="9"/>
        <w:rPr>
          <w:rFonts w:hint="eastAsia" w:ascii="仿宋" w:hAnsi="仿宋" w:eastAsia="仿宋" w:cs="仿宋"/>
          <w:b/>
          <w:color w:val="000000"/>
          <w:sz w:val="28"/>
          <w:szCs w:val="28"/>
          <w:highlight w:val="none"/>
        </w:rPr>
      </w:pPr>
    </w:p>
    <w:p w14:paraId="2D60A3CD">
      <w:pPr>
        <w:spacing w:line="440" w:lineRule="exact"/>
        <w:ind w:firstLine="141" w:firstLineChars="50"/>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附件4：</w:t>
      </w:r>
    </w:p>
    <w:p w14:paraId="7E2A80D0">
      <w:pPr>
        <w:spacing w:line="440" w:lineRule="exact"/>
        <w:ind w:firstLine="141" w:firstLineChars="50"/>
        <w:jc w:val="center"/>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残疾人福利性单位声明函</w:t>
      </w:r>
    </w:p>
    <w:p w14:paraId="7B2D776A">
      <w:pPr>
        <w:spacing w:line="440" w:lineRule="exact"/>
        <w:rPr>
          <w:rFonts w:ascii="仿宋" w:hAnsi="仿宋" w:eastAsia="仿宋" w:cs="仿宋"/>
          <w:b/>
          <w:bCs/>
          <w:color w:val="000000"/>
          <w:spacing w:val="6"/>
          <w:highlight w:val="none"/>
        </w:rPr>
      </w:pPr>
    </w:p>
    <w:p w14:paraId="0B043BED">
      <w:pPr>
        <w:widowControl/>
        <w:snapToGrid w:val="0"/>
        <w:spacing w:line="440" w:lineRule="exact"/>
        <w:ind w:firstLine="504" w:firstLineChars="200"/>
        <w:rPr>
          <w:rFonts w:ascii="仿宋" w:hAnsi="仿宋" w:eastAsia="仿宋" w:cs="仿宋"/>
          <w:color w:val="000000"/>
          <w:spacing w:val="6"/>
          <w:highlight w:val="none"/>
        </w:rPr>
      </w:pPr>
      <w:r>
        <w:rPr>
          <w:rFonts w:hint="eastAsia" w:ascii="仿宋" w:hAnsi="仿宋" w:eastAsia="仿宋" w:cs="仿宋"/>
          <w:color w:val="000000"/>
          <w:spacing w:val="6"/>
          <w:highlight w:val="none"/>
        </w:rPr>
        <w:t>本单位郑重声明，根据《财政部民政部中国残疾人联合会关于促进残疾人就业政府采购政策的通知》（财库〔2017〕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pacing w:val="6"/>
          <w:highlight w:val="none"/>
          <w:u w:val="single"/>
          <w:lang w:val="en-US" w:eastAsia="zh-CN"/>
        </w:rPr>
        <w:t xml:space="preserve">        </w:t>
      </w:r>
      <w:r>
        <w:rPr>
          <w:rFonts w:hint="eastAsia" w:ascii="仿宋" w:hAnsi="仿宋" w:eastAsia="仿宋" w:cs="仿宋"/>
          <w:color w:val="000000"/>
          <w:spacing w:val="6"/>
          <w:highlight w:val="none"/>
        </w:rPr>
        <w:t>单位的</w:t>
      </w:r>
      <w:r>
        <w:rPr>
          <w:rFonts w:hint="eastAsia" w:ascii="仿宋" w:hAnsi="仿宋" w:eastAsia="仿宋" w:cs="仿宋"/>
          <w:color w:val="000000"/>
          <w:spacing w:val="6"/>
          <w:highlight w:val="none"/>
          <w:u w:val="single"/>
          <w:lang w:val="en-US" w:eastAsia="zh-CN"/>
        </w:rPr>
        <w:t xml:space="preserve">        </w:t>
      </w:r>
      <w:r>
        <w:rPr>
          <w:rFonts w:hint="eastAsia" w:ascii="仿宋" w:hAnsi="仿宋" w:eastAsia="仿宋" w:cs="仿宋"/>
          <w:color w:val="000000"/>
          <w:spacing w:val="6"/>
          <w:highlight w:val="none"/>
        </w:rPr>
        <w:t>项目采购活动提供本单位制造的货物（由本单位承担工程/提供服务），或者提供其他残疾人福利性单位制造的货物（不包括使用非残疾人福利性单位注册商标的货物）。</w:t>
      </w:r>
    </w:p>
    <w:p w14:paraId="45267F76">
      <w:pPr>
        <w:widowControl/>
        <w:snapToGrid w:val="0"/>
        <w:spacing w:line="440" w:lineRule="exact"/>
        <w:ind w:firstLine="504" w:firstLineChars="200"/>
        <w:rPr>
          <w:rFonts w:ascii="仿宋" w:hAnsi="仿宋" w:eastAsia="仿宋" w:cs="仿宋"/>
          <w:color w:val="000000"/>
          <w:spacing w:val="6"/>
          <w:highlight w:val="none"/>
        </w:rPr>
      </w:pPr>
      <w:r>
        <w:rPr>
          <w:rFonts w:hint="eastAsia" w:ascii="仿宋" w:hAnsi="仿宋" w:eastAsia="仿宋" w:cs="仿宋"/>
          <w:color w:val="000000"/>
          <w:spacing w:val="6"/>
          <w:highlight w:val="none"/>
        </w:rPr>
        <w:t>本单位对上述声明的真实性负责。如有虚假，将依法承担相应责任。</w:t>
      </w:r>
    </w:p>
    <w:p w14:paraId="650F7E28">
      <w:pPr>
        <w:widowControl/>
        <w:snapToGrid w:val="0"/>
        <w:spacing w:line="440" w:lineRule="exact"/>
        <w:ind w:firstLine="504" w:firstLineChars="200"/>
        <w:rPr>
          <w:rFonts w:ascii="仿宋" w:hAnsi="仿宋" w:eastAsia="仿宋" w:cs="仿宋"/>
          <w:color w:val="000000"/>
          <w:spacing w:val="6"/>
          <w:highlight w:val="none"/>
        </w:rPr>
      </w:pPr>
    </w:p>
    <w:p w14:paraId="1B73FCAF">
      <w:pPr>
        <w:widowControl/>
        <w:snapToGrid w:val="0"/>
        <w:spacing w:line="360" w:lineRule="auto"/>
        <w:rPr>
          <w:rFonts w:ascii="仿宋" w:hAnsi="仿宋" w:eastAsia="仿宋" w:cs="仿宋"/>
          <w:b/>
          <w:bCs/>
          <w:color w:val="000000"/>
          <w:spacing w:val="6"/>
          <w:highlight w:val="none"/>
        </w:rPr>
      </w:pPr>
      <w:r>
        <w:rPr>
          <w:rFonts w:hint="eastAsia" w:ascii="仿宋" w:hAnsi="仿宋" w:eastAsia="仿宋" w:cs="仿宋"/>
          <w:b/>
          <w:bCs/>
          <w:color w:val="000000"/>
          <w:spacing w:val="6"/>
          <w:highlight w:val="none"/>
        </w:rPr>
        <w:t>单位名称：</w:t>
      </w:r>
      <w:r>
        <w:rPr>
          <w:rFonts w:hint="eastAsia" w:ascii="仿宋" w:hAnsi="仿宋" w:eastAsia="仿宋" w:cs="仿宋"/>
          <w:b/>
          <w:bCs/>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w:t>
      </w:r>
      <w:r>
        <w:rPr>
          <w:rFonts w:hint="eastAsia" w:ascii="仿宋" w:hAnsi="仿宋" w:eastAsia="仿宋" w:cs="仿宋"/>
          <w:b/>
          <w:bCs/>
          <w:sz w:val="24"/>
          <w:szCs w:val="24"/>
          <w:highlight w:val="none"/>
        </w:rPr>
        <w:t>章)</w:t>
      </w:r>
    </w:p>
    <w:p w14:paraId="5BD1DCED">
      <w:pPr>
        <w:pStyle w:val="7"/>
        <w:snapToGrid w:val="0"/>
        <w:spacing w:line="360" w:lineRule="auto"/>
        <w:rPr>
          <w:rFonts w:hint="eastAsia" w:ascii="仿宋" w:hAnsi="仿宋" w:eastAsia="仿宋" w:cs="仿宋"/>
          <w:b/>
          <w:bCs/>
          <w:color w:val="auto"/>
          <w:spacing w:val="24"/>
          <w:sz w:val="24"/>
          <w:highlight w:val="none"/>
        </w:rPr>
      </w:pPr>
      <w:r>
        <w:rPr>
          <w:rFonts w:hint="eastAsia" w:ascii="仿宋" w:hAnsi="仿宋" w:eastAsia="仿宋" w:cs="仿宋"/>
          <w:b/>
          <w:bCs/>
          <w:color w:val="auto"/>
          <w:spacing w:val="24"/>
          <w:sz w:val="24"/>
          <w:highlight w:val="none"/>
        </w:rPr>
        <w:t>日期：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年</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 月</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 日</w:t>
      </w:r>
    </w:p>
    <w:p w14:paraId="188538F9">
      <w:pPr>
        <w:pStyle w:val="12"/>
        <w:spacing w:line="360" w:lineRule="auto"/>
        <w:ind w:firstLine="361" w:firstLineChars="150"/>
        <w:rPr>
          <w:rFonts w:ascii="仿宋" w:hAnsi="仿宋" w:eastAsia="仿宋" w:cs="仿宋"/>
          <w:b/>
          <w:bCs/>
          <w:sz w:val="24"/>
          <w:highlight w:val="none"/>
          <w:em w:val="dot"/>
        </w:rPr>
      </w:pPr>
    </w:p>
    <w:p w14:paraId="39E5A1B2">
      <w:pPr>
        <w:pStyle w:val="5"/>
        <w:spacing w:line="360" w:lineRule="auto"/>
        <w:ind w:left="0" w:leftChars="0" w:firstLine="0" w:firstLineChars="0"/>
        <w:rPr>
          <w:rFonts w:hint="eastAsia" w:ascii="仿宋" w:hAnsi="仿宋" w:eastAsia="仿宋" w:cs="仿宋"/>
          <w:b/>
          <w:bCs/>
          <w:kern w:val="0"/>
          <w:sz w:val="24"/>
          <w:highlight w:val="none"/>
        </w:rPr>
      </w:pPr>
    </w:p>
    <w:p w14:paraId="6FD0FCA1">
      <w:pPr>
        <w:spacing w:line="440" w:lineRule="exact"/>
        <w:rPr>
          <w:rFonts w:hint="eastAsia" w:ascii="仿宋" w:hAnsi="仿宋" w:eastAsia="仿宋" w:cs="仿宋"/>
          <w:b/>
          <w:color w:val="000000"/>
          <w:sz w:val="28"/>
          <w:szCs w:val="28"/>
          <w:highlight w:val="none"/>
        </w:rPr>
      </w:pPr>
    </w:p>
    <w:p w14:paraId="01E18E45">
      <w:pPr>
        <w:spacing w:line="440" w:lineRule="exact"/>
        <w:rPr>
          <w:rFonts w:hint="eastAsia" w:ascii="仿宋" w:hAnsi="仿宋" w:eastAsia="仿宋" w:cs="仿宋"/>
          <w:b/>
          <w:color w:val="000000"/>
          <w:sz w:val="28"/>
          <w:szCs w:val="28"/>
          <w:highlight w:val="none"/>
        </w:rPr>
      </w:pPr>
    </w:p>
    <w:p w14:paraId="33B4E6DD">
      <w:pPr>
        <w:spacing w:line="4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附件</w:t>
      </w:r>
      <w:r>
        <w:rPr>
          <w:rFonts w:hint="eastAsia" w:ascii="仿宋" w:hAnsi="仿宋" w:eastAsia="仿宋" w:cs="仿宋"/>
          <w:b/>
          <w:color w:val="000000"/>
          <w:sz w:val="28"/>
          <w:szCs w:val="28"/>
          <w:highlight w:val="none"/>
          <w:lang w:val="en-US" w:eastAsia="zh-CN"/>
        </w:rPr>
        <w:t>5</w:t>
      </w:r>
      <w:r>
        <w:rPr>
          <w:rFonts w:hint="eastAsia" w:ascii="仿宋" w:hAnsi="仿宋" w:eastAsia="仿宋" w:cs="仿宋"/>
          <w:b/>
          <w:color w:val="000000"/>
          <w:sz w:val="28"/>
          <w:szCs w:val="28"/>
          <w:highlight w:val="none"/>
        </w:rPr>
        <w:t>：</w:t>
      </w:r>
    </w:p>
    <w:p w14:paraId="649A53BA">
      <w:pPr>
        <w:spacing w:line="360" w:lineRule="auto"/>
        <w:rPr>
          <w:rFonts w:ascii="仿宋" w:hAnsi="仿宋" w:eastAsia="仿宋" w:cs="仿宋"/>
          <w:color w:val="000000"/>
          <w:szCs w:val="21"/>
          <w:highlight w:val="none"/>
          <w:lang w:bidi="zh-CN"/>
        </w:rPr>
      </w:pPr>
      <w:r>
        <w:rPr>
          <w:rFonts w:hint="eastAsia" w:ascii="仿宋" w:hAnsi="仿宋" w:eastAsia="仿宋" w:cs="仿宋"/>
          <w:color w:val="000000"/>
          <w:szCs w:val="21"/>
          <w:highlight w:val="none"/>
          <w:lang w:bidi="zh-CN"/>
        </w:rPr>
        <w:t>1、保证金汇汇款凭证或有效期内的保函</w:t>
      </w:r>
    </w:p>
    <w:p w14:paraId="1CD0F3AC">
      <w:pPr>
        <w:spacing w:line="440" w:lineRule="exact"/>
        <w:ind w:firstLine="141" w:firstLineChars="50"/>
        <w:rPr>
          <w:rFonts w:hint="eastAsia" w:ascii="仿宋" w:hAnsi="仿宋" w:eastAsia="仿宋" w:cs="仿宋"/>
          <w:b/>
          <w:color w:val="000000"/>
          <w:sz w:val="28"/>
          <w:szCs w:val="28"/>
          <w:highlight w:val="none"/>
        </w:rPr>
      </w:pPr>
    </w:p>
    <w:p w14:paraId="234C4AC8">
      <w:pPr>
        <w:spacing w:line="440" w:lineRule="exact"/>
        <w:ind w:firstLine="141" w:firstLineChars="50"/>
        <w:rPr>
          <w:rFonts w:hint="eastAsia" w:ascii="仿宋" w:hAnsi="仿宋" w:eastAsia="仿宋" w:cs="仿宋"/>
          <w:b/>
          <w:color w:val="000000"/>
          <w:sz w:val="28"/>
          <w:szCs w:val="28"/>
          <w:highlight w:val="none"/>
        </w:rPr>
      </w:pPr>
    </w:p>
    <w:p w14:paraId="3432FFFD">
      <w:pPr>
        <w:spacing w:line="440" w:lineRule="exact"/>
        <w:ind w:firstLine="141" w:firstLineChars="50"/>
        <w:rPr>
          <w:rFonts w:hint="eastAsia" w:ascii="仿宋" w:hAnsi="仿宋" w:eastAsia="仿宋" w:cs="仿宋"/>
          <w:b/>
          <w:color w:val="000000"/>
          <w:sz w:val="28"/>
          <w:szCs w:val="28"/>
          <w:highlight w:val="none"/>
        </w:rPr>
      </w:pPr>
      <w:bookmarkStart w:id="310" w:name="_Toc30613"/>
    </w:p>
    <w:p w14:paraId="4C9A4F11">
      <w:pPr>
        <w:spacing w:line="440" w:lineRule="exact"/>
        <w:ind w:firstLine="141" w:firstLineChars="50"/>
        <w:rPr>
          <w:rFonts w:hint="eastAsia" w:ascii="仿宋" w:hAnsi="仿宋" w:eastAsia="仿宋" w:cs="仿宋"/>
          <w:b/>
          <w:color w:val="000000"/>
          <w:sz w:val="28"/>
          <w:szCs w:val="28"/>
          <w:highlight w:val="none"/>
        </w:rPr>
      </w:pPr>
    </w:p>
    <w:p w14:paraId="774CD6F8">
      <w:pPr>
        <w:spacing w:line="440" w:lineRule="exact"/>
        <w:ind w:firstLine="141" w:firstLineChars="50"/>
        <w:rPr>
          <w:rFonts w:hint="eastAsia" w:ascii="仿宋" w:hAnsi="仿宋" w:eastAsia="仿宋" w:cs="仿宋"/>
          <w:b/>
          <w:color w:val="000000"/>
          <w:sz w:val="28"/>
          <w:szCs w:val="28"/>
          <w:highlight w:val="none"/>
        </w:rPr>
      </w:pPr>
    </w:p>
    <w:p w14:paraId="4CE71E67">
      <w:pPr>
        <w:pStyle w:val="46"/>
        <w:adjustRightInd w:val="0"/>
        <w:snapToGrid w:val="0"/>
        <w:spacing w:line="360" w:lineRule="auto"/>
        <w:rPr>
          <w:rFonts w:hint="eastAsia" w:ascii="仿宋" w:hAnsi="仿宋" w:eastAsia="仿宋" w:cs="仿宋"/>
          <w:b/>
          <w:bCs/>
          <w:sz w:val="24"/>
          <w:szCs w:val="24"/>
          <w:highlight w:val="none"/>
        </w:rPr>
      </w:pPr>
    </w:p>
    <w:p w14:paraId="395FEC89">
      <w:pPr>
        <w:pStyle w:val="7"/>
        <w:rPr>
          <w:rFonts w:hint="eastAsia" w:ascii="仿宋" w:hAnsi="仿宋" w:eastAsia="仿宋" w:cs="仿宋"/>
          <w:b/>
          <w:bCs/>
          <w:color w:val="auto"/>
          <w:sz w:val="28"/>
          <w:szCs w:val="28"/>
          <w:highlight w:val="none"/>
        </w:rPr>
      </w:pPr>
    </w:p>
    <w:p w14:paraId="33109405">
      <w:pPr>
        <w:spacing w:line="360" w:lineRule="auto"/>
        <w:rPr>
          <w:rFonts w:hint="eastAsia" w:ascii="仿宋" w:hAnsi="仿宋" w:eastAsia="仿宋" w:cs="仿宋"/>
          <w:color w:val="000000"/>
          <w:szCs w:val="21"/>
          <w:highlight w:val="none"/>
          <w:lang w:bidi="zh-CN"/>
        </w:rPr>
      </w:pPr>
    </w:p>
    <w:p w14:paraId="161583EE">
      <w:pPr>
        <w:spacing w:line="360" w:lineRule="auto"/>
        <w:rPr>
          <w:rFonts w:hint="eastAsia" w:ascii="仿宋" w:hAnsi="仿宋" w:eastAsia="仿宋" w:cs="仿宋"/>
          <w:color w:val="000000"/>
          <w:szCs w:val="21"/>
          <w:highlight w:val="none"/>
          <w:lang w:bidi="zh-CN"/>
        </w:rPr>
      </w:pPr>
    </w:p>
    <w:p w14:paraId="59702455">
      <w:pPr>
        <w:rPr>
          <w:rFonts w:hint="eastAsia" w:ascii="仿宋" w:hAnsi="仿宋" w:eastAsia="仿宋" w:cs="仿宋"/>
          <w:b/>
          <w:highlight w:val="none"/>
        </w:rPr>
      </w:pPr>
    </w:p>
    <w:p w14:paraId="5F3F444E">
      <w:pPr>
        <w:pageBreakBefore/>
        <w:snapToGrid w:val="0"/>
        <w:spacing w:line="360" w:lineRule="auto"/>
        <w:jc w:val="center"/>
        <w:rPr>
          <w:rFonts w:hint="eastAsia" w:ascii="仿宋" w:hAnsi="仿宋" w:eastAsia="仿宋" w:cs="仿宋"/>
          <w:b/>
          <w:sz w:val="28"/>
          <w:szCs w:val="28"/>
          <w:highlight w:val="none"/>
        </w:rPr>
      </w:pPr>
      <w:bookmarkStart w:id="311" w:name="_Toc22684"/>
      <w:bookmarkStart w:id="312" w:name="_Toc15756"/>
      <w:bookmarkStart w:id="313" w:name="_Toc5239"/>
      <w:bookmarkStart w:id="314" w:name="_Toc31559"/>
      <w:bookmarkStart w:id="315" w:name="_Toc22654"/>
      <w:bookmarkStart w:id="316" w:name="_Toc18760"/>
      <w:bookmarkStart w:id="317" w:name="_Toc10628"/>
      <w:r>
        <w:rPr>
          <w:rFonts w:hint="eastAsia" w:ascii="仿宋" w:hAnsi="仿宋" w:eastAsia="仿宋" w:cs="仿宋"/>
          <w:b/>
          <w:sz w:val="28"/>
          <w:szCs w:val="28"/>
          <w:highlight w:val="none"/>
        </w:rPr>
        <w:t>四、开标一览表</w:t>
      </w:r>
      <w:bookmarkEnd w:id="310"/>
      <w:bookmarkEnd w:id="311"/>
      <w:bookmarkEnd w:id="312"/>
      <w:bookmarkEnd w:id="313"/>
      <w:bookmarkEnd w:id="314"/>
      <w:bookmarkEnd w:id="315"/>
      <w:bookmarkEnd w:id="316"/>
      <w:bookmarkEnd w:id="317"/>
    </w:p>
    <w:p w14:paraId="0FF3B53F">
      <w:pPr>
        <w:pStyle w:val="47"/>
        <w:adjustRightInd w:val="0"/>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highlight w:val="none"/>
        </w:rPr>
        <w:t xml:space="preserve">                 </w:t>
      </w:r>
    </w:p>
    <w:tbl>
      <w:tblPr>
        <w:tblStyle w:val="20"/>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383"/>
      </w:tblGrid>
      <w:tr w14:paraId="0EBCA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676" w:type="dxa"/>
            <w:tcBorders>
              <w:bottom w:val="single" w:color="auto" w:sz="4" w:space="0"/>
            </w:tcBorders>
            <w:noWrap w:val="0"/>
            <w:vAlign w:val="center"/>
          </w:tcPr>
          <w:p w14:paraId="412E28B7">
            <w:pPr>
              <w:pStyle w:val="48"/>
              <w:tabs>
                <w:tab w:val="left" w:pos="1337"/>
              </w:tabs>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bCs/>
                <w:sz w:val="21"/>
                <w:szCs w:val="21"/>
                <w:highlight w:val="none"/>
              </w:rPr>
              <w:t>项目名称</w:t>
            </w:r>
          </w:p>
        </w:tc>
        <w:tc>
          <w:tcPr>
            <w:tcW w:w="7383" w:type="dxa"/>
            <w:tcBorders>
              <w:bottom w:val="single" w:color="auto" w:sz="4" w:space="0"/>
            </w:tcBorders>
            <w:noWrap w:val="0"/>
            <w:vAlign w:val="center"/>
          </w:tcPr>
          <w:p w14:paraId="0F050A4D">
            <w:pPr>
              <w:pStyle w:val="48"/>
              <w:tabs>
                <w:tab w:val="left" w:pos="1337"/>
              </w:tabs>
              <w:adjustRightInd w:val="0"/>
              <w:snapToGrid w:val="0"/>
              <w:spacing w:line="36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u w:val="single"/>
              </w:rPr>
              <w:t xml:space="preserve">                                </w:t>
            </w:r>
          </w:p>
        </w:tc>
      </w:tr>
      <w:tr w14:paraId="1A56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jc w:val="center"/>
        </w:trPr>
        <w:tc>
          <w:tcPr>
            <w:tcW w:w="1676" w:type="dxa"/>
            <w:tcBorders>
              <w:bottom w:val="single" w:color="auto" w:sz="4" w:space="0"/>
            </w:tcBorders>
            <w:noWrap w:val="0"/>
            <w:vAlign w:val="center"/>
          </w:tcPr>
          <w:p w14:paraId="725C0F2D">
            <w:pPr>
              <w:pStyle w:val="48"/>
              <w:tabs>
                <w:tab w:val="left" w:pos="1337"/>
              </w:tabs>
              <w:adjustRightInd w:val="0"/>
              <w:snapToGrid w:val="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项目编号</w:t>
            </w:r>
          </w:p>
        </w:tc>
        <w:tc>
          <w:tcPr>
            <w:tcW w:w="7383" w:type="dxa"/>
            <w:tcBorders>
              <w:bottom w:val="single" w:color="auto" w:sz="4" w:space="0"/>
            </w:tcBorders>
            <w:noWrap w:val="0"/>
            <w:vAlign w:val="center"/>
          </w:tcPr>
          <w:p w14:paraId="6626B960">
            <w:pPr>
              <w:pStyle w:val="48"/>
              <w:tabs>
                <w:tab w:val="left" w:pos="1337"/>
              </w:tabs>
              <w:adjustRightInd w:val="0"/>
              <w:snapToGrid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                                </w:t>
            </w:r>
          </w:p>
        </w:tc>
      </w:tr>
      <w:tr w14:paraId="419D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3" w:hRule="atLeast"/>
          <w:jc w:val="center"/>
        </w:trPr>
        <w:tc>
          <w:tcPr>
            <w:tcW w:w="1676" w:type="dxa"/>
            <w:noWrap w:val="0"/>
            <w:vAlign w:val="center"/>
          </w:tcPr>
          <w:p w14:paraId="78526D7E">
            <w:pPr>
              <w:pStyle w:val="48"/>
              <w:tabs>
                <w:tab w:val="left" w:pos="1337"/>
              </w:tabs>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bCs/>
                <w:sz w:val="21"/>
                <w:szCs w:val="21"/>
                <w:highlight w:val="none"/>
              </w:rPr>
              <w:t>投标报价</w:t>
            </w:r>
          </w:p>
        </w:tc>
        <w:tc>
          <w:tcPr>
            <w:tcW w:w="7383" w:type="dxa"/>
            <w:noWrap w:val="0"/>
            <w:vAlign w:val="center"/>
          </w:tcPr>
          <w:p w14:paraId="23E49AD2">
            <w:pPr>
              <w:pStyle w:val="48"/>
              <w:tabs>
                <w:tab w:val="left" w:pos="1337"/>
              </w:tabs>
              <w:adjustRightInd w:val="0"/>
              <w:snapToGrid w:val="0"/>
              <w:spacing w:line="360" w:lineRule="auto"/>
              <w:rPr>
                <w:rFonts w:hint="eastAsia" w:ascii="仿宋" w:hAnsi="仿宋" w:eastAsia="仿宋" w:cs="仿宋"/>
                <w:bCs/>
                <w:sz w:val="21"/>
                <w:szCs w:val="21"/>
                <w:highlight w:val="none"/>
              </w:rPr>
            </w:pPr>
          </w:p>
          <w:p w14:paraId="407999BF">
            <w:pPr>
              <w:pStyle w:val="48"/>
              <w:tabs>
                <w:tab w:val="left" w:pos="1337"/>
              </w:tabs>
              <w:adjustRightInd w:val="0"/>
              <w:snapToGrid w:val="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小写：</w:t>
            </w:r>
            <w:r>
              <w:rPr>
                <w:rFonts w:hint="eastAsia" w:ascii="仿宋" w:hAnsi="仿宋" w:eastAsia="仿宋" w:cs="仿宋"/>
                <w:bCs/>
                <w:sz w:val="21"/>
                <w:szCs w:val="21"/>
                <w:highlight w:val="none"/>
                <w:u w:val="single"/>
              </w:rPr>
              <w:t xml:space="preserve">                          </w:t>
            </w:r>
          </w:p>
          <w:p w14:paraId="48030A80">
            <w:pPr>
              <w:pStyle w:val="48"/>
              <w:tabs>
                <w:tab w:val="left" w:pos="1337"/>
              </w:tabs>
              <w:adjustRightInd w:val="0"/>
              <w:snapToGrid w:val="0"/>
              <w:spacing w:line="360" w:lineRule="auto"/>
              <w:rPr>
                <w:rFonts w:hint="eastAsia" w:ascii="仿宋" w:hAnsi="仿宋" w:eastAsia="仿宋" w:cs="仿宋"/>
                <w:bCs/>
                <w:sz w:val="21"/>
                <w:szCs w:val="21"/>
                <w:highlight w:val="none"/>
              </w:rPr>
            </w:pPr>
          </w:p>
          <w:p w14:paraId="2CF03AB9">
            <w:pPr>
              <w:pStyle w:val="48"/>
              <w:tabs>
                <w:tab w:val="left" w:pos="1337"/>
              </w:tabs>
              <w:adjustRightInd w:val="0"/>
              <w:snapToGrid w:val="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大写：</w:t>
            </w:r>
            <w:r>
              <w:rPr>
                <w:rFonts w:hint="eastAsia" w:ascii="仿宋" w:hAnsi="仿宋" w:eastAsia="仿宋" w:cs="仿宋"/>
                <w:bCs/>
                <w:sz w:val="21"/>
                <w:szCs w:val="21"/>
                <w:highlight w:val="none"/>
                <w:u w:val="single"/>
              </w:rPr>
              <w:t xml:space="preserve">                          </w:t>
            </w:r>
          </w:p>
          <w:p w14:paraId="7E00AA9F">
            <w:pPr>
              <w:pStyle w:val="48"/>
              <w:tabs>
                <w:tab w:val="left" w:pos="1337"/>
              </w:tabs>
              <w:adjustRightInd w:val="0"/>
              <w:snapToGrid w:val="0"/>
              <w:spacing w:line="360" w:lineRule="auto"/>
              <w:rPr>
                <w:rFonts w:hint="eastAsia" w:ascii="仿宋" w:hAnsi="仿宋" w:eastAsia="仿宋" w:cs="仿宋"/>
                <w:sz w:val="21"/>
                <w:szCs w:val="21"/>
                <w:highlight w:val="none"/>
              </w:rPr>
            </w:pPr>
          </w:p>
        </w:tc>
      </w:tr>
      <w:tr w14:paraId="42AB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1676" w:type="dxa"/>
            <w:noWrap w:val="0"/>
            <w:vAlign w:val="center"/>
          </w:tcPr>
          <w:p w14:paraId="4BF7D6EC">
            <w:pPr>
              <w:pStyle w:val="48"/>
              <w:tabs>
                <w:tab w:val="left" w:pos="1337"/>
              </w:tabs>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bCs/>
                <w:sz w:val="21"/>
                <w:szCs w:val="21"/>
                <w:highlight w:val="none"/>
                <w:lang w:eastAsia="zh-CN"/>
              </w:rPr>
              <w:t>合同履约</w:t>
            </w:r>
            <w:r>
              <w:rPr>
                <w:rFonts w:hint="eastAsia" w:ascii="仿宋" w:hAnsi="仿宋" w:eastAsia="仿宋" w:cs="仿宋"/>
                <w:bCs/>
                <w:sz w:val="21"/>
                <w:szCs w:val="21"/>
                <w:highlight w:val="none"/>
              </w:rPr>
              <w:t>期限</w:t>
            </w:r>
          </w:p>
        </w:tc>
        <w:tc>
          <w:tcPr>
            <w:tcW w:w="7383" w:type="dxa"/>
            <w:noWrap w:val="0"/>
            <w:vAlign w:val="center"/>
          </w:tcPr>
          <w:p w14:paraId="5151A46E">
            <w:pPr>
              <w:pStyle w:val="48"/>
              <w:tabs>
                <w:tab w:val="left" w:pos="1337"/>
              </w:tabs>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u w:val="single"/>
              </w:rPr>
              <w:t xml:space="preserve">                                </w:t>
            </w:r>
          </w:p>
        </w:tc>
      </w:tr>
      <w:tr w14:paraId="208AC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76" w:type="dxa"/>
            <w:noWrap w:val="0"/>
            <w:vAlign w:val="center"/>
          </w:tcPr>
          <w:p w14:paraId="138FC8AB">
            <w:pPr>
              <w:pStyle w:val="48"/>
              <w:tabs>
                <w:tab w:val="left" w:pos="1337"/>
              </w:tabs>
              <w:adjustRightInd w:val="0"/>
              <w:snapToGrid w:val="0"/>
              <w:spacing w:line="360" w:lineRule="auto"/>
              <w:jc w:val="center"/>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lang w:eastAsia="zh-CN"/>
              </w:rPr>
              <w:t>交货地点</w:t>
            </w:r>
          </w:p>
        </w:tc>
        <w:tc>
          <w:tcPr>
            <w:tcW w:w="7383" w:type="dxa"/>
            <w:noWrap w:val="0"/>
            <w:vAlign w:val="center"/>
          </w:tcPr>
          <w:p w14:paraId="168449D9">
            <w:pPr>
              <w:pStyle w:val="48"/>
              <w:tabs>
                <w:tab w:val="left" w:pos="1337"/>
              </w:tabs>
              <w:adjustRightInd w:val="0"/>
              <w:snapToGrid w:val="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                                </w:t>
            </w:r>
          </w:p>
        </w:tc>
      </w:tr>
      <w:tr w14:paraId="124C8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059" w:type="dxa"/>
            <w:gridSpan w:val="2"/>
            <w:noWrap w:val="0"/>
            <w:vAlign w:val="center"/>
          </w:tcPr>
          <w:p w14:paraId="4A160C73">
            <w:pPr>
              <w:pStyle w:val="48"/>
              <w:tabs>
                <w:tab w:val="left" w:pos="1337"/>
              </w:tabs>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bCs/>
                <w:sz w:val="21"/>
                <w:szCs w:val="21"/>
                <w:highlight w:val="none"/>
              </w:rPr>
              <w:t>备注：</w:t>
            </w:r>
            <w:r>
              <w:rPr>
                <w:rFonts w:hint="eastAsia" w:ascii="仿宋" w:hAnsi="仿宋" w:eastAsia="仿宋" w:cs="仿宋"/>
                <w:bCs/>
                <w:sz w:val="21"/>
                <w:szCs w:val="21"/>
                <w:highlight w:val="none"/>
                <w:u w:val="single"/>
              </w:rPr>
              <w:t xml:space="preserve">                                      </w:t>
            </w:r>
          </w:p>
        </w:tc>
      </w:tr>
    </w:tbl>
    <w:p w14:paraId="7B79AEDF">
      <w:pPr>
        <w:pStyle w:val="48"/>
        <w:adjustRightInd w:val="0"/>
        <w:snapToGrid w:val="0"/>
        <w:spacing w:line="360" w:lineRule="auto"/>
        <w:rPr>
          <w:rFonts w:hint="eastAsia" w:ascii="仿宋" w:hAnsi="仿宋" w:eastAsia="仿宋" w:cs="仿宋"/>
          <w:sz w:val="24"/>
          <w:highlight w:val="none"/>
        </w:rPr>
      </w:pPr>
    </w:p>
    <w:p w14:paraId="79526E60">
      <w:pPr>
        <w:pStyle w:val="48"/>
        <w:adjustRightInd w:val="0"/>
        <w:snapToGrid w:val="0"/>
        <w:spacing w:line="360" w:lineRule="auto"/>
        <w:rPr>
          <w:rFonts w:hint="eastAsia" w:ascii="仿宋" w:hAnsi="仿宋" w:eastAsia="仿宋" w:cs="仿宋"/>
          <w:sz w:val="24"/>
          <w:highlight w:val="none"/>
        </w:rPr>
      </w:pPr>
      <w:bookmarkStart w:id="318" w:name="_Toc29502"/>
      <w:bookmarkStart w:id="319" w:name="_Toc19258"/>
      <w:bookmarkStart w:id="320" w:name="_Toc2625"/>
      <w:bookmarkStart w:id="321" w:name="_Toc25726"/>
      <w:bookmarkStart w:id="322" w:name="_Toc22970"/>
      <w:bookmarkStart w:id="323" w:name="_Toc20966"/>
      <w:bookmarkStart w:id="324" w:name="_Toc19061"/>
      <w:bookmarkStart w:id="325" w:name="_Toc19733"/>
      <w:r>
        <w:rPr>
          <w:rFonts w:hint="eastAsia" w:ascii="仿宋" w:hAnsi="仿宋" w:eastAsia="仿宋" w:cs="仿宋"/>
          <w:sz w:val="24"/>
          <w:highlight w:val="none"/>
        </w:rPr>
        <w:t>说明：1、</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严格按照规定的格式填写。投标总价作为评审及定标的依据。</w:t>
      </w:r>
    </w:p>
    <w:p w14:paraId="26DA0725">
      <w:pPr>
        <w:pStyle w:val="48"/>
        <w:adjustRightInd w:val="0"/>
        <w:snapToGrid w:val="0"/>
        <w:spacing w:line="360" w:lineRule="auto"/>
        <w:ind w:firstLine="720" w:firstLineChars="300"/>
        <w:rPr>
          <w:rFonts w:hint="eastAsia" w:ascii="仿宋" w:hAnsi="仿宋" w:eastAsia="仿宋" w:cs="仿宋"/>
          <w:sz w:val="24"/>
          <w:highlight w:val="none"/>
        </w:rPr>
      </w:pPr>
      <w:r>
        <w:rPr>
          <w:rFonts w:hint="eastAsia" w:ascii="仿宋" w:hAnsi="仿宋" w:eastAsia="仿宋" w:cs="仿宋"/>
          <w:sz w:val="24"/>
          <w:highlight w:val="none"/>
        </w:rPr>
        <w:t>2、任何有选择或有条件的投标总价或填写多个报价，均将导致投标被拒绝。</w:t>
      </w:r>
    </w:p>
    <w:p w14:paraId="29D387F6">
      <w:pPr>
        <w:pStyle w:val="48"/>
        <w:adjustRightInd w:val="0"/>
        <w:snapToGrid w:val="0"/>
        <w:spacing w:line="360" w:lineRule="auto"/>
        <w:ind w:firstLine="720" w:firstLineChars="300"/>
        <w:rPr>
          <w:rFonts w:hint="eastAsia" w:ascii="仿宋" w:hAnsi="仿宋" w:eastAsia="仿宋" w:cs="仿宋"/>
          <w:sz w:val="24"/>
          <w:highlight w:val="none"/>
        </w:rPr>
      </w:pPr>
      <w:r>
        <w:rPr>
          <w:rFonts w:hint="eastAsia" w:ascii="仿宋" w:hAnsi="仿宋" w:eastAsia="仿宋" w:cs="仿宋"/>
          <w:sz w:val="24"/>
          <w:highlight w:val="none"/>
        </w:rPr>
        <w:t>3、中文大写金额用汉字，如壹、贰、叁、肆、伍、陆、柒、捌、玖、拾、佰、仟、万、亿、元、角、分、零、整（正）等。如：小写：1234567.89 元，大写：壹佰贰拾叁万肆仟伍佰陆拾柒元捌角玖分。</w:t>
      </w:r>
    </w:p>
    <w:p w14:paraId="767C134F">
      <w:pPr>
        <w:pStyle w:val="48"/>
        <w:adjustRightInd w:val="0"/>
        <w:snapToGrid w:val="0"/>
        <w:spacing w:line="360" w:lineRule="auto"/>
        <w:ind w:left="360" w:firstLine="723" w:firstLineChars="300"/>
        <w:rPr>
          <w:rFonts w:hint="eastAsia" w:ascii="仿宋" w:hAnsi="仿宋" w:eastAsia="仿宋" w:cs="仿宋"/>
          <w:b/>
          <w:bCs/>
          <w:sz w:val="24"/>
          <w:highlight w:val="none"/>
        </w:rPr>
      </w:pPr>
    </w:p>
    <w:p w14:paraId="348F5625">
      <w:pPr>
        <w:pStyle w:val="48"/>
        <w:adjustRightInd w:val="0"/>
        <w:snapToGrid w:val="0"/>
        <w:spacing w:line="360" w:lineRule="auto"/>
        <w:ind w:left="360" w:firstLine="723" w:firstLineChars="300"/>
        <w:rPr>
          <w:rFonts w:hint="eastAsia" w:ascii="仿宋" w:hAnsi="仿宋" w:eastAsia="仿宋" w:cs="仿宋"/>
          <w:b/>
          <w:bCs/>
          <w:sz w:val="24"/>
          <w:highlight w:val="none"/>
        </w:rPr>
      </w:pPr>
    </w:p>
    <w:p w14:paraId="11CE8024">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5E803FE5">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52008674">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368C3DAE">
      <w:pPr>
        <w:pStyle w:val="38"/>
        <w:adjustRightInd w:val="0"/>
        <w:snapToGrid w:val="0"/>
        <w:spacing w:line="360" w:lineRule="auto"/>
        <w:ind w:firstLine="482" w:firstLineChars="200"/>
        <w:rPr>
          <w:rFonts w:hint="eastAsia" w:ascii="仿宋" w:hAnsi="仿宋" w:eastAsia="仿宋" w:cs="仿宋"/>
          <w:b/>
          <w:kern w:val="0"/>
          <w:sz w:val="24"/>
          <w:highlight w:val="none"/>
        </w:rPr>
      </w:pPr>
    </w:p>
    <w:p w14:paraId="506874D7">
      <w:pPr>
        <w:pStyle w:val="49"/>
        <w:pageBreakBefore/>
        <w:adjustRightInd w:val="0"/>
        <w:snapToGrid w:val="0"/>
        <w:spacing w:line="360" w:lineRule="auto"/>
        <w:ind w:right="-91"/>
        <w:jc w:val="center"/>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五、投标报价明细表</w:t>
      </w:r>
      <w:bookmarkEnd w:id="318"/>
      <w:bookmarkEnd w:id="319"/>
      <w:bookmarkEnd w:id="320"/>
      <w:bookmarkEnd w:id="321"/>
      <w:bookmarkEnd w:id="322"/>
      <w:bookmarkEnd w:id="323"/>
      <w:bookmarkEnd w:id="324"/>
      <w:bookmarkEnd w:id="325"/>
    </w:p>
    <w:tbl>
      <w:tblPr>
        <w:tblStyle w:val="20"/>
        <w:tblW w:w="50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096"/>
        <w:gridCol w:w="1532"/>
        <w:gridCol w:w="1203"/>
        <w:gridCol w:w="765"/>
        <w:gridCol w:w="833"/>
        <w:gridCol w:w="1010"/>
        <w:gridCol w:w="1199"/>
        <w:gridCol w:w="887"/>
      </w:tblGrid>
      <w:tr w14:paraId="167D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vAlign w:val="center"/>
          </w:tcPr>
          <w:p w14:paraId="4687426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596" w:type="pct"/>
            <w:noWrap/>
            <w:vAlign w:val="center"/>
          </w:tcPr>
          <w:p w14:paraId="7399C98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货物</w:t>
            </w:r>
            <w:r>
              <w:rPr>
                <w:rFonts w:hint="eastAsia" w:ascii="仿宋" w:hAnsi="仿宋" w:eastAsia="仿宋" w:cs="仿宋"/>
                <w:color w:val="auto"/>
                <w:sz w:val="21"/>
                <w:szCs w:val="21"/>
                <w:highlight w:val="none"/>
              </w:rPr>
              <w:t>名称</w:t>
            </w:r>
          </w:p>
        </w:tc>
        <w:tc>
          <w:tcPr>
            <w:tcW w:w="834" w:type="pct"/>
            <w:noWrap/>
            <w:vAlign w:val="center"/>
          </w:tcPr>
          <w:p w14:paraId="43EE6FA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规格</w:t>
            </w:r>
            <w:r>
              <w:rPr>
                <w:rFonts w:hint="eastAsia" w:ascii="仿宋" w:hAnsi="仿宋" w:eastAsia="仿宋" w:cs="仿宋"/>
                <w:color w:val="auto"/>
                <w:sz w:val="21"/>
                <w:szCs w:val="21"/>
                <w:highlight w:val="none"/>
                <w:lang w:eastAsia="zh-CN"/>
              </w:rPr>
              <w:t>型号</w:t>
            </w:r>
          </w:p>
        </w:tc>
        <w:tc>
          <w:tcPr>
            <w:tcW w:w="655" w:type="pct"/>
            <w:noWrap/>
            <w:vAlign w:val="center"/>
          </w:tcPr>
          <w:p w14:paraId="7C75124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制造商</w:t>
            </w:r>
          </w:p>
        </w:tc>
        <w:tc>
          <w:tcPr>
            <w:tcW w:w="416" w:type="pct"/>
            <w:noWrap/>
            <w:vAlign w:val="center"/>
          </w:tcPr>
          <w:p w14:paraId="4F302469">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w:t>
            </w:r>
          </w:p>
        </w:tc>
        <w:tc>
          <w:tcPr>
            <w:tcW w:w="453" w:type="pct"/>
            <w:noWrap/>
            <w:vAlign w:val="center"/>
          </w:tcPr>
          <w:p w14:paraId="45D1AB8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数量</w:t>
            </w:r>
          </w:p>
        </w:tc>
        <w:tc>
          <w:tcPr>
            <w:tcW w:w="550" w:type="pct"/>
            <w:noWrap/>
            <w:vAlign w:val="center"/>
          </w:tcPr>
          <w:p w14:paraId="471CAF8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单价</w:t>
            </w:r>
          </w:p>
          <w:p w14:paraId="48E425F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rPr>
              <w:t>元</w:t>
            </w:r>
            <w:r>
              <w:rPr>
                <w:rFonts w:hint="eastAsia" w:ascii="仿宋" w:hAnsi="仿宋" w:eastAsia="仿宋" w:cs="仿宋"/>
                <w:color w:val="auto"/>
                <w:sz w:val="21"/>
                <w:szCs w:val="21"/>
                <w:highlight w:val="none"/>
              </w:rPr>
              <w:t>）</w:t>
            </w:r>
          </w:p>
        </w:tc>
        <w:tc>
          <w:tcPr>
            <w:tcW w:w="652" w:type="pct"/>
            <w:noWrap/>
            <w:vAlign w:val="center"/>
          </w:tcPr>
          <w:p w14:paraId="3871A89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合</w:t>
            </w:r>
            <w:r>
              <w:rPr>
                <w:rFonts w:hint="eastAsia" w:ascii="仿宋" w:hAnsi="仿宋" w:eastAsia="仿宋" w:cs="仿宋"/>
                <w:color w:val="auto"/>
                <w:sz w:val="21"/>
                <w:szCs w:val="21"/>
                <w:highlight w:val="none"/>
              </w:rPr>
              <w:t>价</w:t>
            </w:r>
          </w:p>
          <w:p w14:paraId="1362940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rPr>
              <w:t>元</w:t>
            </w:r>
            <w:r>
              <w:rPr>
                <w:rFonts w:hint="eastAsia" w:ascii="仿宋" w:hAnsi="仿宋" w:eastAsia="仿宋" w:cs="仿宋"/>
                <w:color w:val="auto"/>
                <w:sz w:val="21"/>
                <w:szCs w:val="21"/>
                <w:highlight w:val="none"/>
              </w:rPr>
              <w:t>）</w:t>
            </w:r>
          </w:p>
        </w:tc>
        <w:tc>
          <w:tcPr>
            <w:tcW w:w="483" w:type="pct"/>
            <w:noWrap/>
            <w:vAlign w:val="center"/>
          </w:tcPr>
          <w:p w14:paraId="2732D73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备注</w:t>
            </w:r>
          </w:p>
        </w:tc>
      </w:tr>
      <w:tr w14:paraId="3E9DA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3EDC4CAA">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96" w:type="pct"/>
            <w:noWrap/>
          </w:tcPr>
          <w:p w14:paraId="780B3945">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834" w:type="pct"/>
            <w:noWrap/>
          </w:tcPr>
          <w:p w14:paraId="0D119FB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5" w:type="pct"/>
            <w:noWrap/>
          </w:tcPr>
          <w:p w14:paraId="6301E07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16" w:type="pct"/>
            <w:noWrap/>
          </w:tcPr>
          <w:p w14:paraId="443F65C5">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53" w:type="pct"/>
            <w:noWrap/>
          </w:tcPr>
          <w:p w14:paraId="3398DC9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50" w:type="pct"/>
            <w:noWrap/>
          </w:tcPr>
          <w:p w14:paraId="2A10054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2" w:type="pct"/>
            <w:noWrap/>
          </w:tcPr>
          <w:p w14:paraId="0B6E6EF3">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83" w:type="pct"/>
            <w:noWrap/>
          </w:tcPr>
          <w:p w14:paraId="3BC630D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r>
      <w:tr w14:paraId="0C8EE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7E650C3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96" w:type="pct"/>
            <w:noWrap/>
          </w:tcPr>
          <w:p w14:paraId="03171233">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834" w:type="pct"/>
            <w:noWrap/>
          </w:tcPr>
          <w:p w14:paraId="521049D8">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5" w:type="pct"/>
            <w:noWrap/>
          </w:tcPr>
          <w:p w14:paraId="024C265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16" w:type="pct"/>
            <w:noWrap/>
          </w:tcPr>
          <w:p w14:paraId="227CD7C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53" w:type="pct"/>
            <w:noWrap/>
          </w:tcPr>
          <w:p w14:paraId="2BF4D81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50" w:type="pct"/>
            <w:noWrap/>
          </w:tcPr>
          <w:p w14:paraId="07C7EFB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2" w:type="pct"/>
            <w:noWrap/>
          </w:tcPr>
          <w:p w14:paraId="6020B3B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83" w:type="pct"/>
            <w:noWrap/>
          </w:tcPr>
          <w:p w14:paraId="37719C4A">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r>
      <w:tr w14:paraId="450F4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520EA6C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96" w:type="pct"/>
            <w:noWrap/>
          </w:tcPr>
          <w:p w14:paraId="67978C5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834" w:type="pct"/>
            <w:noWrap/>
          </w:tcPr>
          <w:p w14:paraId="747ADC30">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5" w:type="pct"/>
            <w:noWrap/>
          </w:tcPr>
          <w:p w14:paraId="2BD671A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16" w:type="pct"/>
            <w:noWrap/>
          </w:tcPr>
          <w:p w14:paraId="676F559F">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53" w:type="pct"/>
            <w:noWrap/>
          </w:tcPr>
          <w:p w14:paraId="151477B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50" w:type="pct"/>
            <w:noWrap/>
          </w:tcPr>
          <w:p w14:paraId="5B979DA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2" w:type="pct"/>
            <w:noWrap/>
          </w:tcPr>
          <w:p w14:paraId="2AB1DC6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83" w:type="pct"/>
            <w:noWrap/>
          </w:tcPr>
          <w:p w14:paraId="2DA1757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r>
      <w:tr w14:paraId="19F4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5160551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96" w:type="pct"/>
            <w:noWrap/>
          </w:tcPr>
          <w:p w14:paraId="33503FE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834" w:type="pct"/>
            <w:noWrap/>
          </w:tcPr>
          <w:p w14:paraId="5F5DBFD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5" w:type="pct"/>
            <w:noWrap/>
          </w:tcPr>
          <w:p w14:paraId="3E4DF143">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16" w:type="pct"/>
            <w:noWrap/>
          </w:tcPr>
          <w:p w14:paraId="46391E28">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53" w:type="pct"/>
            <w:noWrap/>
          </w:tcPr>
          <w:p w14:paraId="73C0057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50" w:type="pct"/>
            <w:noWrap/>
          </w:tcPr>
          <w:p w14:paraId="141D0FB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2" w:type="pct"/>
            <w:noWrap/>
          </w:tcPr>
          <w:p w14:paraId="3F3DFD4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83" w:type="pct"/>
            <w:noWrap/>
          </w:tcPr>
          <w:p w14:paraId="32F85D0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r>
      <w:tr w14:paraId="56DC1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1630D10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96" w:type="pct"/>
            <w:noWrap/>
          </w:tcPr>
          <w:p w14:paraId="0BC93AB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834" w:type="pct"/>
            <w:noWrap/>
          </w:tcPr>
          <w:p w14:paraId="73F7291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5" w:type="pct"/>
            <w:noWrap/>
          </w:tcPr>
          <w:p w14:paraId="1A6DB76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16" w:type="pct"/>
            <w:noWrap/>
          </w:tcPr>
          <w:p w14:paraId="668F584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53" w:type="pct"/>
            <w:noWrap/>
          </w:tcPr>
          <w:p w14:paraId="611C7F5F">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50" w:type="pct"/>
            <w:noWrap/>
          </w:tcPr>
          <w:p w14:paraId="6C452F8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2" w:type="pct"/>
            <w:noWrap/>
          </w:tcPr>
          <w:p w14:paraId="09B4377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83" w:type="pct"/>
            <w:noWrap/>
          </w:tcPr>
          <w:p w14:paraId="14B9C153">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r>
      <w:tr w14:paraId="6066B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69BA4CD5">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96" w:type="pct"/>
            <w:noWrap/>
          </w:tcPr>
          <w:p w14:paraId="3A6DE6D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834" w:type="pct"/>
            <w:noWrap/>
          </w:tcPr>
          <w:p w14:paraId="42766AC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5" w:type="pct"/>
            <w:noWrap/>
          </w:tcPr>
          <w:p w14:paraId="65CBED0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16" w:type="pct"/>
            <w:noWrap/>
          </w:tcPr>
          <w:p w14:paraId="6FCC209A">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53" w:type="pct"/>
            <w:noWrap/>
          </w:tcPr>
          <w:p w14:paraId="6CBCC9B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50" w:type="pct"/>
            <w:noWrap/>
          </w:tcPr>
          <w:p w14:paraId="525805F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2" w:type="pct"/>
            <w:noWrap/>
          </w:tcPr>
          <w:p w14:paraId="7FFD5365">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83" w:type="pct"/>
            <w:noWrap/>
          </w:tcPr>
          <w:p w14:paraId="08A8C6F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r>
      <w:tr w14:paraId="3AE0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45C213E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96" w:type="pct"/>
            <w:noWrap/>
          </w:tcPr>
          <w:p w14:paraId="58121CB4">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834" w:type="pct"/>
            <w:noWrap/>
          </w:tcPr>
          <w:p w14:paraId="16DB0BC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5" w:type="pct"/>
            <w:noWrap/>
          </w:tcPr>
          <w:p w14:paraId="43CB032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16" w:type="pct"/>
            <w:noWrap/>
          </w:tcPr>
          <w:p w14:paraId="4A167F0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53" w:type="pct"/>
            <w:noWrap/>
          </w:tcPr>
          <w:p w14:paraId="79A6F13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550" w:type="pct"/>
            <w:noWrap/>
          </w:tcPr>
          <w:p w14:paraId="56C8665F">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652" w:type="pct"/>
            <w:noWrap/>
          </w:tcPr>
          <w:p w14:paraId="39832CA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483" w:type="pct"/>
            <w:noWrap/>
          </w:tcPr>
          <w:p w14:paraId="5FAA1B28">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r>
      <w:tr w14:paraId="2904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54" w:type="pct"/>
            <w:gridSpan w:val="2"/>
            <w:noWrap/>
          </w:tcPr>
          <w:p w14:paraId="3DB2A0B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rPr>
              <w:t>总</w:t>
            </w:r>
            <w:r>
              <w:rPr>
                <w:rFonts w:hint="eastAsia" w:ascii="仿宋" w:hAnsi="仿宋" w:eastAsia="仿宋" w:cs="仿宋"/>
                <w:color w:val="auto"/>
                <w:sz w:val="21"/>
                <w:szCs w:val="21"/>
                <w:highlight w:val="none"/>
              </w:rPr>
              <w:t>报价</w:t>
            </w:r>
          </w:p>
        </w:tc>
        <w:tc>
          <w:tcPr>
            <w:tcW w:w="3562" w:type="pct"/>
            <w:gridSpan w:val="6"/>
            <w:tcBorders>
              <w:bottom w:val="single" w:color="auto" w:sz="4" w:space="0"/>
            </w:tcBorders>
            <w:noWrap/>
          </w:tcPr>
          <w:p w14:paraId="6873C57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金额</w:t>
            </w:r>
            <w:r>
              <w:rPr>
                <w:rFonts w:hint="eastAsia" w:ascii="仿宋" w:hAnsi="仿宋" w:eastAsia="仿宋" w:cs="仿宋"/>
                <w:color w:val="auto"/>
                <w:sz w:val="21"/>
                <w:szCs w:val="21"/>
                <w:highlight w:val="none"/>
                <w:lang w:eastAsia="zh-CN"/>
              </w:rPr>
              <w:t>：小写：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元</w:t>
            </w:r>
          </w:p>
          <w:p w14:paraId="198DF517">
            <w:pPr>
              <w:keepNext w:val="0"/>
              <w:keepLines w:val="0"/>
              <w:pageBreakBefore w:val="0"/>
              <w:widowControl w:val="0"/>
              <w:kinsoku/>
              <w:wordWrap/>
              <w:overflowPunct/>
              <w:topLinePunct w:val="0"/>
              <w:autoSpaceDE w:val="0"/>
              <w:autoSpaceDN w:val="0"/>
              <w:bidi w:val="0"/>
              <w:adjustRightInd w:val="0"/>
              <w:snapToGrid w:val="0"/>
              <w:spacing w:line="240" w:lineRule="auto"/>
              <w:ind w:firstLine="630" w:firstLineChars="3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大写</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元</w:t>
            </w:r>
          </w:p>
        </w:tc>
        <w:tc>
          <w:tcPr>
            <w:tcW w:w="483" w:type="pct"/>
            <w:tcBorders>
              <w:bottom w:val="single" w:color="auto" w:sz="4" w:space="0"/>
            </w:tcBorders>
            <w:noWrap/>
          </w:tcPr>
          <w:p w14:paraId="652C3573">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1"/>
                <w:szCs w:val="21"/>
                <w:highlight w:val="none"/>
              </w:rPr>
            </w:pPr>
          </w:p>
        </w:tc>
      </w:tr>
    </w:tbl>
    <w:p w14:paraId="3488ECE5">
      <w:pPr>
        <w:widowControl/>
        <w:snapToGrid w:val="0"/>
        <w:spacing w:line="360" w:lineRule="auto"/>
        <w:rPr>
          <w:rFonts w:hint="eastAsia" w:ascii="仿宋" w:hAnsi="仿宋" w:eastAsia="仿宋" w:cs="仿宋"/>
          <w:b/>
          <w:bCs/>
          <w:highlight w:val="none"/>
        </w:rPr>
      </w:pPr>
      <w:r>
        <w:rPr>
          <w:rFonts w:hint="eastAsia" w:ascii="仿宋" w:hAnsi="仿宋" w:eastAsia="仿宋" w:cs="仿宋"/>
          <w:b/>
          <w:bCs/>
          <w:highlight w:val="none"/>
        </w:rPr>
        <w:t>注：</w:t>
      </w:r>
    </w:p>
    <w:p w14:paraId="1ECB27F2">
      <w:pPr>
        <w:widowControl/>
        <w:snapToGrid w:val="0"/>
        <w:spacing w:line="360" w:lineRule="auto"/>
        <w:rPr>
          <w:rFonts w:hint="eastAsia" w:ascii="仿宋" w:hAnsi="仿宋" w:eastAsia="仿宋" w:cs="仿宋"/>
          <w:highlight w:val="none"/>
        </w:rPr>
      </w:pPr>
      <w:r>
        <w:rPr>
          <w:rFonts w:hint="eastAsia" w:ascii="仿宋" w:hAnsi="仿宋" w:eastAsia="仿宋" w:cs="仿宋"/>
          <w:b/>
          <w:bCs/>
          <w:highlight w:val="none"/>
          <w:lang w:val="en-US" w:eastAsia="zh-CN"/>
        </w:rPr>
        <w:t>1</w:t>
      </w:r>
      <w:r>
        <w:rPr>
          <w:rFonts w:hint="eastAsia" w:ascii="仿宋" w:hAnsi="仿宋" w:eastAsia="仿宋" w:cs="仿宋"/>
          <w:b/>
          <w:bCs/>
          <w:highlight w:val="none"/>
        </w:rPr>
        <w:t xml:space="preserve">.此表为《开标一览表》的报价明细表，总计金额须与开标一览表中金额一致。 </w:t>
      </w:r>
    </w:p>
    <w:p w14:paraId="71F7451A">
      <w:pPr>
        <w:pStyle w:val="38"/>
        <w:adjustRightInd w:val="0"/>
        <w:snapToGrid w:val="0"/>
        <w:spacing w:line="36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2.以上报价包含但不限于书籍购置费用、包装费、运输费、装卸费、税费、售后服务费等一切相关费用，采购单位不再额外支付任何其他费用。</w:t>
      </w:r>
    </w:p>
    <w:p w14:paraId="530638C5">
      <w:pPr>
        <w:pStyle w:val="38"/>
        <w:adjustRightInd w:val="0"/>
        <w:snapToGrid w:val="0"/>
        <w:spacing w:line="360" w:lineRule="auto"/>
        <w:ind w:firstLine="482" w:firstLineChars="200"/>
        <w:rPr>
          <w:rFonts w:hint="eastAsia" w:ascii="仿宋" w:hAnsi="仿宋" w:eastAsia="仿宋" w:cs="仿宋"/>
          <w:b/>
          <w:bCs/>
          <w:sz w:val="24"/>
          <w:szCs w:val="24"/>
          <w:highlight w:val="none"/>
        </w:rPr>
      </w:pPr>
    </w:p>
    <w:p w14:paraId="2596656C">
      <w:pPr>
        <w:widowControl w:val="0"/>
        <w:adjustRightInd w:val="0"/>
        <w:snapToGrid w:val="0"/>
        <w:spacing w:line="360" w:lineRule="auto"/>
        <w:ind w:firstLine="482" w:firstLineChars="200"/>
        <w:jc w:val="both"/>
        <w:rPr>
          <w:rFonts w:hint="eastAsia" w:ascii="仿宋" w:hAnsi="仿宋" w:eastAsia="仿宋" w:cs="仿宋"/>
          <w:b/>
          <w:bCs/>
          <w:kern w:val="2"/>
          <w:sz w:val="24"/>
          <w:szCs w:val="24"/>
          <w:highlight w:val="none"/>
          <w:lang w:val="en-US" w:eastAsia="zh-CN" w:bidi="ar-SA"/>
        </w:rPr>
      </w:pPr>
      <w:bookmarkStart w:id="326" w:name="_Toc5961"/>
      <w:bookmarkStart w:id="327" w:name="_Toc11136"/>
      <w:bookmarkStart w:id="328" w:name="_Toc20544"/>
      <w:bookmarkStart w:id="329" w:name="_Toc4465"/>
      <w:bookmarkStart w:id="330" w:name="_Toc30645"/>
      <w:bookmarkStart w:id="331" w:name="_Toc30851"/>
      <w:bookmarkStart w:id="332" w:name="_Toc23223"/>
      <w:bookmarkStart w:id="333" w:name="_Toc3403"/>
    </w:p>
    <w:p w14:paraId="05BC020D">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47DC3DB9">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55719CE4">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3AC234BA">
      <w:pPr>
        <w:pStyle w:val="49"/>
        <w:pageBreakBefore/>
        <w:adjustRightInd w:val="0"/>
        <w:snapToGrid w:val="0"/>
        <w:spacing w:line="360" w:lineRule="auto"/>
        <w:ind w:right="-91"/>
        <w:jc w:val="center"/>
        <w:rPr>
          <w:rFonts w:hint="eastAsia" w:ascii="仿宋" w:hAnsi="仿宋" w:eastAsia="仿宋" w:cs="仿宋"/>
          <w:sz w:val="24"/>
          <w:highlight w:val="none"/>
        </w:rPr>
      </w:pPr>
      <w:r>
        <w:rPr>
          <w:rFonts w:hint="eastAsia" w:ascii="仿宋" w:hAnsi="仿宋" w:eastAsia="仿宋" w:cs="仿宋"/>
          <w:b/>
          <w:kern w:val="0"/>
          <w:sz w:val="28"/>
          <w:szCs w:val="28"/>
          <w:highlight w:val="none"/>
        </w:rPr>
        <w:t>六、近年（20</w:t>
      </w:r>
      <w:r>
        <w:rPr>
          <w:rFonts w:hint="eastAsia" w:ascii="仿宋" w:hAnsi="仿宋" w:eastAsia="仿宋" w:cs="仿宋"/>
          <w:b/>
          <w:kern w:val="0"/>
          <w:sz w:val="28"/>
          <w:szCs w:val="28"/>
          <w:highlight w:val="none"/>
          <w:lang w:val="en-US" w:eastAsia="zh-CN"/>
        </w:rPr>
        <w:t>23</w:t>
      </w:r>
      <w:r>
        <w:rPr>
          <w:rFonts w:hint="eastAsia" w:ascii="仿宋" w:hAnsi="仿宋" w:eastAsia="仿宋" w:cs="仿宋"/>
          <w:b/>
          <w:kern w:val="0"/>
          <w:sz w:val="28"/>
          <w:szCs w:val="28"/>
          <w:highlight w:val="none"/>
        </w:rPr>
        <w:t>年1月1日至今）类似项目业绩</w:t>
      </w:r>
      <w:bookmarkEnd w:id="326"/>
      <w:bookmarkEnd w:id="327"/>
      <w:bookmarkEnd w:id="328"/>
      <w:bookmarkEnd w:id="329"/>
      <w:bookmarkEnd w:id="330"/>
      <w:bookmarkEnd w:id="331"/>
      <w:bookmarkEnd w:id="332"/>
      <w:bookmarkEnd w:id="333"/>
    </w:p>
    <w:p w14:paraId="4D08C9B3">
      <w:pPr>
        <w:pStyle w:val="46"/>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3617AD5">
      <w:pPr>
        <w:pStyle w:val="46"/>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u w:val="single"/>
        </w:rPr>
        <w:t xml:space="preserve">                              </w:t>
      </w:r>
    </w:p>
    <w:tbl>
      <w:tblPr>
        <w:tblStyle w:val="20"/>
        <w:tblW w:w="9424" w:type="dxa"/>
        <w:jc w:val="center"/>
        <w:tblLayout w:type="fixed"/>
        <w:tblCellMar>
          <w:top w:w="0" w:type="dxa"/>
          <w:left w:w="108" w:type="dxa"/>
          <w:bottom w:w="0" w:type="dxa"/>
          <w:right w:w="108" w:type="dxa"/>
        </w:tblCellMar>
      </w:tblPr>
      <w:tblGrid>
        <w:gridCol w:w="778"/>
        <w:gridCol w:w="1681"/>
        <w:gridCol w:w="1425"/>
        <w:gridCol w:w="2566"/>
        <w:gridCol w:w="2093"/>
        <w:gridCol w:w="881"/>
      </w:tblGrid>
      <w:tr w14:paraId="5E97FB1D">
        <w:tblPrEx>
          <w:tblCellMar>
            <w:top w:w="0" w:type="dxa"/>
            <w:left w:w="108" w:type="dxa"/>
            <w:bottom w:w="0" w:type="dxa"/>
            <w:right w:w="108" w:type="dxa"/>
          </w:tblCellMar>
        </w:tblPrEx>
        <w:trPr>
          <w:trHeight w:val="598"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60EE31CC">
            <w:pPr>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8D27238">
            <w:pPr>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项目名称</w:t>
            </w:r>
          </w:p>
        </w:tc>
        <w:tc>
          <w:tcPr>
            <w:tcW w:w="1425" w:type="dxa"/>
            <w:tcBorders>
              <w:top w:val="single" w:color="auto" w:sz="6" w:space="0"/>
              <w:left w:val="single" w:color="auto" w:sz="6" w:space="0"/>
              <w:bottom w:val="single" w:color="auto" w:sz="6" w:space="0"/>
              <w:right w:val="single" w:color="auto" w:sz="6" w:space="0"/>
            </w:tcBorders>
            <w:noWrap w:val="0"/>
            <w:vAlign w:val="center"/>
          </w:tcPr>
          <w:p w14:paraId="26A100D7">
            <w:pPr>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项目内容</w:t>
            </w:r>
          </w:p>
        </w:tc>
        <w:tc>
          <w:tcPr>
            <w:tcW w:w="2566" w:type="dxa"/>
            <w:tcBorders>
              <w:top w:val="single" w:color="auto" w:sz="6" w:space="0"/>
              <w:left w:val="single" w:color="auto" w:sz="6" w:space="0"/>
              <w:bottom w:val="single" w:color="auto" w:sz="6" w:space="0"/>
              <w:right w:val="single" w:color="auto" w:sz="6" w:space="0"/>
            </w:tcBorders>
            <w:noWrap w:val="0"/>
            <w:vAlign w:val="center"/>
          </w:tcPr>
          <w:p w14:paraId="7689C2C0">
            <w:pPr>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合同/中标金额（万元）</w:t>
            </w:r>
          </w:p>
        </w:tc>
        <w:tc>
          <w:tcPr>
            <w:tcW w:w="2093" w:type="dxa"/>
            <w:tcBorders>
              <w:top w:val="single" w:color="auto" w:sz="6" w:space="0"/>
              <w:left w:val="single" w:color="auto" w:sz="6" w:space="0"/>
              <w:bottom w:val="single" w:color="auto" w:sz="6" w:space="0"/>
              <w:right w:val="single" w:color="auto" w:sz="6" w:space="0"/>
            </w:tcBorders>
            <w:noWrap w:val="0"/>
            <w:vAlign w:val="center"/>
          </w:tcPr>
          <w:p w14:paraId="5CF04C93">
            <w:pPr>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签约及完成时间</w:t>
            </w:r>
          </w:p>
        </w:tc>
        <w:tc>
          <w:tcPr>
            <w:tcW w:w="881" w:type="dxa"/>
            <w:tcBorders>
              <w:top w:val="single" w:color="auto" w:sz="6" w:space="0"/>
              <w:left w:val="single" w:color="auto" w:sz="6" w:space="0"/>
              <w:bottom w:val="single" w:color="auto" w:sz="6" w:space="0"/>
              <w:right w:val="single" w:color="auto" w:sz="6" w:space="0"/>
            </w:tcBorders>
            <w:noWrap w:val="0"/>
            <w:vAlign w:val="center"/>
          </w:tcPr>
          <w:p w14:paraId="68D7926A">
            <w:pPr>
              <w:snapToGrid w:val="0"/>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备注</w:t>
            </w:r>
          </w:p>
        </w:tc>
      </w:tr>
      <w:tr w14:paraId="54BAB796">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65F0D783">
            <w:pPr>
              <w:snapToGrid w:val="0"/>
              <w:spacing w:line="360" w:lineRule="auto"/>
              <w:rPr>
                <w:rFonts w:hint="eastAsia" w:ascii="仿宋" w:hAnsi="仿宋" w:eastAsia="仿宋" w:cs="仿宋"/>
                <w:sz w:val="21"/>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2FDC246">
            <w:pPr>
              <w:snapToGrid w:val="0"/>
              <w:spacing w:line="360" w:lineRule="auto"/>
              <w:rPr>
                <w:rFonts w:hint="eastAsia" w:ascii="仿宋" w:hAnsi="仿宋" w:eastAsia="仿宋" w:cs="仿宋"/>
                <w:sz w:val="21"/>
                <w:szCs w:val="21"/>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62107626">
            <w:pPr>
              <w:snapToGrid w:val="0"/>
              <w:spacing w:line="360" w:lineRule="auto"/>
              <w:rPr>
                <w:rFonts w:hint="eastAsia" w:ascii="仿宋" w:hAnsi="仿宋" w:eastAsia="仿宋" w:cs="仿宋"/>
                <w:sz w:val="21"/>
                <w:szCs w:val="21"/>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16EB0F02">
            <w:pPr>
              <w:snapToGrid w:val="0"/>
              <w:spacing w:line="360" w:lineRule="auto"/>
              <w:rPr>
                <w:rFonts w:hint="eastAsia" w:ascii="仿宋" w:hAnsi="仿宋" w:eastAsia="仿宋" w:cs="仿宋"/>
                <w:sz w:val="21"/>
                <w:szCs w:val="21"/>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2FB00C01">
            <w:pPr>
              <w:snapToGrid w:val="0"/>
              <w:spacing w:line="360" w:lineRule="auto"/>
              <w:rPr>
                <w:rFonts w:hint="eastAsia" w:ascii="仿宋" w:hAnsi="仿宋" w:eastAsia="仿宋" w:cs="仿宋"/>
                <w:sz w:val="21"/>
                <w:szCs w:val="21"/>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7161040B">
            <w:pPr>
              <w:snapToGrid w:val="0"/>
              <w:spacing w:line="360" w:lineRule="auto"/>
              <w:rPr>
                <w:rFonts w:hint="eastAsia" w:ascii="仿宋" w:hAnsi="仿宋" w:eastAsia="仿宋" w:cs="仿宋"/>
                <w:sz w:val="21"/>
                <w:szCs w:val="21"/>
                <w:highlight w:val="none"/>
              </w:rPr>
            </w:pPr>
          </w:p>
        </w:tc>
      </w:tr>
      <w:tr w14:paraId="5BE855DE">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525D5023">
            <w:pPr>
              <w:snapToGrid w:val="0"/>
              <w:spacing w:line="360" w:lineRule="auto"/>
              <w:rPr>
                <w:rFonts w:hint="eastAsia" w:ascii="仿宋" w:hAnsi="仿宋" w:eastAsia="仿宋" w:cs="仿宋"/>
                <w:sz w:val="21"/>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3CE2C52F">
            <w:pPr>
              <w:snapToGrid w:val="0"/>
              <w:spacing w:line="360" w:lineRule="auto"/>
              <w:rPr>
                <w:rFonts w:hint="eastAsia" w:ascii="仿宋" w:hAnsi="仿宋" w:eastAsia="仿宋" w:cs="仿宋"/>
                <w:sz w:val="21"/>
                <w:szCs w:val="21"/>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2B2D47A8">
            <w:pPr>
              <w:snapToGrid w:val="0"/>
              <w:spacing w:line="360" w:lineRule="auto"/>
              <w:rPr>
                <w:rFonts w:hint="eastAsia" w:ascii="仿宋" w:hAnsi="仿宋" w:eastAsia="仿宋" w:cs="仿宋"/>
                <w:sz w:val="21"/>
                <w:szCs w:val="21"/>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3530EF68">
            <w:pPr>
              <w:snapToGrid w:val="0"/>
              <w:spacing w:line="360" w:lineRule="auto"/>
              <w:rPr>
                <w:rFonts w:hint="eastAsia" w:ascii="仿宋" w:hAnsi="仿宋" w:eastAsia="仿宋" w:cs="仿宋"/>
                <w:sz w:val="21"/>
                <w:szCs w:val="21"/>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248862B0">
            <w:pPr>
              <w:snapToGrid w:val="0"/>
              <w:spacing w:line="360" w:lineRule="auto"/>
              <w:rPr>
                <w:rFonts w:hint="eastAsia" w:ascii="仿宋" w:hAnsi="仿宋" w:eastAsia="仿宋" w:cs="仿宋"/>
                <w:sz w:val="21"/>
                <w:szCs w:val="21"/>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1E8B5A50">
            <w:pPr>
              <w:snapToGrid w:val="0"/>
              <w:spacing w:line="360" w:lineRule="auto"/>
              <w:rPr>
                <w:rFonts w:hint="eastAsia" w:ascii="仿宋" w:hAnsi="仿宋" w:eastAsia="仿宋" w:cs="仿宋"/>
                <w:sz w:val="21"/>
                <w:szCs w:val="21"/>
                <w:highlight w:val="none"/>
              </w:rPr>
            </w:pPr>
          </w:p>
        </w:tc>
      </w:tr>
      <w:tr w14:paraId="6504DE5E">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0C31A036">
            <w:pPr>
              <w:snapToGrid w:val="0"/>
              <w:spacing w:line="360" w:lineRule="auto"/>
              <w:rPr>
                <w:rFonts w:hint="eastAsia" w:ascii="仿宋" w:hAnsi="仿宋" w:eastAsia="仿宋" w:cs="仿宋"/>
                <w:sz w:val="21"/>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A18043C">
            <w:pPr>
              <w:snapToGrid w:val="0"/>
              <w:spacing w:line="360" w:lineRule="auto"/>
              <w:rPr>
                <w:rFonts w:hint="eastAsia" w:ascii="仿宋" w:hAnsi="仿宋" w:eastAsia="仿宋" w:cs="仿宋"/>
                <w:sz w:val="21"/>
                <w:szCs w:val="21"/>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2F3AD871">
            <w:pPr>
              <w:snapToGrid w:val="0"/>
              <w:spacing w:line="360" w:lineRule="auto"/>
              <w:rPr>
                <w:rFonts w:hint="eastAsia" w:ascii="仿宋" w:hAnsi="仿宋" w:eastAsia="仿宋" w:cs="仿宋"/>
                <w:sz w:val="21"/>
                <w:szCs w:val="21"/>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7873C5BA">
            <w:pPr>
              <w:snapToGrid w:val="0"/>
              <w:spacing w:line="360" w:lineRule="auto"/>
              <w:rPr>
                <w:rFonts w:hint="eastAsia" w:ascii="仿宋" w:hAnsi="仿宋" w:eastAsia="仿宋" w:cs="仿宋"/>
                <w:sz w:val="21"/>
                <w:szCs w:val="21"/>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492CB9B2">
            <w:pPr>
              <w:snapToGrid w:val="0"/>
              <w:spacing w:line="360" w:lineRule="auto"/>
              <w:rPr>
                <w:rFonts w:hint="eastAsia" w:ascii="仿宋" w:hAnsi="仿宋" w:eastAsia="仿宋" w:cs="仿宋"/>
                <w:sz w:val="21"/>
                <w:szCs w:val="21"/>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6634BDEE">
            <w:pPr>
              <w:snapToGrid w:val="0"/>
              <w:spacing w:line="360" w:lineRule="auto"/>
              <w:rPr>
                <w:rFonts w:hint="eastAsia" w:ascii="仿宋" w:hAnsi="仿宋" w:eastAsia="仿宋" w:cs="仿宋"/>
                <w:sz w:val="21"/>
                <w:szCs w:val="21"/>
                <w:highlight w:val="none"/>
              </w:rPr>
            </w:pPr>
          </w:p>
        </w:tc>
      </w:tr>
      <w:tr w14:paraId="1BAE794E">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13314EC3">
            <w:pPr>
              <w:snapToGrid w:val="0"/>
              <w:spacing w:line="360" w:lineRule="auto"/>
              <w:rPr>
                <w:rFonts w:hint="eastAsia" w:ascii="仿宋" w:hAnsi="仿宋" w:eastAsia="仿宋" w:cs="仿宋"/>
                <w:sz w:val="21"/>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9921850">
            <w:pPr>
              <w:snapToGrid w:val="0"/>
              <w:spacing w:line="360" w:lineRule="auto"/>
              <w:rPr>
                <w:rFonts w:hint="eastAsia" w:ascii="仿宋" w:hAnsi="仿宋" w:eastAsia="仿宋" w:cs="仿宋"/>
                <w:sz w:val="21"/>
                <w:szCs w:val="21"/>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5773931E">
            <w:pPr>
              <w:snapToGrid w:val="0"/>
              <w:spacing w:line="360" w:lineRule="auto"/>
              <w:rPr>
                <w:rFonts w:hint="eastAsia" w:ascii="仿宋" w:hAnsi="仿宋" w:eastAsia="仿宋" w:cs="仿宋"/>
                <w:sz w:val="21"/>
                <w:szCs w:val="21"/>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13FABE6D">
            <w:pPr>
              <w:snapToGrid w:val="0"/>
              <w:spacing w:line="360" w:lineRule="auto"/>
              <w:rPr>
                <w:rFonts w:hint="eastAsia" w:ascii="仿宋" w:hAnsi="仿宋" w:eastAsia="仿宋" w:cs="仿宋"/>
                <w:sz w:val="21"/>
                <w:szCs w:val="21"/>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4578BC1D">
            <w:pPr>
              <w:snapToGrid w:val="0"/>
              <w:spacing w:line="360" w:lineRule="auto"/>
              <w:rPr>
                <w:rFonts w:hint="eastAsia" w:ascii="仿宋" w:hAnsi="仿宋" w:eastAsia="仿宋" w:cs="仿宋"/>
                <w:sz w:val="21"/>
                <w:szCs w:val="21"/>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04493512">
            <w:pPr>
              <w:snapToGrid w:val="0"/>
              <w:spacing w:line="360" w:lineRule="auto"/>
              <w:rPr>
                <w:rFonts w:hint="eastAsia" w:ascii="仿宋" w:hAnsi="仿宋" w:eastAsia="仿宋" w:cs="仿宋"/>
                <w:sz w:val="21"/>
                <w:szCs w:val="21"/>
                <w:highlight w:val="none"/>
              </w:rPr>
            </w:pPr>
          </w:p>
        </w:tc>
      </w:tr>
      <w:tr w14:paraId="6FED5EC8">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6AD3C5FB">
            <w:pPr>
              <w:snapToGrid w:val="0"/>
              <w:spacing w:line="360" w:lineRule="auto"/>
              <w:rPr>
                <w:rFonts w:hint="eastAsia" w:ascii="仿宋" w:hAnsi="仿宋" w:eastAsia="仿宋" w:cs="仿宋"/>
                <w:sz w:val="21"/>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C08585E">
            <w:pPr>
              <w:snapToGrid w:val="0"/>
              <w:spacing w:line="360" w:lineRule="auto"/>
              <w:rPr>
                <w:rFonts w:hint="eastAsia" w:ascii="仿宋" w:hAnsi="仿宋" w:eastAsia="仿宋" w:cs="仿宋"/>
                <w:sz w:val="21"/>
                <w:szCs w:val="21"/>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6B5C7659">
            <w:pPr>
              <w:snapToGrid w:val="0"/>
              <w:spacing w:line="360" w:lineRule="auto"/>
              <w:rPr>
                <w:rFonts w:hint="eastAsia" w:ascii="仿宋" w:hAnsi="仿宋" w:eastAsia="仿宋" w:cs="仿宋"/>
                <w:sz w:val="21"/>
                <w:szCs w:val="21"/>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33616A52">
            <w:pPr>
              <w:snapToGrid w:val="0"/>
              <w:spacing w:line="360" w:lineRule="auto"/>
              <w:rPr>
                <w:rFonts w:hint="eastAsia" w:ascii="仿宋" w:hAnsi="仿宋" w:eastAsia="仿宋" w:cs="仿宋"/>
                <w:sz w:val="21"/>
                <w:szCs w:val="21"/>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6D3E1195">
            <w:pPr>
              <w:snapToGrid w:val="0"/>
              <w:spacing w:line="360" w:lineRule="auto"/>
              <w:rPr>
                <w:rFonts w:hint="eastAsia" w:ascii="仿宋" w:hAnsi="仿宋" w:eastAsia="仿宋" w:cs="仿宋"/>
                <w:sz w:val="21"/>
                <w:szCs w:val="21"/>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6195AB26">
            <w:pPr>
              <w:snapToGrid w:val="0"/>
              <w:spacing w:line="360" w:lineRule="auto"/>
              <w:rPr>
                <w:rFonts w:hint="eastAsia" w:ascii="仿宋" w:hAnsi="仿宋" w:eastAsia="仿宋" w:cs="仿宋"/>
                <w:sz w:val="21"/>
                <w:szCs w:val="21"/>
                <w:highlight w:val="none"/>
              </w:rPr>
            </w:pPr>
          </w:p>
        </w:tc>
      </w:tr>
      <w:tr w14:paraId="33EAFFB6">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21942F3E">
            <w:pPr>
              <w:snapToGrid w:val="0"/>
              <w:spacing w:line="360" w:lineRule="auto"/>
              <w:rPr>
                <w:rFonts w:hint="eastAsia" w:ascii="仿宋" w:hAnsi="仿宋" w:eastAsia="仿宋" w:cs="仿宋"/>
                <w:sz w:val="21"/>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3F70CF32">
            <w:pPr>
              <w:snapToGrid w:val="0"/>
              <w:spacing w:line="360" w:lineRule="auto"/>
              <w:rPr>
                <w:rFonts w:hint="eastAsia" w:ascii="仿宋" w:hAnsi="仿宋" w:eastAsia="仿宋" w:cs="仿宋"/>
                <w:sz w:val="21"/>
                <w:szCs w:val="21"/>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5D0DE061">
            <w:pPr>
              <w:snapToGrid w:val="0"/>
              <w:spacing w:line="360" w:lineRule="auto"/>
              <w:rPr>
                <w:rFonts w:hint="eastAsia" w:ascii="仿宋" w:hAnsi="仿宋" w:eastAsia="仿宋" w:cs="仿宋"/>
                <w:sz w:val="21"/>
                <w:szCs w:val="21"/>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0F0ACC4C">
            <w:pPr>
              <w:snapToGrid w:val="0"/>
              <w:spacing w:line="360" w:lineRule="auto"/>
              <w:rPr>
                <w:rFonts w:hint="eastAsia" w:ascii="仿宋" w:hAnsi="仿宋" w:eastAsia="仿宋" w:cs="仿宋"/>
                <w:sz w:val="21"/>
                <w:szCs w:val="21"/>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32D751D4">
            <w:pPr>
              <w:snapToGrid w:val="0"/>
              <w:spacing w:line="360" w:lineRule="auto"/>
              <w:rPr>
                <w:rFonts w:hint="eastAsia" w:ascii="仿宋" w:hAnsi="仿宋" w:eastAsia="仿宋" w:cs="仿宋"/>
                <w:sz w:val="21"/>
                <w:szCs w:val="21"/>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33D3A950">
            <w:pPr>
              <w:snapToGrid w:val="0"/>
              <w:spacing w:line="360" w:lineRule="auto"/>
              <w:rPr>
                <w:rFonts w:hint="eastAsia" w:ascii="仿宋" w:hAnsi="仿宋" w:eastAsia="仿宋" w:cs="仿宋"/>
                <w:sz w:val="21"/>
                <w:szCs w:val="21"/>
                <w:highlight w:val="none"/>
              </w:rPr>
            </w:pPr>
          </w:p>
        </w:tc>
      </w:tr>
      <w:tr w14:paraId="5DC26EBA">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70F49561">
            <w:pPr>
              <w:snapToGrid w:val="0"/>
              <w:spacing w:line="360" w:lineRule="auto"/>
              <w:rPr>
                <w:rFonts w:hint="eastAsia" w:ascii="仿宋" w:hAnsi="仿宋" w:eastAsia="仿宋" w:cs="仿宋"/>
                <w:sz w:val="21"/>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0BFE241">
            <w:pPr>
              <w:snapToGrid w:val="0"/>
              <w:spacing w:line="360" w:lineRule="auto"/>
              <w:rPr>
                <w:rFonts w:hint="eastAsia" w:ascii="仿宋" w:hAnsi="仿宋" w:eastAsia="仿宋" w:cs="仿宋"/>
                <w:sz w:val="21"/>
                <w:szCs w:val="21"/>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4E8CB20F">
            <w:pPr>
              <w:snapToGrid w:val="0"/>
              <w:spacing w:line="360" w:lineRule="auto"/>
              <w:rPr>
                <w:rFonts w:hint="eastAsia" w:ascii="仿宋" w:hAnsi="仿宋" w:eastAsia="仿宋" w:cs="仿宋"/>
                <w:sz w:val="21"/>
                <w:szCs w:val="21"/>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5EB17C78">
            <w:pPr>
              <w:snapToGrid w:val="0"/>
              <w:spacing w:line="360" w:lineRule="auto"/>
              <w:rPr>
                <w:rFonts w:hint="eastAsia" w:ascii="仿宋" w:hAnsi="仿宋" w:eastAsia="仿宋" w:cs="仿宋"/>
                <w:sz w:val="21"/>
                <w:szCs w:val="21"/>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534D6E16">
            <w:pPr>
              <w:snapToGrid w:val="0"/>
              <w:spacing w:line="360" w:lineRule="auto"/>
              <w:rPr>
                <w:rFonts w:hint="eastAsia" w:ascii="仿宋" w:hAnsi="仿宋" w:eastAsia="仿宋" w:cs="仿宋"/>
                <w:sz w:val="21"/>
                <w:szCs w:val="21"/>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07103896">
            <w:pPr>
              <w:snapToGrid w:val="0"/>
              <w:spacing w:line="360" w:lineRule="auto"/>
              <w:rPr>
                <w:rFonts w:hint="eastAsia" w:ascii="仿宋" w:hAnsi="仿宋" w:eastAsia="仿宋" w:cs="仿宋"/>
                <w:sz w:val="21"/>
                <w:szCs w:val="21"/>
                <w:highlight w:val="none"/>
              </w:rPr>
            </w:pPr>
          </w:p>
        </w:tc>
      </w:tr>
      <w:tr w14:paraId="4F758AE5">
        <w:tblPrEx>
          <w:tblCellMar>
            <w:top w:w="0" w:type="dxa"/>
            <w:left w:w="108" w:type="dxa"/>
            <w:bottom w:w="0" w:type="dxa"/>
            <w:right w:w="108" w:type="dxa"/>
          </w:tblCellMar>
        </w:tblPrEx>
        <w:trPr>
          <w:trHeight w:val="673"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6DE1D680">
            <w:pPr>
              <w:snapToGrid w:val="0"/>
              <w:spacing w:line="360" w:lineRule="auto"/>
              <w:rPr>
                <w:rFonts w:hint="eastAsia" w:ascii="仿宋" w:hAnsi="仿宋" w:eastAsia="仿宋" w:cs="仿宋"/>
                <w:sz w:val="21"/>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ED3885B">
            <w:pPr>
              <w:snapToGrid w:val="0"/>
              <w:spacing w:line="360" w:lineRule="auto"/>
              <w:rPr>
                <w:rFonts w:hint="eastAsia" w:ascii="仿宋" w:hAnsi="仿宋" w:eastAsia="仿宋" w:cs="仿宋"/>
                <w:sz w:val="21"/>
                <w:szCs w:val="21"/>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4FCE30DB">
            <w:pPr>
              <w:snapToGrid w:val="0"/>
              <w:spacing w:line="360" w:lineRule="auto"/>
              <w:rPr>
                <w:rFonts w:hint="eastAsia" w:ascii="仿宋" w:hAnsi="仿宋" w:eastAsia="仿宋" w:cs="仿宋"/>
                <w:sz w:val="21"/>
                <w:szCs w:val="21"/>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73C24E52">
            <w:pPr>
              <w:snapToGrid w:val="0"/>
              <w:spacing w:line="360" w:lineRule="auto"/>
              <w:rPr>
                <w:rFonts w:hint="eastAsia" w:ascii="仿宋" w:hAnsi="仿宋" w:eastAsia="仿宋" w:cs="仿宋"/>
                <w:sz w:val="21"/>
                <w:szCs w:val="21"/>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5D3EE0BF">
            <w:pPr>
              <w:snapToGrid w:val="0"/>
              <w:spacing w:line="360" w:lineRule="auto"/>
              <w:rPr>
                <w:rFonts w:hint="eastAsia" w:ascii="仿宋" w:hAnsi="仿宋" w:eastAsia="仿宋" w:cs="仿宋"/>
                <w:sz w:val="21"/>
                <w:szCs w:val="21"/>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4B02097F">
            <w:pPr>
              <w:snapToGrid w:val="0"/>
              <w:spacing w:line="360" w:lineRule="auto"/>
              <w:rPr>
                <w:rFonts w:hint="eastAsia" w:ascii="仿宋" w:hAnsi="仿宋" w:eastAsia="仿宋" w:cs="仿宋"/>
                <w:sz w:val="21"/>
                <w:szCs w:val="21"/>
                <w:highlight w:val="none"/>
              </w:rPr>
            </w:pPr>
          </w:p>
        </w:tc>
      </w:tr>
    </w:tbl>
    <w:p w14:paraId="3B3A56E1">
      <w:pPr>
        <w:pStyle w:val="46"/>
        <w:adjustRightInd w:val="0"/>
        <w:snapToGrid w:val="0"/>
        <w:spacing w:line="360" w:lineRule="auto"/>
        <w:jc w:val="left"/>
        <w:rPr>
          <w:rFonts w:hint="eastAsia" w:ascii="仿宋" w:hAnsi="仿宋" w:eastAsia="仿宋" w:cs="仿宋"/>
          <w:sz w:val="24"/>
          <w:szCs w:val="24"/>
          <w:highlight w:val="none"/>
        </w:rPr>
      </w:pPr>
    </w:p>
    <w:p w14:paraId="47D479DC">
      <w:pPr>
        <w:pStyle w:val="46"/>
        <w:adjustRightInd w:val="0"/>
        <w:snapToGri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说明：1．项目内容请详细说明所承担的具体工作内容；</w:t>
      </w:r>
    </w:p>
    <w:p w14:paraId="530BF60A">
      <w:pPr>
        <w:pStyle w:val="46"/>
        <w:adjustRightInd w:val="0"/>
        <w:snapToGrid w:val="0"/>
        <w:spacing w:line="360" w:lineRule="auto"/>
        <w:ind w:left="960" w:leftChars="300" w:hanging="240" w:hangingChars="100"/>
        <w:rPr>
          <w:rFonts w:hint="eastAsia" w:ascii="仿宋" w:hAnsi="仿宋" w:eastAsia="仿宋" w:cs="仿宋"/>
          <w:sz w:val="24"/>
          <w:szCs w:val="24"/>
          <w:highlight w:val="none"/>
        </w:rPr>
      </w:pPr>
      <w:r>
        <w:rPr>
          <w:rFonts w:hint="eastAsia" w:ascii="仿宋" w:hAnsi="仿宋" w:eastAsia="仿宋" w:cs="仿宋"/>
          <w:sz w:val="24"/>
          <w:szCs w:val="24"/>
          <w:highlight w:val="none"/>
        </w:rPr>
        <w:t>2.本表后附</w:t>
      </w:r>
      <w:r>
        <w:rPr>
          <w:rFonts w:hint="eastAsia" w:ascii="仿宋" w:hAnsi="仿宋" w:eastAsia="仿宋" w:cs="仿宋"/>
          <w:sz w:val="24"/>
          <w:szCs w:val="24"/>
          <w:highlight w:val="none"/>
          <w:lang w:eastAsia="zh-CN"/>
        </w:rPr>
        <w:t>中标（成交）通知书或</w:t>
      </w:r>
      <w:r>
        <w:rPr>
          <w:rFonts w:hint="eastAsia" w:ascii="仿宋" w:hAnsi="仿宋" w:eastAsia="仿宋" w:cs="仿宋"/>
          <w:sz w:val="24"/>
          <w:szCs w:val="24"/>
          <w:highlight w:val="none"/>
        </w:rPr>
        <w:t>合同或协议关键页（至少包括首页、签章页，体现签订日期、服务内容），详细评审标准要求的资料复印件并加盖公章。</w:t>
      </w:r>
    </w:p>
    <w:p w14:paraId="519AACD9">
      <w:pPr>
        <w:pStyle w:val="46"/>
        <w:adjustRightInd w:val="0"/>
        <w:snapToGrid w:val="0"/>
        <w:spacing w:line="360" w:lineRule="auto"/>
        <w:ind w:left="960" w:leftChars="300" w:hanging="240" w:hangingChars="10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3.如近年来，供应商法人机构发生合法变更或重组或法人名称变更时，应提供相关部门的合法批件或其他相关证明材料来证明其所附业绩的继承性。</w:t>
      </w:r>
    </w:p>
    <w:p w14:paraId="46263DB4">
      <w:pPr>
        <w:pStyle w:val="46"/>
        <w:adjustRightInd w:val="0"/>
        <w:snapToGrid w:val="0"/>
        <w:spacing w:line="360" w:lineRule="auto"/>
        <w:rPr>
          <w:rFonts w:hint="eastAsia" w:ascii="仿宋" w:hAnsi="仿宋" w:eastAsia="仿宋" w:cs="仿宋"/>
          <w:sz w:val="24"/>
          <w:szCs w:val="24"/>
          <w:highlight w:val="none"/>
        </w:rPr>
      </w:pPr>
    </w:p>
    <w:p w14:paraId="118E0088">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bookmarkStart w:id="334" w:name="_Toc32179"/>
      <w:bookmarkStart w:id="335" w:name="_Toc16745"/>
      <w:bookmarkStart w:id="336" w:name="_Toc22545"/>
      <w:bookmarkStart w:id="337" w:name="_Toc1586"/>
      <w:bookmarkStart w:id="338" w:name="_Toc32648"/>
      <w:bookmarkStart w:id="339" w:name="_Toc11718"/>
      <w:bookmarkStart w:id="340" w:name="_Toc6669"/>
      <w:bookmarkStart w:id="341" w:name="_Toc20687"/>
      <w:bookmarkStart w:id="342" w:name="_Toc5780"/>
      <w:bookmarkStart w:id="343" w:name="_Toc3751"/>
      <w:bookmarkStart w:id="344" w:name="_Toc4569"/>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5D8FEC2C">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718A04BD">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5D770650">
      <w:pPr>
        <w:pStyle w:val="38"/>
        <w:adjustRightInd w:val="0"/>
        <w:snapToGrid w:val="0"/>
        <w:spacing w:line="360" w:lineRule="auto"/>
        <w:ind w:firstLine="482" w:firstLineChars="200"/>
        <w:rPr>
          <w:rFonts w:hint="eastAsia" w:ascii="仿宋" w:hAnsi="仿宋" w:eastAsia="仿宋" w:cs="仿宋"/>
          <w:b/>
          <w:bCs/>
          <w:sz w:val="24"/>
          <w:szCs w:val="24"/>
          <w:highlight w:val="none"/>
        </w:rPr>
      </w:pPr>
    </w:p>
    <w:p w14:paraId="48CF029B">
      <w:pPr>
        <w:pageBreakBefore/>
        <w:shd w:val="clear"/>
        <w:autoSpaceDE/>
        <w:autoSpaceDN/>
        <w:snapToGrid w:val="0"/>
        <w:spacing w:before="189"/>
        <w:jc w:val="center"/>
        <w:rPr>
          <w:rFonts w:hint="eastAsia" w:ascii="仿宋" w:hAnsi="仿宋" w:eastAsia="仿宋" w:cs="仿宋"/>
          <w:b/>
          <w:bCs/>
          <w:highlight w:val="none"/>
        </w:rPr>
      </w:pPr>
      <w:r>
        <w:rPr>
          <w:rFonts w:hint="eastAsia" w:ascii="仿宋" w:hAnsi="仿宋" w:eastAsia="仿宋" w:cs="仿宋"/>
          <w:b/>
          <w:sz w:val="28"/>
          <w:szCs w:val="28"/>
          <w:highlight w:val="none"/>
        </w:rPr>
        <w:t>七、</w:t>
      </w:r>
      <w:bookmarkEnd w:id="334"/>
      <w:bookmarkEnd w:id="335"/>
      <w:bookmarkEnd w:id="336"/>
      <w:bookmarkEnd w:id="337"/>
      <w:bookmarkEnd w:id="338"/>
      <w:bookmarkEnd w:id="339"/>
      <w:bookmarkEnd w:id="340"/>
      <w:bookmarkEnd w:id="341"/>
      <w:bookmarkEnd w:id="342"/>
      <w:bookmarkEnd w:id="343"/>
      <w:bookmarkEnd w:id="344"/>
      <w:r>
        <w:rPr>
          <w:rFonts w:hint="eastAsia" w:ascii="仿宋" w:hAnsi="仿宋" w:eastAsia="仿宋" w:cs="仿宋"/>
          <w:b/>
          <w:sz w:val="28"/>
          <w:szCs w:val="28"/>
          <w:highlight w:val="none"/>
          <w:lang w:val="zh-CN"/>
        </w:rPr>
        <w:t>拟配备人员一览表</w:t>
      </w:r>
    </w:p>
    <w:p w14:paraId="70B0FD4F">
      <w:pPr>
        <w:pStyle w:val="46"/>
        <w:adjustRightInd w:val="0"/>
        <w:snapToGrid w:val="0"/>
        <w:spacing w:line="360" w:lineRule="auto"/>
        <w:rPr>
          <w:rFonts w:hint="eastAsia" w:ascii="仿宋" w:hAnsi="仿宋" w:eastAsia="仿宋" w:cs="仿宋"/>
          <w:sz w:val="24"/>
          <w:szCs w:val="24"/>
          <w:highlight w:val="none"/>
        </w:rPr>
      </w:pPr>
    </w:p>
    <w:tbl>
      <w:tblPr>
        <w:tblStyle w:val="20"/>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3"/>
        <w:gridCol w:w="1493"/>
        <w:gridCol w:w="1493"/>
        <w:gridCol w:w="1493"/>
        <w:gridCol w:w="1493"/>
        <w:gridCol w:w="1493"/>
      </w:tblGrid>
      <w:tr w14:paraId="4D46F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1493" w:type="dxa"/>
            <w:noWrap w:val="0"/>
            <w:vAlign w:val="center"/>
          </w:tcPr>
          <w:p w14:paraId="3254B710">
            <w:pPr>
              <w:pStyle w:val="5"/>
              <w:spacing w:line="360" w:lineRule="auto"/>
              <w:ind w:firstLine="0" w:firstLineChars="0"/>
              <w:jc w:val="center"/>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序号</w:t>
            </w:r>
          </w:p>
        </w:tc>
        <w:tc>
          <w:tcPr>
            <w:tcW w:w="1493" w:type="dxa"/>
            <w:noWrap w:val="0"/>
            <w:vAlign w:val="center"/>
          </w:tcPr>
          <w:p w14:paraId="49CC24CD">
            <w:pPr>
              <w:pStyle w:val="5"/>
              <w:spacing w:line="360" w:lineRule="auto"/>
              <w:ind w:firstLine="0" w:firstLineChars="0"/>
              <w:jc w:val="center"/>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姓名</w:t>
            </w:r>
          </w:p>
        </w:tc>
        <w:tc>
          <w:tcPr>
            <w:tcW w:w="1493" w:type="dxa"/>
            <w:noWrap w:val="0"/>
            <w:vAlign w:val="center"/>
          </w:tcPr>
          <w:p w14:paraId="61C23903">
            <w:pPr>
              <w:pStyle w:val="5"/>
              <w:spacing w:line="360" w:lineRule="auto"/>
              <w:ind w:firstLine="0" w:firstLineChars="0"/>
              <w:jc w:val="center"/>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性别</w:t>
            </w:r>
          </w:p>
        </w:tc>
        <w:tc>
          <w:tcPr>
            <w:tcW w:w="1493" w:type="dxa"/>
            <w:noWrap w:val="0"/>
            <w:vAlign w:val="center"/>
          </w:tcPr>
          <w:p w14:paraId="68C565C5">
            <w:pPr>
              <w:pStyle w:val="5"/>
              <w:spacing w:line="360" w:lineRule="auto"/>
              <w:ind w:firstLine="0" w:firstLineChars="0"/>
              <w:jc w:val="center"/>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工作年限</w:t>
            </w:r>
          </w:p>
        </w:tc>
        <w:tc>
          <w:tcPr>
            <w:tcW w:w="1493" w:type="dxa"/>
            <w:noWrap w:val="0"/>
            <w:vAlign w:val="center"/>
          </w:tcPr>
          <w:p w14:paraId="1E154D07">
            <w:pPr>
              <w:pStyle w:val="5"/>
              <w:spacing w:line="360" w:lineRule="auto"/>
              <w:ind w:firstLine="0" w:firstLineChars="0"/>
              <w:jc w:val="center"/>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联系方式</w:t>
            </w:r>
          </w:p>
        </w:tc>
        <w:tc>
          <w:tcPr>
            <w:tcW w:w="1493" w:type="dxa"/>
            <w:noWrap w:val="0"/>
            <w:vAlign w:val="center"/>
          </w:tcPr>
          <w:p w14:paraId="197ABC86">
            <w:pPr>
              <w:pStyle w:val="5"/>
              <w:spacing w:line="360" w:lineRule="auto"/>
              <w:ind w:firstLine="0" w:firstLineChars="0"/>
              <w:jc w:val="center"/>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在本项目中的职务</w:t>
            </w:r>
          </w:p>
        </w:tc>
      </w:tr>
      <w:tr w14:paraId="7238D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77D73003">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410A7A09">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233E9191">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1FCEA9E8">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CB9B734">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65F46485">
            <w:pPr>
              <w:pStyle w:val="5"/>
              <w:spacing w:line="360" w:lineRule="auto"/>
              <w:ind w:firstLine="0" w:firstLineChars="0"/>
              <w:jc w:val="center"/>
              <w:rPr>
                <w:rFonts w:hint="eastAsia" w:ascii="仿宋" w:hAnsi="仿宋" w:eastAsia="仿宋" w:cs="仿宋"/>
                <w:sz w:val="21"/>
                <w:szCs w:val="21"/>
                <w:highlight w:val="none"/>
                <w:lang w:val="zh-CN"/>
              </w:rPr>
            </w:pPr>
          </w:p>
        </w:tc>
      </w:tr>
      <w:tr w14:paraId="51AD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38B05848">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66F1C083">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30A07CBB">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2F2E56DC">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686DBA41">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38876FB">
            <w:pPr>
              <w:pStyle w:val="5"/>
              <w:spacing w:line="360" w:lineRule="auto"/>
              <w:ind w:firstLine="0" w:firstLineChars="0"/>
              <w:jc w:val="center"/>
              <w:rPr>
                <w:rFonts w:hint="eastAsia" w:ascii="仿宋" w:hAnsi="仿宋" w:eastAsia="仿宋" w:cs="仿宋"/>
                <w:sz w:val="21"/>
                <w:szCs w:val="21"/>
                <w:highlight w:val="none"/>
                <w:lang w:val="zh-CN"/>
              </w:rPr>
            </w:pPr>
          </w:p>
        </w:tc>
      </w:tr>
      <w:tr w14:paraId="176C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560E3EA1">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D9DBE93">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5FF33CC7">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13A7288B">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541ACA26">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566A944B">
            <w:pPr>
              <w:pStyle w:val="5"/>
              <w:spacing w:line="360" w:lineRule="auto"/>
              <w:ind w:firstLine="0" w:firstLineChars="0"/>
              <w:jc w:val="center"/>
              <w:rPr>
                <w:rFonts w:hint="eastAsia" w:ascii="仿宋" w:hAnsi="仿宋" w:eastAsia="仿宋" w:cs="仿宋"/>
                <w:sz w:val="21"/>
                <w:szCs w:val="21"/>
                <w:highlight w:val="none"/>
                <w:lang w:val="zh-CN"/>
              </w:rPr>
            </w:pPr>
          </w:p>
        </w:tc>
      </w:tr>
      <w:tr w14:paraId="29F47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34C0B5C2">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5870FC5">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358FAC67">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2E7390C2">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8103474">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B388E79">
            <w:pPr>
              <w:pStyle w:val="5"/>
              <w:spacing w:line="360" w:lineRule="auto"/>
              <w:ind w:firstLine="0" w:firstLineChars="0"/>
              <w:jc w:val="center"/>
              <w:rPr>
                <w:rFonts w:hint="eastAsia" w:ascii="仿宋" w:hAnsi="仿宋" w:eastAsia="仿宋" w:cs="仿宋"/>
                <w:sz w:val="21"/>
                <w:szCs w:val="21"/>
                <w:highlight w:val="none"/>
                <w:lang w:val="zh-CN"/>
              </w:rPr>
            </w:pPr>
          </w:p>
        </w:tc>
      </w:tr>
      <w:tr w14:paraId="7FAE8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68B9D335">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1DB6AE47">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3F4A0732">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5F241EE">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18EA4EB">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17C5C7F0">
            <w:pPr>
              <w:pStyle w:val="5"/>
              <w:spacing w:line="360" w:lineRule="auto"/>
              <w:ind w:firstLine="0" w:firstLineChars="0"/>
              <w:jc w:val="center"/>
              <w:rPr>
                <w:rFonts w:hint="eastAsia" w:ascii="仿宋" w:hAnsi="仿宋" w:eastAsia="仿宋" w:cs="仿宋"/>
                <w:sz w:val="21"/>
                <w:szCs w:val="21"/>
                <w:highlight w:val="none"/>
                <w:lang w:val="zh-CN"/>
              </w:rPr>
            </w:pPr>
          </w:p>
        </w:tc>
      </w:tr>
      <w:tr w14:paraId="3D2A7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47B9002D">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56EB1C89">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29001E13">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568F3661">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AC252D6">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997A00E">
            <w:pPr>
              <w:pStyle w:val="5"/>
              <w:spacing w:line="360" w:lineRule="auto"/>
              <w:ind w:firstLine="0" w:firstLineChars="0"/>
              <w:jc w:val="center"/>
              <w:rPr>
                <w:rFonts w:hint="eastAsia" w:ascii="仿宋" w:hAnsi="仿宋" w:eastAsia="仿宋" w:cs="仿宋"/>
                <w:sz w:val="21"/>
                <w:szCs w:val="21"/>
                <w:highlight w:val="none"/>
                <w:lang w:val="zh-CN"/>
              </w:rPr>
            </w:pPr>
          </w:p>
        </w:tc>
      </w:tr>
      <w:tr w14:paraId="54D4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677E7FDD">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5EEF5247">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56A2678">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5F405C8E">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95355C2">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29FB8E33">
            <w:pPr>
              <w:pStyle w:val="5"/>
              <w:spacing w:line="360" w:lineRule="auto"/>
              <w:ind w:firstLine="0" w:firstLineChars="0"/>
              <w:jc w:val="center"/>
              <w:rPr>
                <w:rFonts w:hint="eastAsia" w:ascii="仿宋" w:hAnsi="仿宋" w:eastAsia="仿宋" w:cs="仿宋"/>
                <w:sz w:val="21"/>
                <w:szCs w:val="21"/>
                <w:highlight w:val="none"/>
                <w:lang w:val="zh-CN"/>
              </w:rPr>
            </w:pPr>
          </w:p>
        </w:tc>
      </w:tr>
      <w:tr w14:paraId="1B3AC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174507D3">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94DF012">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6021F92F">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6A5C6E8">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1B286F77">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608A10B6">
            <w:pPr>
              <w:pStyle w:val="5"/>
              <w:spacing w:line="360" w:lineRule="auto"/>
              <w:ind w:firstLine="0" w:firstLineChars="0"/>
              <w:jc w:val="center"/>
              <w:rPr>
                <w:rFonts w:hint="eastAsia" w:ascii="仿宋" w:hAnsi="仿宋" w:eastAsia="仿宋" w:cs="仿宋"/>
                <w:sz w:val="21"/>
                <w:szCs w:val="21"/>
                <w:highlight w:val="none"/>
                <w:lang w:val="zh-CN"/>
              </w:rPr>
            </w:pPr>
          </w:p>
        </w:tc>
      </w:tr>
      <w:tr w14:paraId="08BF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3037A126">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2D2BF796">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C5ADB7D">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8F35677">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FE78928">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324DA7C4">
            <w:pPr>
              <w:pStyle w:val="5"/>
              <w:spacing w:line="360" w:lineRule="auto"/>
              <w:ind w:firstLine="0" w:firstLineChars="0"/>
              <w:jc w:val="center"/>
              <w:rPr>
                <w:rFonts w:hint="eastAsia" w:ascii="仿宋" w:hAnsi="仿宋" w:eastAsia="仿宋" w:cs="仿宋"/>
                <w:sz w:val="21"/>
                <w:szCs w:val="21"/>
                <w:highlight w:val="none"/>
                <w:lang w:val="zh-CN"/>
              </w:rPr>
            </w:pPr>
          </w:p>
        </w:tc>
      </w:tr>
      <w:tr w14:paraId="205C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2256F97A">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4B20CC2">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26043A1">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2310E368">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4AD682DE">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64CC4EBF">
            <w:pPr>
              <w:pStyle w:val="5"/>
              <w:spacing w:line="360" w:lineRule="auto"/>
              <w:ind w:firstLine="0" w:firstLineChars="0"/>
              <w:jc w:val="center"/>
              <w:rPr>
                <w:rFonts w:hint="eastAsia" w:ascii="仿宋" w:hAnsi="仿宋" w:eastAsia="仿宋" w:cs="仿宋"/>
                <w:sz w:val="21"/>
                <w:szCs w:val="21"/>
                <w:highlight w:val="none"/>
                <w:lang w:val="zh-CN"/>
              </w:rPr>
            </w:pPr>
          </w:p>
        </w:tc>
      </w:tr>
      <w:tr w14:paraId="227F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493" w:type="dxa"/>
            <w:noWrap w:val="0"/>
            <w:vAlign w:val="center"/>
          </w:tcPr>
          <w:p w14:paraId="7B828E07">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272788CC">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311FBE61">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1416A5B1">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73B6557E">
            <w:pPr>
              <w:pStyle w:val="5"/>
              <w:spacing w:line="360" w:lineRule="auto"/>
              <w:ind w:firstLine="0" w:firstLineChars="0"/>
              <w:jc w:val="center"/>
              <w:rPr>
                <w:rFonts w:hint="eastAsia" w:ascii="仿宋" w:hAnsi="仿宋" w:eastAsia="仿宋" w:cs="仿宋"/>
                <w:sz w:val="21"/>
                <w:szCs w:val="21"/>
                <w:highlight w:val="none"/>
                <w:lang w:val="zh-CN"/>
              </w:rPr>
            </w:pPr>
          </w:p>
        </w:tc>
        <w:tc>
          <w:tcPr>
            <w:tcW w:w="1493" w:type="dxa"/>
            <w:noWrap w:val="0"/>
            <w:vAlign w:val="center"/>
          </w:tcPr>
          <w:p w14:paraId="0C4C08BD">
            <w:pPr>
              <w:pStyle w:val="5"/>
              <w:spacing w:line="360" w:lineRule="auto"/>
              <w:ind w:firstLine="0" w:firstLineChars="0"/>
              <w:jc w:val="center"/>
              <w:rPr>
                <w:rFonts w:hint="eastAsia" w:ascii="仿宋" w:hAnsi="仿宋" w:eastAsia="仿宋" w:cs="仿宋"/>
                <w:sz w:val="21"/>
                <w:szCs w:val="21"/>
                <w:highlight w:val="none"/>
                <w:lang w:val="zh-CN"/>
              </w:rPr>
            </w:pPr>
          </w:p>
        </w:tc>
      </w:tr>
    </w:tbl>
    <w:p w14:paraId="6BA7995E">
      <w:pPr>
        <w:snapToGrid w:val="0"/>
        <w:spacing w:line="360" w:lineRule="auto"/>
        <w:ind w:firstLine="482" w:firstLineChars="200"/>
        <w:rPr>
          <w:rFonts w:hint="eastAsia" w:ascii="仿宋" w:hAnsi="仿宋" w:eastAsia="仿宋" w:cs="仿宋"/>
          <w:b/>
          <w:bCs/>
          <w:highlight w:val="none"/>
          <w:lang w:eastAsia="zh-CN"/>
        </w:rPr>
      </w:pPr>
      <w:r>
        <w:rPr>
          <w:rFonts w:hint="eastAsia" w:ascii="仿宋" w:hAnsi="仿宋" w:eastAsia="仿宋" w:cs="仿宋"/>
          <w:b/>
          <w:bCs/>
          <w:highlight w:val="none"/>
        </w:rPr>
        <w:t>后附身份证、</w:t>
      </w:r>
      <w:r>
        <w:rPr>
          <w:rFonts w:hint="eastAsia" w:ascii="仿宋" w:hAnsi="仿宋" w:eastAsia="仿宋" w:cs="仿宋"/>
          <w:b/>
          <w:bCs/>
          <w:highlight w:val="none"/>
          <w:lang w:val="en-US" w:eastAsia="zh-CN"/>
        </w:rPr>
        <w:t>相关证书</w:t>
      </w:r>
      <w:r>
        <w:rPr>
          <w:rFonts w:hint="eastAsia" w:ascii="仿宋" w:hAnsi="仿宋" w:eastAsia="仿宋" w:cs="仿宋"/>
          <w:b/>
          <w:bCs/>
          <w:highlight w:val="none"/>
        </w:rPr>
        <w:t>、学历证扫描件或学信网查询记录、劳动合同，复印件并加盖</w:t>
      </w:r>
      <w:r>
        <w:rPr>
          <w:rFonts w:hint="eastAsia" w:ascii="仿宋" w:hAnsi="仿宋" w:eastAsia="仿宋" w:cs="仿宋"/>
          <w:b/>
          <w:bCs/>
          <w:highlight w:val="none"/>
          <w:lang w:eastAsia="zh-CN"/>
        </w:rPr>
        <w:t>供应商</w:t>
      </w:r>
      <w:r>
        <w:rPr>
          <w:rFonts w:hint="eastAsia" w:ascii="仿宋" w:hAnsi="仿宋" w:eastAsia="仿宋" w:cs="仿宋"/>
          <w:b/>
          <w:bCs/>
          <w:highlight w:val="none"/>
        </w:rPr>
        <w:t>公章</w:t>
      </w:r>
      <w:r>
        <w:rPr>
          <w:rFonts w:hint="eastAsia" w:ascii="仿宋" w:hAnsi="仿宋" w:eastAsia="仿宋" w:cs="仿宋"/>
          <w:b/>
          <w:bCs/>
          <w:highlight w:val="none"/>
          <w:lang w:eastAsia="zh-CN"/>
        </w:rPr>
        <w:t>。</w:t>
      </w:r>
    </w:p>
    <w:p w14:paraId="1B9BFA4E">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77BAB51F">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271CDCC9">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00B79317">
      <w:pPr>
        <w:pStyle w:val="46"/>
        <w:adjustRightInd w:val="0"/>
        <w:snapToGrid w:val="0"/>
        <w:spacing w:line="360" w:lineRule="auto"/>
        <w:rPr>
          <w:rFonts w:hint="eastAsia" w:ascii="仿宋" w:hAnsi="仿宋" w:eastAsia="仿宋" w:cs="仿宋"/>
          <w:b/>
          <w:bCs/>
          <w:sz w:val="24"/>
          <w:szCs w:val="24"/>
          <w:highlight w:val="none"/>
        </w:rPr>
      </w:pPr>
    </w:p>
    <w:p w14:paraId="1C5EFBD8">
      <w:pPr>
        <w:pStyle w:val="5"/>
        <w:pageBreakBefore/>
        <w:adjustRightInd w:val="0"/>
        <w:snapToGrid w:val="0"/>
        <w:spacing w:line="360" w:lineRule="auto"/>
        <w:ind w:firstLine="0" w:firstLineChars="0"/>
        <w:jc w:val="center"/>
        <w:rPr>
          <w:rFonts w:hint="eastAsia" w:ascii="仿宋" w:hAnsi="仿宋" w:eastAsia="仿宋" w:cs="仿宋"/>
          <w:b/>
          <w:kern w:val="0"/>
          <w:sz w:val="28"/>
          <w:szCs w:val="28"/>
          <w:highlight w:val="none"/>
        </w:rPr>
      </w:pPr>
      <w:bookmarkStart w:id="345" w:name="_Toc25694"/>
      <w:bookmarkStart w:id="346" w:name="_Toc8138"/>
      <w:bookmarkStart w:id="347" w:name="_Toc11807"/>
      <w:bookmarkStart w:id="348" w:name="_Toc1240"/>
      <w:bookmarkStart w:id="349" w:name="_Toc10709"/>
      <w:bookmarkStart w:id="350" w:name="_Toc30466"/>
      <w:bookmarkStart w:id="351" w:name="_Toc28085"/>
      <w:bookmarkStart w:id="352" w:name="_Toc11523"/>
      <w:r>
        <w:rPr>
          <w:rFonts w:hint="eastAsia" w:ascii="仿宋" w:hAnsi="仿宋" w:eastAsia="仿宋" w:cs="仿宋"/>
          <w:b/>
          <w:kern w:val="0"/>
          <w:sz w:val="28"/>
          <w:szCs w:val="28"/>
          <w:highlight w:val="none"/>
        </w:rPr>
        <w:t>八、商务条款偏离说明表</w:t>
      </w:r>
      <w:bookmarkEnd w:id="345"/>
      <w:bookmarkEnd w:id="346"/>
      <w:bookmarkEnd w:id="347"/>
      <w:bookmarkEnd w:id="348"/>
      <w:bookmarkEnd w:id="349"/>
      <w:bookmarkEnd w:id="350"/>
      <w:bookmarkEnd w:id="351"/>
      <w:bookmarkEnd w:id="352"/>
    </w:p>
    <w:p w14:paraId="1B23FD40">
      <w:pPr>
        <w:pStyle w:val="46"/>
        <w:adjustRightInd w:val="0"/>
        <w:snapToGrid w:val="0"/>
        <w:spacing w:line="360" w:lineRule="auto"/>
        <w:rPr>
          <w:rFonts w:hint="eastAsia" w:ascii="仿宋" w:hAnsi="仿宋" w:eastAsia="仿宋" w:cs="仿宋"/>
          <w:sz w:val="24"/>
          <w:szCs w:val="24"/>
          <w:highlight w:val="none"/>
        </w:rPr>
      </w:pPr>
    </w:p>
    <w:p w14:paraId="26E7AA4F">
      <w:pPr>
        <w:pStyle w:val="46"/>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E5E8B4E">
      <w:pPr>
        <w:pStyle w:val="46"/>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u w:val="single"/>
        </w:rPr>
        <w:t xml:space="preserve">                              </w:t>
      </w:r>
    </w:p>
    <w:tbl>
      <w:tblPr>
        <w:tblStyle w:val="20"/>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822"/>
        <w:gridCol w:w="1682"/>
        <w:gridCol w:w="2142"/>
        <w:gridCol w:w="1206"/>
      </w:tblGrid>
      <w:tr w14:paraId="0B785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8" w:hRule="atLeast"/>
          <w:jc w:val="center"/>
        </w:trPr>
        <w:tc>
          <w:tcPr>
            <w:tcW w:w="1205" w:type="dxa"/>
            <w:tcBorders>
              <w:top w:val="single" w:color="auto" w:sz="12" w:space="0"/>
              <w:left w:val="single" w:color="auto" w:sz="12" w:space="0"/>
            </w:tcBorders>
            <w:noWrap w:val="0"/>
            <w:vAlign w:val="center"/>
          </w:tcPr>
          <w:p w14:paraId="184DCAC1">
            <w:pPr>
              <w:pStyle w:val="50"/>
              <w:tabs>
                <w:tab w:val="left" w:pos="1337"/>
              </w:tabs>
              <w:adjustRightInd w:val="0"/>
              <w:snapToGrid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序号</w:t>
            </w:r>
          </w:p>
        </w:tc>
        <w:tc>
          <w:tcPr>
            <w:tcW w:w="2822" w:type="dxa"/>
            <w:tcBorders>
              <w:top w:val="single" w:color="auto" w:sz="12" w:space="0"/>
            </w:tcBorders>
            <w:noWrap w:val="0"/>
            <w:vAlign w:val="center"/>
          </w:tcPr>
          <w:p w14:paraId="44087A95">
            <w:pPr>
              <w:pStyle w:val="50"/>
              <w:tabs>
                <w:tab w:val="left" w:pos="1337"/>
              </w:tabs>
              <w:adjustRightInd w:val="0"/>
              <w:snapToGrid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招标文件的商务条款</w:t>
            </w:r>
          </w:p>
        </w:tc>
        <w:tc>
          <w:tcPr>
            <w:tcW w:w="1682" w:type="dxa"/>
            <w:tcBorders>
              <w:top w:val="single" w:color="auto" w:sz="12" w:space="0"/>
            </w:tcBorders>
            <w:noWrap w:val="0"/>
            <w:vAlign w:val="center"/>
          </w:tcPr>
          <w:p w14:paraId="1C1AE722">
            <w:pPr>
              <w:pStyle w:val="50"/>
              <w:tabs>
                <w:tab w:val="left" w:pos="1337"/>
              </w:tabs>
              <w:adjustRightInd w:val="0"/>
              <w:snapToGrid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投标文件的商务条款</w:t>
            </w:r>
          </w:p>
        </w:tc>
        <w:tc>
          <w:tcPr>
            <w:tcW w:w="2142" w:type="dxa"/>
            <w:tcBorders>
              <w:top w:val="single" w:color="auto" w:sz="12" w:space="0"/>
              <w:right w:val="single" w:color="auto" w:sz="12" w:space="0"/>
            </w:tcBorders>
            <w:noWrap w:val="0"/>
            <w:vAlign w:val="center"/>
          </w:tcPr>
          <w:p w14:paraId="1149EC30">
            <w:pPr>
              <w:pStyle w:val="50"/>
              <w:tabs>
                <w:tab w:val="left" w:pos="1337"/>
              </w:tabs>
              <w:adjustRightInd w:val="0"/>
              <w:snapToGrid w:val="0"/>
              <w:spacing w:line="360" w:lineRule="auto"/>
              <w:jc w:val="center"/>
              <w:rPr>
                <w:rFonts w:hint="eastAsia" w:ascii="仿宋" w:hAnsi="仿宋" w:eastAsia="仿宋" w:cs="仿宋"/>
                <w:bCs/>
                <w:sz w:val="21"/>
                <w:szCs w:val="21"/>
                <w:highlight w:val="none"/>
                <w:lang w:eastAsia="zh-Hans"/>
              </w:rPr>
            </w:pPr>
            <w:r>
              <w:rPr>
                <w:rFonts w:hint="eastAsia" w:ascii="仿宋" w:hAnsi="仿宋" w:eastAsia="仿宋" w:cs="仿宋"/>
                <w:bCs/>
                <w:sz w:val="21"/>
                <w:szCs w:val="21"/>
                <w:highlight w:val="none"/>
                <w:lang w:eastAsia="zh-Hans"/>
              </w:rPr>
              <w:t>偏离说明（符合/</w:t>
            </w:r>
          </w:p>
          <w:p w14:paraId="3F3D0563">
            <w:pPr>
              <w:pStyle w:val="50"/>
              <w:tabs>
                <w:tab w:val="left" w:pos="1337"/>
              </w:tabs>
              <w:adjustRightInd w:val="0"/>
              <w:snapToGrid w:val="0"/>
              <w:spacing w:line="360" w:lineRule="auto"/>
              <w:jc w:val="center"/>
              <w:rPr>
                <w:rFonts w:hint="eastAsia" w:ascii="仿宋" w:hAnsi="仿宋" w:eastAsia="仿宋" w:cs="仿宋"/>
                <w:bCs/>
                <w:sz w:val="21"/>
                <w:szCs w:val="21"/>
                <w:highlight w:val="none"/>
                <w:lang w:eastAsia="zh-Hans"/>
              </w:rPr>
            </w:pPr>
            <w:r>
              <w:rPr>
                <w:rFonts w:hint="eastAsia" w:ascii="仿宋" w:hAnsi="仿宋" w:eastAsia="仿宋" w:cs="仿宋"/>
                <w:bCs/>
                <w:sz w:val="21"/>
                <w:szCs w:val="21"/>
                <w:highlight w:val="none"/>
                <w:lang w:eastAsia="zh-Hans"/>
              </w:rPr>
              <w:t>正偏离/负偏离）</w:t>
            </w:r>
          </w:p>
        </w:tc>
        <w:tc>
          <w:tcPr>
            <w:tcW w:w="1206" w:type="dxa"/>
            <w:tcBorders>
              <w:top w:val="single" w:color="auto" w:sz="12" w:space="0"/>
              <w:right w:val="single" w:color="auto" w:sz="12" w:space="0"/>
            </w:tcBorders>
            <w:noWrap w:val="0"/>
            <w:vAlign w:val="center"/>
          </w:tcPr>
          <w:p w14:paraId="084796AB">
            <w:pPr>
              <w:pStyle w:val="50"/>
              <w:tabs>
                <w:tab w:val="left" w:pos="1337"/>
              </w:tabs>
              <w:adjustRightInd w:val="0"/>
              <w:snapToGrid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备注</w:t>
            </w:r>
          </w:p>
        </w:tc>
      </w:tr>
      <w:tr w14:paraId="06C35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noWrap w:val="0"/>
            <w:vAlign w:val="center"/>
          </w:tcPr>
          <w:p w14:paraId="4322DFA3">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822" w:type="dxa"/>
            <w:noWrap w:val="0"/>
            <w:vAlign w:val="center"/>
          </w:tcPr>
          <w:p w14:paraId="072BC24C">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682" w:type="dxa"/>
            <w:noWrap w:val="0"/>
            <w:vAlign w:val="center"/>
          </w:tcPr>
          <w:p w14:paraId="0E9C622C">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142" w:type="dxa"/>
            <w:tcBorders>
              <w:right w:val="single" w:color="auto" w:sz="12" w:space="0"/>
            </w:tcBorders>
            <w:noWrap w:val="0"/>
            <w:vAlign w:val="center"/>
          </w:tcPr>
          <w:p w14:paraId="2A165A14">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206" w:type="dxa"/>
            <w:tcBorders>
              <w:right w:val="single" w:color="auto" w:sz="12" w:space="0"/>
            </w:tcBorders>
            <w:noWrap w:val="0"/>
            <w:vAlign w:val="center"/>
          </w:tcPr>
          <w:p w14:paraId="28DA68E7">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r>
      <w:tr w14:paraId="79C73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noWrap w:val="0"/>
            <w:vAlign w:val="center"/>
          </w:tcPr>
          <w:p w14:paraId="732A8552">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822" w:type="dxa"/>
            <w:noWrap w:val="0"/>
            <w:vAlign w:val="center"/>
          </w:tcPr>
          <w:p w14:paraId="4E629B5F">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682" w:type="dxa"/>
            <w:noWrap w:val="0"/>
            <w:vAlign w:val="center"/>
          </w:tcPr>
          <w:p w14:paraId="3BA767F9">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142" w:type="dxa"/>
            <w:tcBorders>
              <w:right w:val="single" w:color="auto" w:sz="12" w:space="0"/>
            </w:tcBorders>
            <w:noWrap w:val="0"/>
            <w:vAlign w:val="center"/>
          </w:tcPr>
          <w:p w14:paraId="20EA7D23">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206" w:type="dxa"/>
            <w:tcBorders>
              <w:right w:val="single" w:color="auto" w:sz="12" w:space="0"/>
            </w:tcBorders>
            <w:noWrap w:val="0"/>
            <w:vAlign w:val="center"/>
          </w:tcPr>
          <w:p w14:paraId="1BD0541E">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r>
      <w:tr w14:paraId="45CA9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noWrap w:val="0"/>
            <w:vAlign w:val="center"/>
          </w:tcPr>
          <w:p w14:paraId="3D967419">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822" w:type="dxa"/>
            <w:noWrap w:val="0"/>
            <w:vAlign w:val="center"/>
          </w:tcPr>
          <w:p w14:paraId="407DBF3C">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682" w:type="dxa"/>
            <w:noWrap w:val="0"/>
            <w:vAlign w:val="center"/>
          </w:tcPr>
          <w:p w14:paraId="2CC8DF2C">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142" w:type="dxa"/>
            <w:tcBorders>
              <w:right w:val="single" w:color="auto" w:sz="12" w:space="0"/>
            </w:tcBorders>
            <w:noWrap w:val="0"/>
            <w:vAlign w:val="center"/>
          </w:tcPr>
          <w:p w14:paraId="73023559">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206" w:type="dxa"/>
            <w:tcBorders>
              <w:right w:val="single" w:color="auto" w:sz="12" w:space="0"/>
            </w:tcBorders>
            <w:noWrap w:val="0"/>
            <w:vAlign w:val="center"/>
          </w:tcPr>
          <w:p w14:paraId="3514348A">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r>
      <w:tr w14:paraId="246F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205" w:type="dxa"/>
            <w:tcBorders>
              <w:left w:val="single" w:color="auto" w:sz="12" w:space="0"/>
              <w:bottom w:val="single" w:color="auto" w:sz="12" w:space="0"/>
            </w:tcBorders>
            <w:noWrap w:val="0"/>
            <w:vAlign w:val="center"/>
          </w:tcPr>
          <w:p w14:paraId="6D3A0AEE">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822" w:type="dxa"/>
            <w:tcBorders>
              <w:bottom w:val="single" w:color="auto" w:sz="12" w:space="0"/>
            </w:tcBorders>
            <w:noWrap w:val="0"/>
            <w:vAlign w:val="center"/>
          </w:tcPr>
          <w:p w14:paraId="399A6A03">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682" w:type="dxa"/>
            <w:tcBorders>
              <w:bottom w:val="single" w:color="auto" w:sz="12" w:space="0"/>
            </w:tcBorders>
            <w:noWrap w:val="0"/>
            <w:vAlign w:val="center"/>
          </w:tcPr>
          <w:p w14:paraId="03CAFFDB">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142" w:type="dxa"/>
            <w:tcBorders>
              <w:bottom w:val="single" w:color="auto" w:sz="12" w:space="0"/>
              <w:right w:val="single" w:color="auto" w:sz="12" w:space="0"/>
            </w:tcBorders>
            <w:noWrap w:val="0"/>
            <w:vAlign w:val="center"/>
          </w:tcPr>
          <w:p w14:paraId="4E1A463E">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206" w:type="dxa"/>
            <w:tcBorders>
              <w:bottom w:val="single" w:color="auto" w:sz="12" w:space="0"/>
              <w:right w:val="single" w:color="auto" w:sz="12" w:space="0"/>
            </w:tcBorders>
            <w:noWrap w:val="0"/>
            <w:vAlign w:val="center"/>
          </w:tcPr>
          <w:p w14:paraId="52B3CCC5">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r>
    </w:tbl>
    <w:p w14:paraId="60269932">
      <w:pPr>
        <w:pStyle w:val="5"/>
        <w:adjustRightInd w:val="0"/>
        <w:snapToGrid w:val="0"/>
        <w:spacing w:line="360" w:lineRule="auto"/>
        <w:ind w:firstLine="0" w:firstLineChars="0"/>
        <w:jc w:val="center"/>
        <w:rPr>
          <w:rFonts w:hint="eastAsia" w:ascii="仿宋" w:hAnsi="仿宋" w:eastAsia="仿宋" w:cs="仿宋"/>
          <w:b/>
          <w:bCs/>
          <w:sz w:val="24"/>
          <w:highlight w:val="none"/>
        </w:rPr>
      </w:pPr>
    </w:p>
    <w:p w14:paraId="74228ADC">
      <w:pPr>
        <w:snapToGrid w:val="0"/>
        <w:spacing w:line="360" w:lineRule="auto"/>
        <w:rPr>
          <w:rFonts w:hint="eastAsia" w:ascii="仿宋" w:hAnsi="仿宋" w:eastAsia="仿宋" w:cs="仿宋"/>
          <w:highlight w:val="none"/>
        </w:rPr>
      </w:pPr>
    </w:p>
    <w:p w14:paraId="65A2DD50">
      <w:pPr>
        <w:snapToGrid w:val="0"/>
        <w:spacing w:line="360" w:lineRule="auto"/>
        <w:rPr>
          <w:rFonts w:hint="eastAsia" w:ascii="仿宋" w:hAnsi="仿宋" w:eastAsia="仿宋" w:cs="仿宋"/>
          <w:b/>
          <w:highlight w:val="none"/>
        </w:rPr>
      </w:pPr>
      <w:r>
        <w:rPr>
          <w:rFonts w:hint="eastAsia" w:ascii="仿宋" w:hAnsi="仿宋" w:eastAsia="仿宋" w:cs="仿宋"/>
          <w:b/>
          <w:highlight w:val="none"/>
        </w:rPr>
        <w:t>说明：</w:t>
      </w:r>
      <w:r>
        <w:rPr>
          <w:rFonts w:hint="eastAsia" w:ascii="仿宋" w:hAnsi="仿宋" w:eastAsia="仿宋" w:cs="仿宋"/>
          <w:b/>
          <w:highlight w:val="none"/>
          <w:lang w:val="en-US" w:eastAsia="zh-CN"/>
        </w:rPr>
        <w:t>1.</w:t>
      </w:r>
      <w:r>
        <w:rPr>
          <w:rFonts w:hint="eastAsia" w:ascii="仿宋" w:hAnsi="仿宋" w:eastAsia="仿宋" w:cs="仿宋"/>
          <w:b/>
          <w:highlight w:val="none"/>
        </w:rPr>
        <w:t>如</w:t>
      </w:r>
      <w:r>
        <w:rPr>
          <w:rFonts w:hint="eastAsia" w:ascii="仿宋" w:hAnsi="仿宋" w:eastAsia="仿宋" w:cs="仿宋"/>
          <w:b/>
          <w:highlight w:val="none"/>
          <w:lang w:eastAsia="zh-CN"/>
        </w:rPr>
        <w:t>供应商</w:t>
      </w:r>
      <w:r>
        <w:rPr>
          <w:rFonts w:hint="eastAsia" w:ascii="仿宋" w:hAnsi="仿宋" w:eastAsia="仿宋" w:cs="仿宋"/>
          <w:b/>
          <w:highlight w:val="none"/>
        </w:rPr>
        <w:t>提交的商务服务条款与招标文件的要求存在正偏离或负偏离，需逐项在偏离一栏中详细说明。</w:t>
      </w:r>
    </w:p>
    <w:p w14:paraId="5F6424A7">
      <w:pPr>
        <w:snapToGrid w:val="0"/>
        <w:spacing w:line="360" w:lineRule="auto"/>
        <w:ind w:firstLine="723" w:firstLineChars="300"/>
        <w:rPr>
          <w:rFonts w:hint="eastAsia" w:ascii="仿宋" w:hAnsi="仿宋" w:eastAsia="仿宋" w:cs="仿宋"/>
          <w:b/>
          <w:highlight w:val="none"/>
          <w:lang w:eastAsia="zh-CN"/>
        </w:rPr>
      </w:pPr>
      <w:r>
        <w:rPr>
          <w:rFonts w:hint="eastAsia" w:ascii="仿宋" w:hAnsi="仿宋" w:eastAsia="仿宋" w:cs="仿宋"/>
          <w:b/>
          <w:highlight w:val="none"/>
          <w:lang w:val="en-US" w:eastAsia="zh-CN"/>
        </w:rPr>
        <w:t>2.</w:t>
      </w:r>
      <w:r>
        <w:rPr>
          <w:rFonts w:hint="eastAsia" w:ascii="仿宋" w:hAnsi="仿宋" w:eastAsia="仿宋" w:cs="仿宋"/>
          <w:b/>
          <w:highlight w:val="none"/>
        </w:rPr>
        <w:t>如供应商能完全按照此部分要求承诺（响应）并实施，“投标文件的商务条款”可填写“完全按照采购文件</w:t>
      </w:r>
      <w:r>
        <w:rPr>
          <w:rFonts w:hint="eastAsia" w:ascii="仿宋" w:hAnsi="仿宋" w:eastAsia="仿宋" w:cs="仿宋"/>
          <w:b/>
          <w:highlight w:val="none"/>
          <w:lang w:eastAsia="zh-CN"/>
        </w:rPr>
        <w:t>商务条款</w:t>
      </w:r>
      <w:r>
        <w:rPr>
          <w:rFonts w:hint="eastAsia" w:ascii="仿宋" w:hAnsi="仿宋" w:eastAsia="仿宋" w:cs="仿宋"/>
          <w:b/>
          <w:highlight w:val="none"/>
        </w:rPr>
        <w:t>响应”</w:t>
      </w:r>
      <w:r>
        <w:rPr>
          <w:rFonts w:hint="eastAsia" w:ascii="仿宋" w:hAnsi="仿宋" w:eastAsia="仿宋" w:cs="仿宋"/>
          <w:b/>
          <w:highlight w:val="none"/>
          <w:lang w:eastAsia="zh-CN"/>
        </w:rPr>
        <w:t>，“</w:t>
      </w:r>
      <w:r>
        <w:rPr>
          <w:rFonts w:hint="eastAsia" w:ascii="仿宋" w:hAnsi="仿宋" w:eastAsia="仿宋" w:cs="仿宋"/>
          <w:b/>
          <w:highlight w:val="none"/>
          <w:lang w:eastAsia="zh-Hans"/>
        </w:rPr>
        <w:t>偏离说明</w:t>
      </w:r>
      <w:r>
        <w:rPr>
          <w:rFonts w:hint="eastAsia" w:ascii="仿宋" w:hAnsi="仿宋" w:eastAsia="仿宋" w:cs="仿宋"/>
          <w:b/>
          <w:highlight w:val="none"/>
          <w:lang w:eastAsia="zh-CN"/>
        </w:rPr>
        <w:t>”</w:t>
      </w:r>
      <w:r>
        <w:rPr>
          <w:rFonts w:hint="eastAsia" w:ascii="仿宋" w:hAnsi="仿宋" w:eastAsia="仿宋" w:cs="仿宋"/>
          <w:b/>
          <w:highlight w:val="none"/>
        </w:rPr>
        <w:t>可填写</w:t>
      </w:r>
      <w:r>
        <w:rPr>
          <w:rFonts w:hint="eastAsia" w:ascii="仿宋" w:hAnsi="仿宋" w:eastAsia="仿宋" w:cs="仿宋"/>
          <w:b/>
          <w:highlight w:val="none"/>
          <w:lang w:eastAsia="zh-CN"/>
        </w:rPr>
        <w:t>“</w:t>
      </w:r>
      <w:r>
        <w:rPr>
          <w:rFonts w:hint="eastAsia" w:ascii="仿宋" w:hAnsi="仿宋" w:eastAsia="仿宋" w:cs="仿宋"/>
          <w:b/>
          <w:highlight w:val="none"/>
          <w:lang w:val="en-US" w:eastAsia="zh-CN"/>
        </w:rPr>
        <w:t>无偏离</w:t>
      </w:r>
      <w:r>
        <w:rPr>
          <w:rFonts w:hint="eastAsia" w:ascii="仿宋" w:hAnsi="仿宋" w:eastAsia="仿宋" w:cs="仿宋"/>
          <w:b/>
          <w:highlight w:val="none"/>
          <w:lang w:eastAsia="zh-CN"/>
        </w:rPr>
        <w:t>”。</w:t>
      </w:r>
    </w:p>
    <w:p w14:paraId="203B88B7">
      <w:pPr>
        <w:pStyle w:val="51"/>
        <w:adjustRightInd w:val="0"/>
        <w:snapToGrid w:val="0"/>
        <w:spacing w:line="360" w:lineRule="auto"/>
        <w:jc w:val="center"/>
        <w:rPr>
          <w:rFonts w:hint="eastAsia" w:ascii="仿宋" w:hAnsi="仿宋" w:eastAsia="仿宋" w:cs="仿宋"/>
          <w:sz w:val="24"/>
          <w:highlight w:val="none"/>
        </w:rPr>
      </w:pPr>
    </w:p>
    <w:p w14:paraId="5BD8B713">
      <w:pPr>
        <w:pStyle w:val="51"/>
        <w:adjustRightInd w:val="0"/>
        <w:snapToGrid w:val="0"/>
        <w:spacing w:line="360" w:lineRule="auto"/>
        <w:jc w:val="center"/>
        <w:rPr>
          <w:rFonts w:hint="eastAsia" w:ascii="仿宋" w:hAnsi="仿宋" w:eastAsia="仿宋" w:cs="仿宋"/>
          <w:sz w:val="24"/>
          <w:highlight w:val="none"/>
        </w:rPr>
      </w:pPr>
    </w:p>
    <w:p w14:paraId="6C6C0FBD">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bookmarkStart w:id="353" w:name="_Toc20139"/>
      <w:bookmarkStart w:id="354" w:name="_Toc12887"/>
      <w:bookmarkStart w:id="355" w:name="_Toc15588"/>
      <w:bookmarkStart w:id="356" w:name="_Toc13636"/>
      <w:bookmarkStart w:id="357" w:name="_Toc6806"/>
      <w:bookmarkStart w:id="358" w:name="_Toc24325"/>
      <w:bookmarkStart w:id="359" w:name="_Toc19796"/>
      <w:bookmarkStart w:id="360" w:name="_Toc3569"/>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0F0A8FC6">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70E655B4">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044D053B">
      <w:pPr>
        <w:pStyle w:val="38"/>
        <w:adjustRightInd w:val="0"/>
        <w:snapToGrid w:val="0"/>
        <w:spacing w:line="360" w:lineRule="auto"/>
        <w:ind w:firstLine="482" w:firstLineChars="200"/>
        <w:rPr>
          <w:rFonts w:hint="eastAsia" w:ascii="仿宋" w:hAnsi="仿宋" w:eastAsia="仿宋" w:cs="仿宋"/>
          <w:b/>
          <w:bCs/>
          <w:sz w:val="24"/>
          <w:szCs w:val="24"/>
          <w:highlight w:val="none"/>
        </w:rPr>
      </w:pPr>
    </w:p>
    <w:p w14:paraId="256AE257">
      <w:pPr>
        <w:pStyle w:val="49"/>
        <w:pageBreakBefore/>
        <w:adjustRightInd w:val="0"/>
        <w:snapToGrid w:val="0"/>
        <w:spacing w:line="360" w:lineRule="auto"/>
        <w:ind w:right="-91"/>
        <w:jc w:val="center"/>
        <w:rPr>
          <w:rFonts w:hint="eastAsia" w:ascii="仿宋" w:hAnsi="仿宋" w:eastAsia="仿宋" w:cs="仿宋"/>
          <w:b/>
          <w:bCs/>
          <w:sz w:val="24"/>
          <w:highlight w:val="none"/>
        </w:rPr>
      </w:pPr>
      <w:r>
        <w:rPr>
          <w:rFonts w:hint="eastAsia" w:ascii="仿宋" w:hAnsi="仿宋" w:eastAsia="仿宋" w:cs="仿宋"/>
          <w:b/>
          <w:kern w:val="0"/>
          <w:sz w:val="28"/>
          <w:szCs w:val="28"/>
          <w:highlight w:val="none"/>
        </w:rPr>
        <w:t>九、技术文件</w:t>
      </w:r>
      <w:bookmarkEnd w:id="353"/>
      <w:bookmarkEnd w:id="354"/>
      <w:bookmarkEnd w:id="355"/>
      <w:bookmarkEnd w:id="356"/>
      <w:bookmarkEnd w:id="357"/>
      <w:bookmarkEnd w:id="358"/>
      <w:bookmarkEnd w:id="359"/>
      <w:bookmarkEnd w:id="360"/>
    </w:p>
    <w:p w14:paraId="277A8D1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此处内容可对照评审标准提供相应方案，充分体现所投项目服务对于评分标准的响应程度和优势</w:t>
      </w:r>
      <w:r>
        <w:rPr>
          <w:rFonts w:hint="eastAsia" w:ascii="仿宋" w:hAnsi="仿宋" w:eastAsia="仿宋" w:cs="仿宋"/>
          <w:highlight w:val="none"/>
          <w:lang w:eastAsia="zh-CN"/>
        </w:rPr>
        <w:t>，格式自拟。</w:t>
      </w:r>
    </w:p>
    <w:p w14:paraId="3B8CA954">
      <w:pPr>
        <w:pStyle w:val="7"/>
        <w:rPr>
          <w:rFonts w:hint="eastAsia"/>
          <w:highlight w:val="none"/>
          <w:lang w:val="zh-CN"/>
        </w:rPr>
      </w:pPr>
      <w:bookmarkStart w:id="361" w:name="_Toc31651"/>
      <w:bookmarkStart w:id="362" w:name="_Toc24404"/>
      <w:bookmarkStart w:id="363" w:name="_Toc29237"/>
      <w:bookmarkStart w:id="364" w:name="_Toc26902"/>
    </w:p>
    <w:p w14:paraId="517B3C1D">
      <w:pPr>
        <w:rPr>
          <w:highlight w:val="none"/>
        </w:rPr>
      </w:pPr>
    </w:p>
    <w:p w14:paraId="5B3F3BD6">
      <w:pPr>
        <w:snapToGrid w:val="0"/>
        <w:spacing w:line="360" w:lineRule="auto"/>
        <w:rPr>
          <w:rFonts w:hint="eastAsia" w:ascii="仿宋" w:hAnsi="仿宋" w:eastAsia="仿宋" w:cs="仿宋"/>
          <w:b/>
          <w:bCs/>
          <w:highlight w:val="none"/>
        </w:rPr>
      </w:pPr>
      <w:r>
        <w:rPr>
          <w:rFonts w:hint="eastAsia" w:ascii="仿宋" w:hAnsi="仿宋" w:eastAsia="仿宋" w:cs="仿宋"/>
          <w:b/>
          <w:bCs/>
          <w:highlight w:val="none"/>
        </w:rPr>
        <w:t>说明：技术文件的编制原则，一是按</w:t>
      </w:r>
      <w:r>
        <w:rPr>
          <w:rFonts w:hint="eastAsia" w:ascii="仿宋" w:hAnsi="仿宋" w:eastAsia="仿宋" w:cs="仿宋"/>
          <w:b/>
          <w:bCs/>
          <w:highlight w:val="none"/>
          <w:lang w:eastAsia="zh-CN"/>
        </w:rPr>
        <w:t>招标</w:t>
      </w:r>
      <w:r>
        <w:rPr>
          <w:rFonts w:hint="eastAsia" w:ascii="仿宋" w:hAnsi="仿宋" w:eastAsia="仿宋" w:cs="仿宋"/>
          <w:b/>
          <w:bCs/>
          <w:highlight w:val="none"/>
        </w:rPr>
        <w:t>文件要求，提供相应说明、资料、表格以证明所投</w:t>
      </w:r>
      <w:r>
        <w:rPr>
          <w:rFonts w:hint="eastAsia" w:ascii="仿宋" w:hAnsi="仿宋" w:eastAsia="仿宋" w:cs="仿宋"/>
          <w:b/>
          <w:bCs/>
          <w:highlight w:val="none"/>
          <w:lang w:eastAsia="zh-CN"/>
        </w:rPr>
        <w:t>货物</w:t>
      </w:r>
      <w:r>
        <w:rPr>
          <w:rFonts w:hint="eastAsia" w:ascii="仿宋" w:hAnsi="仿宋" w:eastAsia="仿宋" w:cs="仿宋"/>
          <w:b/>
          <w:bCs/>
          <w:highlight w:val="none"/>
        </w:rPr>
        <w:t>是否响应招标文件要求；二是对应项目评审标准，充分体现所投服务对于评分标准的响应程度和优势。</w:t>
      </w:r>
      <w:bookmarkEnd w:id="361"/>
      <w:bookmarkEnd w:id="362"/>
      <w:bookmarkEnd w:id="363"/>
      <w:bookmarkEnd w:id="364"/>
      <w:bookmarkStart w:id="365" w:name="_Toc31694"/>
      <w:bookmarkStart w:id="366" w:name="_Toc13764"/>
      <w:bookmarkStart w:id="367" w:name="_Toc24632"/>
      <w:bookmarkStart w:id="368" w:name="_Toc5977"/>
      <w:bookmarkStart w:id="369" w:name="_Toc7614"/>
      <w:bookmarkStart w:id="370" w:name="_Toc27969"/>
      <w:bookmarkStart w:id="371" w:name="_Toc16767"/>
      <w:bookmarkStart w:id="372" w:name="_Toc24767"/>
    </w:p>
    <w:p w14:paraId="3CB9CE73">
      <w:pPr>
        <w:pStyle w:val="52"/>
        <w:overflowPunct/>
        <w:snapToGrid w:val="0"/>
        <w:spacing w:line="360" w:lineRule="auto"/>
        <w:jc w:val="center"/>
        <w:rPr>
          <w:rFonts w:hint="eastAsia" w:ascii="仿宋" w:hAnsi="仿宋" w:eastAsia="仿宋" w:cs="仿宋"/>
          <w:b/>
          <w:bCs/>
          <w:highlight w:val="none"/>
        </w:rPr>
      </w:pPr>
    </w:p>
    <w:p w14:paraId="4707C00D">
      <w:pPr>
        <w:pStyle w:val="52"/>
        <w:overflowPunct/>
        <w:snapToGrid w:val="0"/>
        <w:spacing w:line="360" w:lineRule="auto"/>
        <w:jc w:val="center"/>
        <w:rPr>
          <w:rFonts w:hint="eastAsia" w:ascii="仿宋" w:hAnsi="仿宋" w:eastAsia="仿宋" w:cs="仿宋"/>
          <w:b/>
          <w:bCs/>
          <w:highlight w:val="none"/>
        </w:rPr>
      </w:pPr>
    </w:p>
    <w:p w14:paraId="3281B28E">
      <w:pPr>
        <w:pStyle w:val="52"/>
        <w:overflowPunct/>
        <w:snapToGrid w:val="0"/>
        <w:spacing w:line="360" w:lineRule="auto"/>
        <w:jc w:val="center"/>
        <w:rPr>
          <w:rFonts w:hint="eastAsia" w:ascii="仿宋" w:hAnsi="仿宋" w:eastAsia="仿宋" w:cs="仿宋"/>
          <w:b/>
          <w:bCs/>
          <w:highlight w:val="none"/>
        </w:rPr>
      </w:pPr>
    </w:p>
    <w:p w14:paraId="65F6FE3E">
      <w:pPr>
        <w:pStyle w:val="52"/>
        <w:overflowPunct/>
        <w:snapToGrid w:val="0"/>
        <w:spacing w:line="360" w:lineRule="auto"/>
        <w:jc w:val="center"/>
        <w:rPr>
          <w:rFonts w:hint="eastAsia" w:ascii="仿宋" w:hAnsi="仿宋" w:eastAsia="仿宋" w:cs="仿宋"/>
          <w:b/>
          <w:bCs/>
          <w:highlight w:val="none"/>
        </w:rPr>
      </w:pPr>
    </w:p>
    <w:p w14:paraId="6E188986">
      <w:pPr>
        <w:pStyle w:val="52"/>
        <w:overflowPunct/>
        <w:snapToGrid w:val="0"/>
        <w:spacing w:line="360" w:lineRule="auto"/>
        <w:jc w:val="center"/>
        <w:rPr>
          <w:rFonts w:hint="eastAsia" w:ascii="仿宋" w:hAnsi="仿宋" w:eastAsia="仿宋" w:cs="仿宋"/>
          <w:b/>
          <w:bCs/>
          <w:highlight w:val="none"/>
        </w:rPr>
      </w:pPr>
    </w:p>
    <w:p w14:paraId="5DBA23A5">
      <w:pPr>
        <w:pStyle w:val="52"/>
        <w:overflowPunct/>
        <w:snapToGrid w:val="0"/>
        <w:spacing w:line="360" w:lineRule="auto"/>
        <w:jc w:val="center"/>
        <w:rPr>
          <w:rFonts w:hint="eastAsia" w:ascii="仿宋" w:hAnsi="仿宋" w:eastAsia="仿宋" w:cs="仿宋"/>
          <w:b/>
          <w:bCs/>
          <w:highlight w:val="none"/>
        </w:rPr>
      </w:pPr>
    </w:p>
    <w:p w14:paraId="6D711436">
      <w:pPr>
        <w:pStyle w:val="52"/>
        <w:overflowPunct/>
        <w:snapToGrid w:val="0"/>
        <w:spacing w:line="360" w:lineRule="auto"/>
        <w:jc w:val="center"/>
        <w:rPr>
          <w:rFonts w:hint="eastAsia" w:ascii="仿宋" w:hAnsi="仿宋" w:eastAsia="仿宋" w:cs="仿宋"/>
          <w:b/>
          <w:bCs/>
          <w:highlight w:val="none"/>
        </w:rPr>
      </w:pPr>
    </w:p>
    <w:p w14:paraId="0E4EA7E7">
      <w:pPr>
        <w:pStyle w:val="52"/>
        <w:overflowPunct/>
        <w:snapToGrid w:val="0"/>
        <w:spacing w:line="360" w:lineRule="auto"/>
        <w:jc w:val="center"/>
        <w:rPr>
          <w:rFonts w:hint="eastAsia" w:ascii="仿宋" w:hAnsi="仿宋" w:eastAsia="仿宋" w:cs="仿宋"/>
          <w:b/>
          <w:bCs/>
          <w:highlight w:val="none"/>
        </w:rPr>
      </w:pPr>
    </w:p>
    <w:p w14:paraId="37F7C382">
      <w:pPr>
        <w:pStyle w:val="52"/>
        <w:pageBreakBefore/>
        <w:widowControl w:val="0"/>
        <w:overflowPunct/>
        <w:snapToGrid w:val="0"/>
        <w:spacing w:line="360" w:lineRule="auto"/>
        <w:jc w:val="center"/>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十、技术条款偏离表</w:t>
      </w:r>
      <w:bookmarkEnd w:id="365"/>
      <w:bookmarkEnd w:id="366"/>
      <w:bookmarkEnd w:id="367"/>
      <w:bookmarkEnd w:id="368"/>
      <w:bookmarkEnd w:id="369"/>
      <w:bookmarkEnd w:id="370"/>
      <w:bookmarkEnd w:id="371"/>
      <w:bookmarkEnd w:id="372"/>
    </w:p>
    <w:p w14:paraId="7A2545E5">
      <w:pPr>
        <w:pStyle w:val="52"/>
        <w:overflowPunct/>
        <w:snapToGrid w:val="0"/>
        <w:spacing w:line="360" w:lineRule="auto"/>
        <w:jc w:val="center"/>
        <w:rPr>
          <w:rFonts w:hint="eastAsia" w:ascii="仿宋" w:hAnsi="仿宋" w:eastAsia="仿宋" w:cs="仿宋"/>
          <w:b/>
          <w:bCs/>
          <w:highlight w:val="none"/>
        </w:rPr>
      </w:pPr>
    </w:p>
    <w:p w14:paraId="1DEDED85">
      <w:pPr>
        <w:pStyle w:val="46"/>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04EBC3E9">
      <w:pPr>
        <w:pStyle w:val="46"/>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tbl>
      <w:tblPr>
        <w:tblStyle w:val="20"/>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05"/>
        <w:gridCol w:w="1658"/>
        <w:gridCol w:w="2250"/>
        <w:gridCol w:w="1234"/>
      </w:tblGrid>
      <w:tr w14:paraId="69711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010" w:type="dxa"/>
            <w:tcBorders>
              <w:top w:val="single" w:color="auto" w:sz="12" w:space="0"/>
              <w:left w:val="single" w:color="auto" w:sz="12" w:space="0"/>
            </w:tcBorders>
            <w:noWrap w:val="0"/>
            <w:vAlign w:val="center"/>
          </w:tcPr>
          <w:p w14:paraId="3B2CB1F4">
            <w:pPr>
              <w:pStyle w:val="50"/>
              <w:tabs>
                <w:tab w:val="left" w:pos="1337"/>
              </w:tabs>
              <w:adjustRightInd w:val="0"/>
              <w:snapToGrid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序号</w:t>
            </w:r>
          </w:p>
        </w:tc>
        <w:tc>
          <w:tcPr>
            <w:tcW w:w="2905" w:type="dxa"/>
            <w:tcBorders>
              <w:top w:val="single" w:color="auto" w:sz="12" w:space="0"/>
            </w:tcBorders>
            <w:noWrap w:val="0"/>
            <w:vAlign w:val="center"/>
          </w:tcPr>
          <w:p w14:paraId="2C061219">
            <w:pPr>
              <w:pStyle w:val="50"/>
              <w:tabs>
                <w:tab w:val="left" w:pos="1337"/>
              </w:tabs>
              <w:adjustRightInd w:val="0"/>
              <w:snapToGrid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招标文件的技术条款</w:t>
            </w:r>
          </w:p>
        </w:tc>
        <w:tc>
          <w:tcPr>
            <w:tcW w:w="1658" w:type="dxa"/>
            <w:tcBorders>
              <w:top w:val="single" w:color="auto" w:sz="12" w:space="0"/>
            </w:tcBorders>
            <w:noWrap w:val="0"/>
            <w:vAlign w:val="center"/>
          </w:tcPr>
          <w:p w14:paraId="35533676">
            <w:pPr>
              <w:pStyle w:val="50"/>
              <w:tabs>
                <w:tab w:val="left" w:pos="1337"/>
              </w:tabs>
              <w:adjustRightInd w:val="0"/>
              <w:snapToGrid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投标文件的技术条款</w:t>
            </w:r>
          </w:p>
        </w:tc>
        <w:tc>
          <w:tcPr>
            <w:tcW w:w="2250" w:type="dxa"/>
            <w:tcBorders>
              <w:top w:val="single" w:color="auto" w:sz="12" w:space="0"/>
              <w:right w:val="single" w:color="auto" w:sz="12" w:space="0"/>
            </w:tcBorders>
            <w:noWrap w:val="0"/>
            <w:vAlign w:val="center"/>
          </w:tcPr>
          <w:p w14:paraId="5C4668D0">
            <w:pPr>
              <w:pStyle w:val="50"/>
              <w:tabs>
                <w:tab w:val="left" w:pos="1337"/>
              </w:tabs>
              <w:adjustRightInd w:val="0"/>
              <w:snapToGrid w:val="0"/>
              <w:spacing w:line="360" w:lineRule="auto"/>
              <w:jc w:val="center"/>
              <w:rPr>
                <w:rFonts w:hint="eastAsia" w:ascii="仿宋" w:hAnsi="仿宋" w:eastAsia="仿宋" w:cs="仿宋"/>
                <w:bCs/>
                <w:sz w:val="21"/>
                <w:szCs w:val="21"/>
                <w:highlight w:val="none"/>
                <w:lang w:eastAsia="zh-Hans"/>
              </w:rPr>
            </w:pPr>
            <w:r>
              <w:rPr>
                <w:rFonts w:hint="eastAsia" w:ascii="仿宋" w:hAnsi="仿宋" w:eastAsia="仿宋" w:cs="仿宋"/>
                <w:bCs/>
                <w:sz w:val="21"/>
                <w:szCs w:val="21"/>
                <w:highlight w:val="none"/>
                <w:lang w:eastAsia="zh-Hans"/>
              </w:rPr>
              <w:t>偏离说明（符合/</w:t>
            </w:r>
          </w:p>
          <w:p w14:paraId="255AA88B">
            <w:pPr>
              <w:pStyle w:val="50"/>
              <w:tabs>
                <w:tab w:val="left" w:pos="1337"/>
              </w:tabs>
              <w:adjustRightInd w:val="0"/>
              <w:snapToGrid w:val="0"/>
              <w:spacing w:line="360" w:lineRule="auto"/>
              <w:jc w:val="center"/>
              <w:rPr>
                <w:rFonts w:hint="eastAsia" w:ascii="仿宋" w:hAnsi="仿宋" w:eastAsia="仿宋" w:cs="仿宋"/>
                <w:bCs/>
                <w:sz w:val="21"/>
                <w:szCs w:val="21"/>
                <w:highlight w:val="none"/>
                <w:lang w:eastAsia="zh-Hans"/>
              </w:rPr>
            </w:pPr>
            <w:r>
              <w:rPr>
                <w:rFonts w:hint="eastAsia" w:ascii="仿宋" w:hAnsi="仿宋" w:eastAsia="仿宋" w:cs="仿宋"/>
                <w:bCs/>
                <w:sz w:val="21"/>
                <w:szCs w:val="21"/>
                <w:highlight w:val="none"/>
                <w:lang w:eastAsia="zh-Hans"/>
              </w:rPr>
              <w:t>正偏离/负偏离）</w:t>
            </w:r>
          </w:p>
        </w:tc>
        <w:tc>
          <w:tcPr>
            <w:tcW w:w="1234" w:type="dxa"/>
            <w:tcBorders>
              <w:top w:val="single" w:color="auto" w:sz="12" w:space="0"/>
              <w:right w:val="single" w:color="auto" w:sz="12" w:space="0"/>
            </w:tcBorders>
            <w:noWrap w:val="0"/>
            <w:vAlign w:val="center"/>
          </w:tcPr>
          <w:p w14:paraId="5D6EDBAE">
            <w:pPr>
              <w:pStyle w:val="50"/>
              <w:tabs>
                <w:tab w:val="left" w:pos="1337"/>
              </w:tabs>
              <w:adjustRightInd w:val="0"/>
              <w:snapToGrid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备注</w:t>
            </w:r>
          </w:p>
        </w:tc>
      </w:tr>
      <w:tr w14:paraId="6BF5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noWrap w:val="0"/>
            <w:vAlign w:val="center"/>
          </w:tcPr>
          <w:p w14:paraId="0157B15F">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905" w:type="dxa"/>
            <w:noWrap w:val="0"/>
            <w:vAlign w:val="center"/>
          </w:tcPr>
          <w:p w14:paraId="623A6914">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658" w:type="dxa"/>
            <w:noWrap w:val="0"/>
            <w:vAlign w:val="center"/>
          </w:tcPr>
          <w:p w14:paraId="0ACDEBDF">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250" w:type="dxa"/>
            <w:tcBorders>
              <w:right w:val="single" w:color="auto" w:sz="12" w:space="0"/>
            </w:tcBorders>
            <w:noWrap w:val="0"/>
            <w:vAlign w:val="center"/>
          </w:tcPr>
          <w:p w14:paraId="474FD8DC">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234" w:type="dxa"/>
            <w:tcBorders>
              <w:right w:val="single" w:color="auto" w:sz="12" w:space="0"/>
            </w:tcBorders>
            <w:noWrap w:val="0"/>
            <w:vAlign w:val="center"/>
          </w:tcPr>
          <w:p w14:paraId="2AC4B007">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r>
      <w:tr w14:paraId="3744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noWrap w:val="0"/>
            <w:vAlign w:val="center"/>
          </w:tcPr>
          <w:p w14:paraId="5475C5A4">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905" w:type="dxa"/>
            <w:noWrap w:val="0"/>
            <w:vAlign w:val="center"/>
          </w:tcPr>
          <w:p w14:paraId="7230758B">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658" w:type="dxa"/>
            <w:noWrap w:val="0"/>
            <w:vAlign w:val="center"/>
          </w:tcPr>
          <w:p w14:paraId="6AB819FF">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250" w:type="dxa"/>
            <w:tcBorders>
              <w:right w:val="single" w:color="auto" w:sz="12" w:space="0"/>
            </w:tcBorders>
            <w:noWrap w:val="0"/>
            <w:vAlign w:val="center"/>
          </w:tcPr>
          <w:p w14:paraId="501520E4">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234" w:type="dxa"/>
            <w:tcBorders>
              <w:right w:val="single" w:color="auto" w:sz="12" w:space="0"/>
            </w:tcBorders>
            <w:noWrap w:val="0"/>
            <w:vAlign w:val="center"/>
          </w:tcPr>
          <w:p w14:paraId="3846E5BF">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r>
      <w:tr w14:paraId="19F8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noWrap w:val="0"/>
            <w:vAlign w:val="center"/>
          </w:tcPr>
          <w:p w14:paraId="090E5A69">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905" w:type="dxa"/>
            <w:noWrap w:val="0"/>
            <w:vAlign w:val="center"/>
          </w:tcPr>
          <w:p w14:paraId="7D3397D9">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658" w:type="dxa"/>
            <w:noWrap w:val="0"/>
            <w:vAlign w:val="center"/>
          </w:tcPr>
          <w:p w14:paraId="48EE3510">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2250" w:type="dxa"/>
            <w:tcBorders>
              <w:right w:val="single" w:color="auto" w:sz="12" w:space="0"/>
            </w:tcBorders>
            <w:noWrap w:val="0"/>
            <w:vAlign w:val="center"/>
          </w:tcPr>
          <w:p w14:paraId="114D5B46">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c>
          <w:tcPr>
            <w:tcW w:w="1234" w:type="dxa"/>
            <w:tcBorders>
              <w:right w:val="single" w:color="auto" w:sz="12" w:space="0"/>
            </w:tcBorders>
            <w:noWrap w:val="0"/>
            <w:vAlign w:val="center"/>
          </w:tcPr>
          <w:p w14:paraId="131574B4">
            <w:pPr>
              <w:pStyle w:val="50"/>
              <w:tabs>
                <w:tab w:val="left" w:pos="1337"/>
              </w:tabs>
              <w:adjustRightInd w:val="0"/>
              <w:snapToGrid w:val="0"/>
              <w:spacing w:line="360" w:lineRule="auto"/>
              <w:jc w:val="center"/>
              <w:rPr>
                <w:rFonts w:hint="eastAsia" w:ascii="仿宋" w:hAnsi="仿宋" w:eastAsia="仿宋" w:cs="仿宋"/>
                <w:sz w:val="21"/>
                <w:szCs w:val="21"/>
                <w:highlight w:val="none"/>
              </w:rPr>
            </w:pPr>
          </w:p>
        </w:tc>
      </w:tr>
      <w:tr w14:paraId="09470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057" w:type="dxa"/>
            <w:gridSpan w:val="5"/>
            <w:tcBorders>
              <w:left w:val="single" w:color="auto" w:sz="12" w:space="0"/>
              <w:bottom w:val="single" w:color="auto" w:sz="12" w:space="0"/>
              <w:right w:val="single" w:color="auto" w:sz="12" w:space="0"/>
            </w:tcBorders>
            <w:noWrap w:val="0"/>
            <w:vAlign w:val="center"/>
          </w:tcPr>
          <w:p w14:paraId="28A586FD">
            <w:pPr>
              <w:pStyle w:val="50"/>
              <w:tabs>
                <w:tab w:val="left" w:pos="1337"/>
              </w:tabs>
              <w:adjustRightInd w:val="0"/>
              <w:snapToGrid w:val="0"/>
              <w:spacing w:line="360" w:lineRule="auto"/>
              <w:jc w:val="left"/>
              <w:rPr>
                <w:rFonts w:hint="eastAsia" w:ascii="仿宋" w:hAnsi="仿宋" w:eastAsia="仿宋" w:cs="仿宋"/>
                <w:sz w:val="21"/>
                <w:szCs w:val="21"/>
                <w:highlight w:val="none"/>
              </w:rPr>
            </w:pPr>
            <w:r>
              <w:rPr>
                <w:rFonts w:hint="eastAsia" w:ascii="仿宋" w:hAnsi="仿宋" w:eastAsia="仿宋" w:cs="仿宋"/>
                <w:b/>
                <w:bCs/>
                <w:color w:val="auto"/>
                <w:sz w:val="21"/>
                <w:szCs w:val="21"/>
                <w:lang w:val="en-US" w:eastAsia="zh-CN" w:bidi="ar"/>
              </w:rPr>
              <w:t>（备注：产品技术参数需提供相关证明材料，如无相关证明材料的，按本表响应内容为准。“★”为实质性条款，不接受负偏离，否则视为未实质性响应招标文件要求，将被否决投标）</w:t>
            </w:r>
          </w:p>
        </w:tc>
      </w:tr>
    </w:tbl>
    <w:p w14:paraId="2AD1D489">
      <w:pPr>
        <w:pStyle w:val="52"/>
        <w:overflowPunct/>
        <w:snapToGrid w:val="0"/>
        <w:spacing w:line="360" w:lineRule="auto"/>
        <w:rPr>
          <w:rFonts w:hint="eastAsia" w:ascii="仿宋" w:hAnsi="仿宋" w:eastAsia="仿宋" w:cs="仿宋"/>
          <w:highlight w:val="none"/>
        </w:rPr>
      </w:pPr>
    </w:p>
    <w:p w14:paraId="348764F0">
      <w:pPr>
        <w:snapToGrid w:val="0"/>
        <w:spacing w:line="360" w:lineRule="auto"/>
        <w:rPr>
          <w:rFonts w:hint="eastAsia" w:ascii="仿宋" w:hAnsi="仿宋" w:eastAsia="仿宋" w:cs="仿宋"/>
          <w:b/>
          <w:highlight w:val="none"/>
          <w:lang w:val="en-US" w:eastAsia="zh-CN"/>
        </w:rPr>
      </w:pPr>
      <w:r>
        <w:rPr>
          <w:rFonts w:hint="eastAsia" w:ascii="仿宋" w:hAnsi="仿宋" w:eastAsia="仿宋" w:cs="仿宋"/>
          <w:b/>
          <w:highlight w:val="none"/>
        </w:rPr>
        <w:t>说明：</w:t>
      </w:r>
      <w:r>
        <w:rPr>
          <w:rFonts w:hint="eastAsia" w:ascii="仿宋" w:hAnsi="仿宋" w:eastAsia="仿宋" w:cs="仿宋"/>
          <w:b/>
          <w:highlight w:val="none"/>
          <w:lang w:val="en-US" w:eastAsia="zh-CN"/>
        </w:rPr>
        <w:t>1.</w:t>
      </w:r>
      <w:r>
        <w:rPr>
          <w:rFonts w:hint="eastAsia" w:ascii="仿宋" w:hAnsi="仿宋" w:eastAsia="仿宋" w:cs="仿宋"/>
          <w:b/>
          <w:highlight w:val="none"/>
        </w:rPr>
        <w:t>如</w:t>
      </w:r>
      <w:r>
        <w:rPr>
          <w:rFonts w:hint="eastAsia" w:ascii="仿宋" w:hAnsi="仿宋" w:eastAsia="仿宋" w:cs="仿宋"/>
          <w:b/>
          <w:highlight w:val="none"/>
          <w:lang w:eastAsia="zh-CN"/>
        </w:rPr>
        <w:t>供应商</w:t>
      </w:r>
      <w:r>
        <w:rPr>
          <w:rFonts w:hint="eastAsia" w:ascii="仿宋" w:hAnsi="仿宋" w:eastAsia="仿宋" w:cs="仿宋"/>
          <w:b/>
          <w:highlight w:val="none"/>
        </w:rPr>
        <w:t>提交的商务服务条款与招标文件的要求存在正偏离或负偏离，需逐项在偏离一栏中详细说明</w:t>
      </w:r>
      <w:r>
        <w:rPr>
          <w:rFonts w:hint="eastAsia" w:ascii="仿宋" w:hAnsi="仿宋" w:eastAsia="仿宋" w:cs="仿宋"/>
          <w:b/>
          <w:highlight w:val="none"/>
          <w:lang w:eastAsia="zh-CN"/>
        </w:rPr>
        <w:t>，</w:t>
      </w:r>
      <w:r>
        <w:rPr>
          <w:rFonts w:hint="eastAsia" w:ascii="仿宋" w:hAnsi="仿宋" w:eastAsia="仿宋" w:cs="仿宋"/>
          <w:b/>
          <w:highlight w:val="none"/>
          <w:lang w:val="en-US" w:eastAsia="zh-CN"/>
        </w:rPr>
        <w:t>如有偏离，则必须注明“偏离”；未注明偏离的，视为完全响应。</w:t>
      </w:r>
    </w:p>
    <w:p w14:paraId="5DDDDCD9">
      <w:pPr>
        <w:snapToGrid w:val="0"/>
        <w:spacing w:line="360" w:lineRule="auto"/>
        <w:ind w:firstLine="723" w:firstLineChars="300"/>
        <w:rPr>
          <w:rFonts w:hint="eastAsia" w:ascii="仿宋" w:hAnsi="仿宋" w:eastAsia="仿宋" w:cs="仿宋"/>
          <w:b/>
          <w:highlight w:val="none"/>
          <w:lang w:eastAsia="zh-CN"/>
        </w:rPr>
      </w:pPr>
      <w:r>
        <w:rPr>
          <w:rFonts w:hint="eastAsia" w:ascii="仿宋" w:hAnsi="仿宋" w:eastAsia="仿宋" w:cs="仿宋"/>
          <w:b/>
          <w:highlight w:val="none"/>
          <w:lang w:val="en-US" w:eastAsia="zh-CN"/>
        </w:rPr>
        <w:t>2.</w:t>
      </w:r>
      <w:r>
        <w:rPr>
          <w:rFonts w:hint="eastAsia" w:ascii="仿宋" w:hAnsi="仿宋" w:eastAsia="仿宋" w:cs="仿宋"/>
          <w:b/>
          <w:highlight w:val="none"/>
        </w:rPr>
        <w:t>如供应商能完全按照此部分要求承诺（响应）并实施，“投标文件的</w:t>
      </w:r>
      <w:r>
        <w:rPr>
          <w:rFonts w:hint="eastAsia" w:ascii="仿宋" w:hAnsi="仿宋" w:eastAsia="仿宋" w:cs="仿宋"/>
          <w:b/>
          <w:highlight w:val="none"/>
          <w:lang w:eastAsia="zh-CN"/>
        </w:rPr>
        <w:t>技术</w:t>
      </w:r>
      <w:r>
        <w:rPr>
          <w:rFonts w:hint="eastAsia" w:ascii="仿宋" w:hAnsi="仿宋" w:eastAsia="仿宋" w:cs="仿宋"/>
          <w:b/>
          <w:highlight w:val="none"/>
        </w:rPr>
        <w:t>条款”可填写“完全按照采购文件</w:t>
      </w:r>
      <w:r>
        <w:rPr>
          <w:rFonts w:hint="eastAsia" w:ascii="仿宋" w:hAnsi="仿宋" w:eastAsia="仿宋" w:cs="仿宋"/>
          <w:b/>
          <w:highlight w:val="none"/>
          <w:lang w:eastAsia="zh-CN"/>
        </w:rPr>
        <w:t>技术条款</w:t>
      </w:r>
      <w:r>
        <w:rPr>
          <w:rFonts w:hint="eastAsia" w:ascii="仿宋" w:hAnsi="仿宋" w:eastAsia="仿宋" w:cs="仿宋"/>
          <w:b/>
          <w:highlight w:val="none"/>
        </w:rPr>
        <w:t>响应”</w:t>
      </w:r>
      <w:r>
        <w:rPr>
          <w:rFonts w:hint="eastAsia" w:ascii="仿宋" w:hAnsi="仿宋" w:eastAsia="仿宋" w:cs="仿宋"/>
          <w:b/>
          <w:highlight w:val="none"/>
          <w:lang w:eastAsia="zh-CN"/>
        </w:rPr>
        <w:t>，“</w:t>
      </w:r>
      <w:r>
        <w:rPr>
          <w:rFonts w:hint="eastAsia" w:ascii="仿宋" w:hAnsi="仿宋" w:eastAsia="仿宋" w:cs="仿宋"/>
          <w:b/>
          <w:highlight w:val="none"/>
          <w:lang w:eastAsia="zh-Hans"/>
        </w:rPr>
        <w:t>偏离说明</w:t>
      </w:r>
      <w:r>
        <w:rPr>
          <w:rFonts w:hint="eastAsia" w:ascii="仿宋" w:hAnsi="仿宋" w:eastAsia="仿宋" w:cs="仿宋"/>
          <w:b/>
          <w:highlight w:val="none"/>
          <w:lang w:eastAsia="zh-CN"/>
        </w:rPr>
        <w:t>”</w:t>
      </w:r>
      <w:r>
        <w:rPr>
          <w:rFonts w:hint="eastAsia" w:ascii="仿宋" w:hAnsi="仿宋" w:eastAsia="仿宋" w:cs="仿宋"/>
          <w:b/>
          <w:highlight w:val="none"/>
        </w:rPr>
        <w:t>可填写</w:t>
      </w:r>
      <w:r>
        <w:rPr>
          <w:rFonts w:hint="eastAsia" w:ascii="仿宋" w:hAnsi="仿宋" w:eastAsia="仿宋" w:cs="仿宋"/>
          <w:b/>
          <w:highlight w:val="none"/>
          <w:lang w:eastAsia="zh-CN"/>
        </w:rPr>
        <w:t>“</w:t>
      </w:r>
      <w:r>
        <w:rPr>
          <w:rFonts w:hint="eastAsia" w:ascii="仿宋" w:hAnsi="仿宋" w:eastAsia="仿宋" w:cs="仿宋"/>
          <w:b/>
          <w:highlight w:val="none"/>
          <w:lang w:val="en-US" w:eastAsia="zh-CN"/>
        </w:rPr>
        <w:t>无偏离</w:t>
      </w:r>
      <w:r>
        <w:rPr>
          <w:rFonts w:hint="eastAsia" w:ascii="仿宋" w:hAnsi="仿宋" w:eastAsia="仿宋" w:cs="仿宋"/>
          <w:b/>
          <w:highlight w:val="none"/>
          <w:lang w:eastAsia="zh-CN"/>
        </w:rPr>
        <w:t>”。</w:t>
      </w:r>
    </w:p>
    <w:p w14:paraId="2C63F9E0">
      <w:pPr>
        <w:snapToGrid w:val="0"/>
        <w:spacing w:line="360" w:lineRule="auto"/>
        <w:rPr>
          <w:rFonts w:ascii="仿宋" w:hAnsi="仿宋" w:eastAsia="仿宋" w:cs="仿宋"/>
          <w:b/>
          <w:highlight w:val="none"/>
        </w:rPr>
      </w:pPr>
    </w:p>
    <w:p w14:paraId="768ED412">
      <w:pPr>
        <w:pStyle w:val="38"/>
        <w:adjustRightInd w:val="0"/>
        <w:snapToGrid w:val="0"/>
        <w:spacing w:line="360" w:lineRule="auto"/>
        <w:ind w:firstLine="420"/>
        <w:rPr>
          <w:rFonts w:hint="eastAsia" w:ascii="仿宋" w:hAnsi="仿宋" w:eastAsia="仿宋" w:cs="仿宋"/>
          <w:sz w:val="24"/>
          <w:szCs w:val="24"/>
          <w:highlight w:val="none"/>
        </w:rPr>
      </w:pPr>
    </w:p>
    <w:bookmarkEnd w:id="308"/>
    <w:bookmarkEnd w:id="309"/>
    <w:p w14:paraId="0FD2C1E9">
      <w:pPr>
        <w:pStyle w:val="38"/>
        <w:adjustRightInd w:val="0"/>
        <w:snapToGrid w:val="0"/>
        <w:spacing w:line="360" w:lineRule="auto"/>
        <w:ind w:firstLine="482" w:firstLineChars="200"/>
        <w:rPr>
          <w:rFonts w:hint="eastAsia" w:ascii="仿宋" w:hAnsi="仿宋" w:eastAsia="仿宋" w:cs="仿宋"/>
          <w:b/>
          <w:bCs/>
          <w:sz w:val="24"/>
          <w:szCs w:val="24"/>
          <w:highlight w:val="none"/>
          <w:u w:val="single"/>
        </w:rPr>
      </w:pPr>
      <w:bookmarkStart w:id="373" w:name="_Toc18724"/>
      <w:bookmarkStart w:id="374" w:name="_Toc1117"/>
      <w:bookmarkStart w:id="375" w:name="_Toc30004"/>
      <w:bookmarkStart w:id="376" w:name="_Toc11717"/>
      <w:bookmarkStart w:id="377" w:name="_Toc32152"/>
      <w:bookmarkStart w:id="378" w:name="_Toc24329"/>
      <w:bookmarkStart w:id="379" w:name="_Toc29006"/>
      <w:bookmarkStart w:id="380" w:name="_Toc30981"/>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70A08EFF">
      <w:pPr>
        <w:pStyle w:val="38"/>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336C67F8">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64026F4D">
      <w:pPr>
        <w:pStyle w:val="38"/>
        <w:adjustRightInd w:val="0"/>
        <w:snapToGrid w:val="0"/>
        <w:spacing w:line="360" w:lineRule="auto"/>
        <w:ind w:firstLine="482" w:firstLineChars="200"/>
        <w:rPr>
          <w:rFonts w:hint="eastAsia" w:ascii="仿宋" w:hAnsi="仿宋" w:eastAsia="仿宋" w:cs="仿宋"/>
          <w:b/>
          <w:bCs/>
          <w:sz w:val="24"/>
          <w:szCs w:val="24"/>
          <w:highlight w:val="none"/>
        </w:rPr>
      </w:pPr>
    </w:p>
    <w:p w14:paraId="3C1090E6">
      <w:pPr>
        <w:pageBreakBefore/>
        <w:jc w:val="center"/>
        <w:rPr>
          <w:rFonts w:ascii="仿宋" w:hAnsi="仿宋" w:eastAsia="仿宋"/>
          <w:b/>
          <w:sz w:val="28"/>
          <w:szCs w:val="32"/>
          <w:highlight w:val="none"/>
        </w:rPr>
      </w:pPr>
      <w:r>
        <w:rPr>
          <w:rFonts w:hint="eastAsia" w:ascii="仿宋" w:hAnsi="仿宋" w:eastAsia="仿宋" w:cs="仿宋"/>
          <w:b/>
          <w:sz w:val="28"/>
          <w:szCs w:val="28"/>
          <w:highlight w:val="none"/>
        </w:rPr>
        <w:t>十一、其他材料</w:t>
      </w:r>
      <w:bookmarkEnd w:id="373"/>
      <w:bookmarkEnd w:id="374"/>
      <w:bookmarkEnd w:id="375"/>
      <w:bookmarkEnd w:id="376"/>
      <w:bookmarkEnd w:id="377"/>
      <w:bookmarkEnd w:id="378"/>
      <w:bookmarkEnd w:id="379"/>
      <w:bookmarkEnd w:id="380"/>
    </w:p>
    <w:p w14:paraId="4581C92F">
      <w:pPr>
        <w:rPr>
          <w:rFonts w:ascii="仿宋" w:hAnsi="仿宋" w:eastAsia="仿宋"/>
          <w:b/>
          <w:sz w:val="28"/>
          <w:szCs w:val="32"/>
          <w:highlight w:val="none"/>
        </w:rPr>
      </w:pPr>
    </w:p>
    <w:p w14:paraId="629D7802">
      <w:pPr>
        <w:snapToGrid w:val="0"/>
        <w:spacing w:line="360" w:lineRule="auto"/>
        <w:jc w:val="center"/>
        <w:rPr>
          <w:rFonts w:hint="eastAsia" w:ascii="仿宋" w:hAnsi="仿宋" w:eastAsia="仿宋" w:cs="仿宋"/>
          <w:highlight w:val="none"/>
        </w:rPr>
      </w:pPr>
      <w:r>
        <w:rPr>
          <w:rFonts w:hint="eastAsia" w:ascii="仿宋" w:hAnsi="仿宋" w:eastAsia="仿宋" w:cs="仿宋"/>
          <w:highlight w:val="none"/>
          <w:lang w:eastAsia="zh-CN"/>
        </w:rPr>
        <w:t>供应商</w:t>
      </w:r>
      <w:r>
        <w:rPr>
          <w:rFonts w:hint="eastAsia" w:ascii="仿宋" w:hAnsi="仿宋" w:eastAsia="仿宋" w:cs="仿宋"/>
          <w:highlight w:val="none"/>
        </w:rPr>
        <w:t>认为有必要提供其他材料（如有）</w:t>
      </w:r>
    </w:p>
    <w:p w14:paraId="22ABDDD6">
      <w:pPr>
        <w:pStyle w:val="6"/>
        <w:adjustRightInd w:val="0"/>
        <w:snapToGrid w:val="0"/>
        <w:spacing w:line="360" w:lineRule="auto"/>
        <w:rPr>
          <w:rFonts w:hint="eastAsia" w:ascii="仿宋" w:hAnsi="仿宋" w:eastAsia="仿宋" w:cs="仿宋"/>
          <w:highlight w:val="none"/>
        </w:rPr>
      </w:pPr>
    </w:p>
    <w:p w14:paraId="0ACA9F9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此处内容可对照评审标准提供相应证明材料，充分体现所投项目</w:t>
      </w:r>
      <w:r>
        <w:rPr>
          <w:rFonts w:hint="eastAsia" w:ascii="仿宋" w:hAnsi="仿宋" w:eastAsia="仿宋" w:cs="仿宋"/>
          <w:highlight w:val="none"/>
          <w:lang w:eastAsia="zh-CN"/>
        </w:rPr>
        <w:t>货物</w:t>
      </w:r>
      <w:r>
        <w:rPr>
          <w:rFonts w:hint="eastAsia" w:ascii="仿宋" w:hAnsi="仿宋" w:eastAsia="仿宋" w:cs="仿宋"/>
          <w:highlight w:val="none"/>
        </w:rPr>
        <w:t>对于评分标准的响应程度和优势。</w:t>
      </w:r>
    </w:p>
    <w:p w14:paraId="103239EF">
      <w:pPr>
        <w:rPr>
          <w:rFonts w:ascii="仿宋" w:hAnsi="仿宋" w:eastAsia="仿宋"/>
          <w:b/>
          <w:sz w:val="28"/>
          <w:szCs w:val="32"/>
          <w:highlight w:val="none"/>
        </w:rPr>
      </w:pPr>
    </w:p>
    <w:p w14:paraId="47DE751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包含但不限于以下内容：质量体系认证、与本项目相关的荣誉证书等。</w:t>
      </w:r>
    </w:p>
    <w:p w14:paraId="65DA53B9">
      <w:pPr>
        <w:pStyle w:val="7"/>
        <w:rPr>
          <w:rFonts w:hint="eastAsia" w:ascii="仿宋" w:hAnsi="仿宋" w:eastAsia="仿宋" w:cs="仿宋"/>
          <w:color w:val="auto"/>
          <w:sz w:val="24"/>
          <w:szCs w:val="24"/>
          <w:highlight w:val="none"/>
        </w:rPr>
      </w:pPr>
    </w:p>
    <w:p w14:paraId="26AC6FD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4B0BEAE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3001B67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2DE15A0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7252C84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078BA41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0A8A34E1">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14DD8F6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23C59F6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5AAA68D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1A50116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28CF20C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4D4B891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6CE4237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57E5594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38F8E8B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23C88EC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21AFC59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55212B4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7CD8900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3"/>
          <w:rFonts w:hint="eastAsia" w:ascii="仿宋" w:hAnsi="仿宋" w:eastAsia="仿宋" w:cs="仿宋"/>
          <w:sz w:val="24"/>
          <w:szCs w:val="24"/>
        </w:rPr>
      </w:pPr>
    </w:p>
    <w:p w14:paraId="69FE281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Fonts w:hint="eastAsia" w:ascii="仿宋" w:hAnsi="仿宋" w:eastAsia="仿宋" w:cs="仿宋"/>
          <w:sz w:val="28"/>
          <w:szCs w:val="28"/>
        </w:rPr>
      </w:pPr>
      <w:r>
        <w:rPr>
          <w:rStyle w:val="23"/>
          <w:rFonts w:hint="eastAsia" w:ascii="仿宋" w:hAnsi="仿宋" w:eastAsia="仿宋" w:cs="仿宋"/>
          <w:sz w:val="28"/>
          <w:szCs w:val="28"/>
          <w:lang w:eastAsia="zh-CN"/>
        </w:rPr>
        <w:t>十二、</w:t>
      </w:r>
      <w:r>
        <w:rPr>
          <w:rStyle w:val="23"/>
          <w:rFonts w:hint="eastAsia" w:ascii="仿宋" w:hAnsi="仿宋" w:eastAsia="仿宋" w:cs="仿宋"/>
          <w:sz w:val="28"/>
          <w:szCs w:val="28"/>
        </w:rPr>
        <w:t>关于符合本国产品标准的声明函</w:t>
      </w:r>
    </w:p>
    <w:p w14:paraId="177838C1">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p>
    <w:p w14:paraId="699F1E0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本公司（单位）郑重声明，根据《国务院办公厅关于在政府采购中实施本国产品标准及相关政策的通知》（国办发〔2025〕34号）的规定，本公司（单位）提供的以下产品属于本国产品。具体情况如下：</w:t>
      </w:r>
    </w:p>
    <w:p w14:paraId="46E425C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1.</w:t>
      </w:r>
      <w:r>
        <w:rPr>
          <w:rStyle w:val="24"/>
          <w:rFonts w:hint="eastAsia" w:ascii="仿宋" w:hAnsi="仿宋" w:eastAsia="仿宋" w:cs="仿宋"/>
          <w:sz w:val="24"/>
          <w:szCs w:val="24"/>
          <w:u w:val="single"/>
        </w:rPr>
        <w:t>（产品名称1）</w:t>
      </w:r>
      <w:r>
        <w:rPr>
          <w:rStyle w:val="24"/>
          <w:rFonts w:hint="eastAsia" w:ascii="仿宋" w:hAnsi="仿宋" w:eastAsia="仿宋" w:cs="仿宋"/>
          <w:sz w:val="24"/>
          <w:szCs w:val="24"/>
          <w:u w:val="none"/>
          <w:vertAlign w:val="superscript"/>
        </w:rPr>
        <w:t>1</w:t>
      </w:r>
      <w:r>
        <w:rPr>
          <w:rFonts w:hint="eastAsia" w:ascii="仿宋" w:hAnsi="仿宋" w:eastAsia="仿宋" w:cs="仿宋"/>
          <w:sz w:val="24"/>
          <w:szCs w:val="24"/>
        </w:rPr>
        <w:t>，生产厂为</w:t>
      </w:r>
      <w:r>
        <w:rPr>
          <w:rStyle w:val="24"/>
          <w:rFonts w:hint="eastAsia" w:ascii="仿宋" w:hAnsi="仿宋" w:eastAsia="仿宋" w:cs="仿宋"/>
          <w:sz w:val="24"/>
          <w:szCs w:val="24"/>
          <w:u w:val="single"/>
        </w:rPr>
        <w:t>（厂名）</w:t>
      </w:r>
      <w:r>
        <w:rPr>
          <w:rStyle w:val="24"/>
          <w:rFonts w:hint="eastAsia" w:ascii="仿宋" w:hAnsi="仿宋" w:eastAsia="仿宋" w:cs="仿宋"/>
          <w:sz w:val="24"/>
          <w:szCs w:val="24"/>
          <w:u w:val="none"/>
          <w:vertAlign w:val="superscript"/>
        </w:rPr>
        <w:t>2</w:t>
      </w:r>
      <w:r>
        <w:rPr>
          <w:rFonts w:hint="eastAsia" w:ascii="仿宋" w:hAnsi="仿宋" w:eastAsia="仿宋" w:cs="仿宋"/>
          <w:sz w:val="24"/>
          <w:szCs w:val="24"/>
        </w:rPr>
        <w:t>，厂址为</w:t>
      </w:r>
      <w:r>
        <w:rPr>
          <w:rStyle w:val="24"/>
          <w:rFonts w:hint="eastAsia" w:ascii="仿宋" w:hAnsi="仿宋" w:eastAsia="仿宋" w:cs="仿宋"/>
          <w:sz w:val="24"/>
          <w:szCs w:val="24"/>
          <w:u w:val="single"/>
        </w:rPr>
        <w:t>（生产厂址）</w:t>
      </w:r>
      <w:r>
        <w:rPr>
          <w:rFonts w:hint="eastAsia" w:ascii="仿宋" w:hAnsi="仿宋" w:eastAsia="仿宋" w:cs="仿宋"/>
          <w:sz w:val="24"/>
          <w:szCs w:val="24"/>
        </w:rPr>
        <w:t>。</w:t>
      </w:r>
      <w:r>
        <w:rPr>
          <w:rStyle w:val="24"/>
          <w:rFonts w:hint="eastAsia" w:ascii="仿宋" w:hAnsi="仿宋" w:eastAsia="仿宋" w:cs="仿宋"/>
          <w:sz w:val="24"/>
          <w:szCs w:val="24"/>
          <w:u w:val="single"/>
        </w:rPr>
        <w:t>（产品名称1）</w:t>
      </w:r>
      <w:r>
        <w:rPr>
          <w:rFonts w:hint="eastAsia" w:ascii="仿宋" w:hAnsi="仿宋" w:eastAsia="仿宋" w:cs="仿宋"/>
          <w:sz w:val="24"/>
          <w:szCs w:val="24"/>
        </w:rPr>
        <w:t>的中国境内生产的组件成本占比≥</w:t>
      </w:r>
      <w:r>
        <w:rPr>
          <w:rStyle w:val="24"/>
          <w:rFonts w:hint="eastAsia" w:ascii="仿宋" w:hAnsi="仿宋" w:eastAsia="仿宋" w:cs="仿宋"/>
          <w:sz w:val="24"/>
          <w:szCs w:val="24"/>
          <w:u w:val="single"/>
        </w:rPr>
        <w:t>（规定比例）</w:t>
      </w:r>
      <w:r>
        <w:rPr>
          <w:rStyle w:val="24"/>
          <w:rFonts w:hint="eastAsia" w:ascii="仿宋" w:hAnsi="仿宋" w:eastAsia="仿宋" w:cs="仿宋"/>
          <w:sz w:val="24"/>
          <w:szCs w:val="24"/>
          <w:u w:val="none"/>
          <w:vertAlign w:val="superscript"/>
        </w:rPr>
        <w:t>3</w:t>
      </w:r>
      <w:r>
        <w:rPr>
          <w:rFonts w:hint="eastAsia" w:ascii="仿宋" w:hAnsi="仿宋" w:eastAsia="仿宋" w:cs="仿宋"/>
          <w:sz w:val="24"/>
          <w:szCs w:val="24"/>
        </w:rPr>
        <w:t>。</w:t>
      </w:r>
      <w:r>
        <w:rPr>
          <w:rStyle w:val="24"/>
          <w:rFonts w:hint="eastAsia" w:ascii="仿宋" w:hAnsi="仿宋" w:eastAsia="仿宋" w:cs="仿宋"/>
          <w:sz w:val="24"/>
          <w:szCs w:val="24"/>
          <w:u w:val="single"/>
        </w:rPr>
        <w:t>（产品名称1）</w:t>
      </w:r>
      <w:r>
        <w:rPr>
          <w:rFonts w:hint="eastAsia" w:ascii="仿宋" w:hAnsi="仿宋" w:eastAsia="仿宋" w:cs="仿宋"/>
          <w:sz w:val="24"/>
          <w:szCs w:val="24"/>
        </w:rPr>
        <w:t>的</w:t>
      </w:r>
      <w:r>
        <w:rPr>
          <w:rStyle w:val="24"/>
          <w:rFonts w:hint="eastAsia" w:ascii="仿宋" w:hAnsi="仿宋" w:eastAsia="仿宋" w:cs="仿宋"/>
          <w:sz w:val="24"/>
          <w:szCs w:val="24"/>
          <w:u w:val="single"/>
        </w:rPr>
        <w:t>（关键组件）</w:t>
      </w:r>
      <w:r>
        <w:rPr>
          <w:rStyle w:val="24"/>
          <w:rFonts w:hint="eastAsia" w:ascii="仿宋" w:hAnsi="仿宋" w:eastAsia="仿宋" w:cs="仿宋"/>
          <w:sz w:val="24"/>
          <w:szCs w:val="24"/>
          <w:u w:val="none"/>
          <w:vertAlign w:val="superscript"/>
        </w:rPr>
        <w:t>4</w:t>
      </w:r>
      <w:r>
        <w:rPr>
          <w:rFonts w:hint="eastAsia" w:ascii="仿宋" w:hAnsi="仿宋" w:eastAsia="仿宋" w:cs="仿宋"/>
          <w:sz w:val="24"/>
          <w:szCs w:val="24"/>
        </w:rPr>
        <w:t>在中国境内生产。</w:t>
      </w:r>
      <w:r>
        <w:rPr>
          <w:rStyle w:val="24"/>
          <w:rFonts w:hint="eastAsia" w:ascii="仿宋" w:hAnsi="仿宋" w:eastAsia="仿宋" w:cs="仿宋"/>
          <w:sz w:val="24"/>
          <w:szCs w:val="24"/>
          <w:u w:val="single"/>
        </w:rPr>
        <w:t>（产品名称1）</w:t>
      </w:r>
      <w:r>
        <w:rPr>
          <w:rFonts w:hint="eastAsia" w:ascii="仿宋" w:hAnsi="仿宋" w:eastAsia="仿宋" w:cs="仿宋"/>
          <w:sz w:val="24"/>
          <w:szCs w:val="24"/>
        </w:rPr>
        <w:t>的</w:t>
      </w:r>
      <w:r>
        <w:rPr>
          <w:rStyle w:val="24"/>
          <w:rFonts w:hint="eastAsia" w:ascii="仿宋" w:hAnsi="仿宋" w:eastAsia="仿宋" w:cs="仿宋"/>
          <w:sz w:val="24"/>
          <w:szCs w:val="24"/>
          <w:u w:val="single"/>
        </w:rPr>
        <w:t>（关键工序）</w:t>
      </w:r>
      <w:r>
        <w:rPr>
          <w:rStyle w:val="24"/>
          <w:rFonts w:hint="eastAsia" w:ascii="仿宋" w:hAnsi="仿宋" w:eastAsia="仿宋" w:cs="仿宋"/>
          <w:sz w:val="24"/>
          <w:szCs w:val="24"/>
          <w:u w:val="none"/>
          <w:vertAlign w:val="superscript"/>
        </w:rPr>
        <w:t>5</w:t>
      </w:r>
      <w:r>
        <w:rPr>
          <w:rFonts w:hint="eastAsia" w:ascii="仿宋" w:hAnsi="仿宋" w:eastAsia="仿宋" w:cs="仿宋"/>
          <w:sz w:val="24"/>
          <w:szCs w:val="24"/>
        </w:rPr>
        <w:t>在中国境内完成。</w:t>
      </w:r>
    </w:p>
    <w:p w14:paraId="1BC50F8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2.</w:t>
      </w:r>
      <w:r>
        <w:rPr>
          <w:rStyle w:val="24"/>
          <w:rFonts w:hint="eastAsia" w:ascii="仿宋" w:hAnsi="仿宋" w:eastAsia="仿宋" w:cs="仿宋"/>
          <w:sz w:val="24"/>
          <w:szCs w:val="24"/>
          <w:u w:val="single"/>
        </w:rPr>
        <w:t>（产品名称2）</w:t>
      </w:r>
      <w:r>
        <w:rPr>
          <w:rFonts w:hint="eastAsia" w:ascii="仿宋" w:hAnsi="仿宋" w:eastAsia="仿宋" w:cs="仿宋"/>
          <w:sz w:val="24"/>
          <w:szCs w:val="24"/>
        </w:rPr>
        <w:t>，生产厂为</w:t>
      </w:r>
      <w:r>
        <w:rPr>
          <w:rStyle w:val="24"/>
          <w:rFonts w:hint="eastAsia" w:ascii="仿宋" w:hAnsi="仿宋" w:eastAsia="仿宋" w:cs="仿宋"/>
          <w:sz w:val="24"/>
          <w:szCs w:val="24"/>
          <w:u w:val="single"/>
        </w:rPr>
        <w:t>（厂名）</w:t>
      </w:r>
      <w:r>
        <w:rPr>
          <w:rFonts w:hint="eastAsia" w:ascii="仿宋" w:hAnsi="仿宋" w:eastAsia="仿宋" w:cs="仿宋"/>
          <w:sz w:val="24"/>
          <w:szCs w:val="24"/>
        </w:rPr>
        <w:t>，厂址为</w:t>
      </w:r>
      <w:r>
        <w:rPr>
          <w:rStyle w:val="24"/>
          <w:rFonts w:hint="eastAsia" w:ascii="仿宋" w:hAnsi="仿宋" w:eastAsia="仿宋" w:cs="仿宋"/>
          <w:sz w:val="24"/>
          <w:szCs w:val="24"/>
          <w:u w:val="single"/>
        </w:rPr>
        <w:t>（生产厂址）</w:t>
      </w:r>
      <w:r>
        <w:rPr>
          <w:rFonts w:hint="eastAsia" w:ascii="仿宋" w:hAnsi="仿宋" w:eastAsia="仿宋" w:cs="仿宋"/>
          <w:sz w:val="24"/>
          <w:szCs w:val="24"/>
        </w:rPr>
        <w:t>。</w:t>
      </w:r>
      <w:r>
        <w:rPr>
          <w:rStyle w:val="24"/>
          <w:rFonts w:hint="eastAsia" w:ascii="仿宋" w:hAnsi="仿宋" w:eastAsia="仿宋" w:cs="仿宋"/>
          <w:sz w:val="24"/>
          <w:szCs w:val="24"/>
          <w:u w:val="single"/>
        </w:rPr>
        <w:t>（产品名称2）</w:t>
      </w:r>
      <w:r>
        <w:rPr>
          <w:rFonts w:hint="eastAsia" w:ascii="仿宋" w:hAnsi="仿宋" w:eastAsia="仿宋" w:cs="仿宋"/>
          <w:sz w:val="24"/>
          <w:szCs w:val="24"/>
        </w:rPr>
        <w:t>的中国境内生产的组件成本占比≥</w:t>
      </w:r>
      <w:r>
        <w:rPr>
          <w:rStyle w:val="24"/>
          <w:rFonts w:hint="eastAsia" w:ascii="仿宋" w:hAnsi="仿宋" w:eastAsia="仿宋" w:cs="仿宋"/>
          <w:sz w:val="24"/>
          <w:szCs w:val="24"/>
          <w:u w:val="single"/>
        </w:rPr>
        <w:t>（规定比例）</w:t>
      </w:r>
      <w:r>
        <w:rPr>
          <w:rFonts w:hint="eastAsia" w:ascii="仿宋" w:hAnsi="仿宋" w:eastAsia="仿宋" w:cs="仿宋"/>
          <w:sz w:val="24"/>
          <w:szCs w:val="24"/>
        </w:rPr>
        <w:t>。</w:t>
      </w:r>
      <w:r>
        <w:rPr>
          <w:rStyle w:val="24"/>
          <w:rFonts w:hint="eastAsia" w:ascii="仿宋" w:hAnsi="仿宋" w:eastAsia="仿宋" w:cs="仿宋"/>
          <w:sz w:val="24"/>
          <w:szCs w:val="24"/>
          <w:u w:val="single"/>
        </w:rPr>
        <w:t>（产品名称2）</w:t>
      </w:r>
      <w:r>
        <w:rPr>
          <w:rFonts w:hint="eastAsia" w:ascii="仿宋" w:hAnsi="仿宋" w:eastAsia="仿宋" w:cs="仿宋"/>
          <w:sz w:val="24"/>
          <w:szCs w:val="24"/>
        </w:rPr>
        <w:t>的</w:t>
      </w:r>
      <w:r>
        <w:rPr>
          <w:rStyle w:val="24"/>
          <w:rFonts w:hint="eastAsia" w:ascii="仿宋" w:hAnsi="仿宋" w:eastAsia="仿宋" w:cs="仿宋"/>
          <w:sz w:val="24"/>
          <w:szCs w:val="24"/>
          <w:u w:val="single"/>
        </w:rPr>
        <w:t>（关键组件）</w:t>
      </w:r>
      <w:r>
        <w:rPr>
          <w:rFonts w:hint="eastAsia" w:ascii="仿宋" w:hAnsi="仿宋" w:eastAsia="仿宋" w:cs="仿宋"/>
          <w:sz w:val="24"/>
          <w:szCs w:val="24"/>
        </w:rPr>
        <w:t>在中国境内生产。</w:t>
      </w:r>
      <w:r>
        <w:rPr>
          <w:rStyle w:val="24"/>
          <w:rFonts w:hint="eastAsia" w:ascii="仿宋" w:hAnsi="仿宋" w:eastAsia="仿宋" w:cs="仿宋"/>
          <w:sz w:val="24"/>
          <w:szCs w:val="24"/>
          <w:u w:val="single"/>
        </w:rPr>
        <w:t>（产品名称2）</w:t>
      </w:r>
      <w:r>
        <w:rPr>
          <w:rFonts w:hint="eastAsia" w:ascii="仿宋" w:hAnsi="仿宋" w:eastAsia="仿宋" w:cs="仿宋"/>
          <w:sz w:val="24"/>
          <w:szCs w:val="24"/>
        </w:rPr>
        <w:t>的</w:t>
      </w:r>
      <w:r>
        <w:rPr>
          <w:rStyle w:val="24"/>
          <w:rFonts w:hint="eastAsia" w:ascii="仿宋" w:hAnsi="仿宋" w:eastAsia="仿宋" w:cs="仿宋"/>
          <w:sz w:val="24"/>
          <w:szCs w:val="24"/>
          <w:u w:val="single"/>
        </w:rPr>
        <w:t>（关键工序）</w:t>
      </w:r>
      <w:r>
        <w:rPr>
          <w:rFonts w:hint="eastAsia" w:ascii="仿宋" w:hAnsi="仿宋" w:eastAsia="仿宋" w:cs="仿宋"/>
          <w:sz w:val="24"/>
          <w:szCs w:val="24"/>
        </w:rPr>
        <w:t>在中国境内完成。</w:t>
      </w:r>
    </w:p>
    <w:p w14:paraId="3D86B9A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w:t>
      </w:r>
    </w:p>
    <w:p w14:paraId="15C135B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本公司（单位）对上述声明内容的真实性负责。如有虚假，愿承担相应法律责任。</w:t>
      </w:r>
    </w:p>
    <w:p w14:paraId="2D7A8AC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rPr>
          <w:rFonts w:hint="eastAsia" w:ascii="仿宋" w:hAnsi="仿宋" w:eastAsia="仿宋" w:cs="仿宋"/>
          <w:sz w:val="24"/>
          <w:szCs w:val="24"/>
        </w:rPr>
      </w:pPr>
    </w:p>
    <w:p w14:paraId="3BA58A3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right"/>
        <w:rPr>
          <w:rFonts w:hint="eastAsia" w:ascii="仿宋" w:hAnsi="仿宋" w:eastAsia="仿宋" w:cs="仿宋"/>
          <w:sz w:val="24"/>
          <w:szCs w:val="24"/>
        </w:rPr>
      </w:pPr>
      <w:r>
        <w:rPr>
          <w:rFonts w:hint="eastAsia" w:ascii="仿宋" w:hAnsi="仿宋" w:eastAsia="仿宋" w:cs="仿宋"/>
          <w:sz w:val="24"/>
          <w:szCs w:val="24"/>
        </w:rPr>
        <w:t>公司（单位）名称（盖章）：　        </w:t>
      </w:r>
    </w:p>
    <w:p w14:paraId="77BEFF8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right"/>
        <w:rPr>
          <w:rFonts w:hint="eastAsia" w:ascii="仿宋" w:hAnsi="仿宋" w:eastAsia="仿宋" w:cs="仿宋"/>
          <w:sz w:val="24"/>
          <w:szCs w:val="24"/>
        </w:rPr>
      </w:pPr>
      <w:r>
        <w:rPr>
          <w:rFonts w:hint="eastAsia" w:ascii="仿宋" w:hAnsi="仿宋" w:eastAsia="仿宋" w:cs="仿宋"/>
          <w:sz w:val="24"/>
          <w:szCs w:val="24"/>
        </w:rPr>
        <w:t>日期：　     年　  月　  日         </w:t>
      </w:r>
    </w:p>
    <w:p w14:paraId="4AE5BFE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left"/>
        <w:rPr>
          <w:rFonts w:hint="eastAsia" w:ascii="仿宋" w:hAnsi="仿宋" w:eastAsia="仿宋" w:cs="仿宋"/>
          <w:sz w:val="24"/>
          <w:szCs w:val="24"/>
        </w:rPr>
      </w:pPr>
      <w:r>
        <w:rPr>
          <w:rFonts w:hint="eastAsia" w:ascii="仿宋" w:hAnsi="仿宋" w:eastAsia="仿宋" w:cs="仿宋"/>
          <w:sz w:val="24"/>
          <w:szCs w:val="24"/>
        </w:rPr>
        <w:t>__________________</w:t>
      </w:r>
    </w:p>
    <w:p w14:paraId="5AEB0D7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1.产品如有型号，请在“产品名称”栏一并填写。</w:t>
      </w:r>
    </w:p>
    <w:p w14:paraId="7AB730F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2.生产厂名与厂址应与生产厂营业执照载明的相关信息保持一致。</w:t>
      </w:r>
    </w:p>
    <w:p w14:paraId="4E57D7A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3.该产品的中国境内生产的组件成本占比相关要求实施前，“规定比例”栏可不填，下同。</w:t>
      </w:r>
    </w:p>
    <w:p w14:paraId="5FEDD73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4.该产品的关键组件要求实施前，“关键组件”栏可不填，下同。</w:t>
      </w:r>
    </w:p>
    <w:p w14:paraId="376BB97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5.该产品的关键工序要求实施前，“关键工序”栏可不填，下同。</w:t>
      </w:r>
    </w:p>
    <w:p w14:paraId="2FF0477B">
      <w:pPr>
        <w:spacing w:line="300" w:lineRule="exact"/>
        <w:jc w:val="center"/>
        <w:rPr>
          <w:rFonts w:hint="eastAsia" w:ascii="仿宋" w:hAnsi="仿宋" w:eastAsia="仿宋" w:cs="仿宋"/>
          <w:b/>
          <w:bCs/>
          <w:highlight w:val="none"/>
        </w:rPr>
      </w:pPr>
    </w:p>
    <w:p w14:paraId="062A5FE8">
      <w:pPr>
        <w:spacing w:line="300" w:lineRule="exact"/>
        <w:jc w:val="center"/>
        <w:rPr>
          <w:rFonts w:hint="eastAsia" w:ascii="仿宋" w:hAnsi="仿宋" w:eastAsia="仿宋" w:cs="仿宋"/>
          <w:b/>
          <w:bCs/>
          <w:highlight w:val="none"/>
        </w:rPr>
      </w:pPr>
    </w:p>
    <w:p w14:paraId="234CD55F">
      <w:pPr>
        <w:spacing w:line="300" w:lineRule="exact"/>
        <w:jc w:val="center"/>
        <w:rPr>
          <w:rFonts w:hint="eastAsia" w:ascii="仿宋" w:hAnsi="仿宋" w:eastAsia="仿宋" w:cs="仿宋"/>
          <w:b/>
          <w:bCs/>
          <w:highlight w:val="none"/>
        </w:rPr>
      </w:pPr>
    </w:p>
    <w:p w14:paraId="071F8D72">
      <w:pPr>
        <w:spacing w:line="300" w:lineRule="exact"/>
        <w:jc w:val="center"/>
        <w:rPr>
          <w:rFonts w:hint="eastAsia" w:ascii="仿宋" w:hAnsi="仿宋" w:eastAsia="仿宋" w:cs="仿宋"/>
          <w:b/>
          <w:bCs/>
          <w:highlight w:val="none"/>
        </w:rPr>
      </w:pPr>
    </w:p>
    <w:p w14:paraId="2EEB315C">
      <w:pPr>
        <w:spacing w:line="300" w:lineRule="exact"/>
        <w:jc w:val="center"/>
        <w:rPr>
          <w:rFonts w:hint="eastAsia" w:ascii="仿宋" w:hAnsi="仿宋" w:eastAsia="仿宋" w:cs="仿宋"/>
          <w:b/>
          <w:bCs/>
          <w:highlight w:val="none"/>
        </w:rPr>
      </w:pPr>
    </w:p>
    <w:p w14:paraId="1D6106D7">
      <w:pPr>
        <w:spacing w:line="300" w:lineRule="exact"/>
        <w:jc w:val="center"/>
        <w:rPr>
          <w:rFonts w:hint="eastAsia" w:ascii="仿宋" w:hAnsi="仿宋" w:eastAsia="仿宋" w:cs="仿宋"/>
          <w:b/>
          <w:bCs/>
          <w:highlight w:val="none"/>
        </w:rPr>
      </w:pPr>
    </w:p>
    <w:p w14:paraId="3D9FAFD4">
      <w:pPr>
        <w:spacing w:line="300" w:lineRule="exact"/>
        <w:jc w:val="center"/>
        <w:rPr>
          <w:rFonts w:hint="eastAsia" w:ascii="仿宋" w:hAnsi="仿宋" w:eastAsia="仿宋" w:cs="仿宋"/>
          <w:b/>
          <w:bCs/>
          <w:highlight w:val="none"/>
        </w:rPr>
      </w:pPr>
    </w:p>
    <w:p w14:paraId="74480316">
      <w:pPr>
        <w:rPr>
          <w:highlight w:val="none"/>
        </w:rPr>
      </w:pPr>
    </w:p>
    <w:sectPr>
      <w:headerReference r:id="rId12" w:type="default"/>
      <w:footerReference r:id="rId13" w:type="default"/>
      <w:pgSz w:w="11907" w:h="16840"/>
      <w:pgMar w:top="1440" w:right="1531" w:bottom="1440" w:left="1531"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西文正文)">
    <w:altName w:val="宋体"/>
    <w:panose1 w:val="00000000000000000000"/>
    <w:charset w:val="86"/>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A69AF">
    <w:pPr>
      <w:pStyle w:val="13"/>
      <w:ind w:right="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D5E57">
    <w:pPr>
      <w:pStyle w:val="13"/>
      <w:ind w:right="360"/>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9DC7D">
    <w:pPr>
      <w:pStyle w:val="13"/>
      <w:ind w:right="36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2BEFB4">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A2BEFB4">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FC187">
    <w:pPr>
      <w:pStyle w:val="13"/>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31E724">
                          <w:pPr>
                            <w:pStyle w:val="13"/>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D31E724">
                    <w:pPr>
                      <w:pStyle w:val="13"/>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34937">
    <w:pPr>
      <w:pStyle w:val="1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6F874C">
                          <w:pPr>
                            <w:pStyle w:val="1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16F874C">
                    <w:pPr>
                      <w:pStyle w:val="1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D45B4">
    <w:pPr>
      <w:pStyle w:val="13"/>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6E01DC">
                          <w:pPr>
                            <w:pStyle w:val="13"/>
                          </w:pPr>
                          <w:r>
                            <w:fldChar w:fldCharType="begin"/>
                          </w:r>
                          <w:r>
                            <w:instrText xml:space="preserve"> PAGE  \* MERGEFORMAT </w:instrText>
                          </w:r>
                          <w:r>
                            <w:fldChar w:fldCharType="separate"/>
                          </w:r>
                          <w:r>
                            <w:t>- 19 -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F6E01DC">
                    <w:pPr>
                      <w:pStyle w:val="13"/>
                    </w:pPr>
                    <w:r>
                      <w:fldChar w:fldCharType="begin"/>
                    </w:r>
                    <w:r>
                      <w:instrText xml:space="preserve"> PAGE  \* MERGEFORMAT </w:instrText>
                    </w:r>
                    <w:r>
                      <w:fldChar w:fldCharType="separate"/>
                    </w:r>
                    <w:r>
                      <w:t>- 19 -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4F760">
    <w:pPr>
      <w:pStyle w:val="13"/>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256C85">
                          <w:pPr>
                            <w:pStyle w:val="13"/>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B256C85">
                    <w:pPr>
                      <w:pStyle w:val="13"/>
                    </w:pPr>
                    <w:r>
                      <w:fldChar w:fldCharType="begin"/>
                    </w:r>
                    <w:r>
                      <w:instrText xml:space="preserve"> PAGE  \* MERGEFORMAT </w:instrText>
                    </w:r>
                    <w:r>
                      <w:fldChar w:fldCharType="separate"/>
                    </w:r>
                    <w:r>
                      <w:t>22</w:t>
                    </w:r>
                    <w:r>
                      <w:fldChar w:fldCharType="end"/>
                    </w:r>
                  </w:p>
                </w:txbxContent>
              </v:textbox>
            </v:shape>
          </w:pict>
        </mc:Fallback>
      </mc:AlternateContent>
    </w:r>
  </w:p>
  <w:p w14:paraId="5A4FC637">
    <w:pPr>
      <w:pStyle w:val="13"/>
      <w:ind w:right="360"/>
      <w:jc w:val="cente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052C0">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F377B">
    <w:pPr>
      <w:pStyle w:val="1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F73C3">
    <w:pPr>
      <w:pStyle w:val="1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0CDC7">
    <w:pPr>
      <w:pStyle w:val="14"/>
      <w:pBdr>
        <w:bottom w:val="none" w:color="auto" w:sz="0" w:space="1"/>
      </w:pBdr>
      <w:tabs>
        <w:tab w:val="left" w:pos="1964"/>
        <w:tab w:val="clear" w:pos="4153"/>
      </w:tabs>
      <w:rPr>
        <w:rFonts w:eastAsia="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AA7804"/>
    <w:multiLevelType w:val="singleLevel"/>
    <w:tmpl w:val="94AA7804"/>
    <w:lvl w:ilvl="0" w:tentative="0">
      <w:start w:val="4"/>
      <w:numFmt w:val="chineseCounting"/>
      <w:suff w:val="space"/>
      <w:lvlText w:val="第%1章"/>
      <w:lvlJc w:val="left"/>
      <w:rPr>
        <w:rFonts w:hint="eastAsia"/>
      </w:rPr>
    </w:lvl>
  </w:abstractNum>
  <w:abstractNum w:abstractNumId="1">
    <w:nsid w:val="A5F5FC47"/>
    <w:multiLevelType w:val="singleLevel"/>
    <w:tmpl w:val="A5F5FC47"/>
    <w:lvl w:ilvl="0" w:tentative="0">
      <w:start w:val="2"/>
      <w:numFmt w:val="chineseCounting"/>
      <w:suff w:val="nothing"/>
      <w:lvlText w:val="%1、"/>
      <w:lvlJc w:val="left"/>
      <w:rPr>
        <w:rFonts w:hint="eastAsia"/>
      </w:r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2A2381A"/>
    <w:multiLevelType w:val="singleLevel"/>
    <w:tmpl w:val="D2A2381A"/>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FFEFC674"/>
    <w:multiLevelType w:val="singleLevel"/>
    <w:tmpl w:val="FFEFC674"/>
    <w:lvl w:ilvl="0" w:tentative="0">
      <w:start w:val="1"/>
      <w:numFmt w:val="decimal"/>
      <w:suff w:val="nothing"/>
      <w:lvlText w:val="（%1）"/>
      <w:lvlJc w:val="left"/>
    </w:lvl>
  </w:abstractNum>
  <w:abstractNum w:abstractNumId="9">
    <w:nsid w:val="14BBE4B5"/>
    <w:multiLevelType w:val="singleLevel"/>
    <w:tmpl w:val="14BBE4B5"/>
    <w:lvl w:ilvl="0" w:tentative="0">
      <w:start w:val="4"/>
      <w:numFmt w:val="chineseCounting"/>
      <w:suff w:val="nothing"/>
      <w:lvlText w:val="%1、"/>
      <w:lvlJc w:val="left"/>
      <w:rPr>
        <w:rFonts w:hint="eastAsia"/>
      </w:rPr>
    </w:lvl>
  </w:abstractNum>
  <w:abstractNum w:abstractNumId="10">
    <w:nsid w:val="7A0F6431"/>
    <w:multiLevelType w:val="singleLevel"/>
    <w:tmpl w:val="7A0F6431"/>
    <w:lvl w:ilvl="0" w:tentative="0">
      <w:start w:val="1"/>
      <w:numFmt w:val="decimal"/>
      <w:suff w:val="space"/>
      <w:lvlText w:val="%1."/>
      <w:lvlJc w:val="left"/>
    </w:lvl>
  </w:abstractNum>
  <w:num w:numId="1">
    <w:abstractNumId w:val="1"/>
  </w:num>
  <w:num w:numId="2">
    <w:abstractNumId w:val="9"/>
  </w:num>
  <w:num w:numId="3">
    <w:abstractNumId w:val="0"/>
  </w:num>
  <w:num w:numId="4">
    <w:abstractNumId w:val="4"/>
  </w:num>
  <w:num w:numId="5">
    <w:abstractNumId w:val="10"/>
  </w:num>
  <w:num w:numId="6">
    <w:abstractNumId w:val="3"/>
  </w:num>
  <w:num w:numId="7">
    <w:abstractNumId w:val="8"/>
  </w:num>
  <w:num w:numId="8">
    <w:abstractNumId w:val="6"/>
  </w:num>
  <w:num w:numId="9">
    <w:abstractNumId w:val="5"/>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dit="readOnly" w:enforcement="1" w:cryptProviderType="rsaFull" w:cryptAlgorithmClass="hash" w:cryptAlgorithmType="typeAny" w:cryptAlgorithmSid="4" w:cryptSpinCount="0" w:hash="KWGT59t7LgRfBgSYaGcJSRiSiuE=" w:salt="HrAaWPYkDdG1zfwOI/XEjA=="/>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1YTQxOTcyNGE0MDcwMjE1ZjQ5NGU0Y2E4OWY4NGIifQ=="/>
    <w:docVar w:name="KSO_WPS_MARK_KEY" w:val="f024292f-2037-4f4b-b8ad-df3c48359eb3"/>
  </w:docVars>
  <w:rsids>
    <w:rsidRoot w:val="0C9C7F93"/>
    <w:rsid w:val="00503B0A"/>
    <w:rsid w:val="00515F27"/>
    <w:rsid w:val="00692FA7"/>
    <w:rsid w:val="007E442D"/>
    <w:rsid w:val="00931874"/>
    <w:rsid w:val="00A2246D"/>
    <w:rsid w:val="00D655E0"/>
    <w:rsid w:val="00F30A6C"/>
    <w:rsid w:val="00FB0545"/>
    <w:rsid w:val="01017684"/>
    <w:rsid w:val="012D79D6"/>
    <w:rsid w:val="01412684"/>
    <w:rsid w:val="01437C9C"/>
    <w:rsid w:val="014E71C7"/>
    <w:rsid w:val="01536131"/>
    <w:rsid w:val="015F18B8"/>
    <w:rsid w:val="016B1285"/>
    <w:rsid w:val="027D171F"/>
    <w:rsid w:val="02806E6A"/>
    <w:rsid w:val="028C7AB9"/>
    <w:rsid w:val="02A037F9"/>
    <w:rsid w:val="02C81FCE"/>
    <w:rsid w:val="02E903CF"/>
    <w:rsid w:val="03004097"/>
    <w:rsid w:val="0336100D"/>
    <w:rsid w:val="03AA4003"/>
    <w:rsid w:val="03EC461B"/>
    <w:rsid w:val="03F434D0"/>
    <w:rsid w:val="040748EE"/>
    <w:rsid w:val="040D493C"/>
    <w:rsid w:val="040E05DA"/>
    <w:rsid w:val="04137DFA"/>
    <w:rsid w:val="042042C5"/>
    <w:rsid w:val="044955CA"/>
    <w:rsid w:val="046B3792"/>
    <w:rsid w:val="04820ADC"/>
    <w:rsid w:val="04AC5B58"/>
    <w:rsid w:val="04BE329E"/>
    <w:rsid w:val="04C80EE3"/>
    <w:rsid w:val="0516690A"/>
    <w:rsid w:val="051E27E3"/>
    <w:rsid w:val="053578FC"/>
    <w:rsid w:val="05393118"/>
    <w:rsid w:val="05B22C25"/>
    <w:rsid w:val="05B570B3"/>
    <w:rsid w:val="05CB2A98"/>
    <w:rsid w:val="05D86EF8"/>
    <w:rsid w:val="05EA4B8A"/>
    <w:rsid w:val="06073345"/>
    <w:rsid w:val="061834A6"/>
    <w:rsid w:val="061A744C"/>
    <w:rsid w:val="061E4531"/>
    <w:rsid w:val="0673692E"/>
    <w:rsid w:val="067F1859"/>
    <w:rsid w:val="06AE6EE3"/>
    <w:rsid w:val="07356D81"/>
    <w:rsid w:val="0747450D"/>
    <w:rsid w:val="07585EEB"/>
    <w:rsid w:val="07740BAF"/>
    <w:rsid w:val="079254DA"/>
    <w:rsid w:val="079A613C"/>
    <w:rsid w:val="07AE7E64"/>
    <w:rsid w:val="07B72A61"/>
    <w:rsid w:val="08730C30"/>
    <w:rsid w:val="09251C79"/>
    <w:rsid w:val="093F373F"/>
    <w:rsid w:val="095D32ED"/>
    <w:rsid w:val="0972088C"/>
    <w:rsid w:val="09AA18C7"/>
    <w:rsid w:val="09B2776D"/>
    <w:rsid w:val="09BD393E"/>
    <w:rsid w:val="09C717CE"/>
    <w:rsid w:val="09D34EA3"/>
    <w:rsid w:val="0A1440C2"/>
    <w:rsid w:val="0A54281E"/>
    <w:rsid w:val="0A5C592B"/>
    <w:rsid w:val="0A6071C9"/>
    <w:rsid w:val="0A8B0303"/>
    <w:rsid w:val="0AEC3153"/>
    <w:rsid w:val="0B4F4B0E"/>
    <w:rsid w:val="0B934BF2"/>
    <w:rsid w:val="0BBF2615"/>
    <w:rsid w:val="0BDA11FD"/>
    <w:rsid w:val="0C1D721E"/>
    <w:rsid w:val="0C3B7BAC"/>
    <w:rsid w:val="0C4548C9"/>
    <w:rsid w:val="0C5A16B8"/>
    <w:rsid w:val="0C6C0B73"/>
    <w:rsid w:val="0C6F5DE9"/>
    <w:rsid w:val="0C9C7F93"/>
    <w:rsid w:val="0CB07405"/>
    <w:rsid w:val="0CB07925"/>
    <w:rsid w:val="0CCA5D9A"/>
    <w:rsid w:val="0CDF1715"/>
    <w:rsid w:val="0CE06855"/>
    <w:rsid w:val="0D127370"/>
    <w:rsid w:val="0D13646A"/>
    <w:rsid w:val="0D380F2E"/>
    <w:rsid w:val="0D571DC7"/>
    <w:rsid w:val="0D76388D"/>
    <w:rsid w:val="0D9D69FB"/>
    <w:rsid w:val="0DB11994"/>
    <w:rsid w:val="0DB92CD8"/>
    <w:rsid w:val="0DBA7538"/>
    <w:rsid w:val="0DBD1FCB"/>
    <w:rsid w:val="0DC3019B"/>
    <w:rsid w:val="0DCF7CC3"/>
    <w:rsid w:val="0DF30B86"/>
    <w:rsid w:val="0DF94568"/>
    <w:rsid w:val="0DFA0823"/>
    <w:rsid w:val="0E0F1632"/>
    <w:rsid w:val="0E3148C3"/>
    <w:rsid w:val="0E5E6115"/>
    <w:rsid w:val="0E5E6480"/>
    <w:rsid w:val="0E9C01D8"/>
    <w:rsid w:val="0ECB0D56"/>
    <w:rsid w:val="0ECC7523"/>
    <w:rsid w:val="0ED67285"/>
    <w:rsid w:val="0EF44384"/>
    <w:rsid w:val="0F3C1D22"/>
    <w:rsid w:val="0F4818C3"/>
    <w:rsid w:val="0F6907A1"/>
    <w:rsid w:val="0F6E05DA"/>
    <w:rsid w:val="0F972CB2"/>
    <w:rsid w:val="0FA47B58"/>
    <w:rsid w:val="10013163"/>
    <w:rsid w:val="10305890"/>
    <w:rsid w:val="10345E59"/>
    <w:rsid w:val="10352EA6"/>
    <w:rsid w:val="1045133B"/>
    <w:rsid w:val="107E65FB"/>
    <w:rsid w:val="10855441"/>
    <w:rsid w:val="10921978"/>
    <w:rsid w:val="10B55FDB"/>
    <w:rsid w:val="10B84EDA"/>
    <w:rsid w:val="10C74DC6"/>
    <w:rsid w:val="10D34B99"/>
    <w:rsid w:val="10DC323C"/>
    <w:rsid w:val="10FB1F86"/>
    <w:rsid w:val="11034D52"/>
    <w:rsid w:val="110765F0"/>
    <w:rsid w:val="111D7BC2"/>
    <w:rsid w:val="11513D10"/>
    <w:rsid w:val="116972AB"/>
    <w:rsid w:val="116B3023"/>
    <w:rsid w:val="116F251B"/>
    <w:rsid w:val="11721BDA"/>
    <w:rsid w:val="11722D3F"/>
    <w:rsid w:val="11731ED8"/>
    <w:rsid w:val="117443FC"/>
    <w:rsid w:val="119C3939"/>
    <w:rsid w:val="11DD37F5"/>
    <w:rsid w:val="11E071A5"/>
    <w:rsid w:val="12062D4C"/>
    <w:rsid w:val="1216028B"/>
    <w:rsid w:val="127C1B91"/>
    <w:rsid w:val="12902616"/>
    <w:rsid w:val="12931B0E"/>
    <w:rsid w:val="12A54B95"/>
    <w:rsid w:val="12AD49AB"/>
    <w:rsid w:val="12B427A8"/>
    <w:rsid w:val="12E56E05"/>
    <w:rsid w:val="12EA3E8A"/>
    <w:rsid w:val="131E786B"/>
    <w:rsid w:val="13206B01"/>
    <w:rsid w:val="13274D28"/>
    <w:rsid w:val="13967C7E"/>
    <w:rsid w:val="13C01947"/>
    <w:rsid w:val="13C44C6D"/>
    <w:rsid w:val="13C76DC2"/>
    <w:rsid w:val="140F1E08"/>
    <w:rsid w:val="14972381"/>
    <w:rsid w:val="149E570D"/>
    <w:rsid w:val="14A25D60"/>
    <w:rsid w:val="14A640EC"/>
    <w:rsid w:val="14E240AF"/>
    <w:rsid w:val="15021F9A"/>
    <w:rsid w:val="152C2AC9"/>
    <w:rsid w:val="1555669C"/>
    <w:rsid w:val="156C5BE0"/>
    <w:rsid w:val="15875C62"/>
    <w:rsid w:val="158F171D"/>
    <w:rsid w:val="159A258D"/>
    <w:rsid w:val="15EA4303"/>
    <w:rsid w:val="162A0771"/>
    <w:rsid w:val="168801D3"/>
    <w:rsid w:val="169F0DC7"/>
    <w:rsid w:val="16E573D4"/>
    <w:rsid w:val="16FF2FA2"/>
    <w:rsid w:val="17012DAF"/>
    <w:rsid w:val="17072BD0"/>
    <w:rsid w:val="17094BD3"/>
    <w:rsid w:val="17312619"/>
    <w:rsid w:val="178F10EE"/>
    <w:rsid w:val="179E5CC1"/>
    <w:rsid w:val="17D902C3"/>
    <w:rsid w:val="17DF7A95"/>
    <w:rsid w:val="17FA5D26"/>
    <w:rsid w:val="181D75CF"/>
    <w:rsid w:val="18295C0C"/>
    <w:rsid w:val="18636858"/>
    <w:rsid w:val="18793094"/>
    <w:rsid w:val="18C57495"/>
    <w:rsid w:val="18E41886"/>
    <w:rsid w:val="194859F8"/>
    <w:rsid w:val="195A27CD"/>
    <w:rsid w:val="196A733A"/>
    <w:rsid w:val="199A412C"/>
    <w:rsid w:val="19C239FC"/>
    <w:rsid w:val="19E71715"/>
    <w:rsid w:val="19E742B7"/>
    <w:rsid w:val="19FF69FF"/>
    <w:rsid w:val="1A20076C"/>
    <w:rsid w:val="1A54500F"/>
    <w:rsid w:val="1AA41F89"/>
    <w:rsid w:val="1AAF41A0"/>
    <w:rsid w:val="1ADF51F6"/>
    <w:rsid w:val="1B0E4A1F"/>
    <w:rsid w:val="1B1B68DF"/>
    <w:rsid w:val="1B230233"/>
    <w:rsid w:val="1B351FAC"/>
    <w:rsid w:val="1B4B5C73"/>
    <w:rsid w:val="1BB94916"/>
    <w:rsid w:val="1BD40628"/>
    <w:rsid w:val="1BD6378F"/>
    <w:rsid w:val="1BD866B3"/>
    <w:rsid w:val="1C314E69"/>
    <w:rsid w:val="1C416B4B"/>
    <w:rsid w:val="1C590F97"/>
    <w:rsid w:val="1C5A3690"/>
    <w:rsid w:val="1CA55A53"/>
    <w:rsid w:val="1CAA5CF0"/>
    <w:rsid w:val="1CC96023"/>
    <w:rsid w:val="1CF06DD4"/>
    <w:rsid w:val="1D0D1D03"/>
    <w:rsid w:val="1D0E157D"/>
    <w:rsid w:val="1D0F4FD3"/>
    <w:rsid w:val="1D6D4503"/>
    <w:rsid w:val="1D96685A"/>
    <w:rsid w:val="1DB00ED7"/>
    <w:rsid w:val="1E0D7210"/>
    <w:rsid w:val="1E43278B"/>
    <w:rsid w:val="1E546A7D"/>
    <w:rsid w:val="1E682743"/>
    <w:rsid w:val="1E7B7557"/>
    <w:rsid w:val="1E7C21F2"/>
    <w:rsid w:val="1EAE0C12"/>
    <w:rsid w:val="1ED8781E"/>
    <w:rsid w:val="1EE73601"/>
    <w:rsid w:val="1F2844E0"/>
    <w:rsid w:val="1F3F33F9"/>
    <w:rsid w:val="1F4629DA"/>
    <w:rsid w:val="1F694017"/>
    <w:rsid w:val="1F8362F2"/>
    <w:rsid w:val="1FB262C1"/>
    <w:rsid w:val="1FBD445B"/>
    <w:rsid w:val="1FC81641"/>
    <w:rsid w:val="1FCF190A"/>
    <w:rsid w:val="200B5372"/>
    <w:rsid w:val="200C3C23"/>
    <w:rsid w:val="203E7BDF"/>
    <w:rsid w:val="204213F3"/>
    <w:rsid w:val="20717DDD"/>
    <w:rsid w:val="20AF2305"/>
    <w:rsid w:val="20BD44DA"/>
    <w:rsid w:val="20D67D8D"/>
    <w:rsid w:val="20F61771"/>
    <w:rsid w:val="21404558"/>
    <w:rsid w:val="215F6B10"/>
    <w:rsid w:val="219739C1"/>
    <w:rsid w:val="219F6400"/>
    <w:rsid w:val="21CB262D"/>
    <w:rsid w:val="21E62252"/>
    <w:rsid w:val="21F52495"/>
    <w:rsid w:val="21FD6A0F"/>
    <w:rsid w:val="220A5F40"/>
    <w:rsid w:val="22420BCB"/>
    <w:rsid w:val="22732647"/>
    <w:rsid w:val="22840764"/>
    <w:rsid w:val="228E54DF"/>
    <w:rsid w:val="22974477"/>
    <w:rsid w:val="22AB08F8"/>
    <w:rsid w:val="22D417A1"/>
    <w:rsid w:val="231F71F7"/>
    <w:rsid w:val="236A7AE4"/>
    <w:rsid w:val="23736A25"/>
    <w:rsid w:val="23791F56"/>
    <w:rsid w:val="23A15A2A"/>
    <w:rsid w:val="23BE5A2F"/>
    <w:rsid w:val="23DE75B9"/>
    <w:rsid w:val="240C0654"/>
    <w:rsid w:val="24424696"/>
    <w:rsid w:val="245A6D69"/>
    <w:rsid w:val="245E0B7B"/>
    <w:rsid w:val="24BC1F84"/>
    <w:rsid w:val="24C75587"/>
    <w:rsid w:val="24F14E5A"/>
    <w:rsid w:val="251315B0"/>
    <w:rsid w:val="25210113"/>
    <w:rsid w:val="25461971"/>
    <w:rsid w:val="254D31FF"/>
    <w:rsid w:val="25706A02"/>
    <w:rsid w:val="259D6928"/>
    <w:rsid w:val="25A44C97"/>
    <w:rsid w:val="25D9751E"/>
    <w:rsid w:val="25FA00A6"/>
    <w:rsid w:val="2601765A"/>
    <w:rsid w:val="262D58AD"/>
    <w:rsid w:val="268246F7"/>
    <w:rsid w:val="268857AE"/>
    <w:rsid w:val="268D0316"/>
    <w:rsid w:val="26964247"/>
    <w:rsid w:val="26A24E49"/>
    <w:rsid w:val="26CB1A16"/>
    <w:rsid w:val="26D057A2"/>
    <w:rsid w:val="26D7485F"/>
    <w:rsid w:val="26DE6671"/>
    <w:rsid w:val="26E23E89"/>
    <w:rsid w:val="26FE23DB"/>
    <w:rsid w:val="27012B4D"/>
    <w:rsid w:val="270D130B"/>
    <w:rsid w:val="27246B72"/>
    <w:rsid w:val="27397168"/>
    <w:rsid w:val="273B4E0F"/>
    <w:rsid w:val="2799105C"/>
    <w:rsid w:val="27BD6152"/>
    <w:rsid w:val="27EE608E"/>
    <w:rsid w:val="28066922"/>
    <w:rsid w:val="28185E93"/>
    <w:rsid w:val="28247630"/>
    <w:rsid w:val="28381880"/>
    <w:rsid w:val="28887BBF"/>
    <w:rsid w:val="289E73E3"/>
    <w:rsid w:val="28B46C06"/>
    <w:rsid w:val="28FF33EB"/>
    <w:rsid w:val="291B4ED7"/>
    <w:rsid w:val="293164A9"/>
    <w:rsid w:val="293B70DF"/>
    <w:rsid w:val="295C0DFA"/>
    <w:rsid w:val="296F7074"/>
    <w:rsid w:val="29845D7B"/>
    <w:rsid w:val="29AB614E"/>
    <w:rsid w:val="29F6324E"/>
    <w:rsid w:val="29F91618"/>
    <w:rsid w:val="2A0C2A72"/>
    <w:rsid w:val="2A0E5DBE"/>
    <w:rsid w:val="2A755335"/>
    <w:rsid w:val="2AA66A22"/>
    <w:rsid w:val="2AC35EDE"/>
    <w:rsid w:val="2ACB2E39"/>
    <w:rsid w:val="2ACB4A01"/>
    <w:rsid w:val="2AE23476"/>
    <w:rsid w:val="2AF07C38"/>
    <w:rsid w:val="2B046CEE"/>
    <w:rsid w:val="2B0D6FF4"/>
    <w:rsid w:val="2B2168FA"/>
    <w:rsid w:val="2B5C7E5F"/>
    <w:rsid w:val="2BB87FA4"/>
    <w:rsid w:val="2BBC2C08"/>
    <w:rsid w:val="2BE55328"/>
    <w:rsid w:val="2BF37A45"/>
    <w:rsid w:val="2C056A30"/>
    <w:rsid w:val="2C382855"/>
    <w:rsid w:val="2C523E1D"/>
    <w:rsid w:val="2C7627DA"/>
    <w:rsid w:val="2C8C01EC"/>
    <w:rsid w:val="2C9A797F"/>
    <w:rsid w:val="2CB725A1"/>
    <w:rsid w:val="2CB76CC5"/>
    <w:rsid w:val="2CF142F5"/>
    <w:rsid w:val="2D1D40F5"/>
    <w:rsid w:val="2D2B73A4"/>
    <w:rsid w:val="2D3D2140"/>
    <w:rsid w:val="2D8B2D0C"/>
    <w:rsid w:val="2DA171B8"/>
    <w:rsid w:val="2DC463AD"/>
    <w:rsid w:val="2DC86057"/>
    <w:rsid w:val="2DD85AA7"/>
    <w:rsid w:val="2DFB38BB"/>
    <w:rsid w:val="2E0A72C8"/>
    <w:rsid w:val="2E13002A"/>
    <w:rsid w:val="2E16246C"/>
    <w:rsid w:val="2E2317B0"/>
    <w:rsid w:val="2E5F3D5D"/>
    <w:rsid w:val="2E7472D5"/>
    <w:rsid w:val="2E9266F5"/>
    <w:rsid w:val="2E9A2581"/>
    <w:rsid w:val="2E9B785C"/>
    <w:rsid w:val="2ED53228"/>
    <w:rsid w:val="2F0F103A"/>
    <w:rsid w:val="2F53296E"/>
    <w:rsid w:val="2F723377"/>
    <w:rsid w:val="2FA8323D"/>
    <w:rsid w:val="2FBC2096"/>
    <w:rsid w:val="2FC736C3"/>
    <w:rsid w:val="2FDB5AB7"/>
    <w:rsid w:val="30004E27"/>
    <w:rsid w:val="302E00A6"/>
    <w:rsid w:val="30494BBA"/>
    <w:rsid w:val="305A396A"/>
    <w:rsid w:val="3067704F"/>
    <w:rsid w:val="306B6744"/>
    <w:rsid w:val="3076191B"/>
    <w:rsid w:val="30843362"/>
    <w:rsid w:val="30974D78"/>
    <w:rsid w:val="309E73C6"/>
    <w:rsid w:val="30A60DFE"/>
    <w:rsid w:val="30C46FA8"/>
    <w:rsid w:val="30C75005"/>
    <w:rsid w:val="30E57EA2"/>
    <w:rsid w:val="310C5C90"/>
    <w:rsid w:val="3110183B"/>
    <w:rsid w:val="3124258B"/>
    <w:rsid w:val="312A69F2"/>
    <w:rsid w:val="312D39F9"/>
    <w:rsid w:val="313F60D3"/>
    <w:rsid w:val="31556AAC"/>
    <w:rsid w:val="3158447B"/>
    <w:rsid w:val="316379FD"/>
    <w:rsid w:val="31B163D9"/>
    <w:rsid w:val="31BF0BEB"/>
    <w:rsid w:val="32790787"/>
    <w:rsid w:val="328E3736"/>
    <w:rsid w:val="32D21C0A"/>
    <w:rsid w:val="32DD144F"/>
    <w:rsid w:val="33180240"/>
    <w:rsid w:val="332D1007"/>
    <w:rsid w:val="33341A1A"/>
    <w:rsid w:val="33477A49"/>
    <w:rsid w:val="336E5337"/>
    <w:rsid w:val="338C66A3"/>
    <w:rsid w:val="339B16B5"/>
    <w:rsid w:val="33AD0E22"/>
    <w:rsid w:val="34093847"/>
    <w:rsid w:val="341D145F"/>
    <w:rsid w:val="343432F1"/>
    <w:rsid w:val="34480B4A"/>
    <w:rsid w:val="344E7E86"/>
    <w:rsid w:val="347706C9"/>
    <w:rsid w:val="34806536"/>
    <w:rsid w:val="34AF4725"/>
    <w:rsid w:val="34B93816"/>
    <w:rsid w:val="34E83FCE"/>
    <w:rsid w:val="34EF0FC6"/>
    <w:rsid w:val="3569040F"/>
    <w:rsid w:val="358B06F9"/>
    <w:rsid w:val="35D67A0B"/>
    <w:rsid w:val="35DD6DB2"/>
    <w:rsid w:val="3615084C"/>
    <w:rsid w:val="36402451"/>
    <w:rsid w:val="368556C6"/>
    <w:rsid w:val="36A73EA8"/>
    <w:rsid w:val="36C47130"/>
    <w:rsid w:val="36CE7200"/>
    <w:rsid w:val="36D5775D"/>
    <w:rsid w:val="36E36F5C"/>
    <w:rsid w:val="36EA7C97"/>
    <w:rsid w:val="36FF1994"/>
    <w:rsid w:val="378356B5"/>
    <w:rsid w:val="37A04D9E"/>
    <w:rsid w:val="37AF6C9F"/>
    <w:rsid w:val="37CC1165"/>
    <w:rsid w:val="37ED3703"/>
    <w:rsid w:val="37FA5434"/>
    <w:rsid w:val="382B374F"/>
    <w:rsid w:val="383E5A18"/>
    <w:rsid w:val="38433B03"/>
    <w:rsid w:val="384D5316"/>
    <w:rsid w:val="386F48F8"/>
    <w:rsid w:val="38CC1BCC"/>
    <w:rsid w:val="38D429AD"/>
    <w:rsid w:val="38D806EF"/>
    <w:rsid w:val="38EE7F12"/>
    <w:rsid w:val="38FE11AE"/>
    <w:rsid w:val="38FF0408"/>
    <w:rsid w:val="39173854"/>
    <w:rsid w:val="39535010"/>
    <w:rsid w:val="39657AA9"/>
    <w:rsid w:val="396C52DB"/>
    <w:rsid w:val="396E0C56"/>
    <w:rsid w:val="39EB1B05"/>
    <w:rsid w:val="39EB6200"/>
    <w:rsid w:val="3A275655"/>
    <w:rsid w:val="3A4C06E3"/>
    <w:rsid w:val="3A52002D"/>
    <w:rsid w:val="3A5E1F81"/>
    <w:rsid w:val="3A6C2245"/>
    <w:rsid w:val="3A845701"/>
    <w:rsid w:val="3AB331C1"/>
    <w:rsid w:val="3ABC7B9C"/>
    <w:rsid w:val="3B01476E"/>
    <w:rsid w:val="3B3B0486"/>
    <w:rsid w:val="3B4A33FA"/>
    <w:rsid w:val="3B6B581C"/>
    <w:rsid w:val="3B796D27"/>
    <w:rsid w:val="3B903EB7"/>
    <w:rsid w:val="3BB23ABF"/>
    <w:rsid w:val="3BC13C47"/>
    <w:rsid w:val="3BD61540"/>
    <w:rsid w:val="3C11041A"/>
    <w:rsid w:val="3C9115B1"/>
    <w:rsid w:val="3CAB3899"/>
    <w:rsid w:val="3CB708C4"/>
    <w:rsid w:val="3CCD0C65"/>
    <w:rsid w:val="3CFD5A3B"/>
    <w:rsid w:val="3D0A362A"/>
    <w:rsid w:val="3D125F5D"/>
    <w:rsid w:val="3D39463C"/>
    <w:rsid w:val="3D3D742D"/>
    <w:rsid w:val="3D3E5B6F"/>
    <w:rsid w:val="3D453E79"/>
    <w:rsid w:val="3D6C527F"/>
    <w:rsid w:val="3D6D068E"/>
    <w:rsid w:val="3D937249"/>
    <w:rsid w:val="3DAD5DC2"/>
    <w:rsid w:val="3DE75647"/>
    <w:rsid w:val="3E2B306F"/>
    <w:rsid w:val="3E383001"/>
    <w:rsid w:val="3E3B779B"/>
    <w:rsid w:val="3E5B27A0"/>
    <w:rsid w:val="3E7E34A1"/>
    <w:rsid w:val="3E9F580B"/>
    <w:rsid w:val="3EC64A0B"/>
    <w:rsid w:val="3ED07B0D"/>
    <w:rsid w:val="3EE55913"/>
    <w:rsid w:val="3EFB6EE5"/>
    <w:rsid w:val="3F470609"/>
    <w:rsid w:val="3F4A19DB"/>
    <w:rsid w:val="3F682A92"/>
    <w:rsid w:val="3F735881"/>
    <w:rsid w:val="3FA34CA1"/>
    <w:rsid w:val="3FB60FE9"/>
    <w:rsid w:val="3FB83028"/>
    <w:rsid w:val="3FC5103D"/>
    <w:rsid w:val="3FE77469"/>
    <w:rsid w:val="407236CC"/>
    <w:rsid w:val="40DE1B98"/>
    <w:rsid w:val="40E51BFB"/>
    <w:rsid w:val="41032227"/>
    <w:rsid w:val="413770D3"/>
    <w:rsid w:val="41A85037"/>
    <w:rsid w:val="41BE642C"/>
    <w:rsid w:val="41FE7934"/>
    <w:rsid w:val="420E5181"/>
    <w:rsid w:val="42185782"/>
    <w:rsid w:val="4226071D"/>
    <w:rsid w:val="422C04F0"/>
    <w:rsid w:val="423538BF"/>
    <w:rsid w:val="424961B9"/>
    <w:rsid w:val="425B6673"/>
    <w:rsid w:val="42785D1A"/>
    <w:rsid w:val="42AC2CD5"/>
    <w:rsid w:val="42BC4BDD"/>
    <w:rsid w:val="42FC76D0"/>
    <w:rsid w:val="430D71E7"/>
    <w:rsid w:val="43241213"/>
    <w:rsid w:val="433A2420"/>
    <w:rsid w:val="436275FE"/>
    <w:rsid w:val="436311DB"/>
    <w:rsid w:val="43713C1A"/>
    <w:rsid w:val="43816001"/>
    <w:rsid w:val="43B13CE0"/>
    <w:rsid w:val="4402047A"/>
    <w:rsid w:val="4427252A"/>
    <w:rsid w:val="446D6912"/>
    <w:rsid w:val="44840AF6"/>
    <w:rsid w:val="44AA3B64"/>
    <w:rsid w:val="44C935E1"/>
    <w:rsid w:val="44FE772F"/>
    <w:rsid w:val="452304CE"/>
    <w:rsid w:val="45513D03"/>
    <w:rsid w:val="45637592"/>
    <w:rsid w:val="45A51C71"/>
    <w:rsid w:val="45FA3E42"/>
    <w:rsid w:val="46135DD9"/>
    <w:rsid w:val="462646F7"/>
    <w:rsid w:val="46492C2C"/>
    <w:rsid w:val="466247AE"/>
    <w:rsid w:val="46661F6C"/>
    <w:rsid w:val="467D3463"/>
    <w:rsid w:val="468375E3"/>
    <w:rsid w:val="468C2B19"/>
    <w:rsid w:val="469D0882"/>
    <w:rsid w:val="471B300D"/>
    <w:rsid w:val="47297F34"/>
    <w:rsid w:val="47452FAC"/>
    <w:rsid w:val="47475633"/>
    <w:rsid w:val="477B5067"/>
    <w:rsid w:val="47F42563"/>
    <w:rsid w:val="48457423"/>
    <w:rsid w:val="484A750A"/>
    <w:rsid w:val="484B77B5"/>
    <w:rsid w:val="48725DAA"/>
    <w:rsid w:val="4874445C"/>
    <w:rsid w:val="487B4914"/>
    <w:rsid w:val="489D335A"/>
    <w:rsid w:val="48BF0F83"/>
    <w:rsid w:val="48D10CB7"/>
    <w:rsid w:val="48D16F09"/>
    <w:rsid w:val="48E20387"/>
    <w:rsid w:val="48FD385A"/>
    <w:rsid w:val="490A3DF9"/>
    <w:rsid w:val="493D0939"/>
    <w:rsid w:val="495F758F"/>
    <w:rsid w:val="49A40179"/>
    <w:rsid w:val="49B43990"/>
    <w:rsid w:val="49CA4084"/>
    <w:rsid w:val="49D74B3F"/>
    <w:rsid w:val="4A115AFF"/>
    <w:rsid w:val="4AB52F0F"/>
    <w:rsid w:val="4AD22073"/>
    <w:rsid w:val="4AF87040"/>
    <w:rsid w:val="4B072155"/>
    <w:rsid w:val="4B1650A7"/>
    <w:rsid w:val="4B203EEF"/>
    <w:rsid w:val="4B6B17D2"/>
    <w:rsid w:val="4B874F81"/>
    <w:rsid w:val="4BAD134B"/>
    <w:rsid w:val="4C002044"/>
    <w:rsid w:val="4C141197"/>
    <w:rsid w:val="4C1772EB"/>
    <w:rsid w:val="4C4B1BCD"/>
    <w:rsid w:val="4C7837BF"/>
    <w:rsid w:val="4C8147A2"/>
    <w:rsid w:val="4C853F8C"/>
    <w:rsid w:val="4C907FB0"/>
    <w:rsid w:val="4CB86415"/>
    <w:rsid w:val="4CCE6350"/>
    <w:rsid w:val="4D09248C"/>
    <w:rsid w:val="4D1675E0"/>
    <w:rsid w:val="4D6E2F78"/>
    <w:rsid w:val="4D7970B6"/>
    <w:rsid w:val="4DA109BB"/>
    <w:rsid w:val="4DA62525"/>
    <w:rsid w:val="4E1F120D"/>
    <w:rsid w:val="4E290883"/>
    <w:rsid w:val="4E4D2A0C"/>
    <w:rsid w:val="4E5E1FA9"/>
    <w:rsid w:val="4E610CE5"/>
    <w:rsid w:val="4E630A34"/>
    <w:rsid w:val="4E721AC6"/>
    <w:rsid w:val="4E9764FE"/>
    <w:rsid w:val="4E9D5820"/>
    <w:rsid w:val="4EA96071"/>
    <w:rsid w:val="4F515F2B"/>
    <w:rsid w:val="4F674123"/>
    <w:rsid w:val="4F7E5DCA"/>
    <w:rsid w:val="4F842015"/>
    <w:rsid w:val="5084582A"/>
    <w:rsid w:val="50AB1A18"/>
    <w:rsid w:val="514B337F"/>
    <w:rsid w:val="51592CE5"/>
    <w:rsid w:val="51864D34"/>
    <w:rsid w:val="519C1D03"/>
    <w:rsid w:val="51E63A25"/>
    <w:rsid w:val="51FF570F"/>
    <w:rsid w:val="52072E31"/>
    <w:rsid w:val="523E72ED"/>
    <w:rsid w:val="524349D3"/>
    <w:rsid w:val="525560E7"/>
    <w:rsid w:val="527E3C5D"/>
    <w:rsid w:val="52B0193D"/>
    <w:rsid w:val="52D41ACF"/>
    <w:rsid w:val="52F81D65"/>
    <w:rsid w:val="53073C53"/>
    <w:rsid w:val="53296196"/>
    <w:rsid w:val="53427EBF"/>
    <w:rsid w:val="534F73A8"/>
    <w:rsid w:val="535778E6"/>
    <w:rsid w:val="53585B6C"/>
    <w:rsid w:val="53650979"/>
    <w:rsid w:val="53B547AA"/>
    <w:rsid w:val="540967B9"/>
    <w:rsid w:val="541041F0"/>
    <w:rsid w:val="54524F22"/>
    <w:rsid w:val="545D2CC2"/>
    <w:rsid w:val="54634943"/>
    <w:rsid w:val="54703433"/>
    <w:rsid w:val="548B78F4"/>
    <w:rsid w:val="549068D5"/>
    <w:rsid w:val="5491562E"/>
    <w:rsid w:val="54A43119"/>
    <w:rsid w:val="54DE3CC5"/>
    <w:rsid w:val="553D1BAE"/>
    <w:rsid w:val="55450A62"/>
    <w:rsid w:val="55466588"/>
    <w:rsid w:val="558879FE"/>
    <w:rsid w:val="558B2D13"/>
    <w:rsid w:val="55935C72"/>
    <w:rsid w:val="55A90FF1"/>
    <w:rsid w:val="55B128F6"/>
    <w:rsid w:val="55D579CC"/>
    <w:rsid w:val="56191C96"/>
    <w:rsid w:val="56244B1C"/>
    <w:rsid w:val="563C225D"/>
    <w:rsid w:val="56496330"/>
    <w:rsid w:val="56703254"/>
    <w:rsid w:val="56AE7F10"/>
    <w:rsid w:val="56BC1DA6"/>
    <w:rsid w:val="56BF20BE"/>
    <w:rsid w:val="56C2486E"/>
    <w:rsid w:val="56C875ED"/>
    <w:rsid w:val="57062473"/>
    <w:rsid w:val="57122BC6"/>
    <w:rsid w:val="57350404"/>
    <w:rsid w:val="5768318A"/>
    <w:rsid w:val="57876C3E"/>
    <w:rsid w:val="57882019"/>
    <w:rsid w:val="579D4B86"/>
    <w:rsid w:val="579D5439"/>
    <w:rsid w:val="57B8376D"/>
    <w:rsid w:val="57D63BF4"/>
    <w:rsid w:val="57E6037A"/>
    <w:rsid w:val="57ED47D5"/>
    <w:rsid w:val="583D25E6"/>
    <w:rsid w:val="58636F07"/>
    <w:rsid w:val="58920462"/>
    <w:rsid w:val="58A041E3"/>
    <w:rsid w:val="58F80EBC"/>
    <w:rsid w:val="59080725"/>
    <w:rsid w:val="590824D3"/>
    <w:rsid w:val="59241449"/>
    <w:rsid w:val="595E2B8B"/>
    <w:rsid w:val="59625227"/>
    <w:rsid w:val="59677AF3"/>
    <w:rsid w:val="5984679C"/>
    <w:rsid w:val="59A23E43"/>
    <w:rsid w:val="59B14242"/>
    <w:rsid w:val="59B202E5"/>
    <w:rsid w:val="59C77218"/>
    <w:rsid w:val="59D145A3"/>
    <w:rsid w:val="59E80DF8"/>
    <w:rsid w:val="59F85B47"/>
    <w:rsid w:val="5A261E9C"/>
    <w:rsid w:val="5AA426FB"/>
    <w:rsid w:val="5AAD06A4"/>
    <w:rsid w:val="5AE14D89"/>
    <w:rsid w:val="5AE444A0"/>
    <w:rsid w:val="5AE8436A"/>
    <w:rsid w:val="5AF231DD"/>
    <w:rsid w:val="5AFA1187"/>
    <w:rsid w:val="5B073095"/>
    <w:rsid w:val="5B2561DF"/>
    <w:rsid w:val="5B3B654D"/>
    <w:rsid w:val="5B555777"/>
    <w:rsid w:val="5B57329D"/>
    <w:rsid w:val="5B965A05"/>
    <w:rsid w:val="5BA118C1"/>
    <w:rsid w:val="5BA97F8E"/>
    <w:rsid w:val="5BD352F0"/>
    <w:rsid w:val="5BD46EBF"/>
    <w:rsid w:val="5BFE3C7B"/>
    <w:rsid w:val="5C77699B"/>
    <w:rsid w:val="5C8E2CEF"/>
    <w:rsid w:val="5CA179B0"/>
    <w:rsid w:val="5CB00EB7"/>
    <w:rsid w:val="5CB309A7"/>
    <w:rsid w:val="5CB403ED"/>
    <w:rsid w:val="5D0D5F05"/>
    <w:rsid w:val="5D27504C"/>
    <w:rsid w:val="5D50522D"/>
    <w:rsid w:val="5D6147DC"/>
    <w:rsid w:val="5DC56BE4"/>
    <w:rsid w:val="5DEF1E1E"/>
    <w:rsid w:val="5E267044"/>
    <w:rsid w:val="5E3B36E2"/>
    <w:rsid w:val="5E4426FE"/>
    <w:rsid w:val="5E8F2A93"/>
    <w:rsid w:val="5E9C368C"/>
    <w:rsid w:val="5EA94B22"/>
    <w:rsid w:val="5F1D65AC"/>
    <w:rsid w:val="5F904FD0"/>
    <w:rsid w:val="5F9F3DB7"/>
    <w:rsid w:val="5FCB78C8"/>
    <w:rsid w:val="60060F24"/>
    <w:rsid w:val="606936DB"/>
    <w:rsid w:val="60784DC1"/>
    <w:rsid w:val="60884A64"/>
    <w:rsid w:val="609D26AE"/>
    <w:rsid w:val="60A06F83"/>
    <w:rsid w:val="60BC462E"/>
    <w:rsid w:val="60F17CF0"/>
    <w:rsid w:val="615E1FB9"/>
    <w:rsid w:val="61607B5E"/>
    <w:rsid w:val="61637BA0"/>
    <w:rsid w:val="61747746"/>
    <w:rsid w:val="61923B3C"/>
    <w:rsid w:val="619F14FA"/>
    <w:rsid w:val="61B51E12"/>
    <w:rsid w:val="61DA3BCD"/>
    <w:rsid w:val="61DF5D9B"/>
    <w:rsid w:val="61E43279"/>
    <w:rsid w:val="61F51F86"/>
    <w:rsid w:val="61F762D3"/>
    <w:rsid w:val="62077891"/>
    <w:rsid w:val="622B0FE0"/>
    <w:rsid w:val="625906E3"/>
    <w:rsid w:val="62673E3C"/>
    <w:rsid w:val="627E3805"/>
    <w:rsid w:val="628F3631"/>
    <w:rsid w:val="62933C5E"/>
    <w:rsid w:val="62C128F0"/>
    <w:rsid w:val="62D428CC"/>
    <w:rsid w:val="62D52DBD"/>
    <w:rsid w:val="63380E20"/>
    <w:rsid w:val="63440380"/>
    <w:rsid w:val="63722991"/>
    <w:rsid w:val="63732C3E"/>
    <w:rsid w:val="63A948B2"/>
    <w:rsid w:val="63E35D7F"/>
    <w:rsid w:val="63EA3568"/>
    <w:rsid w:val="642D103F"/>
    <w:rsid w:val="643B3341"/>
    <w:rsid w:val="643C278B"/>
    <w:rsid w:val="646561E9"/>
    <w:rsid w:val="64754C21"/>
    <w:rsid w:val="647629E6"/>
    <w:rsid w:val="647D2524"/>
    <w:rsid w:val="64852C29"/>
    <w:rsid w:val="64E5171E"/>
    <w:rsid w:val="65090938"/>
    <w:rsid w:val="6530528B"/>
    <w:rsid w:val="653B5208"/>
    <w:rsid w:val="657B5B4F"/>
    <w:rsid w:val="658F4179"/>
    <w:rsid w:val="659F2D35"/>
    <w:rsid w:val="65A73073"/>
    <w:rsid w:val="65AE4402"/>
    <w:rsid w:val="65B06A4E"/>
    <w:rsid w:val="65E25E59"/>
    <w:rsid w:val="65E971E8"/>
    <w:rsid w:val="66525DDB"/>
    <w:rsid w:val="6672290A"/>
    <w:rsid w:val="66793F09"/>
    <w:rsid w:val="66895647"/>
    <w:rsid w:val="66F10A4A"/>
    <w:rsid w:val="670B7925"/>
    <w:rsid w:val="672D037D"/>
    <w:rsid w:val="67351BAF"/>
    <w:rsid w:val="67467C27"/>
    <w:rsid w:val="67B053C2"/>
    <w:rsid w:val="67BB4BB4"/>
    <w:rsid w:val="67BE597A"/>
    <w:rsid w:val="67CD214C"/>
    <w:rsid w:val="681875DF"/>
    <w:rsid w:val="683C760B"/>
    <w:rsid w:val="685A2997"/>
    <w:rsid w:val="68745489"/>
    <w:rsid w:val="688D02FE"/>
    <w:rsid w:val="68A82742"/>
    <w:rsid w:val="68AE673B"/>
    <w:rsid w:val="68BB1E70"/>
    <w:rsid w:val="68C55CEA"/>
    <w:rsid w:val="68CC52CB"/>
    <w:rsid w:val="68E63EB3"/>
    <w:rsid w:val="68F56360"/>
    <w:rsid w:val="69011BCD"/>
    <w:rsid w:val="69023D86"/>
    <w:rsid w:val="69064C5E"/>
    <w:rsid w:val="6911723D"/>
    <w:rsid w:val="6993253B"/>
    <w:rsid w:val="69A35DE8"/>
    <w:rsid w:val="69BE250D"/>
    <w:rsid w:val="6A102C23"/>
    <w:rsid w:val="6A140BE3"/>
    <w:rsid w:val="6A144E85"/>
    <w:rsid w:val="6A620AC4"/>
    <w:rsid w:val="6A67722E"/>
    <w:rsid w:val="6A9516EC"/>
    <w:rsid w:val="6AB543B2"/>
    <w:rsid w:val="6B0415A1"/>
    <w:rsid w:val="6B5A38B6"/>
    <w:rsid w:val="6B642B64"/>
    <w:rsid w:val="6BAC27ED"/>
    <w:rsid w:val="6BC219A9"/>
    <w:rsid w:val="6BFA214F"/>
    <w:rsid w:val="6C167F08"/>
    <w:rsid w:val="6C4B1DD7"/>
    <w:rsid w:val="6C6C668B"/>
    <w:rsid w:val="6C905C4F"/>
    <w:rsid w:val="6CA420BB"/>
    <w:rsid w:val="6CDB0C3D"/>
    <w:rsid w:val="6CE33061"/>
    <w:rsid w:val="6CEA518C"/>
    <w:rsid w:val="6D0A6E11"/>
    <w:rsid w:val="6D197FA0"/>
    <w:rsid w:val="6D2060CC"/>
    <w:rsid w:val="6D477EED"/>
    <w:rsid w:val="6D631F76"/>
    <w:rsid w:val="6D7E10BB"/>
    <w:rsid w:val="6D8C327A"/>
    <w:rsid w:val="6DA36828"/>
    <w:rsid w:val="6DBD740C"/>
    <w:rsid w:val="6DF277AD"/>
    <w:rsid w:val="6E02353D"/>
    <w:rsid w:val="6E071C62"/>
    <w:rsid w:val="6E2D7665"/>
    <w:rsid w:val="6E3901AC"/>
    <w:rsid w:val="6E68642E"/>
    <w:rsid w:val="6E71356A"/>
    <w:rsid w:val="6E8A47CE"/>
    <w:rsid w:val="6E910D1A"/>
    <w:rsid w:val="6EAB7730"/>
    <w:rsid w:val="6EE669BA"/>
    <w:rsid w:val="6F172299"/>
    <w:rsid w:val="6F4F4560"/>
    <w:rsid w:val="6F7736FF"/>
    <w:rsid w:val="6F7B0DEF"/>
    <w:rsid w:val="6FE67ED1"/>
    <w:rsid w:val="6FEECCA7"/>
    <w:rsid w:val="6FF97C6C"/>
    <w:rsid w:val="700370F8"/>
    <w:rsid w:val="70096EFE"/>
    <w:rsid w:val="70097799"/>
    <w:rsid w:val="70704CF0"/>
    <w:rsid w:val="70735112"/>
    <w:rsid w:val="70820965"/>
    <w:rsid w:val="70875F7B"/>
    <w:rsid w:val="70983CE4"/>
    <w:rsid w:val="70B1428C"/>
    <w:rsid w:val="70E44368"/>
    <w:rsid w:val="70E94540"/>
    <w:rsid w:val="70FF0BEA"/>
    <w:rsid w:val="712454C0"/>
    <w:rsid w:val="712C32CD"/>
    <w:rsid w:val="713A6780"/>
    <w:rsid w:val="71652E7D"/>
    <w:rsid w:val="71656514"/>
    <w:rsid w:val="71A17723"/>
    <w:rsid w:val="71B24E1A"/>
    <w:rsid w:val="71DC40A5"/>
    <w:rsid w:val="72023EDE"/>
    <w:rsid w:val="722A26B8"/>
    <w:rsid w:val="72402FAE"/>
    <w:rsid w:val="72485142"/>
    <w:rsid w:val="72656C75"/>
    <w:rsid w:val="727A671F"/>
    <w:rsid w:val="72D477E2"/>
    <w:rsid w:val="72E41463"/>
    <w:rsid w:val="73057ADD"/>
    <w:rsid w:val="730F0D66"/>
    <w:rsid w:val="734939BC"/>
    <w:rsid w:val="73504D4A"/>
    <w:rsid w:val="7352575D"/>
    <w:rsid w:val="73526CD9"/>
    <w:rsid w:val="73A66718"/>
    <w:rsid w:val="73BB0416"/>
    <w:rsid w:val="740A4088"/>
    <w:rsid w:val="7419187E"/>
    <w:rsid w:val="742650CC"/>
    <w:rsid w:val="748F2AAA"/>
    <w:rsid w:val="74D06143"/>
    <w:rsid w:val="74D6443A"/>
    <w:rsid w:val="74DD3CC3"/>
    <w:rsid w:val="74DE055B"/>
    <w:rsid w:val="74E82EC6"/>
    <w:rsid w:val="74F11DAB"/>
    <w:rsid w:val="74F84B7E"/>
    <w:rsid w:val="74FC1C62"/>
    <w:rsid w:val="750A46C6"/>
    <w:rsid w:val="75593EBC"/>
    <w:rsid w:val="756E1C38"/>
    <w:rsid w:val="758244D3"/>
    <w:rsid w:val="760302B2"/>
    <w:rsid w:val="7608190C"/>
    <w:rsid w:val="769413F2"/>
    <w:rsid w:val="769907B6"/>
    <w:rsid w:val="769E3328"/>
    <w:rsid w:val="76CA43AF"/>
    <w:rsid w:val="76DE3A0F"/>
    <w:rsid w:val="7725204A"/>
    <w:rsid w:val="77356731"/>
    <w:rsid w:val="77667C7B"/>
    <w:rsid w:val="776A255B"/>
    <w:rsid w:val="778009C3"/>
    <w:rsid w:val="77981212"/>
    <w:rsid w:val="77A23200"/>
    <w:rsid w:val="77A865ED"/>
    <w:rsid w:val="77DFA30E"/>
    <w:rsid w:val="78306EF8"/>
    <w:rsid w:val="785E5813"/>
    <w:rsid w:val="788D434B"/>
    <w:rsid w:val="788F1CFE"/>
    <w:rsid w:val="789A2B93"/>
    <w:rsid w:val="78B458BF"/>
    <w:rsid w:val="78CB5A16"/>
    <w:rsid w:val="78DD139E"/>
    <w:rsid w:val="78E54F28"/>
    <w:rsid w:val="791040CC"/>
    <w:rsid w:val="795033A3"/>
    <w:rsid w:val="79652BD2"/>
    <w:rsid w:val="79A431D2"/>
    <w:rsid w:val="79FA77BE"/>
    <w:rsid w:val="7A0213F2"/>
    <w:rsid w:val="7A044AE6"/>
    <w:rsid w:val="7A1C54BC"/>
    <w:rsid w:val="7A98273D"/>
    <w:rsid w:val="7B204C45"/>
    <w:rsid w:val="7B45751D"/>
    <w:rsid w:val="7B6E0463"/>
    <w:rsid w:val="7BBF4BA8"/>
    <w:rsid w:val="7BD94E15"/>
    <w:rsid w:val="7BEF1922"/>
    <w:rsid w:val="7BF37A6B"/>
    <w:rsid w:val="7C027B47"/>
    <w:rsid w:val="7C1D75A7"/>
    <w:rsid w:val="7C4F5584"/>
    <w:rsid w:val="7C8D66C7"/>
    <w:rsid w:val="7C947E03"/>
    <w:rsid w:val="7CE21C31"/>
    <w:rsid w:val="7D034641"/>
    <w:rsid w:val="7D050953"/>
    <w:rsid w:val="7D140B97"/>
    <w:rsid w:val="7D497A10"/>
    <w:rsid w:val="7D8448D9"/>
    <w:rsid w:val="7D8F667D"/>
    <w:rsid w:val="7DC1240D"/>
    <w:rsid w:val="7DDA593C"/>
    <w:rsid w:val="7DE844FD"/>
    <w:rsid w:val="7E164242"/>
    <w:rsid w:val="7EA20C5E"/>
    <w:rsid w:val="7ED96E20"/>
    <w:rsid w:val="7EDB7BBE"/>
    <w:rsid w:val="7EF7251E"/>
    <w:rsid w:val="7F3D7EA1"/>
    <w:rsid w:val="7F54786E"/>
    <w:rsid w:val="7F71054D"/>
    <w:rsid w:val="7F78365F"/>
    <w:rsid w:val="7F7C793E"/>
    <w:rsid w:val="7F98785D"/>
    <w:rsid w:val="7F9B6392"/>
    <w:rsid w:val="7FB82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67"/>
    <w:qFormat/>
    <w:uiPriority w:val="1"/>
    <w:pPr>
      <w:spacing w:before="28"/>
      <w:ind w:right="100"/>
      <w:jc w:val="center"/>
      <w:outlineLvl w:val="0"/>
    </w:pPr>
    <w:rPr>
      <w:rFonts w:ascii="黑体" w:hAnsi="黑体" w:eastAsia="黑体" w:cs="黑体"/>
      <w:sz w:val="32"/>
      <w:szCs w:val="32"/>
    </w:rPr>
  </w:style>
  <w:style w:type="paragraph" w:styleId="3">
    <w:name w:val="heading 2"/>
    <w:basedOn w:val="1"/>
    <w:next w:val="1"/>
    <w:qFormat/>
    <w:uiPriority w:val="0"/>
    <w:pPr>
      <w:outlineLvl w:val="1"/>
    </w:pPr>
  </w:style>
  <w:style w:type="paragraph" w:styleId="4">
    <w:name w:val="heading 3"/>
    <w:basedOn w:val="1"/>
    <w:next w:val="1"/>
    <w:link w:val="29"/>
    <w:qFormat/>
    <w:uiPriority w:val="0"/>
    <w:pPr>
      <w:outlineLvl w:val="2"/>
    </w:p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autoSpaceDE/>
      <w:autoSpaceDN/>
      <w:adjustRightInd/>
      <w:ind w:firstLine="420" w:firstLineChars="200"/>
      <w:jc w:val="both"/>
    </w:pPr>
    <w:rPr>
      <w:kern w:val="2"/>
      <w:sz w:val="21"/>
    </w:rPr>
  </w:style>
  <w:style w:type="paragraph" w:styleId="6">
    <w:name w:val="toa heading"/>
    <w:basedOn w:val="1"/>
    <w:next w:val="1"/>
    <w:unhideWhenUsed/>
    <w:qFormat/>
    <w:uiPriority w:val="0"/>
    <w:pPr>
      <w:autoSpaceDE/>
      <w:autoSpaceDN/>
      <w:adjustRightInd/>
      <w:spacing w:before="120"/>
      <w:jc w:val="both"/>
    </w:pPr>
    <w:rPr>
      <w:rFonts w:ascii="Cambria" w:hAnsi="Cambria" w:cs="宋体"/>
      <w:kern w:val="2"/>
    </w:rPr>
  </w:style>
  <w:style w:type="paragraph" w:styleId="7">
    <w:name w:val="Body Text"/>
    <w:basedOn w:val="1"/>
    <w:qFormat/>
    <w:uiPriority w:val="0"/>
    <w:pPr>
      <w:spacing w:line="360" w:lineRule="auto"/>
    </w:pPr>
    <w:rPr>
      <w:rFonts w:ascii="宋体"/>
      <w:color w:val="000000"/>
      <w:sz w:val="28"/>
      <w:szCs w:val="32"/>
    </w:rPr>
  </w:style>
  <w:style w:type="paragraph" w:styleId="8">
    <w:name w:val="Body Text Indent"/>
    <w:basedOn w:val="1"/>
    <w:next w:val="9"/>
    <w:qFormat/>
    <w:uiPriority w:val="0"/>
    <w:pPr>
      <w:spacing w:line="640" w:lineRule="exact"/>
      <w:ind w:firstLine="600" w:firstLineChars="200"/>
      <w:jc w:val="both"/>
    </w:pPr>
    <w:rPr>
      <w:rFonts w:ascii="仿宋_GB2312" w:eastAsia="仿宋_GB2312"/>
      <w:kern w:val="2"/>
      <w:sz w:val="30"/>
      <w:szCs w:val="32"/>
    </w:rPr>
  </w:style>
  <w:style w:type="paragraph" w:styleId="9">
    <w:name w:val="Body Text First Indent 2"/>
    <w:basedOn w:val="8"/>
    <w:next w:val="10"/>
    <w:unhideWhenUsed/>
    <w:qFormat/>
    <w:uiPriority w:val="99"/>
    <w:pPr>
      <w:ind w:firstLine="420"/>
    </w:pPr>
  </w:style>
  <w:style w:type="paragraph" w:styleId="10">
    <w:name w:val="Body Text First Indent"/>
    <w:basedOn w:val="7"/>
    <w:next w:val="11"/>
    <w:qFormat/>
    <w:uiPriority w:val="0"/>
    <w:pPr>
      <w:ind w:firstLine="420" w:firstLineChars="100"/>
    </w:pPr>
    <w:rPr>
      <w:rFonts w:ascii="Times New Roman" w:hAnsi="Times New Roman" w:eastAsia="宋体" w:cs="Times New Roman"/>
    </w:rPr>
  </w:style>
  <w:style w:type="paragraph" w:styleId="11">
    <w:name w:val="toc 6"/>
    <w:basedOn w:val="1"/>
    <w:next w:val="1"/>
    <w:qFormat/>
    <w:uiPriority w:val="0"/>
    <w:pPr>
      <w:ind w:left="2100" w:leftChars="1000"/>
    </w:pPr>
    <w:rPr>
      <w:rFonts w:ascii="Calibri" w:hAnsi="Calibri"/>
    </w:rPr>
  </w:style>
  <w:style w:type="paragraph" w:styleId="12">
    <w:name w:val="Plain Text"/>
    <w:basedOn w:val="1"/>
    <w:qFormat/>
    <w:uiPriority w:val="99"/>
    <w:pPr>
      <w:autoSpaceDE/>
      <w:autoSpaceDN/>
      <w:adjustRightInd/>
      <w:jc w:val="both"/>
    </w:pPr>
    <w:rPr>
      <w:rFonts w:ascii="宋体" w:hAnsi="宋体"/>
      <w:color w:val="000000"/>
      <w:kern w:val="1"/>
      <w:sz w:val="21"/>
      <w:szCs w:val="20"/>
    </w:rPr>
  </w:style>
  <w:style w:type="paragraph" w:styleId="13">
    <w:name w:val="footer"/>
    <w:basedOn w:val="1"/>
    <w:qFormat/>
    <w:uiPriority w:val="99"/>
    <w:pPr>
      <w:tabs>
        <w:tab w:val="center" w:pos="4153"/>
        <w:tab w:val="right" w:pos="8306"/>
      </w:tabs>
      <w:snapToGrid w:val="0"/>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autoSpaceDE/>
      <w:autoSpaceDN/>
      <w:adjustRightInd/>
      <w:jc w:val="both"/>
    </w:pPr>
    <w:rPr>
      <w:kern w:val="2"/>
      <w:sz w:val="21"/>
    </w:rPr>
  </w:style>
  <w:style w:type="paragraph" w:styleId="16">
    <w:name w:val="footnote text"/>
    <w:basedOn w:val="1"/>
    <w:next w:val="7"/>
    <w:qFormat/>
    <w:uiPriority w:val="0"/>
    <w:pPr>
      <w:snapToGrid w:val="0"/>
      <w:jc w:val="left"/>
    </w:pPr>
    <w:rPr>
      <w:sz w:val="18"/>
    </w:rPr>
  </w:style>
  <w:style w:type="paragraph" w:styleId="17">
    <w:name w:val="toc 2"/>
    <w:basedOn w:val="1"/>
    <w:next w:val="1"/>
    <w:qFormat/>
    <w:uiPriority w:val="0"/>
    <w:pPr>
      <w:ind w:left="420" w:leftChars="200"/>
    </w:pPr>
  </w:style>
  <w:style w:type="paragraph" w:styleId="18">
    <w:name w:val="Normal (Web)"/>
    <w:basedOn w:val="1"/>
    <w:qFormat/>
    <w:uiPriority w:val="99"/>
    <w:pPr>
      <w:autoSpaceDE/>
      <w:autoSpaceDN/>
      <w:adjustRightInd/>
      <w:spacing w:before="100" w:beforeAutospacing="1" w:after="100" w:afterAutospacing="1"/>
    </w:pPr>
    <w:rPr>
      <w:rFonts w:ascii="Calibri" w:hAnsi="Calibri"/>
    </w:rPr>
  </w:style>
  <w:style w:type="paragraph" w:styleId="19">
    <w:name w:val="Title"/>
    <w:basedOn w:val="1"/>
    <w:next w:val="1"/>
    <w:qFormat/>
    <w:uiPriority w:val="0"/>
    <w:pPr>
      <w:jc w:val="both"/>
    </w:pPr>
    <w:rPr>
      <w:rFonts w:ascii="宋体" w:hAnsi="宋体"/>
      <w:sz w:val="44"/>
    </w:rPr>
  </w:style>
  <w:style w:type="table" w:styleId="21">
    <w:name w:val="Table Grid"/>
    <w:basedOn w:val="20"/>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Emphasis"/>
    <w:basedOn w:val="22"/>
    <w:qFormat/>
    <w:uiPriority w:val="0"/>
    <w:rPr>
      <w:i/>
    </w:rPr>
  </w:style>
  <w:style w:type="character" w:styleId="25">
    <w:name w:val="Hyperlink"/>
    <w:qFormat/>
    <w:uiPriority w:val="99"/>
    <w:rPr>
      <w:rFonts w:hint="default" w:ascii="ˎ̥" w:hAnsi="ˎ̥"/>
      <w:color w:val="000066"/>
      <w:sz w:val="18"/>
      <w:szCs w:val="18"/>
      <w:u w:val="none"/>
    </w:rPr>
  </w:style>
  <w:style w:type="paragraph" w:customStyle="1" w:styleId="26">
    <w:name w:val="正文文本11"/>
    <w:basedOn w:val="27"/>
    <w:unhideWhenUsed/>
    <w:qFormat/>
    <w:uiPriority w:val="0"/>
    <w:rPr>
      <w:rFonts w:ascii="Arial" w:hAnsi="Arial"/>
      <w:sz w:val="24"/>
    </w:rPr>
  </w:style>
  <w:style w:type="paragraph" w:customStyle="1" w:styleId="27">
    <w:name w:val="正文112"/>
    <w:next w:val="8"/>
    <w:qFormat/>
    <w:uiPriority w:val="0"/>
    <w:pPr>
      <w:widowControl w:val="0"/>
      <w:jc w:val="both"/>
    </w:pPr>
    <w:rPr>
      <w:rFonts w:ascii="Calibri" w:hAnsi="Calibri" w:eastAsia="宋体" w:cs="Times New Roman"/>
      <w:sz w:val="21"/>
      <w:szCs w:val="22"/>
      <w:lang w:val="en-US" w:eastAsia="zh-CN" w:bidi="ar-SA"/>
    </w:rPr>
  </w:style>
  <w:style w:type="paragraph" w:customStyle="1" w:styleId="28">
    <w:name w:val="Default"/>
    <w:basedOn w:val="19"/>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29">
    <w:name w:val="标题 3 Char"/>
    <w:link w:val="4"/>
    <w:qFormat/>
    <w:uiPriority w:val="0"/>
  </w:style>
  <w:style w:type="paragraph" w:customStyle="1" w:styleId="30">
    <w:name w:val="Table Paragraph"/>
    <w:basedOn w:val="31"/>
    <w:qFormat/>
    <w:uiPriority w:val="1"/>
    <w:pPr>
      <w:autoSpaceDE/>
      <w:autoSpaceDN/>
      <w:adjustRightInd/>
      <w:jc w:val="both"/>
    </w:pPr>
    <w:rPr>
      <w:rFonts w:ascii="宋体" w:hAnsi="宋体" w:cs="宋体"/>
      <w:kern w:val="2"/>
      <w:sz w:val="21"/>
      <w:lang w:val="zh-CN" w:bidi="zh-CN"/>
    </w:rPr>
  </w:style>
  <w:style w:type="paragraph" w:customStyle="1" w:styleId="31">
    <w:name w:val="正文_0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
    <w:name w:val="Normal"/>
    <w:qFormat/>
    <w:uiPriority w:val="0"/>
    <w:rPr>
      <w:rFonts w:ascii="Times New Roman" w:hAnsi="Times New Roman" w:eastAsia="Times New Roman" w:cs="Times New Roman"/>
      <w:sz w:val="24"/>
      <w:szCs w:val="24"/>
      <w:lang w:val="en-US" w:eastAsia="zh-CN" w:bidi="ar-SA"/>
    </w:rPr>
  </w:style>
  <w:style w:type="paragraph" w:customStyle="1" w:styleId="33">
    <w:name w:val="正文缩进1"/>
    <w:basedOn w:val="1"/>
    <w:qFormat/>
    <w:uiPriority w:val="0"/>
    <w:pPr>
      <w:ind w:firstLine="420"/>
    </w:pPr>
    <w:rPr>
      <w:rFonts w:ascii="Times New Roman" w:hAnsi="Times New Roman"/>
      <w:szCs w:val="20"/>
    </w:rPr>
  </w:style>
  <w:style w:type="paragraph" w:customStyle="1" w:styleId="34">
    <w:name w:val="文件正文"/>
    <w:basedOn w:val="1"/>
    <w:qFormat/>
    <w:uiPriority w:val="0"/>
    <w:pPr>
      <w:widowControl w:val="0"/>
      <w:spacing w:line="240" w:lineRule="auto"/>
    </w:pPr>
    <w:rPr>
      <w:rFonts w:ascii="Times New Roman" w:hAnsi="Times New Roman" w:eastAsia="仿宋_GB2312" w:cs="Calibri (西文正文)"/>
      <w:kern w:val="2"/>
    </w:rPr>
  </w:style>
  <w:style w:type="paragraph" w:customStyle="1" w:styleId="35">
    <w:name w:val="Normal_9"/>
    <w:qFormat/>
    <w:uiPriority w:val="0"/>
    <w:rPr>
      <w:rFonts w:ascii="黑体" w:hAnsi="黑体" w:eastAsia="黑体" w:cs="Times New Roman"/>
      <w:b/>
      <w:sz w:val="32"/>
      <w:szCs w:val="24"/>
      <w:lang w:val="en-US" w:eastAsia="zh-CN" w:bidi="ar-SA"/>
    </w:rPr>
  </w:style>
  <w:style w:type="paragraph" w:customStyle="1" w:styleId="36">
    <w:name w:val="日期_0"/>
    <w:basedOn w:val="37"/>
    <w:next w:val="37"/>
    <w:qFormat/>
    <w:uiPriority w:val="0"/>
    <w:pPr>
      <w:ind w:left="100" w:leftChars="2500"/>
    </w:pPr>
    <w:rPr>
      <w:kern w:val="0"/>
      <w:sz w:val="20"/>
    </w:rPr>
  </w:style>
  <w:style w:type="paragraph" w:customStyle="1" w:styleId="37">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
    <w:name w:val="纯文本_1"/>
    <w:basedOn w:val="39"/>
    <w:unhideWhenUsed/>
    <w:qFormat/>
    <w:uiPriority w:val="0"/>
    <w:rPr>
      <w:rFonts w:ascii="宋体" w:hAnsi="Courier New" w:cs="Courier New"/>
      <w:szCs w:val="21"/>
    </w:rPr>
  </w:style>
  <w:style w:type="paragraph" w:customStyle="1" w:styleId="39">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正文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正文文本_1"/>
    <w:basedOn w:val="42"/>
    <w:qFormat/>
    <w:uiPriority w:val="0"/>
    <w:pPr>
      <w:spacing w:after="120"/>
    </w:pPr>
    <w:rPr>
      <w:kern w:val="0"/>
      <w:sz w:val="20"/>
    </w:rPr>
  </w:style>
  <w:style w:type="paragraph" w:customStyle="1" w:styleId="42">
    <w:name w:val="正文_1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Normal_5"/>
    <w:qFormat/>
    <w:uiPriority w:val="0"/>
    <w:rPr>
      <w:rFonts w:ascii="黑体" w:hAnsi="黑体" w:eastAsia="黑体" w:cs="Times New Roman"/>
      <w:b/>
      <w:sz w:val="32"/>
      <w:szCs w:val="24"/>
      <w:lang w:val="en-US" w:eastAsia="zh-CN" w:bidi="ar-SA"/>
    </w:rPr>
  </w:style>
  <w:style w:type="paragraph" w:customStyle="1" w:styleId="44">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5">
    <w:name w:val="List Paragraph"/>
    <w:basedOn w:val="1"/>
    <w:qFormat/>
    <w:uiPriority w:val="99"/>
    <w:pPr>
      <w:ind w:firstLine="420" w:firstLineChars="200"/>
    </w:pPr>
  </w:style>
  <w:style w:type="paragraph" w:customStyle="1" w:styleId="46">
    <w:name w:val="正文_0_0_1"/>
    <w:qFormat/>
    <w:uiPriority w:val="0"/>
    <w:pPr>
      <w:widowControl w:val="0"/>
      <w:jc w:val="both"/>
    </w:pPr>
    <w:rPr>
      <w:rFonts w:ascii="Times New Roman" w:hAnsi="Times New Roman" w:eastAsia="宋体" w:cs="Times New Roman"/>
      <w:kern w:val="2"/>
      <w:sz w:val="28"/>
      <w:szCs w:val="22"/>
      <w:lang w:val="en-US" w:eastAsia="zh-CN" w:bidi="ar-SA"/>
    </w:rPr>
  </w:style>
  <w:style w:type="paragraph" w:customStyle="1" w:styleId="47">
    <w:name w:val="正文文本缩进_1"/>
    <w:basedOn w:val="48"/>
    <w:qFormat/>
    <w:uiPriority w:val="0"/>
    <w:pPr>
      <w:spacing w:line="500" w:lineRule="exact"/>
      <w:ind w:left="1588" w:leftChars="832" w:firstLine="433" w:firstLineChars="196"/>
    </w:pPr>
    <w:rPr>
      <w:kern w:val="0"/>
      <w:sz w:val="24"/>
    </w:rPr>
  </w:style>
  <w:style w:type="paragraph" w:customStyle="1" w:styleId="48">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0">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Normal_16"/>
    <w:qFormat/>
    <w:uiPriority w:val="0"/>
    <w:rPr>
      <w:rFonts w:ascii="黑体" w:hAnsi="黑体" w:eastAsia="黑体" w:cs="Times New Roman"/>
      <w:b/>
      <w:sz w:val="32"/>
      <w:szCs w:val="24"/>
      <w:lang w:val="en-US" w:eastAsia="zh-CN" w:bidi="ar-SA"/>
    </w:rPr>
  </w:style>
  <w:style w:type="paragraph" w:customStyle="1" w:styleId="52">
    <w:name w:val="Default Text"/>
    <w:basedOn w:val="1"/>
    <w:qFormat/>
    <w:uiPriority w:val="0"/>
    <w:pPr>
      <w:widowControl/>
      <w:overflowPunct w:val="0"/>
      <w:textAlignment w:val="baseline"/>
    </w:pPr>
    <w:rPr>
      <w:szCs w:val="20"/>
    </w:rPr>
  </w:style>
  <w:style w:type="paragraph" w:customStyle="1" w:styleId="53">
    <w:name w:val="Heading #2|1"/>
    <w:basedOn w:val="1"/>
    <w:qFormat/>
    <w:uiPriority w:val="0"/>
    <w:pPr>
      <w:widowControl w:val="0"/>
      <w:shd w:val="clear" w:color="auto" w:fill="auto"/>
      <w:jc w:val="center"/>
      <w:outlineLvl w:val="1"/>
    </w:pPr>
    <w:rPr>
      <w:rFonts w:ascii="宋体" w:hAnsi="宋体" w:eastAsia="宋体" w:cs="宋体"/>
      <w:color w:val="3B4247"/>
      <w:sz w:val="26"/>
      <w:szCs w:val="26"/>
      <w:u w:val="none"/>
      <w:shd w:val="clear" w:color="auto" w:fill="auto"/>
      <w:lang w:val="zh-TW" w:eastAsia="zh-TW" w:bidi="zh-TW"/>
    </w:rPr>
  </w:style>
  <w:style w:type="paragraph" w:customStyle="1" w:styleId="54">
    <w:name w:val="Body text|1"/>
    <w:basedOn w:val="1"/>
    <w:qFormat/>
    <w:uiPriority w:val="0"/>
    <w:pPr>
      <w:widowControl w:val="0"/>
      <w:shd w:val="clear" w:color="auto" w:fill="auto"/>
      <w:spacing w:line="480" w:lineRule="auto"/>
      <w:ind w:firstLine="400"/>
    </w:pPr>
    <w:rPr>
      <w:rFonts w:ascii="宋体" w:hAnsi="宋体" w:eastAsia="宋体" w:cs="宋体"/>
      <w:color w:val="3B4247"/>
      <w:sz w:val="22"/>
      <w:szCs w:val="22"/>
      <w:u w:val="none"/>
      <w:shd w:val="clear" w:color="auto" w:fill="auto"/>
      <w:lang w:val="zh-TW" w:eastAsia="zh-TW" w:bidi="zh-TW"/>
    </w:rPr>
  </w:style>
  <w:style w:type="paragraph" w:customStyle="1" w:styleId="55">
    <w:name w:val="Table caption|1"/>
    <w:basedOn w:val="1"/>
    <w:qFormat/>
    <w:uiPriority w:val="0"/>
    <w:pPr>
      <w:widowControl w:val="0"/>
      <w:shd w:val="clear" w:color="auto" w:fill="auto"/>
      <w:spacing w:line="531" w:lineRule="exact"/>
      <w:ind w:firstLine="480"/>
    </w:pPr>
    <w:rPr>
      <w:rFonts w:ascii="宋体" w:hAnsi="宋体" w:eastAsia="宋体" w:cs="宋体"/>
      <w:color w:val="3B4247"/>
      <w:sz w:val="22"/>
      <w:szCs w:val="22"/>
      <w:u w:val="none"/>
      <w:shd w:val="clear" w:color="auto" w:fill="auto"/>
      <w:lang w:val="zh-TW" w:eastAsia="zh-TW" w:bidi="zh-TW"/>
    </w:rPr>
  </w:style>
  <w:style w:type="paragraph" w:customStyle="1" w:styleId="56">
    <w:name w:val="Other|1"/>
    <w:basedOn w:val="1"/>
    <w:qFormat/>
    <w:uiPriority w:val="0"/>
    <w:pPr>
      <w:widowControl w:val="0"/>
      <w:shd w:val="clear" w:color="auto" w:fill="auto"/>
      <w:spacing w:line="480" w:lineRule="auto"/>
      <w:ind w:firstLine="400"/>
    </w:pPr>
    <w:rPr>
      <w:rFonts w:ascii="宋体" w:hAnsi="宋体" w:eastAsia="宋体" w:cs="宋体"/>
      <w:color w:val="3B4247"/>
      <w:sz w:val="22"/>
      <w:szCs w:val="22"/>
      <w:u w:val="none"/>
      <w:shd w:val="clear" w:color="auto" w:fill="auto"/>
      <w:lang w:val="zh-TW" w:eastAsia="zh-TW" w:bidi="zh-TW"/>
    </w:rPr>
  </w:style>
  <w:style w:type="character" w:customStyle="1" w:styleId="57">
    <w:name w:val="font21"/>
    <w:basedOn w:val="22"/>
    <w:qFormat/>
    <w:uiPriority w:val="0"/>
    <w:rPr>
      <w:rFonts w:hint="default" w:ascii="Times New Roman" w:hAnsi="Times New Roman" w:cs="Times New Roman"/>
      <w:color w:val="000000"/>
      <w:sz w:val="22"/>
      <w:szCs w:val="22"/>
      <w:u w:val="none"/>
    </w:rPr>
  </w:style>
  <w:style w:type="character" w:customStyle="1" w:styleId="58">
    <w:name w:val="font11"/>
    <w:basedOn w:val="22"/>
    <w:qFormat/>
    <w:uiPriority w:val="0"/>
    <w:rPr>
      <w:rFonts w:hint="eastAsia" w:ascii="宋体" w:hAnsi="宋体" w:eastAsia="宋体" w:cs="宋体"/>
      <w:color w:val="000000"/>
      <w:sz w:val="22"/>
      <w:szCs w:val="22"/>
      <w:u w:val="none"/>
    </w:rPr>
  </w:style>
  <w:style w:type="paragraph" w:customStyle="1" w:styleId="59">
    <w:name w:val="正文1"/>
    <w:basedOn w:val="1"/>
    <w:qFormat/>
    <w:uiPriority w:val="0"/>
    <w:pPr>
      <w:adjustRightInd w:val="0"/>
      <w:snapToGrid w:val="0"/>
      <w:spacing w:line="360" w:lineRule="auto"/>
      <w:ind w:firstLine="567"/>
      <w:textAlignment w:val="baseline"/>
    </w:pPr>
    <w:rPr>
      <w:rFonts w:ascii="宋体" w:hAnsi="Times New Roman" w:eastAsia="宋体" w:cs="Times New Roman"/>
      <w:spacing w:val="6"/>
      <w:kern w:val="0"/>
      <w:sz w:val="28"/>
      <w:szCs w:val="20"/>
    </w:rPr>
  </w:style>
  <w:style w:type="paragraph" w:customStyle="1" w:styleId="6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4">
    <w:name w:val="列出段落1"/>
    <w:basedOn w:val="1"/>
    <w:qFormat/>
    <w:uiPriority w:val="0"/>
    <w:pPr>
      <w:ind w:firstLine="420" w:firstLineChars="200"/>
    </w:pPr>
  </w:style>
  <w:style w:type="table" w:customStyle="1" w:styleId="65">
    <w:name w:val="Table Normal"/>
    <w:semiHidden/>
    <w:unhideWhenUsed/>
    <w:qFormat/>
    <w:uiPriority w:val="0"/>
    <w:tblPr>
      <w:tblCellMar>
        <w:top w:w="0" w:type="dxa"/>
        <w:left w:w="0" w:type="dxa"/>
        <w:bottom w:w="0" w:type="dxa"/>
        <w:right w:w="0" w:type="dxa"/>
      </w:tblCellMar>
    </w:tblPr>
  </w:style>
  <w:style w:type="table" w:customStyle="1" w:styleId="66">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67">
    <w:name w:val="标题 1 字符"/>
    <w:link w:val="2"/>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20759</Words>
  <Characters>22139</Characters>
  <Lines>0</Lines>
  <Paragraphs>0</Paragraphs>
  <TotalTime>9</TotalTime>
  <ScaleCrop>false</ScaleCrop>
  <LinksUpToDate>false</LinksUpToDate>
  <CharactersWithSpaces>22430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2022-05-21T06:40:00Z</dcterms:created>
  <dc:creator>KB-2</dc:creator>
  <cp:lastModifiedBy>月色温柔i</cp:lastModifiedBy>
  <cp:lastPrinted>2023-05-07T02:22:00Z</cp:lastPrinted>
  <dcterms:modified xsi:type="dcterms:W3CDTF">2026-08-17T04:58:17Z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406E0676F42144569BEB8F625FF9938B_13</vt:lpwstr>
  </property>
  <property fmtid="{D5CDD505-2E9C-101B-9397-08002B2CF9AE}" pid="4" name="KSOTemplateDocerSaveRecord">
    <vt:lpwstr>eyJoZGlkIjoiMjliMmFhZWFmM2QxODYyNjI4NDE5NGE4ZGY1OTM2ZDIiLCJ1c2VySWQiOiIzMzMzNzYyMjgifQ==</vt:lpwstr>
  </property>
</Properties>
</file>