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7B2B007">
      <w:pPr>
        <w:jc w:val="left"/>
        <w:rPr>
          <w:rFonts w:hint="eastAsia" w:ascii="宋体" w:hAnsi="宋体"/>
          <w:b/>
          <w:color w:val="auto"/>
          <w:sz w:val="48"/>
          <w:szCs w:val="48"/>
          <w:highlight w:val="none"/>
        </w:rPr>
      </w:pPr>
      <w:r>
        <w:rPr>
          <w:rFonts w:hint="eastAsia" w:ascii="仿宋" w:hAnsi="仿宋" w:eastAsia="仿宋" w:cs="仿宋"/>
          <w:b/>
          <w:color w:val="auto"/>
          <w:sz w:val="28"/>
          <w:szCs w:val="28"/>
          <w:highlight w:val="none"/>
        </w:rPr>
        <w:drawing>
          <wp:inline distT="0" distB="0" distL="114300" distR="114300">
            <wp:extent cx="1499235" cy="1207135"/>
            <wp:effectExtent l="0" t="0" r="5715" b="12065"/>
            <wp:docPr id="3" name="图片 4" descr="图标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图标001jpg"/>
                    <pic:cNvPicPr>
                      <a:picLocks noChangeAspect="1"/>
                    </pic:cNvPicPr>
                  </pic:nvPicPr>
                  <pic:blipFill>
                    <a:blip r:embed="rId13"/>
                    <a:stretch>
                      <a:fillRect/>
                    </a:stretch>
                  </pic:blipFill>
                  <pic:spPr>
                    <a:xfrm>
                      <a:off x="0" y="0"/>
                      <a:ext cx="1499235" cy="1207135"/>
                    </a:xfrm>
                    <a:prstGeom prst="rect">
                      <a:avLst/>
                    </a:prstGeom>
                    <a:noFill/>
                    <a:ln>
                      <a:noFill/>
                    </a:ln>
                  </pic:spPr>
                </pic:pic>
              </a:graphicData>
            </a:graphic>
          </wp:inline>
        </w:drawing>
      </w:r>
    </w:p>
    <w:p w14:paraId="7D83A958">
      <w:pPr>
        <w:jc w:val="center"/>
        <w:rPr>
          <w:rFonts w:hint="eastAsia" w:ascii="宋体" w:hAnsi="宋体"/>
          <w:b/>
          <w:color w:val="auto"/>
          <w:sz w:val="48"/>
          <w:szCs w:val="48"/>
          <w:highlight w:val="none"/>
        </w:rPr>
      </w:pPr>
    </w:p>
    <w:p w14:paraId="58452E42">
      <w:pPr>
        <w:jc w:val="center"/>
        <w:rPr>
          <w:rFonts w:hint="eastAsia" w:ascii="宋体" w:hAnsi="宋体"/>
          <w:b/>
          <w:color w:val="auto"/>
          <w:sz w:val="48"/>
          <w:szCs w:val="48"/>
          <w:highlight w:val="none"/>
          <w:lang w:eastAsia="zh-CN"/>
        </w:rPr>
      </w:pPr>
      <w:r>
        <w:rPr>
          <w:rFonts w:hint="eastAsia" w:ascii="宋体" w:hAnsi="宋体"/>
          <w:b/>
          <w:color w:val="auto"/>
          <w:sz w:val="48"/>
          <w:szCs w:val="48"/>
          <w:highlight w:val="none"/>
          <w:lang w:eastAsia="zh-CN"/>
        </w:rPr>
        <w:t>新疆农业大学老满城校区禾园一餐厅、禾园二餐厅、学苑二楼餐厅面向社会公开招募</w:t>
      </w:r>
    </w:p>
    <w:p w14:paraId="08533A2C">
      <w:pPr>
        <w:jc w:val="center"/>
        <w:rPr>
          <w:rFonts w:hint="eastAsia" w:ascii="宋体" w:hAnsi="宋体"/>
          <w:b/>
          <w:color w:val="auto"/>
          <w:sz w:val="72"/>
          <w:szCs w:val="72"/>
          <w:highlight w:val="none"/>
        </w:rPr>
      </w:pPr>
      <w:r>
        <w:rPr>
          <w:rFonts w:hint="eastAsia" w:ascii="宋体" w:hAnsi="宋体"/>
          <w:b/>
          <w:color w:val="auto"/>
          <w:sz w:val="48"/>
          <w:szCs w:val="48"/>
          <w:highlight w:val="none"/>
          <w:lang w:eastAsia="zh-CN"/>
        </w:rPr>
        <w:t>餐饮服务团队项目</w:t>
      </w:r>
    </w:p>
    <w:p w14:paraId="260465A6">
      <w:pPr>
        <w:rPr>
          <w:rFonts w:hint="eastAsia" w:ascii="宋体" w:hAnsi="宋体"/>
          <w:b/>
          <w:color w:val="auto"/>
          <w:sz w:val="60"/>
          <w:szCs w:val="60"/>
          <w:highlight w:val="none"/>
        </w:rPr>
      </w:pPr>
    </w:p>
    <w:p w14:paraId="05185765">
      <w:pPr>
        <w:jc w:val="center"/>
        <w:rPr>
          <w:rFonts w:hint="eastAsia" w:ascii="宋体" w:hAnsi="宋体" w:eastAsia="宋体"/>
          <w:b/>
          <w:color w:val="auto"/>
          <w:spacing w:val="14"/>
          <w:sz w:val="32"/>
          <w:szCs w:val="32"/>
          <w:highlight w:val="none"/>
          <w:lang w:eastAsia="zh-CN"/>
        </w:rPr>
      </w:pPr>
      <w:r>
        <w:rPr>
          <w:rFonts w:hint="eastAsia" w:ascii="宋体" w:hAnsi="宋体"/>
          <w:b/>
          <w:color w:val="auto"/>
          <w:sz w:val="56"/>
          <w:szCs w:val="72"/>
          <w:highlight w:val="none"/>
          <w:lang w:eastAsia="zh-CN"/>
        </w:rPr>
        <w:t>公开招标文件</w:t>
      </w:r>
    </w:p>
    <w:p w14:paraId="198135A6">
      <w:pPr>
        <w:pStyle w:val="49"/>
        <w:spacing w:line="440" w:lineRule="exact"/>
        <w:jc w:val="center"/>
        <w:rPr>
          <w:rFonts w:hint="default" w:ascii="Times New Roman" w:hAnsi="Times New Roman" w:cs="Times New Roman"/>
          <w:b/>
          <w:color w:val="auto"/>
          <w:spacing w:val="14"/>
          <w:kern w:val="2"/>
          <w:sz w:val="32"/>
          <w:szCs w:val="32"/>
          <w:highlight w:val="none"/>
        </w:rPr>
      </w:pPr>
    </w:p>
    <w:p w14:paraId="46CA4D99">
      <w:pPr>
        <w:pStyle w:val="49"/>
        <w:spacing w:line="440" w:lineRule="exact"/>
        <w:jc w:val="center"/>
        <w:rPr>
          <w:rFonts w:hint="default" w:ascii="Times New Roman" w:hAnsi="Times New Roman" w:cs="Times New Roman"/>
          <w:b/>
          <w:color w:val="auto"/>
          <w:spacing w:val="14"/>
          <w:kern w:val="2"/>
          <w:sz w:val="32"/>
          <w:szCs w:val="32"/>
          <w:highlight w:val="none"/>
        </w:rPr>
      </w:pPr>
    </w:p>
    <w:p w14:paraId="6AD22C37">
      <w:pPr>
        <w:widowControl/>
        <w:shd w:val="clear" w:color="auto" w:fill="FFFFFF"/>
        <w:snapToGrid w:val="0"/>
        <w:spacing w:line="480" w:lineRule="auto"/>
        <w:ind w:firstLine="562" w:firstLineChars="200"/>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采购人（章）：</w:t>
      </w:r>
      <w:r>
        <w:rPr>
          <w:rFonts w:hint="default" w:ascii="Times New Roman" w:hAnsi="Times New Roman" w:cs="Times New Roman"/>
          <w:b/>
          <w:color w:val="auto"/>
          <w:kern w:val="0"/>
          <w:sz w:val="28"/>
          <w:szCs w:val="28"/>
          <w:highlight w:val="none"/>
        </w:rPr>
        <w:t>新疆农业大学</w:t>
      </w:r>
    </w:p>
    <w:p w14:paraId="37F33469">
      <w:pPr>
        <w:widowControl/>
        <w:shd w:val="clear" w:color="auto" w:fill="FFFFFF"/>
        <w:snapToGrid w:val="0"/>
        <w:spacing w:line="480" w:lineRule="auto"/>
        <w:ind w:firstLine="562" w:firstLineChars="200"/>
        <w:rPr>
          <w:rFonts w:hint="eastAsia" w:ascii="Times New Roman" w:hAnsi="Times New Roman" w:eastAsia="宋体" w:cs="Times New Roman"/>
          <w:b/>
          <w:color w:val="auto"/>
          <w:kern w:val="0"/>
          <w:sz w:val="28"/>
          <w:szCs w:val="28"/>
          <w:highlight w:val="none"/>
          <w:lang w:eastAsia="zh-CN"/>
        </w:rPr>
      </w:pPr>
      <w:r>
        <w:rPr>
          <w:rFonts w:hint="default" w:ascii="Times New Roman" w:hAnsi="Times New Roman" w:cs="Times New Roman"/>
          <w:b/>
          <w:color w:val="auto"/>
          <w:kern w:val="0"/>
          <w:sz w:val="28"/>
          <w:szCs w:val="28"/>
          <w:highlight w:val="none"/>
        </w:rPr>
        <w:t>法定代表人（章）：</w:t>
      </w:r>
    </w:p>
    <w:p w14:paraId="58AB669D">
      <w:pPr>
        <w:widowControl/>
        <w:shd w:val="clear" w:color="auto" w:fill="FFFFFF"/>
        <w:snapToGrid w:val="0"/>
        <w:spacing w:line="480" w:lineRule="auto"/>
        <w:ind w:firstLine="562" w:firstLineChars="200"/>
        <w:rPr>
          <w:rFonts w:hint="default" w:ascii="Times New Roman" w:hAnsi="Times New Roman" w:eastAsia="宋体" w:cs="Times New Roman"/>
          <w:b/>
          <w:color w:val="auto"/>
          <w:kern w:val="0"/>
          <w:sz w:val="28"/>
          <w:szCs w:val="28"/>
          <w:highlight w:val="none"/>
          <w:lang w:val="en-US" w:eastAsia="zh-CN"/>
        </w:rPr>
      </w:pPr>
      <w:r>
        <w:rPr>
          <w:rFonts w:hint="default" w:ascii="Times New Roman" w:hAnsi="Times New Roman" w:cs="Times New Roman"/>
          <w:b/>
          <w:color w:val="auto"/>
          <w:kern w:val="0"/>
          <w:sz w:val="28"/>
          <w:szCs w:val="28"/>
          <w:highlight w:val="none"/>
        </w:rPr>
        <w:t>联系人：</w:t>
      </w:r>
      <w:r>
        <w:rPr>
          <w:rFonts w:hint="eastAsia" w:cs="Times New Roman"/>
          <w:b/>
          <w:color w:val="auto"/>
          <w:kern w:val="0"/>
          <w:sz w:val="28"/>
          <w:szCs w:val="28"/>
          <w:highlight w:val="none"/>
          <w:lang w:val="en-US" w:eastAsia="zh-CN"/>
        </w:rPr>
        <w:t>王老师、古力扎提老师</w:t>
      </w:r>
    </w:p>
    <w:p w14:paraId="4BFFD10A">
      <w:pPr>
        <w:widowControl/>
        <w:shd w:val="clear" w:color="auto" w:fill="FFFFFF"/>
        <w:snapToGrid w:val="0"/>
        <w:spacing w:line="480" w:lineRule="auto"/>
        <w:ind w:firstLine="562" w:firstLineChars="200"/>
        <w:rPr>
          <w:rFonts w:hint="default" w:ascii="Times New Roman" w:hAnsi="Times New Roman" w:eastAsia="宋体" w:cs="Times New Roman"/>
          <w:b/>
          <w:color w:val="auto"/>
          <w:kern w:val="0"/>
          <w:sz w:val="28"/>
          <w:szCs w:val="28"/>
          <w:highlight w:val="none"/>
          <w:lang w:val="en-US" w:eastAsia="zh-CN"/>
        </w:rPr>
      </w:pPr>
      <w:r>
        <w:rPr>
          <w:rFonts w:hint="default" w:ascii="Times New Roman" w:hAnsi="Times New Roman" w:cs="Times New Roman"/>
          <w:b/>
          <w:color w:val="auto"/>
          <w:kern w:val="0"/>
          <w:sz w:val="28"/>
          <w:szCs w:val="28"/>
          <w:highlight w:val="none"/>
        </w:rPr>
        <w:t>电话：</w:t>
      </w:r>
      <w:r>
        <w:rPr>
          <w:rFonts w:hint="eastAsia" w:cs="Times New Roman"/>
          <w:b/>
          <w:color w:val="auto"/>
          <w:kern w:val="0"/>
          <w:sz w:val="28"/>
          <w:szCs w:val="28"/>
          <w:highlight w:val="none"/>
          <w:lang w:val="en-US" w:eastAsia="zh-CN"/>
        </w:rPr>
        <w:t>15292426954、19990144922</w:t>
      </w:r>
    </w:p>
    <w:p w14:paraId="7149FB55">
      <w:pPr>
        <w:spacing w:line="700" w:lineRule="exact"/>
        <w:ind w:firstLine="472"/>
        <w:rPr>
          <w:rFonts w:hint="default" w:ascii="Times New Roman" w:hAnsi="Times New Roman" w:cs="Times New Roman"/>
          <w:b/>
          <w:color w:val="auto"/>
          <w:kern w:val="0"/>
          <w:sz w:val="28"/>
          <w:szCs w:val="28"/>
          <w:highlight w:val="none"/>
        </w:rPr>
      </w:pPr>
      <w:r>
        <w:rPr>
          <w:rFonts w:hint="default" w:ascii="Times New Roman" w:hAnsi="Times New Roman" w:cs="Times New Roman"/>
          <w:b/>
          <w:color w:val="auto"/>
          <w:kern w:val="0"/>
          <w:sz w:val="28"/>
          <w:szCs w:val="28"/>
          <w:highlight w:val="none"/>
        </w:rPr>
        <w:t>采购代理：新疆守正项目管理咨询有限公司</w:t>
      </w:r>
    </w:p>
    <w:p w14:paraId="1D861711">
      <w:pPr>
        <w:spacing w:line="700" w:lineRule="exact"/>
        <w:ind w:firstLine="472"/>
        <w:rPr>
          <w:rFonts w:hint="default" w:ascii="Times New Roman" w:hAnsi="Times New Roman" w:eastAsia="宋体" w:cs="Times New Roman"/>
          <w:b/>
          <w:color w:val="auto"/>
          <w:kern w:val="0"/>
          <w:sz w:val="28"/>
          <w:szCs w:val="28"/>
          <w:highlight w:val="none"/>
          <w:lang w:val="en-US" w:eastAsia="zh-CN"/>
        </w:rPr>
      </w:pPr>
      <w:r>
        <w:rPr>
          <w:rFonts w:hint="default" w:ascii="Times New Roman" w:hAnsi="Times New Roman" w:cs="Times New Roman"/>
          <w:b/>
          <w:color w:val="auto"/>
          <w:kern w:val="0"/>
          <w:sz w:val="28"/>
          <w:szCs w:val="28"/>
          <w:highlight w:val="none"/>
        </w:rPr>
        <w:t>法定代表人（签字或盖章）：</w:t>
      </w:r>
    </w:p>
    <w:p w14:paraId="39EDE234">
      <w:pPr>
        <w:spacing w:line="700" w:lineRule="exact"/>
        <w:ind w:firstLine="472"/>
        <w:rPr>
          <w:rFonts w:hint="default" w:ascii="Times New Roman" w:hAnsi="Times New Roman" w:eastAsia="宋体" w:cs="Times New Roman"/>
          <w:b/>
          <w:color w:val="auto"/>
          <w:kern w:val="0"/>
          <w:sz w:val="28"/>
          <w:szCs w:val="28"/>
          <w:highlight w:val="none"/>
          <w:lang w:eastAsia="zh-CN"/>
        </w:rPr>
      </w:pPr>
      <w:r>
        <w:rPr>
          <w:rFonts w:hint="default" w:ascii="Times New Roman" w:hAnsi="Times New Roman" w:cs="Times New Roman"/>
          <w:b/>
          <w:color w:val="auto"/>
          <w:kern w:val="0"/>
          <w:sz w:val="28"/>
          <w:szCs w:val="28"/>
          <w:highlight w:val="none"/>
        </w:rPr>
        <w:t>联系人：</w:t>
      </w:r>
      <w:r>
        <w:rPr>
          <w:rFonts w:hint="default" w:ascii="Times New Roman" w:hAnsi="Times New Roman" w:cs="Times New Roman"/>
          <w:b/>
          <w:color w:val="auto"/>
          <w:kern w:val="0"/>
          <w:sz w:val="28"/>
          <w:szCs w:val="28"/>
          <w:highlight w:val="none"/>
          <w:lang w:eastAsia="zh-CN"/>
        </w:rPr>
        <w:t>邱奕霏、郑龙、陈旭文</w:t>
      </w:r>
    </w:p>
    <w:p w14:paraId="4CC505A1">
      <w:pPr>
        <w:spacing w:line="700" w:lineRule="exact"/>
        <w:ind w:firstLine="472"/>
        <w:rPr>
          <w:rFonts w:hint="default" w:ascii="Times New Roman" w:hAnsi="Times New Roman" w:eastAsia="宋体" w:cs="Times New Roman"/>
          <w:b/>
          <w:color w:val="auto"/>
          <w:kern w:val="0"/>
          <w:sz w:val="28"/>
          <w:szCs w:val="28"/>
          <w:highlight w:val="none"/>
          <w:lang w:eastAsia="zh-CN"/>
        </w:rPr>
      </w:pPr>
      <w:r>
        <w:rPr>
          <w:rFonts w:hint="default" w:ascii="Times New Roman" w:hAnsi="Times New Roman" w:cs="Times New Roman"/>
          <w:b/>
          <w:color w:val="auto"/>
          <w:kern w:val="0"/>
          <w:sz w:val="28"/>
          <w:szCs w:val="28"/>
          <w:highlight w:val="none"/>
        </w:rPr>
        <w:t>电话：</w:t>
      </w:r>
      <w:r>
        <w:rPr>
          <w:rFonts w:hint="eastAsia" w:cs="Times New Roman"/>
          <w:b/>
          <w:color w:val="auto"/>
          <w:kern w:val="0"/>
          <w:sz w:val="28"/>
          <w:szCs w:val="28"/>
          <w:highlight w:val="none"/>
          <w:lang w:eastAsia="zh-CN"/>
        </w:rPr>
        <w:t>18599788578/18599788582</w:t>
      </w:r>
    </w:p>
    <w:p w14:paraId="31EEA3D2">
      <w:pPr>
        <w:autoSpaceDE w:val="0"/>
        <w:autoSpaceDN w:val="0"/>
        <w:adjustRightInd w:val="0"/>
        <w:spacing w:line="700" w:lineRule="exact"/>
        <w:ind w:firstLine="562" w:firstLineChars="200"/>
        <w:rPr>
          <w:rFonts w:hint="default" w:ascii="Times New Roman" w:hAnsi="Times New Roman" w:cs="Times New Roman"/>
          <w:b/>
          <w:color w:val="auto"/>
          <w:kern w:val="0"/>
          <w:sz w:val="28"/>
          <w:szCs w:val="28"/>
          <w:highlight w:val="none"/>
        </w:rPr>
      </w:pPr>
      <w:r>
        <w:rPr>
          <w:rFonts w:hint="default" w:ascii="Times New Roman" w:hAnsi="Times New Roman" w:cs="Times New Roman"/>
          <w:b/>
          <w:color w:val="auto"/>
          <w:kern w:val="0"/>
          <w:sz w:val="28"/>
          <w:szCs w:val="28"/>
          <w:highlight w:val="none"/>
        </w:rPr>
        <w:t>联系地址：新疆乌鲁木齐高新区长春南路528号天康企业大厦3楼</w:t>
      </w:r>
    </w:p>
    <w:p w14:paraId="6689BB7C">
      <w:pPr>
        <w:pStyle w:val="21"/>
        <w:jc w:val="both"/>
        <w:rPr>
          <w:rFonts w:hint="default" w:ascii="Times New Roman" w:hAnsi="Times New Roman" w:eastAsia="宋体" w:cs="Times New Roman"/>
          <w:color w:val="auto"/>
          <w:highlight w:val="none"/>
        </w:rPr>
      </w:pPr>
    </w:p>
    <w:p w14:paraId="7D4EDC01">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r>
      <w:bookmarkStart w:id="0" w:name="_Toc92290550"/>
    </w:p>
    <w:p w14:paraId="23B509BB">
      <w:pPr>
        <w:rPr>
          <w:rFonts w:hint="eastAsia" w:ascii="宋体" w:hAnsi="宋体" w:eastAsia="宋体"/>
          <w:color w:val="auto"/>
          <w:highlight w:val="none"/>
        </w:rPr>
      </w:pPr>
      <w:r>
        <w:rPr>
          <w:rFonts w:hint="eastAsia" w:ascii="宋体" w:hAnsi="宋体" w:eastAsia="宋体"/>
          <w:color w:val="auto"/>
          <w:highlight w:val="none"/>
        </w:rPr>
        <w:br w:type="page"/>
      </w:r>
    </w:p>
    <w:bookmarkEnd w:id="0"/>
    <w:p w14:paraId="6D5EF75F">
      <w:pPr>
        <w:pStyle w:val="23"/>
        <w:tabs>
          <w:tab w:val="right" w:leader="dot" w:pos="8789"/>
        </w:tabs>
        <w:spacing w:line="360" w:lineRule="auto"/>
        <w:ind w:left="0" w:leftChars="0" w:right="420" w:rightChars="200" w:firstLine="0" w:firstLineChars="0"/>
        <w:rPr>
          <w:rFonts w:ascii="宋体" w:hAnsi="宋体"/>
          <w:color w:val="auto"/>
          <w:sz w:val="28"/>
          <w:szCs w:val="28"/>
          <w:highlight w:val="none"/>
          <w:u w:val="single"/>
        </w:rPr>
      </w:pPr>
    </w:p>
    <w:sdt>
      <w:sdtPr>
        <w:rPr>
          <w:rFonts w:hint="eastAsia" w:ascii="黑体" w:hAnsi="黑体" w:eastAsia="黑体" w:cs="黑体"/>
          <w:kern w:val="2"/>
          <w:sz w:val="32"/>
          <w:szCs w:val="32"/>
          <w:highlight w:val="none"/>
          <w:lang w:val="en-US" w:eastAsia="zh-CN" w:bidi="ar-SA"/>
        </w:rPr>
        <w:id w:val="147478897"/>
        <w15:color w:val="DBDBDB"/>
        <w:docPartObj>
          <w:docPartGallery w:val="Table of Contents"/>
          <w:docPartUnique/>
        </w:docPartObj>
      </w:sdtPr>
      <w:sdtEndPr>
        <w:rPr>
          <w:rFonts w:hint="eastAsia" w:ascii="Times New Roman" w:hAnsi="Times New Roman" w:eastAsia="宋体" w:cs="Times New Roman"/>
          <w:color w:val="auto"/>
          <w:kern w:val="2"/>
          <w:sz w:val="21"/>
          <w:szCs w:val="32"/>
          <w:highlight w:val="none"/>
          <w:lang w:val="en-US" w:eastAsia="zh-CN" w:bidi="ar-SA"/>
        </w:rPr>
      </w:sdtEndPr>
      <w:sdtContent>
        <w:p w14:paraId="573E7030">
          <w:pPr>
            <w:spacing w:before="0" w:beforeLines="0" w:after="0" w:afterLines="0" w:line="240" w:lineRule="auto"/>
            <w:ind w:left="0" w:leftChars="0" w:right="0" w:rightChars="0" w:firstLine="0" w:firstLineChars="0"/>
            <w:jc w:val="center"/>
            <w:rPr>
              <w:rFonts w:hint="eastAsia" w:ascii="黑体" w:hAnsi="黑体" w:eastAsia="黑体" w:cs="黑体"/>
              <w:sz w:val="32"/>
              <w:szCs w:val="32"/>
              <w:highlight w:val="none"/>
            </w:rPr>
          </w:pPr>
          <w:r>
            <w:rPr>
              <w:rFonts w:hint="eastAsia" w:ascii="黑体" w:hAnsi="黑体" w:eastAsia="黑体" w:cs="黑体"/>
              <w:sz w:val="32"/>
              <w:szCs w:val="32"/>
              <w:highlight w:val="none"/>
            </w:rPr>
            <w:t>目录</w:t>
          </w:r>
        </w:p>
        <w:p w14:paraId="3E31F9D1">
          <w:pPr>
            <w:spacing w:before="0" w:beforeLines="0" w:after="0" w:afterLines="0" w:line="240" w:lineRule="auto"/>
            <w:ind w:left="0" w:leftChars="0" w:right="0" w:rightChars="0" w:firstLine="0" w:firstLineChars="0"/>
            <w:jc w:val="center"/>
            <w:rPr>
              <w:rFonts w:hint="eastAsia" w:ascii="黑体" w:hAnsi="黑体" w:eastAsia="黑体" w:cs="黑体"/>
              <w:sz w:val="32"/>
              <w:szCs w:val="32"/>
              <w:highlight w:val="none"/>
            </w:rPr>
          </w:pPr>
        </w:p>
        <w:p w14:paraId="56376A2F">
          <w:pPr>
            <w:pStyle w:val="21"/>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黑体" w:hAnsi="黑体" w:eastAsia="黑体" w:cs="黑体"/>
              <w:b w:val="0"/>
              <w:bCs/>
              <w:sz w:val="28"/>
              <w:szCs w:val="28"/>
              <w:highlight w:val="none"/>
            </w:rPr>
          </w:pPr>
          <w:r>
            <w:rPr>
              <w:rFonts w:hint="eastAsia"/>
              <w:b w:val="0"/>
              <w:bCs/>
              <w:color w:val="auto"/>
              <w:sz w:val="24"/>
              <w:highlight w:val="none"/>
            </w:rPr>
            <w:fldChar w:fldCharType="begin"/>
          </w:r>
          <w:r>
            <w:rPr>
              <w:rFonts w:hint="eastAsia"/>
              <w:b w:val="0"/>
              <w:bCs/>
              <w:color w:val="auto"/>
              <w:sz w:val="24"/>
              <w:highlight w:val="none"/>
            </w:rPr>
            <w:instrText xml:space="preserve">TOC \o "1-2" \h \u </w:instrText>
          </w:r>
          <w:r>
            <w:rPr>
              <w:rFonts w:hint="eastAsia"/>
              <w:b w:val="0"/>
              <w:bCs/>
              <w:color w:val="auto"/>
              <w:sz w:val="24"/>
              <w:highlight w:val="none"/>
            </w:rPr>
            <w:fldChar w:fldCharType="separate"/>
          </w:r>
          <w:r>
            <w:rPr>
              <w:rFonts w:hint="eastAsia" w:ascii="黑体" w:hAnsi="黑体" w:eastAsia="黑体" w:cs="黑体"/>
              <w:b w:val="0"/>
              <w:bCs/>
              <w:color w:val="auto"/>
              <w:sz w:val="28"/>
              <w:szCs w:val="28"/>
              <w:highlight w:val="none"/>
            </w:rPr>
            <w:fldChar w:fldCharType="begin"/>
          </w:r>
          <w:r>
            <w:rPr>
              <w:rFonts w:hint="eastAsia" w:ascii="黑体" w:hAnsi="黑体" w:eastAsia="黑体" w:cs="黑体"/>
              <w:b w:val="0"/>
              <w:bCs/>
              <w:sz w:val="28"/>
              <w:szCs w:val="28"/>
              <w:highlight w:val="none"/>
            </w:rPr>
            <w:instrText xml:space="preserve"> HYPERLINK \l _Toc26702 </w:instrText>
          </w:r>
          <w:r>
            <w:rPr>
              <w:rFonts w:hint="eastAsia" w:ascii="黑体" w:hAnsi="黑体" w:eastAsia="黑体" w:cs="黑体"/>
              <w:b w:val="0"/>
              <w:bCs/>
              <w:sz w:val="28"/>
              <w:szCs w:val="28"/>
              <w:highlight w:val="none"/>
            </w:rPr>
            <w:fldChar w:fldCharType="separate"/>
          </w:r>
          <w:r>
            <w:rPr>
              <w:rFonts w:hint="eastAsia" w:ascii="黑体" w:hAnsi="黑体" w:eastAsia="黑体" w:cs="黑体"/>
              <w:b w:val="0"/>
              <w:bCs/>
              <w:sz w:val="28"/>
              <w:szCs w:val="28"/>
              <w:highlight w:val="none"/>
              <w:lang w:val="en-US" w:eastAsia="zh-CN"/>
            </w:rPr>
            <w:t>公开招标</w:t>
          </w:r>
          <w:r>
            <w:rPr>
              <w:rFonts w:hint="eastAsia" w:ascii="黑体" w:hAnsi="黑体" w:eastAsia="黑体" w:cs="黑体"/>
              <w:b w:val="0"/>
              <w:bCs/>
              <w:sz w:val="28"/>
              <w:szCs w:val="28"/>
              <w:highlight w:val="none"/>
            </w:rPr>
            <w:t>公告</w:t>
          </w:r>
          <w:r>
            <w:rPr>
              <w:rFonts w:hint="eastAsia" w:ascii="黑体" w:hAnsi="黑体" w:eastAsia="黑体" w:cs="黑体"/>
              <w:b w:val="0"/>
              <w:bCs/>
              <w:sz w:val="28"/>
              <w:szCs w:val="28"/>
              <w:highlight w:val="none"/>
            </w:rPr>
            <w:tab/>
          </w:r>
          <w:r>
            <w:rPr>
              <w:rFonts w:hint="eastAsia" w:ascii="黑体" w:hAnsi="黑体" w:eastAsia="黑体" w:cs="黑体"/>
              <w:b w:val="0"/>
              <w:bCs/>
              <w:sz w:val="24"/>
              <w:szCs w:val="24"/>
              <w:highlight w:val="none"/>
            </w:rPr>
            <w:fldChar w:fldCharType="begin"/>
          </w:r>
          <w:r>
            <w:rPr>
              <w:rFonts w:hint="eastAsia" w:ascii="黑体" w:hAnsi="黑体" w:eastAsia="黑体" w:cs="黑体"/>
              <w:b w:val="0"/>
              <w:bCs/>
              <w:sz w:val="24"/>
              <w:szCs w:val="24"/>
              <w:highlight w:val="none"/>
            </w:rPr>
            <w:instrText xml:space="preserve"> PAGEREF _Toc26702 \h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4</w:t>
          </w:r>
          <w:r>
            <w:rPr>
              <w:rFonts w:hint="eastAsia" w:ascii="黑体" w:hAnsi="黑体" w:eastAsia="黑体" w:cs="黑体"/>
              <w:b w:val="0"/>
              <w:bCs/>
              <w:sz w:val="24"/>
              <w:szCs w:val="24"/>
              <w:highlight w:val="none"/>
            </w:rPr>
            <w:fldChar w:fldCharType="end"/>
          </w:r>
          <w:r>
            <w:rPr>
              <w:rFonts w:hint="eastAsia" w:ascii="黑体" w:hAnsi="黑体" w:eastAsia="黑体" w:cs="黑体"/>
              <w:b w:val="0"/>
              <w:bCs/>
              <w:color w:val="auto"/>
              <w:sz w:val="28"/>
              <w:szCs w:val="28"/>
              <w:highlight w:val="none"/>
            </w:rPr>
            <w:fldChar w:fldCharType="end"/>
          </w:r>
        </w:p>
        <w:p w14:paraId="6956AE85">
          <w:pPr>
            <w:pStyle w:val="21"/>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黑体" w:hAnsi="黑体" w:eastAsia="黑体" w:cs="黑体"/>
              <w:b w:val="0"/>
              <w:bCs/>
              <w:sz w:val="28"/>
              <w:szCs w:val="28"/>
              <w:highlight w:val="none"/>
            </w:rPr>
          </w:pPr>
          <w:r>
            <w:rPr>
              <w:rFonts w:hint="eastAsia" w:ascii="黑体" w:hAnsi="黑体" w:eastAsia="黑体" w:cs="黑体"/>
              <w:b w:val="0"/>
              <w:bCs/>
              <w:color w:val="auto"/>
              <w:sz w:val="28"/>
              <w:szCs w:val="28"/>
              <w:highlight w:val="none"/>
            </w:rPr>
            <w:fldChar w:fldCharType="begin"/>
          </w:r>
          <w:r>
            <w:rPr>
              <w:rFonts w:hint="eastAsia" w:ascii="黑体" w:hAnsi="黑体" w:eastAsia="黑体" w:cs="黑体"/>
              <w:b w:val="0"/>
              <w:bCs/>
              <w:sz w:val="28"/>
              <w:szCs w:val="28"/>
              <w:highlight w:val="none"/>
            </w:rPr>
            <w:instrText xml:space="preserve"> HYPERLINK \l _Toc23524 </w:instrText>
          </w:r>
          <w:r>
            <w:rPr>
              <w:rFonts w:hint="eastAsia" w:ascii="黑体" w:hAnsi="黑体" w:eastAsia="黑体" w:cs="黑体"/>
              <w:b w:val="0"/>
              <w:bCs/>
              <w:sz w:val="28"/>
              <w:szCs w:val="28"/>
              <w:highlight w:val="none"/>
            </w:rPr>
            <w:fldChar w:fldCharType="separate"/>
          </w:r>
          <w:r>
            <w:rPr>
              <w:rFonts w:hint="eastAsia" w:ascii="黑体" w:hAnsi="黑体" w:eastAsia="黑体" w:cs="黑体"/>
              <w:b w:val="0"/>
              <w:bCs/>
              <w:sz w:val="28"/>
              <w:szCs w:val="28"/>
              <w:highlight w:val="none"/>
            </w:rPr>
            <w:t>第一部分投标须知</w:t>
          </w:r>
          <w:r>
            <w:rPr>
              <w:rFonts w:hint="eastAsia" w:ascii="黑体" w:hAnsi="黑体" w:eastAsia="黑体" w:cs="黑体"/>
              <w:b w:val="0"/>
              <w:bCs/>
              <w:sz w:val="28"/>
              <w:szCs w:val="28"/>
              <w:highlight w:val="none"/>
            </w:rPr>
            <w:tab/>
          </w:r>
          <w:r>
            <w:rPr>
              <w:rFonts w:hint="eastAsia" w:ascii="黑体" w:hAnsi="黑体" w:eastAsia="黑体" w:cs="黑体"/>
              <w:b w:val="0"/>
              <w:bCs/>
              <w:sz w:val="24"/>
              <w:szCs w:val="24"/>
              <w:highlight w:val="none"/>
            </w:rPr>
            <w:fldChar w:fldCharType="begin"/>
          </w:r>
          <w:r>
            <w:rPr>
              <w:rFonts w:hint="eastAsia" w:ascii="黑体" w:hAnsi="黑体" w:eastAsia="黑体" w:cs="黑体"/>
              <w:b w:val="0"/>
              <w:bCs/>
              <w:sz w:val="24"/>
              <w:szCs w:val="24"/>
              <w:highlight w:val="none"/>
            </w:rPr>
            <w:instrText xml:space="preserve"> PAGEREF _Toc23524 \h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7</w:t>
          </w:r>
          <w:r>
            <w:rPr>
              <w:rFonts w:hint="eastAsia" w:ascii="黑体" w:hAnsi="黑体" w:eastAsia="黑体" w:cs="黑体"/>
              <w:b w:val="0"/>
              <w:bCs/>
              <w:sz w:val="24"/>
              <w:szCs w:val="24"/>
              <w:highlight w:val="none"/>
            </w:rPr>
            <w:fldChar w:fldCharType="end"/>
          </w:r>
          <w:r>
            <w:rPr>
              <w:rFonts w:hint="eastAsia" w:ascii="黑体" w:hAnsi="黑体" w:eastAsia="黑体" w:cs="黑体"/>
              <w:b w:val="0"/>
              <w:bCs/>
              <w:color w:val="auto"/>
              <w:sz w:val="28"/>
              <w:szCs w:val="28"/>
              <w:highlight w:val="none"/>
            </w:rPr>
            <w:fldChar w:fldCharType="end"/>
          </w:r>
        </w:p>
        <w:p w14:paraId="2D2AF306">
          <w:pPr>
            <w:pStyle w:val="21"/>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黑体" w:hAnsi="黑体" w:eastAsia="黑体" w:cs="黑体"/>
              <w:b w:val="0"/>
              <w:bCs/>
              <w:sz w:val="28"/>
              <w:szCs w:val="28"/>
              <w:highlight w:val="none"/>
            </w:rPr>
          </w:pPr>
          <w:r>
            <w:rPr>
              <w:rFonts w:hint="eastAsia" w:ascii="黑体" w:hAnsi="黑体" w:eastAsia="黑体" w:cs="黑体"/>
              <w:b w:val="0"/>
              <w:bCs/>
              <w:color w:val="auto"/>
              <w:sz w:val="28"/>
              <w:szCs w:val="28"/>
              <w:highlight w:val="none"/>
            </w:rPr>
            <w:fldChar w:fldCharType="begin"/>
          </w:r>
          <w:r>
            <w:rPr>
              <w:rFonts w:hint="eastAsia" w:ascii="黑体" w:hAnsi="黑体" w:eastAsia="黑体" w:cs="黑体"/>
              <w:b w:val="0"/>
              <w:bCs/>
              <w:sz w:val="28"/>
              <w:szCs w:val="28"/>
              <w:highlight w:val="none"/>
            </w:rPr>
            <w:instrText xml:space="preserve"> HYPERLINK \l _Toc6528 </w:instrText>
          </w:r>
          <w:r>
            <w:rPr>
              <w:rFonts w:hint="eastAsia" w:ascii="黑体" w:hAnsi="黑体" w:eastAsia="黑体" w:cs="黑体"/>
              <w:b w:val="0"/>
              <w:bCs/>
              <w:sz w:val="28"/>
              <w:szCs w:val="28"/>
              <w:highlight w:val="none"/>
            </w:rPr>
            <w:fldChar w:fldCharType="separate"/>
          </w:r>
          <w:r>
            <w:rPr>
              <w:rFonts w:hint="eastAsia" w:ascii="黑体" w:hAnsi="黑体" w:eastAsia="黑体" w:cs="黑体"/>
              <w:b w:val="0"/>
              <w:bCs/>
              <w:kern w:val="2"/>
              <w:sz w:val="28"/>
              <w:szCs w:val="28"/>
              <w:highlight w:val="none"/>
            </w:rPr>
            <w:t>第二部分招标说明</w:t>
          </w:r>
          <w:r>
            <w:rPr>
              <w:rFonts w:hint="eastAsia" w:ascii="黑体" w:hAnsi="黑体" w:eastAsia="黑体" w:cs="黑体"/>
              <w:b w:val="0"/>
              <w:bCs/>
              <w:sz w:val="28"/>
              <w:szCs w:val="28"/>
              <w:highlight w:val="none"/>
            </w:rPr>
            <w:tab/>
          </w:r>
          <w:r>
            <w:rPr>
              <w:rFonts w:hint="eastAsia" w:ascii="黑体" w:hAnsi="黑体" w:eastAsia="黑体" w:cs="黑体"/>
              <w:b w:val="0"/>
              <w:bCs/>
              <w:sz w:val="24"/>
              <w:szCs w:val="24"/>
              <w:highlight w:val="none"/>
            </w:rPr>
            <w:fldChar w:fldCharType="begin"/>
          </w:r>
          <w:r>
            <w:rPr>
              <w:rFonts w:hint="eastAsia" w:ascii="黑体" w:hAnsi="黑体" w:eastAsia="黑体" w:cs="黑体"/>
              <w:b w:val="0"/>
              <w:bCs/>
              <w:sz w:val="24"/>
              <w:szCs w:val="24"/>
              <w:highlight w:val="none"/>
            </w:rPr>
            <w:instrText xml:space="preserve"> PAGEREF _Toc6528 \h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14</w:t>
          </w:r>
          <w:r>
            <w:rPr>
              <w:rFonts w:hint="eastAsia" w:ascii="黑体" w:hAnsi="黑体" w:eastAsia="黑体" w:cs="黑体"/>
              <w:b w:val="0"/>
              <w:bCs/>
              <w:sz w:val="24"/>
              <w:szCs w:val="24"/>
              <w:highlight w:val="none"/>
            </w:rPr>
            <w:fldChar w:fldCharType="end"/>
          </w:r>
          <w:r>
            <w:rPr>
              <w:rFonts w:hint="eastAsia" w:ascii="黑体" w:hAnsi="黑体" w:eastAsia="黑体" w:cs="黑体"/>
              <w:b w:val="0"/>
              <w:bCs/>
              <w:color w:val="auto"/>
              <w:sz w:val="28"/>
              <w:szCs w:val="28"/>
              <w:highlight w:val="none"/>
            </w:rPr>
            <w:fldChar w:fldCharType="end"/>
          </w:r>
        </w:p>
        <w:p w14:paraId="7BB8860F">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黑体" w:hAnsi="黑体" w:eastAsia="黑体" w:cs="黑体"/>
              <w:b w:val="0"/>
              <w:bCs/>
              <w:sz w:val="24"/>
              <w:szCs w:val="24"/>
              <w:highlight w:val="none"/>
            </w:rPr>
          </w:pPr>
          <w:r>
            <w:rPr>
              <w:rFonts w:hint="eastAsia" w:ascii="黑体" w:hAnsi="黑体" w:eastAsia="黑体" w:cs="黑体"/>
              <w:b w:val="0"/>
              <w:bCs/>
              <w:color w:val="auto"/>
              <w:sz w:val="24"/>
              <w:szCs w:val="24"/>
              <w:highlight w:val="none"/>
            </w:rPr>
            <w:fldChar w:fldCharType="begin"/>
          </w:r>
          <w:r>
            <w:rPr>
              <w:rFonts w:hint="eastAsia" w:ascii="黑体" w:hAnsi="黑体" w:eastAsia="黑体" w:cs="黑体"/>
              <w:b w:val="0"/>
              <w:bCs/>
              <w:sz w:val="24"/>
              <w:szCs w:val="24"/>
              <w:highlight w:val="none"/>
            </w:rPr>
            <w:instrText xml:space="preserve"> HYPERLINK \l _Toc3971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kern w:val="2"/>
              <w:sz w:val="24"/>
              <w:szCs w:val="24"/>
              <w:highlight w:val="none"/>
            </w:rPr>
            <w:t>第一章总则</w:t>
          </w:r>
          <w:r>
            <w:rPr>
              <w:rFonts w:hint="eastAsia" w:ascii="黑体" w:hAnsi="黑体" w:eastAsia="黑体" w:cs="黑体"/>
              <w:b w:val="0"/>
              <w:bCs/>
              <w:sz w:val="24"/>
              <w:szCs w:val="24"/>
              <w:highlight w:val="none"/>
            </w:rPr>
            <w:tab/>
          </w:r>
          <w:r>
            <w:rPr>
              <w:rFonts w:hint="eastAsia" w:ascii="黑体" w:hAnsi="黑体" w:eastAsia="黑体" w:cs="黑体"/>
              <w:b w:val="0"/>
              <w:bCs/>
              <w:sz w:val="24"/>
              <w:szCs w:val="24"/>
              <w:highlight w:val="none"/>
            </w:rPr>
            <w:fldChar w:fldCharType="begin"/>
          </w:r>
          <w:r>
            <w:rPr>
              <w:rFonts w:hint="eastAsia" w:ascii="黑体" w:hAnsi="黑体" w:eastAsia="黑体" w:cs="黑体"/>
              <w:b w:val="0"/>
              <w:bCs/>
              <w:sz w:val="24"/>
              <w:szCs w:val="24"/>
              <w:highlight w:val="none"/>
            </w:rPr>
            <w:instrText xml:space="preserve"> PAGEREF _Toc3971 \h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14</w:t>
          </w:r>
          <w:r>
            <w:rPr>
              <w:rFonts w:hint="eastAsia" w:ascii="黑体" w:hAnsi="黑体" w:eastAsia="黑体" w:cs="黑体"/>
              <w:b w:val="0"/>
              <w:bCs/>
              <w:sz w:val="24"/>
              <w:szCs w:val="24"/>
              <w:highlight w:val="none"/>
            </w:rPr>
            <w:fldChar w:fldCharType="end"/>
          </w:r>
          <w:r>
            <w:rPr>
              <w:rFonts w:hint="eastAsia" w:ascii="黑体" w:hAnsi="黑体" w:eastAsia="黑体" w:cs="黑体"/>
              <w:b w:val="0"/>
              <w:bCs/>
              <w:color w:val="auto"/>
              <w:sz w:val="24"/>
              <w:szCs w:val="24"/>
              <w:highlight w:val="none"/>
            </w:rPr>
            <w:fldChar w:fldCharType="end"/>
          </w:r>
        </w:p>
        <w:p w14:paraId="5FCFE4AC">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黑体" w:hAnsi="黑体" w:eastAsia="黑体" w:cs="黑体"/>
              <w:b w:val="0"/>
              <w:bCs/>
              <w:sz w:val="28"/>
              <w:szCs w:val="28"/>
              <w:highlight w:val="none"/>
            </w:rPr>
          </w:pPr>
          <w:r>
            <w:rPr>
              <w:rFonts w:hint="eastAsia" w:ascii="黑体" w:hAnsi="黑体" w:eastAsia="黑体" w:cs="黑体"/>
              <w:b w:val="0"/>
              <w:bCs/>
              <w:color w:val="auto"/>
              <w:sz w:val="24"/>
              <w:szCs w:val="24"/>
              <w:highlight w:val="none"/>
            </w:rPr>
            <w:fldChar w:fldCharType="begin"/>
          </w:r>
          <w:r>
            <w:rPr>
              <w:rFonts w:hint="eastAsia" w:ascii="黑体" w:hAnsi="黑体" w:eastAsia="黑体" w:cs="黑体"/>
              <w:b w:val="0"/>
              <w:bCs/>
              <w:sz w:val="24"/>
              <w:szCs w:val="24"/>
              <w:highlight w:val="none"/>
            </w:rPr>
            <w:instrText xml:space="preserve"> HYPERLINK \l _Toc31009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kern w:val="2"/>
              <w:sz w:val="24"/>
              <w:szCs w:val="24"/>
              <w:highlight w:val="none"/>
            </w:rPr>
            <w:t>第二章</w:t>
          </w:r>
          <w:r>
            <w:rPr>
              <w:rFonts w:hint="eastAsia" w:ascii="黑体" w:hAnsi="黑体" w:eastAsia="黑体" w:cs="黑体"/>
              <w:b w:val="0"/>
              <w:bCs/>
              <w:kern w:val="2"/>
              <w:sz w:val="24"/>
              <w:szCs w:val="24"/>
              <w:highlight w:val="none"/>
              <w:lang w:eastAsia="zh-CN"/>
            </w:rPr>
            <w:t>公开招标文件</w:t>
          </w:r>
          <w:r>
            <w:rPr>
              <w:rFonts w:hint="eastAsia" w:ascii="黑体" w:hAnsi="黑体" w:eastAsia="黑体" w:cs="黑体"/>
              <w:b w:val="0"/>
              <w:bCs/>
              <w:sz w:val="24"/>
              <w:szCs w:val="24"/>
              <w:highlight w:val="none"/>
            </w:rPr>
            <w:tab/>
          </w:r>
          <w:r>
            <w:rPr>
              <w:rFonts w:hint="eastAsia" w:ascii="黑体" w:hAnsi="黑体" w:eastAsia="黑体" w:cs="黑体"/>
              <w:b w:val="0"/>
              <w:bCs/>
              <w:sz w:val="24"/>
              <w:szCs w:val="24"/>
              <w:highlight w:val="none"/>
            </w:rPr>
            <w:fldChar w:fldCharType="begin"/>
          </w:r>
          <w:r>
            <w:rPr>
              <w:rFonts w:hint="eastAsia" w:ascii="黑体" w:hAnsi="黑体" w:eastAsia="黑体" w:cs="黑体"/>
              <w:b w:val="0"/>
              <w:bCs/>
              <w:sz w:val="24"/>
              <w:szCs w:val="24"/>
              <w:highlight w:val="none"/>
            </w:rPr>
            <w:instrText xml:space="preserve"> PAGEREF _Toc31009 \h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16</w:t>
          </w:r>
          <w:r>
            <w:rPr>
              <w:rFonts w:hint="eastAsia" w:ascii="黑体" w:hAnsi="黑体" w:eastAsia="黑体" w:cs="黑体"/>
              <w:b w:val="0"/>
              <w:bCs/>
              <w:sz w:val="24"/>
              <w:szCs w:val="24"/>
              <w:highlight w:val="none"/>
            </w:rPr>
            <w:fldChar w:fldCharType="end"/>
          </w:r>
          <w:r>
            <w:rPr>
              <w:rFonts w:hint="eastAsia" w:ascii="黑体" w:hAnsi="黑体" w:eastAsia="黑体" w:cs="黑体"/>
              <w:b w:val="0"/>
              <w:bCs/>
              <w:color w:val="auto"/>
              <w:sz w:val="24"/>
              <w:szCs w:val="24"/>
              <w:highlight w:val="none"/>
            </w:rPr>
            <w:fldChar w:fldCharType="end"/>
          </w:r>
        </w:p>
        <w:p w14:paraId="0E46FE92">
          <w:pPr>
            <w:pStyle w:val="21"/>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黑体" w:hAnsi="黑体" w:eastAsia="黑体" w:cs="黑体"/>
              <w:b w:val="0"/>
              <w:bCs/>
              <w:sz w:val="28"/>
              <w:szCs w:val="28"/>
              <w:highlight w:val="none"/>
            </w:rPr>
          </w:pPr>
          <w:r>
            <w:rPr>
              <w:rFonts w:hint="eastAsia" w:ascii="黑体" w:hAnsi="黑体" w:eastAsia="黑体" w:cs="黑体"/>
              <w:b w:val="0"/>
              <w:bCs/>
              <w:color w:val="auto"/>
              <w:sz w:val="28"/>
              <w:szCs w:val="28"/>
              <w:highlight w:val="none"/>
            </w:rPr>
            <w:fldChar w:fldCharType="begin"/>
          </w:r>
          <w:r>
            <w:rPr>
              <w:rFonts w:hint="eastAsia" w:ascii="黑体" w:hAnsi="黑体" w:eastAsia="黑体" w:cs="黑体"/>
              <w:b w:val="0"/>
              <w:bCs/>
              <w:sz w:val="28"/>
              <w:szCs w:val="28"/>
              <w:highlight w:val="none"/>
            </w:rPr>
            <w:instrText xml:space="preserve"> HYPERLINK \l _Toc4291 </w:instrText>
          </w:r>
          <w:r>
            <w:rPr>
              <w:rFonts w:hint="eastAsia" w:ascii="黑体" w:hAnsi="黑体" w:eastAsia="黑体" w:cs="黑体"/>
              <w:b w:val="0"/>
              <w:bCs/>
              <w:sz w:val="28"/>
              <w:szCs w:val="28"/>
              <w:highlight w:val="none"/>
            </w:rPr>
            <w:fldChar w:fldCharType="separate"/>
          </w:r>
          <w:r>
            <w:rPr>
              <w:rFonts w:hint="eastAsia" w:ascii="黑体" w:hAnsi="黑体" w:eastAsia="黑体" w:cs="黑体"/>
              <w:b w:val="0"/>
              <w:bCs/>
              <w:kern w:val="2"/>
              <w:sz w:val="28"/>
              <w:szCs w:val="28"/>
              <w:highlight w:val="none"/>
            </w:rPr>
            <w:t>第三部分投标说明</w:t>
          </w:r>
          <w:r>
            <w:rPr>
              <w:rFonts w:hint="eastAsia" w:ascii="黑体" w:hAnsi="黑体" w:eastAsia="黑体" w:cs="黑体"/>
              <w:b w:val="0"/>
              <w:bCs/>
              <w:sz w:val="28"/>
              <w:szCs w:val="28"/>
              <w:highlight w:val="none"/>
            </w:rPr>
            <w:tab/>
          </w:r>
          <w:r>
            <w:rPr>
              <w:rFonts w:hint="eastAsia" w:ascii="黑体" w:hAnsi="黑体" w:eastAsia="黑体" w:cs="黑体"/>
              <w:b w:val="0"/>
              <w:bCs/>
              <w:sz w:val="24"/>
              <w:szCs w:val="24"/>
              <w:highlight w:val="none"/>
            </w:rPr>
            <w:fldChar w:fldCharType="begin"/>
          </w:r>
          <w:r>
            <w:rPr>
              <w:rFonts w:hint="eastAsia" w:ascii="黑体" w:hAnsi="黑体" w:eastAsia="黑体" w:cs="黑体"/>
              <w:b w:val="0"/>
              <w:bCs/>
              <w:sz w:val="24"/>
              <w:szCs w:val="24"/>
              <w:highlight w:val="none"/>
            </w:rPr>
            <w:instrText xml:space="preserve"> PAGEREF _Toc4291 \h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17</w:t>
          </w:r>
          <w:r>
            <w:rPr>
              <w:rFonts w:hint="eastAsia" w:ascii="黑体" w:hAnsi="黑体" w:eastAsia="黑体" w:cs="黑体"/>
              <w:b w:val="0"/>
              <w:bCs/>
              <w:sz w:val="24"/>
              <w:szCs w:val="24"/>
              <w:highlight w:val="none"/>
            </w:rPr>
            <w:fldChar w:fldCharType="end"/>
          </w:r>
          <w:r>
            <w:rPr>
              <w:rFonts w:hint="eastAsia" w:ascii="黑体" w:hAnsi="黑体" w:eastAsia="黑体" w:cs="黑体"/>
              <w:b w:val="0"/>
              <w:bCs/>
              <w:color w:val="auto"/>
              <w:sz w:val="28"/>
              <w:szCs w:val="28"/>
              <w:highlight w:val="none"/>
            </w:rPr>
            <w:fldChar w:fldCharType="end"/>
          </w:r>
        </w:p>
        <w:p w14:paraId="767818AD">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黑体" w:hAnsi="黑体" w:eastAsia="黑体" w:cs="黑体"/>
              <w:b w:val="0"/>
              <w:bCs/>
              <w:sz w:val="24"/>
              <w:szCs w:val="24"/>
              <w:highlight w:val="none"/>
            </w:rPr>
          </w:pPr>
          <w:r>
            <w:rPr>
              <w:rFonts w:hint="eastAsia" w:ascii="黑体" w:hAnsi="黑体" w:eastAsia="黑体" w:cs="黑体"/>
              <w:b w:val="0"/>
              <w:bCs/>
              <w:color w:val="auto"/>
              <w:sz w:val="24"/>
              <w:szCs w:val="24"/>
              <w:highlight w:val="none"/>
            </w:rPr>
            <w:fldChar w:fldCharType="begin"/>
          </w:r>
          <w:r>
            <w:rPr>
              <w:rFonts w:hint="eastAsia" w:ascii="黑体" w:hAnsi="黑体" w:eastAsia="黑体" w:cs="黑体"/>
              <w:b w:val="0"/>
              <w:bCs/>
              <w:sz w:val="24"/>
              <w:szCs w:val="24"/>
              <w:highlight w:val="none"/>
            </w:rPr>
            <w:instrText xml:space="preserve"> HYPERLINK \l _Toc26142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第一章对</w:t>
          </w:r>
          <w:r>
            <w:rPr>
              <w:rFonts w:hint="eastAsia" w:ascii="黑体" w:hAnsi="黑体" w:eastAsia="黑体" w:cs="黑体"/>
              <w:b w:val="0"/>
              <w:bCs/>
              <w:sz w:val="24"/>
              <w:szCs w:val="24"/>
              <w:highlight w:val="none"/>
              <w:lang w:eastAsia="zh-CN"/>
            </w:rPr>
            <w:t>投标供应商</w:t>
          </w:r>
          <w:r>
            <w:rPr>
              <w:rFonts w:hint="eastAsia" w:ascii="黑体" w:hAnsi="黑体" w:eastAsia="黑体" w:cs="黑体"/>
              <w:b w:val="0"/>
              <w:bCs/>
              <w:sz w:val="24"/>
              <w:szCs w:val="24"/>
              <w:highlight w:val="none"/>
            </w:rPr>
            <w:t>的资质要求</w:t>
          </w:r>
          <w:r>
            <w:rPr>
              <w:rFonts w:hint="eastAsia" w:ascii="黑体" w:hAnsi="黑体" w:eastAsia="黑体" w:cs="黑体"/>
              <w:b w:val="0"/>
              <w:bCs/>
              <w:sz w:val="24"/>
              <w:szCs w:val="24"/>
              <w:highlight w:val="none"/>
            </w:rPr>
            <w:tab/>
          </w:r>
          <w:r>
            <w:rPr>
              <w:rFonts w:hint="eastAsia" w:ascii="黑体" w:hAnsi="黑体" w:eastAsia="黑体" w:cs="黑体"/>
              <w:b w:val="0"/>
              <w:bCs/>
              <w:sz w:val="24"/>
              <w:szCs w:val="24"/>
              <w:highlight w:val="none"/>
            </w:rPr>
            <w:fldChar w:fldCharType="begin"/>
          </w:r>
          <w:r>
            <w:rPr>
              <w:rFonts w:hint="eastAsia" w:ascii="黑体" w:hAnsi="黑体" w:eastAsia="黑体" w:cs="黑体"/>
              <w:b w:val="0"/>
              <w:bCs/>
              <w:sz w:val="24"/>
              <w:szCs w:val="24"/>
              <w:highlight w:val="none"/>
            </w:rPr>
            <w:instrText xml:space="preserve"> PAGEREF _Toc26142 \h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17</w:t>
          </w:r>
          <w:r>
            <w:rPr>
              <w:rFonts w:hint="eastAsia" w:ascii="黑体" w:hAnsi="黑体" w:eastAsia="黑体" w:cs="黑体"/>
              <w:b w:val="0"/>
              <w:bCs/>
              <w:sz w:val="24"/>
              <w:szCs w:val="24"/>
              <w:highlight w:val="none"/>
            </w:rPr>
            <w:fldChar w:fldCharType="end"/>
          </w:r>
          <w:r>
            <w:rPr>
              <w:rFonts w:hint="eastAsia" w:ascii="黑体" w:hAnsi="黑体" w:eastAsia="黑体" w:cs="黑体"/>
              <w:b w:val="0"/>
              <w:bCs/>
              <w:color w:val="auto"/>
              <w:sz w:val="24"/>
              <w:szCs w:val="24"/>
              <w:highlight w:val="none"/>
            </w:rPr>
            <w:fldChar w:fldCharType="end"/>
          </w:r>
        </w:p>
        <w:p w14:paraId="151C601B">
          <w:pPr>
            <w:pStyle w:val="21"/>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黑体" w:hAnsi="黑体" w:eastAsia="黑体" w:cs="黑体"/>
              <w:b w:val="0"/>
              <w:bCs/>
              <w:sz w:val="24"/>
              <w:szCs w:val="24"/>
              <w:highlight w:val="none"/>
            </w:rPr>
          </w:pPr>
          <w:r>
            <w:rPr>
              <w:rFonts w:hint="eastAsia" w:ascii="黑体" w:hAnsi="黑体" w:eastAsia="黑体" w:cs="黑体"/>
              <w:b w:val="0"/>
              <w:bCs/>
              <w:color w:val="auto"/>
              <w:sz w:val="24"/>
              <w:szCs w:val="24"/>
              <w:highlight w:val="none"/>
            </w:rPr>
            <w:fldChar w:fldCharType="begin"/>
          </w:r>
          <w:r>
            <w:rPr>
              <w:rFonts w:hint="eastAsia" w:ascii="黑体" w:hAnsi="黑体" w:eastAsia="黑体" w:cs="黑体"/>
              <w:b w:val="0"/>
              <w:bCs/>
              <w:sz w:val="24"/>
              <w:szCs w:val="24"/>
              <w:highlight w:val="none"/>
            </w:rPr>
            <w:instrText xml:space="preserve"> HYPERLINK \l _Toc1085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第二章</w:t>
          </w:r>
          <w:r>
            <w:rPr>
              <w:rFonts w:hint="eastAsia" w:ascii="黑体" w:hAnsi="黑体" w:eastAsia="黑体" w:cs="黑体"/>
              <w:b w:val="0"/>
              <w:bCs/>
              <w:sz w:val="24"/>
              <w:szCs w:val="24"/>
              <w:highlight w:val="none"/>
              <w:lang w:eastAsia="zh-CN"/>
            </w:rPr>
            <w:t>投标文件</w:t>
          </w:r>
          <w:r>
            <w:rPr>
              <w:rFonts w:hint="eastAsia" w:ascii="黑体" w:hAnsi="黑体" w:eastAsia="黑体" w:cs="黑体"/>
              <w:b w:val="0"/>
              <w:bCs/>
              <w:sz w:val="24"/>
              <w:szCs w:val="24"/>
              <w:highlight w:val="none"/>
            </w:rPr>
            <w:t>的编写</w:t>
          </w:r>
          <w:r>
            <w:rPr>
              <w:rFonts w:hint="eastAsia" w:ascii="黑体" w:hAnsi="黑体" w:eastAsia="黑体" w:cs="黑体"/>
              <w:b w:val="0"/>
              <w:bCs/>
              <w:sz w:val="24"/>
              <w:szCs w:val="24"/>
              <w:highlight w:val="none"/>
            </w:rPr>
            <w:tab/>
          </w:r>
          <w:r>
            <w:rPr>
              <w:rFonts w:hint="eastAsia" w:ascii="黑体" w:hAnsi="黑体" w:eastAsia="黑体" w:cs="黑体"/>
              <w:b w:val="0"/>
              <w:bCs/>
              <w:sz w:val="24"/>
              <w:szCs w:val="24"/>
              <w:highlight w:val="none"/>
            </w:rPr>
            <w:fldChar w:fldCharType="begin"/>
          </w:r>
          <w:r>
            <w:rPr>
              <w:rFonts w:hint="eastAsia" w:ascii="黑体" w:hAnsi="黑体" w:eastAsia="黑体" w:cs="黑体"/>
              <w:b w:val="0"/>
              <w:bCs/>
              <w:sz w:val="24"/>
              <w:szCs w:val="24"/>
              <w:highlight w:val="none"/>
            </w:rPr>
            <w:instrText xml:space="preserve"> PAGEREF _Toc1085 \h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17</w:t>
          </w:r>
          <w:r>
            <w:rPr>
              <w:rFonts w:hint="eastAsia" w:ascii="黑体" w:hAnsi="黑体" w:eastAsia="黑体" w:cs="黑体"/>
              <w:b w:val="0"/>
              <w:bCs/>
              <w:sz w:val="24"/>
              <w:szCs w:val="24"/>
              <w:highlight w:val="none"/>
            </w:rPr>
            <w:fldChar w:fldCharType="end"/>
          </w:r>
          <w:r>
            <w:rPr>
              <w:rFonts w:hint="eastAsia" w:ascii="黑体" w:hAnsi="黑体" w:eastAsia="黑体" w:cs="黑体"/>
              <w:b w:val="0"/>
              <w:bCs/>
              <w:color w:val="auto"/>
              <w:sz w:val="24"/>
              <w:szCs w:val="24"/>
              <w:highlight w:val="none"/>
            </w:rPr>
            <w:fldChar w:fldCharType="end"/>
          </w:r>
        </w:p>
        <w:p w14:paraId="38C8B5FF">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黑体" w:hAnsi="黑体" w:eastAsia="黑体" w:cs="黑体"/>
              <w:b w:val="0"/>
              <w:bCs/>
              <w:sz w:val="24"/>
              <w:szCs w:val="24"/>
              <w:highlight w:val="none"/>
            </w:rPr>
          </w:pPr>
          <w:r>
            <w:rPr>
              <w:rFonts w:hint="eastAsia" w:ascii="黑体" w:hAnsi="黑体" w:eastAsia="黑体" w:cs="黑体"/>
              <w:b w:val="0"/>
              <w:bCs/>
              <w:color w:val="auto"/>
              <w:sz w:val="24"/>
              <w:szCs w:val="24"/>
              <w:highlight w:val="none"/>
            </w:rPr>
            <w:fldChar w:fldCharType="begin"/>
          </w:r>
          <w:r>
            <w:rPr>
              <w:rFonts w:hint="eastAsia" w:ascii="黑体" w:hAnsi="黑体" w:eastAsia="黑体" w:cs="黑体"/>
              <w:b w:val="0"/>
              <w:bCs/>
              <w:sz w:val="24"/>
              <w:szCs w:val="24"/>
              <w:highlight w:val="none"/>
            </w:rPr>
            <w:instrText xml:space="preserve"> HYPERLINK \l _Toc13950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第三章</w:t>
          </w:r>
          <w:r>
            <w:rPr>
              <w:rFonts w:hint="eastAsia" w:ascii="黑体" w:hAnsi="黑体" w:eastAsia="黑体" w:cs="黑体"/>
              <w:b w:val="0"/>
              <w:bCs/>
              <w:sz w:val="24"/>
              <w:szCs w:val="24"/>
              <w:highlight w:val="none"/>
              <w:lang w:eastAsia="zh-CN"/>
            </w:rPr>
            <w:t>投标文件</w:t>
          </w:r>
          <w:r>
            <w:rPr>
              <w:rFonts w:hint="eastAsia" w:ascii="黑体" w:hAnsi="黑体" w:eastAsia="黑体" w:cs="黑体"/>
              <w:b w:val="0"/>
              <w:bCs/>
              <w:sz w:val="24"/>
              <w:szCs w:val="24"/>
              <w:highlight w:val="none"/>
            </w:rPr>
            <w:t>的递交</w:t>
          </w:r>
          <w:r>
            <w:rPr>
              <w:rFonts w:hint="eastAsia" w:ascii="黑体" w:hAnsi="黑体" w:eastAsia="黑体" w:cs="黑体"/>
              <w:b w:val="0"/>
              <w:bCs/>
              <w:sz w:val="24"/>
              <w:szCs w:val="24"/>
              <w:highlight w:val="none"/>
            </w:rPr>
            <w:tab/>
          </w:r>
          <w:r>
            <w:rPr>
              <w:rFonts w:hint="eastAsia" w:ascii="黑体" w:hAnsi="黑体" w:eastAsia="黑体" w:cs="黑体"/>
              <w:b w:val="0"/>
              <w:bCs/>
              <w:sz w:val="24"/>
              <w:szCs w:val="24"/>
              <w:highlight w:val="none"/>
            </w:rPr>
            <w:fldChar w:fldCharType="begin"/>
          </w:r>
          <w:r>
            <w:rPr>
              <w:rFonts w:hint="eastAsia" w:ascii="黑体" w:hAnsi="黑体" w:eastAsia="黑体" w:cs="黑体"/>
              <w:b w:val="0"/>
              <w:bCs/>
              <w:sz w:val="24"/>
              <w:szCs w:val="24"/>
              <w:highlight w:val="none"/>
            </w:rPr>
            <w:instrText xml:space="preserve"> PAGEREF _Toc13950 \h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23</w:t>
          </w:r>
          <w:r>
            <w:rPr>
              <w:rFonts w:hint="eastAsia" w:ascii="黑体" w:hAnsi="黑体" w:eastAsia="黑体" w:cs="黑体"/>
              <w:b w:val="0"/>
              <w:bCs/>
              <w:sz w:val="24"/>
              <w:szCs w:val="24"/>
              <w:highlight w:val="none"/>
            </w:rPr>
            <w:fldChar w:fldCharType="end"/>
          </w:r>
          <w:r>
            <w:rPr>
              <w:rFonts w:hint="eastAsia" w:ascii="黑体" w:hAnsi="黑体" w:eastAsia="黑体" w:cs="黑体"/>
              <w:b w:val="0"/>
              <w:bCs/>
              <w:color w:val="auto"/>
              <w:sz w:val="24"/>
              <w:szCs w:val="24"/>
              <w:highlight w:val="none"/>
            </w:rPr>
            <w:fldChar w:fldCharType="end"/>
          </w:r>
        </w:p>
        <w:p w14:paraId="7E2AF140">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黑体" w:hAnsi="黑体" w:eastAsia="黑体" w:cs="黑体"/>
              <w:b w:val="0"/>
              <w:bCs/>
              <w:sz w:val="24"/>
              <w:szCs w:val="24"/>
              <w:highlight w:val="none"/>
            </w:rPr>
          </w:pPr>
          <w:r>
            <w:rPr>
              <w:rFonts w:hint="eastAsia" w:ascii="黑体" w:hAnsi="黑体" w:eastAsia="黑体" w:cs="黑体"/>
              <w:b w:val="0"/>
              <w:bCs/>
              <w:color w:val="auto"/>
              <w:sz w:val="24"/>
              <w:szCs w:val="24"/>
              <w:highlight w:val="none"/>
            </w:rPr>
            <w:fldChar w:fldCharType="begin"/>
          </w:r>
          <w:r>
            <w:rPr>
              <w:rFonts w:hint="eastAsia" w:ascii="黑体" w:hAnsi="黑体" w:eastAsia="黑体" w:cs="黑体"/>
              <w:b w:val="0"/>
              <w:bCs/>
              <w:sz w:val="24"/>
              <w:szCs w:val="24"/>
              <w:highlight w:val="none"/>
            </w:rPr>
            <w:instrText xml:space="preserve"> HYPERLINK \l _Toc1099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第四章</w:t>
          </w:r>
          <w:r>
            <w:rPr>
              <w:rFonts w:hint="eastAsia" w:ascii="黑体" w:hAnsi="黑体" w:eastAsia="黑体" w:cs="黑体"/>
              <w:b w:val="0"/>
              <w:bCs/>
              <w:sz w:val="24"/>
              <w:szCs w:val="24"/>
              <w:highlight w:val="none"/>
              <w:lang w:eastAsia="zh-CN"/>
            </w:rPr>
            <w:t>评标委员会</w:t>
          </w:r>
          <w:r>
            <w:rPr>
              <w:rFonts w:hint="eastAsia" w:ascii="黑体" w:hAnsi="黑体" w:eastAsia="黑体" w:cs="黑体"/>
              <w:b w:val="0"/>
              <w:bCs/>
              <w:sz w:val="24"/>
              <w:szCs w:val="24"/>
              <w:highlight w:val="none"/>
            </w:rPr>
            <w:tab/>
          </w:r>
          <w:r>
            <w:rPr>
              <w:rFonts w:hint="eastAsia" w:ascii="黑体" w:hAnsi="黑体" w:eastAsia="黑体" w:cs="黑体"/>
              <w:b w:val="0"/>
              <w:bCs/>
              <w:sz w:val="24"/>
              <w:szCs w:val="24"/>
              <w:highlight w:val="none"/>
            </w:rPr>
            <w:fldChar w:fldCharType="begin"/>
          </w:r>
          <w:r>
            <w:rPr>
              <w:rFonts w:hint="eastAsia" w:ascii="黑体" w:hAnsi="黑体" w:eastAsia="黑体" w:cs="黑体"/>
              <w:b w:val="0"/>
              <w:bCs/>
              <w:sz w:val="24"/>
              <w:szCs w:val="24"/>
              <w:highlight w:val="none"/>
            </w:rPr>
            <w:instrText xml:space="preserve"> PAGEREF _Toc1099 \h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24</w:t>
          </w:r>
          <w:r>
            <w:rPr>
              <w:rFonts w:hint="eastAsia" w:ascii="黑体" w:hAnsi="黑体" w:eastAsia="黑体" w:cs="黑体"/>
              <w:b w:val="0"/>
              <w:bCs/>
              <w:sz w:val="24"/>
              <w:szCs w:val="24"/>
              <w:highlight w:val="none"/>
            </w:rPr>
            <w:fldChar w:fldCharType="end"/>
          </w:r>
          <w:r>
            <w:rPr>
              <w:rFonts w:hint="eastAsia" w:ascii="黑体" w:hAnsi="黑体" w:eastAsia="黑体" w:cs="黑体"/>
              <w:b w:val="0"/>
              <w:bCs/>
              <w:color w:val="auto"/>
              <w:sz w:val="24"/>
              <w:szCs w:val="24"/>
              <w:highlight w:val="none"/>
            </w:rPr>
            <w:fldChar w:fldCharType="end"/>
          </w:r>
        </w:p>
        <w:p w14:paraId="73FFB975">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黑体" w:hAnsi="黑体" w:eastAsia="黑体" w:cs="黑体"/>
              <w:b w:val="0"/>
              <w:bCs/>
              <w:sz w:val="24"/>
              <w:szCs w:val="24"/>
              <w:highlight w:val="none"/>
            </w:rPr>
          </w:pPr>
          <w:r>
            <w:rPr>
              <w:rFonts w:hint="eastAsia" w:ascii="黑体" w:hAnsi="黑体" w:eastAsia="黑体" w:cs="黑体"/>
              <w:b w:val="0"/>
              <w:bCs/>
              <w:color w:val="auto"/>
              <w:sz w:val="24"/>
              <w:szCs w:val="24"/>
              <w:highlight w:val="none"/>
            </w:rPr>
            <w:fldChar w:fldCharType="begin"/>
          </w:r>
          <w:r>
            <w:rPr>
              <w:rFonts w:hint="eastAsia" w:ascii="黑体" w:hAnsi="黑体" w:eastAsia="黑体" w:cs="黑体"/>
              <w:b w:val="0"/>
              <w:bCs/>
              <w:sz w:val="24"/>
              <w:szCs w:val="24"/>
              <w:highlight w:val="none"/>
            </w:rPr>
            <w:instrText xml:space="preserve"> HYPERLINK \l _Toc3555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第五章开　标</w:t>
          </w:r>
          <w:r>
            <w:rPr>
              <w:rFonts w:hint="eastAsia" w:ascii="黑体" w:hAnsi="黑体" w:eastAsia="黑体" w:cs="黑体"/>
              <w:b w:val="0"/>
              <w:bCs/>
              <w:sz w:val="24"/>
              <w:szCs w:val="24"/>
              <w:highlight w:val="none"/>
            </w:rPr>
            <w:tab/>
          </w:r>
          <w:r>
            <w:rPr>
              <w:rFonts w:hint="eastAsia" w:ascii="黑体" w:hAnsi="黑体" w:eastAsia="黑体" w:cs="黑体"/>
              <w:b w:val="0"/>
              <w:bCs/>
              <w:sz w:val="24"/>
              <w:szCs w:val="24"/>
              <w:highlight w:val="none"/>
            </w:rPr>
            <w:fldChar w:fldCharType="begin"/>
          </w:r>
          <w:r>
            <w:rPr>
              <w:rFonts w:hint="eastAsia" w:ascii="黑体" w:hAnsi="黑体" w:eastAsia="黑体" w:cs="黑体"/>
              <w:b w:val="0"/>
              <w:bCs/>
              <w:sz w:val="24"/>
              <w:szCs w:val="24"/>
              <w:highlight w:val="none"/>
            </w:rPr>
            <w:instrText xml:space="preserve"> PAGEREF _Toc3555 \h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25</w:t>
          </w:r>
          <w:r>
            <w:rPr>
              <w:rFonts w:hint="eastAsia" w:ascii="黑体" w:hAnsi="黑体" w:eastAsia="黑体" w:cs="黑体"/>
              <w:b w:val="0"/>
              <w:bCs/>
              <w:sz w:val="24"/>
              <w:szCs w:val="24"/>
              <w:highlight w:val="none"/>
            </w:rPr>
            <w:fldChar w:fldCharType="end"/>
          </w:r>
          <w:r>
            <w:rPr>
              <w:rFonts w:hint="eastAsia" w:ascii="黑体" w:hAnsi="黑体" w:eastAsia="黑体" w:cs="黑体"/>
              <w:b w:val="0"/>
              <w:bCs/>
              <w:color w:val="auto"/>
              <w:sz w:val="24"/>
              <w:szCs w:val="24"/>
              <w:highlight w:val="none"/>
            </w:rPr>
            <w:fldChar w:fldCharType="end"/>
          </w:r>
        </w:p>
        <w:p w14:paraId="3FCFE7F0">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黑体" w:hAnsi="黑体" w:eastAsia="黑体" w:cs="黑体"/>
              <w:b w:val="0"/>
              <w:bCs/>
              <w:sz w:val="24"/>
              <w:szCs w:val="24"/>
              <w:highlight w:val="none"/>
            </w:rPr>
          </w:pPr>
          <w:r>
            <w:rPr>
              <w:rFonts w:hint="eastAsia" w:ascii="黑体" w:hAnsi="黑体" w:eastAsia="黑体" w:cs="黑体"/>
              <w:b w:val="0"/>
              <w:bCs/>
              <w:color w:val="auto"/>
              <w:sz w:val="24"/>
              <w:szCs w:val="24"/>
              <w:highlight w:val="none"/>
            </w:rPr>
            <w:fldChar w:fldCharType="begin"/>
          </w:r>
          <w:r>
            <w:rPr>
              <w:rFonts w:hint="eastAsia" w:ascii="黑体" w:hAnsi="黑体" w:eastAsia="黑体" w:cs="黑体"/>
              <w:b w:val="0"/>
              <w:bCs/>
              <w:sz w:val="24"/>
              <w:szCs w:val="24"/>
              <w:highlight w:val="none"/>
            </w:rPr>
            <w:instrText xml:space="preserve"> HYPERLINK \l _Toc30223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第六章评　标</w:t>
          </w:r>
          <w:r>
            <w:rPr>
              <w:rFonts w:hint="eastAsia" w:ascii="黑体" w:hAnsi="黑体" w:eastAsia="黑体" w:cs="黑体"/>
              <w:b w:val="0"/>
              <w:bCs/>
              <w:sz w:val="24"/>
              <w:szCs w:val="24"/>
              <w:highlight w:val="none"/>
            </w:rPr>
            <w:tab/>
          </w:r>
          <w:r>
            <w:rPr>
              <w:rFonts w:hint="eastAsia" w:ascii="黑体" w:hAnsi="黑体" w:eastAsia="黑体" w:cs="黑体"/>
              <w:b w:val="0"/>
              <w:bCs/>
              <w:sz w:val="24"/>
              <w:szCs w:val="24"/>
              <w:highlight w:val="none"/>
            </w:rPr>
            <w:fldChar w:fldCharType="begin"/>
          </w:r>
          <w:r>
            <w:rPr>
              <w:rFonts w:hint="eastAsia" w:ascii="黑体" w:hAnsi="黑体" w:eastAsia="黑体" w:cs="黑体"/>
              <w:b w:val="0"/>
              <w:bCs/>
              <w:sz w:val="24"/>
              <w:szCs w:val="24"/>
              <w:highlight w:val="none"/>
            </w:rPr>
            <w:instrText xml:space="preserve"> PAGEREF _Toc30223 \h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28</w:t>
          </w:r>
          <w:r>
            <w:rPr>
              <w:rFonts w:hint="eastAsia" w:ascii="黑体" w:hAnsi="黑体" w:eastAsia="黑体" w:cs="黑体"/>
              <w:b w:val="0"/>
              <w:bCs/>
              <w:sz w:val="24"/>
              <w:szCs w:val="24"/>
              <w:highlight w:val="none"/>
            </w:rPr>
            <w:fldChar w:fldCharType="end"/>
          </w:r>
          <w:r>
            <w:rPr>
              <w:rFonts w:hint="eastAsia" w:ascii="黑体" w:hAnsi="黑体" w:eastAsia="黑体" w:cs="黑体"/>
              <w:b w:val="0"/>
              <w:bCs/>
              <w:color w:val="auto"/>
              <w:sz w:val="24"/>
              <w:szCs w:val="24"/>
              <w:highlight w:val="none"/>
            </w:rPr>
            <w:fldChar w:fldCharType="end"/>
          </w:r>
        </w:p>
        <w:p w14:paraId="42DE47E2">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黑体" w:hAnsi="黑体" w:eastAsia="黑体" w:cs="黑体"/>
              <w:b w:val="0"/>
              <w:bCs/>
              <w:sz w:val="24"/>
              <w:szCs w:val="24"/>
              <w:highlight w:val="none"/>
            </w:rPr>
          </w:pPr>
          <w:r>
            <w:rPr>
              <w:rFonts w:hint="eastAsia" w:ascii="黑体" w:hAnsi="黑体" w:eastAsia="黑体" w:cs="黑体"/>
              <w:b w:val="0"/>
              <w:bCs/>
              <w:color w:val="auto"/>
              <w:sz w:val="24"/>
              <w:szCs w:val="24"/>
              <w:highlight w:val="none"/>
            </w:rPr>
            <w:fldChar w:fldCharType="begin"/>
          </w:r>
          <w:r>
            <w:rPr>
              <w:rFonts w:hint="eastAsia" w:ascii="黑体" w:hAnsi="黑体" w:eastAsia="黑体" w:cs="黑体"/>
              <w:b w:val="0"/>
              <w:bCs/>
              <w:sz w:val="24"/>
              <w:szCs w:val="24"/>
              <w:highlight w:val="none"/>
            </w:rPr>
            <w:instrText xml:space="preserve"> HYPERLINK \l _Toc21730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第七章定　标</w:t>
          </w:r>
          <w:r>
            <w:rPr>
              <w:rFonts w:hint="eastAsia" w:ascii="黑体" w:hAnsi="黑体" w:eastAsia="黑体" w:cs="黑体"/>
              <w:b w:val="0"/>
              <w:bCs/>
              <w:sz w:val="24"/>
              <w:szCs w:val="24"/>
              <w:highlight w:val="none"/>
            </w:rPr>
            <w:tab/>
          </w:r>
          <w:r>
            <w:rPr>
              <w:rFonts w:hint="eastAsia" w:ascii="黑体" w:hAnsi="黑体" w:eastAsia="黑体" w:cs="黑体"/>
              <w:b w:val="0"/>
              <w:bCs/>
              <w:sz w:val="24"/>
              <w:szCs w:val="24"/>
              <w:highlight w:val="none"/>
            </w:rPr>
            <w:fldChar w:fldCharType="begin"/>
          </w:r>
          <w:r>
            <w:rPr>
              <w:rFonts w:hint="eastAsia" w:ascii="黑体" w:hAnsi="黑体" w:eastAsia="黑体" w:cs="黑体"/>
              <w:b w:val="0"/>
              <w:bCs/>
              <w:sz w:val="24"/>
              <w:szCs w:val="24"/>
              <w:highlight w:val="none"/>
            </w:rPr>
            <w:instrText xml:space="preserve"> PAGEREF _Toc21730 \h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33</w:t>
          </w:r>
          <w:r>
            <w:rPr>
              <w:rFonts w:hint="eastAsia" w:ascii="黑体" w:hAnsi="黑体" w:eastAsia="黑体" w:cs="黑体"/>
              <w:b w:val="0"/>
              <w:bCs/>
              <w:sz w:val="24"/>
              <w:szCs w:val="24"/>
              <w:highlight w:val="none"/>
            </w:rPr>
            <w:fldChar w:fldCharType="end"/>
          </w:r>
          <w:r>
            <w:rPr>
              <w:rFonts w:hint="eastAsia" w:ascii="黑体" w:hAnsi="黑体" w:eastAsia="黑体" w:cs="黑体"/>
              <w:b w:val="0"/>
              <w:bCs/>
              <w:color w:val="auto"/>
              <w:sz w:val="24"/>
              <w:szCs w:val="24"/>
              <w:highlight w:val="none"/>
            </w:rPr>
            <w:fldChar w:fldCharType="end"/>
          </w:r>
        </w:p>
        <w:p w14:paraId="3E1BB468">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黑体" w:hAnsi="黑体" w:eastAsia="黑体" w:cs="黑体"/>
              <w:b w:val="0"/>
              <w:bCs/>
              <w:sz w:val="28"/>
              <w:szCs w:val="28"/>
              <w:highlight w:val="none"/>
            </w:rPr>
          </w:pPr>
          <w:r>
            <w:rPr>
              <w:rFonts w:hint="eastAsia" w:ascii="黑体" w:hAnsi="黑体" w:eastAsia="黑体" w:cs="黑体"/>
              <w:b w:val="0"/>
              <w:bCs/>
              <w:color w:val="auto"/>
              <w:sz w:val="24"/>
              <w:szCs w:val="24"/>
              <w:highlight w:val="none"/>
            </w:rPr>
            <w:fldChar w:fldCharType="begin"/>
          </w:r>
          <w:r>
            <w:rPr>
              <w:rFonts w:hint="eastAsia" w:ascii="黑体" w:hAnsi="黑体" w:eastAsia="黑体" w:cs="黑体"/>
              <w:b w:val="0"/>
              <w:bCs/>
              <w:sz w:val="24"/>
              <w:szCs w:val="24"/>
              <w:highlight w:val="none"/>
            </w:rPr>
            <w:instrText xml:space="preserve"> HYPERLINK \l _Toc16347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第八章授予合同</w:t>
          </w:r>
          <w:r>
            <w:rPr>
              <w:rFonts w:hint="eastAsia" w:ascii="黑体" w:hAnsi="黑体" w:eastAsia="黑体" w:cs="黑体"/>
              <w:b w:val="0"/>
              <w:bCs/>
              <w:sz w:val="24"/>
              <w:szCs w:val="24"/>
              <w:highlight w:val="none"/>
            </w:rPr>
            <w:tab/>
          </w:r>
          <w:r>
            <w:rPr>
              <w:rFonts w:hint="eastAsia" w:ascii="黑体" w:hAnsi="黑体" w:eastAsia="黑体" w:cs="黑体"/>
              <w:b w:val="0"/>
              <w:bCs/>
              <w:sz w:val="24"/>
              <w:szCs w:val="24"/>
              <w:highlight w:val="none"/>
            </w:rPr>
            <w:fldChar w:fldCharType="begin"/>
          </w:r>
          <w:r>
            <w:rPr>
              <w:rFonts w:hint="eastAsia" w:ascii="黑体" w:hAnsi="黑体" w:eastAsia="黑体" w:cs="黑体"/>
              <w:b w:val="0"/>
              <w:bCs/>
              <w:sz w:val="24"/>
              <w:szCs w:val="24"/>
              <w:highlight w:val="none"/>
            </w:rPr>
            <w:instrText xml:space="preserve"> PAGEREF _Toc16347 \h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34</w:t>
          </w:r>
          <w:r>
            <w:rPr>
              <w:rFonts w:hint="eastAsia" w:ascii="黑体" w:hAnsi="黑体" w:eastAsia="黑体" w:cs="黑体"/>
              <w:b w:val="0"/>
              <w:bCs/>
              <w:sz w:val="24"/>
              <w:szCs w:val="24"/>
              <w:highlight w:val="none"/>
            </w:rPr>
            <w:fldChar w:fldCharType="end"/>
          </w:r>
          <w:r>
            <w:rPr>
              <w:rFonts w:hint="eastAsia" w:ascii="黑体" w:hAnsi="黑体" w:eastAsia="黑体" w:cs="黑体"/>
              <w:b w:val="0"/>
              <w:bCs/>
              <w:color w:val="auto"/>
              <w:sz w:val="24"/>
              <w:szCs w:val="24"/>
              <w:highlight w:val="none"/>
            </w:rPr>
            <w:fldChar w:fldCharType="end"/>
          </w:r>
        </w:p>
        <w:p w14:paraId="39DC086E">
          <w:pPr>
            <w:pStyle w:val="21"/>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黑体" w:hAnsi="黑体" w:eastAsia="黑体" w:cs="黑体"/>
              <w:b w:val="0"/>
              <w:bCs/>
              <w:sz w:val="28"/>
              <w:szCs w:val="28"/>
              <w:highlight w:val="none"/>
            </w:rPr>
          </w:pPr>
          <w:r>
            <w:rPr>
              <w:rFonts w:hint="eastAsia" w:ascii="黑体" w:hAnsi="黑体" w:eastAsia="黑体" w:cs="黑体"/>
              <w:b w:val="0"/>
              <w:bCs/>
              <w:color w:val="auto"/>
              <w:sz w:val="28"/>
              <w:szCs w:val="28"/>
              <w:highlight w:val="none"/>
            </w:rPr>
            <w:fldChar w:fldCharType="begin"/>
          </w:r>
          <w:r>
            <w:rPr>
              <w:rFonts w:hint="eastAsia" w:ascii="黑体" w:hAnsi="黑体" w:eastAsia="黑体" w:cs="黑体"/>
              <w:b w:val="0"/>
              <w:bCs/>
              <w:sz w:val="28"/>
              <w:szCs w:val="28"/>
              <w:highlight w:val="none"/>
            </w:rPr>
            <w:instrText xml:space="preserve"> HYPERLINK \l _Toc16457 </w:instrText>
          </w:r>
          <w:r>
            <w:rPr>
              <w:rFonts w:hint="eastAsia" w:ascii="黑体" w:hAnsi="黑体" w:eastAsia="黑体" w:cs="黑体"/>
              <w:b w:val="0"/>
              <w:bCs/>
              <w:sz w:val="28"/>
              <w:szCs w:val="28"/>
              <w:highlight w:val="none"/>
            </w:rPr>
            <w:fldChar w:fldCharType="separate"/>
          </w:r>
          <w:r>
            <w:rPr>
              <w:rFonts w:hint="eastAsia" w:ascii="黑体" w:hAnsi="黑体" w:eastAsia="黑体" w:cs="黑体"/>
              <w:b w:val="0"/>
              <w:bCs/>
              <w:sz w:val="28"/>
              <w:szCs w:val="28"/>
              <w:highlight w:val="none"/>
            </w:rPr>
            <w:t>第四部分采购需求</w:t>
          </w:r>
          <w:r>
            <w:rPr>
              <w:rFonts w:hint="eastAsia" w:ascii="黑体" w:hAnsi="黑体" w:eastAsia="黑体" w:cs="黑体"/>
              <w:b w:val="0"/>
              <w:bCs/>
              <w:sz w:val="28"/>
              <w:szCs w:val="28"/>
              <w:highlight w:val="none"/>
            </w:rPr>
            <w:tab/>
          </w:r>
          <w:r>
            <w:rPr>
              <w:rFonts w:hint="eastAsia" w:ascii="黑体" w:hAnsi="黑体" w:eastAsia="黑体" w:cs="黑体"/>
              <w:b w:val="0"/>
              <w:bCs/>
              <w:sz w:val="24"/>
              <w:szCs w:val="24"/>
              <w:highlight w:val="none"/>
            </w:rPr>
            <w:fldChar w:fldCharType="begin"/>
          </w:r>
          <w:r>
            <w:rPr>
              <w:rFonts w:hint="eastAsia" w:ascii="黑体" w:hAnsi="黑体" w:eastAsia="黑体" w:cs="黑体"/>
              <w:b w:val="0"/>
              <w:bCs/>
              <w:sz w:val="24"/>
              <w:szCs w:val="24"/>
              <w:highlight w:val="none"/>
            </w:rPr>
            <w:instrText xml:space="preserve"> PAGEREF _Toc16457 \h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36</w:t>
          </w:r>
          <w:r>
            <w:rPr>
              <w:rFonts w:hint="eastAsia" w:ascii="黑体" w:hAnsi="黑体" w:eastAsia="黑体" w:cs="黑体"/>
              <w:b w:val="0"/>
              <w:bCs/>
              <w:sz w:val="24"/>
              <w:szCs w:val="24"/>
              <w:highlight w:val="none"/>
            </w:rPr>
            <w:fldChar w:fldCharType="end"/>
          </w:r>
          <w:r>
            <w:rPr>
              <w:rFonts w:hint="eastAsia" w:ascii="黑体" w:hAnsi="黑体" w:eastAsia="黑体" w:cs="黑体"/>
              <w:b w:val="0"/>
              <w:bCs/>
              <w:color w:val="auto"/>
              <w:sz w:val="28"/>
              <w:szCs w:val="28"/>
              <w:highlight w:val="none"/>
            </w:rPr>
            <w:fldChar w:fldCharType="end"/>
          </w:r>
        </w:p>
        <w:p w14:paraId="6EC84888">
          <w:pPr>
            <w:pStyle w:val="21"/>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黑体" w:hAnsi="黑体" w:eastAsia="黑体" w:cs="黑体"/>
              <w:b w:val="0"/>
              <w:bCs/>
              <w:sz w:val="28"/>
              <w:szCs w:val="28"/>
              <w:highlight w:val="none"/>
            </w:rPr>
          </w:pPr>
          <w:r>
            <w:rPr>
              <w:rFonts w:hint="eastAsia" w:ascii="黑体" w:hAnsi="黑体" w:eastAsia="黑体" w:cs="黑体"/>
              <w:b w:val="0"/>
              <w:bCs/>
              <w:color w:val="auto"/>
              <w:sz w:val="28"/>
              <w:szCs w:val="28"/>
              <w:highlight w:val="none"/>
            </w:rPr>
            <w:fldChar w:fldCharType="begin"/>
          </w:r>
          <w:r>
            <w:rPr>
              <w:rFonts w:hint="eastAsia" w:ascii="黑体" w:hAnsi="黑体" w:eastAsia="黑体" w:cs="黑体"/>
              <w:b w:val="0"/>
              <w:bCs/>
              <w:sz w:val="28"/>
              <w:szCs w:val="28"/>
              <w:highlight w:val="none"/>
            </w:rPr>
            <w:instrText xml:space="preserve"> HYPERLINK \l _Toc13282 </w:instrText>
          </w:r>
          <w:r>
            <w:rPr>
              <w:rFonts w:hint="eastAsia" w:ascii="黑体" w:hAnsi="黑体" w:eastAsia="黑体" w:cs="黑体"/>
              <w:b w:val="0"/>
              <w:bCs/>
              <w:sz w:val="28"/>
              <w:szCs w:val="28"/>
              <w:highlight w:val="none"/>
            </w:rPr>
            <w:fldChar w:fldCharType="separate"/>
          </w:r>
          <w:r>
            <w:rPr>
              <w:rFonts w:hint="eastAsia" w:ascii="黑体" w:hAnsi="黑体" w:eastAsia="黑体" w:cs="黑体"/>
              <w:b w:val="0"/>
              <w:bCs/>
              <w:sz w:val="28"/>
              <w:szCs w:val="28"/>
              <w:highlight w:val="none"/>
            </w:rPr>
            <w:t>第五部分合同部分</w:t>
          </w:r>
          <w:r>
            <w:rPr>
              <w:rFonts w:hint="eastAsia" w:ascii="黑体" w:hAnsi="黑体" w:eastAsia="黑体" w:cs="黑体"/>
              <w:b w:val="0"/>
              <w:bCs/>
              <w:sz w:val="28"/>
              <w:szCs w:val="28"/>
              <w:highlight w:val="none"/>
            </w:rPr>
            <w:tab/>
          </w:r>
          <w:r>
            <w:rPr>
              <w:rFonts w:hint="eastAsia" w:ascii="黑体" w:hAnsi="黑体" w:eastAsia="黑体" w:cs="黑体"/>
              <w:b w:val="0"/>
              <w:bCs/>
              <w:sz w:val="24"/>
              <w:szCs w:val="24"/>
              <w:highlight w:val="none"/>
            </w:rPr>
            <w:fldChar w:fldCharType="begin"/>
          </w:r>
          <w:r>
            <w:rPr>
              <w:rFonts w:hint="eastAsia" w:ascii="黑体" w:hAnsi="黑体" w:eastAsia="黑体" w:cs="黑体"/>
              <w:b w:val="0"/>
              <w:bCs/>
              <w:sz w:val="24"/>
              <w:szCs w:val="24"/>
              <w:highlight w:val="none"/>
            </w:rPr>
            <w:instrText xml:space="preserve"> PAGEREF _Toc13282 \h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41</w:t>
          </w:r>
          <w:r>
            <w:rPr>
              <w:rFonts w:hint="eastAsia" w:ascii="黑体" w:hAnsi="黑体" w:eastAsia="黑体" w:cs="黑体"/>
              <w:b w:val="0"/>
              <w:bCs/>
              <w:sz w:val="24"/>
              <w:szCs w:val="24"/>
              <w:highlight w:val="none"/>
            </w:rPr>
            <w:fldChar w:fldCharType="end"/>
          </w:r>
          <w:r>
            <w:rPr>
              <w:rFonts w:hint="eastAsia" w:ascii="黑体" w:hAnsi="黑体" w:eastAsia="黑体" w:cs="黑体"/>
              <w:b w:val="0"/>
              <w:bCs/>
              <w:color w:val="auto"/>
              <w:sz w:val="28"/>
              <w:szCs w:val="28"/>
              <w:highlight w:val="none"/>
            </w:rPr>
            <w:fldChar w:fldCharType="end"/>
          </w:r>
        </w:p>
        <w:p w14:paraId="4174A2DD">
          <w:pPr>
            <w:pStyle w:val="21"/>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黑体" w:hAnsi="黑体" w:eastAsia="黑体" w:cs="黑体"/>
              <w:b w:val="0"/>
              <w:bCs/>
              <w:sz w:val="28"/>
              <w:szCs w:val="28"/>
              <w:highlight w:val="none"/>
            </w:rPr>
          </w:pPr>
          <w:r>
            <w:rPr>
              <w:rFonts w:hint="eastAsia" w:ascii="黑体" w:hAnsi="黑体" w:eastAsia="黑体" w:cs="黑体"/>
              <w:b w:val="0"/>
              <w:bCs/>
              <w:color w:val="auto"/>
              <w:sz w:val="28"/>
              <w:szCs w:val="28"/>
              <w:highlight w:val="none"/>
            </w:rPr>
            <w:fldChar w:fldCharType="begin"/>
          </w:r>
          <w:r>
            <w:rPr>
              <w:rFonts w:hint="eastAsia" w:ascii="黑体" w:hAnsi="黑体" w:eastAsia="黑体" w:cs="黑体"/>
              <w:b w:val="0"/>
              <w:bCs/>
              <w:sz w:val="28"/>
              <w:szCs w:val="28"/>
              <w:highlight w:val="none"/>
            </w:rPr>
            <w:instrText xml:space="preserve"> HYPERLINK \l _Toc3994 </w:instrText>
          </w:r>
          <w:r>
            <w:rPr>
              <w:rFonts w:hint="eastAsia" w:ascii="黑体" w:hAnsi="黑体" w:eastAsia="黑体" w:cs="黑体"/>
              <w:b w:val="0"/>
              <w:bCs/>
              <w:sz w:val="28"/>
              <w:szCs w:val="28"/>
              <w:highlight w:val="none"/>
            </w:rPr>
            <w:fldChar w:fldCharType="separate"/>
          </w:r>
          <w:r>
            <w:rPr>
              <w:rFonts w:hint="eastAsia" w:ascii="黑体" w:hAnsi="黑体" w:eastAsia="黑体" w:cs="黑体"/>
              <w:b w:val="0"/>
              <w:bCs/>
              <w:sz w:val="28"/>
              <w:szCs w:val="28"/>
              <w:highlight w:val="none"/>
            </w:rPr>
            <w:t>第六部分</w:t>
          </w:r>
          <w:r>
            <w:rPr>
              <w:rFonts w:hint="eastAsia" w:ascii="黑体" w:hAnsi="黑体" w:eastAsia="黑体" w:cs="黑体"/>
              <w:b w:val="0"/>
              <w:bCs/>
              <w:sz w:val="28"/>
              <w:szCs w:val="28"/>
              <w:highlight w:val="none"/>
              <w:lang w:eastAsia="zh-CN"/>
            </w:rPr>
            <w:t>投标文件</w:t>
          </w:r>
          <w:r>
            <w:rPr>
              <w:rFonts w:hint="eastAsia" w:ascii="黑体" w:hAnsi="黑体" w:eastAsia="黑体" w:cs="黑体"/>
              <w:b w:val="0"/>
              <w:bCs/>
              <w:sz w:val="28"/>
              <w:szCs w:val="28"/>
              <w:highlight w:val="none"/>
            </w:rPr>
            <w:t>格式</w:t>
          </w:r>
          <w:r>
            <w:rPr>
              <w:rFonts w:hint="eastAsia" w:ascii="黑体" w:hAnsi="黑体" w:eastAsia="黑体" w:cs="黑体"/>
              <w:b w:val="0"/>
              <w:bCs/>
              <w:sz w:val="28"/>
              <w:szCs w:val="28"/>
              <w:highlight w:val="none"/>
            </w:rPr>
            <w:tab/>
          </w:r>
          <w:r>
            <w:rPr>
              <w:rFonts w:hint="eastAsia" w:ascii="黑体" w:hAnsi="黑体" w:eastAsia="黑体" w:cs="黑体"/>
              <w:b w:val="0"/>
              <w:bCs/>
              <w:sz w:val="24"/>
              <w:szCs w:val="24"/>
              <w:highlight w:val="none"/>
            </w:rPr>
            <w:fldChar w:fldCharType="begin"/>
          </w:r>
          <w:r>
            <w:rPr>
              <w:rFonts w:hint="eastAsia" w:ascii="黑体" w:hAnsi="黑体" w:eastAsia="黑体" w:cs="黑体"/>
              <w:b w:val="0"/>
              <w:bCs/>
              <w:sz w:val="24"/>
              <w:szCs w:val="24"/>
              <w:highlight w:val="none"/>
            </w:rPr>
            <w:instrText xml:space="preserve"> PAGEREF _Toc3994 \h </w:instrText>
          </w:r>
          <w:r>
            <w:rPr>
              <w:rFonts w:hint="eastAsia" w:ascii="黑体" w:hAnsi="黑体" w:eastAsia="黑体" w:cs="黑体"/>
              <w:b w:val="0"/>
              <w:bCs/>
              <w:sz w:val="24"/>
              <w:szCs w:val="24"/>
              <w:highlight w:val="none"/>
            </w:rPr>
            <w:fldChar w:fldCharType="separate"/>
          </w:r>
          <w:r>
            <w:rPr>
              <w:rFonts w:hint="eastAsia" w:ascii="黑体" w:hAnsi="黑体" w:eastAsia="黑体" w:cs="黑体"/>
              <w:b w:val="0"/>
              <w:bCs/>
              <w:sz w:val="24"/>
              <w:szCs w:val="24"/>
              <w:highlight w:val="none"/>
            </w:rPr>
            <w:t>68</w:t>
          </w:r>
          <w:r>
            <w:rPr>
              <w:rFonts w:hint="eastAsia" w:ascii="黑体" w:hAnsi="黑体" w:eastAsia="黑体" w:cs="黑体"/>
              <w:b w:val="0"/>
              <w:bCs/>
              <w:sz w:val="24"/>
              <w:szCs w:val="24"/>
              <w:highlight w:val="none"/>
            </w:rPr>
            <w:fldChar w:fldCharType="end"/>
          </w:r>
          <w:r>
            <w:rPr>
              <w:rFonts w:hint="eastAsia" w:ascii="黑体" w:hAnsi="黑体" w:eastAsia="黑体" w:cs="黑体"/>
              <w:b w:val="0"/>
              <w:bCs/>
              <w:color w:val="auto"/>
              <w:sz w:val="28"/>
              <w:szCs w:val="28"/>
              <w:highlight w:val="none"/>
            </w:rPr>
            <w:fldChar w:fldCharType="end"/>
          </w:r>
        </w:p>
        <w:p w14:paraId="6257BEAD">
          <w:pPr>
            <w:pStyle w:val="23"/>
            <w:tabs>
              <w:tab w:val="right" w:leader="dot" w:pos="8789"/>
              <w:tab w:val="clear" w:pos="9628"/>
            </w:tabs>
            <w:spacing w:line="360" w:lineRule="auto"/>
            <w:ind w:left="0" w:leftChars="0" w:right="420" w:rightChars="200"/>
            <w:jc w:val="center"/>
            <w:rPr>
              <w:rFonts w:hint="eastAsia" w:ascii="Times New Roman" w:hAnsi="Times New Roman" w:eastAsia="宋体" w:cs="Times New Roman"/>
              <w:color w:val="auto"/>
              <w:kern w:val="2"/>
              <w:sz w:val="21"/>
              <w:highlight w:val="none"/>
              <w:lang w:val="en-US" w:eastAsia="zh-CN" w:bidi="ar-SA"/>
            </w:rPr>
          </w:pPr>
          <w:r>
            <w:rPr>
              <w:rFonts w:hint="eastAsia"/>
              <w:b w:val="0"/>
              <w:bCs/>
              <w:color w:val="auto"/>
              <w:highlight w:val="none"/>
            </w:rPr>
            <w:fldChar w:fldCharType="end"/>
          </w:r>
        </w:p>
      </w:sdtContent>
    </w:sdt>
    <w:p w14:paraId="144B579B">
      <w:pPr>
        <w:rPr>
          <w:rFonts w:hint="eastAsia"/>
          <w:highlight w:val="none"/>
        </w:rPr>
      </w:pPr>
    </w:p>
    <w:p w14:paraId="2F9B069D">
      <w:pPr>
        <w:rPr>
          <w:rFonts w:hint="eastAsia"/>
          <w:color w:val="auto"/>
          <w:highlight w:val="none"/>
        </w:rPr>
      </w:pPr>
    </w:p>
    <w:p w14:paraId="66E61617">
      <w:pPr>
        <w:rPr>
          <w:rFonts w:hint="eastAsia"/>
          <w:color w:val="auto"/>
          <w:highlight w:val="none"/>
        </w:rPr>
      </w:pPr>
    </w:p>
    <w:p w14:paraId="59D39BB4">
      <w:pPr>
        <w:tabs>
          <w:tab w:val="left" w:pos="3373"/>
        </w:tabs>
        <w:jc w:val="left"/>
        <w:rPr>
          <w:rFonts w:hint="eastAsia"/>
          <w:color w:val="auto"/>
          <w:highlight w:val="none"/>
        </w:rPr>
        <w:sectPr>
          <w:headerReference r:id="rId3" w:type="default"/>
          <w:footerReference r:id="rId4" w:type="default"/>
          <w:pgSz w:w="11906" w:h="16838"/>
          <w:pgMar w:top="1134" w:right="1134" w:bottom="1134" w:left="1134" w:header="0" w:footer="0" w:gutter="0"/>
          <w:pgNumType w:fmt="numberInDash" w:start="1"/>
          <w:cols w:space="720" w:num="1"/>
        </w:sectPr>
      </w:pPr>
      <w:r>
        <w:rPr>
          <w:rFonts w:hint="eastAsia"/>
          <w:color w:val="auto"/>
          <w:highlight w:val="none"/>
        </w:rPr>
        <w:tab/>
      </w:r>
    </w:p>
    <w:p w14:paraId="3CFF2325">
      <w:pPr>
        <w:pStyle w:val="23"/>
        <w:tabs>
          <w:tab w:val="right" w:leader="dot" w:pos="8789"/>
          <w:tab w:val="clear" w:pos="9628"/>
        </w:tabs>
        <w:spacing w:line="360" w:lineRule="auto"/>
        <w:ind w:left="0" w:leftChars="0" w:right="420" w:rightChars="200"/>
        <w:jc w:val="center"/>
        <w:rPr>
          <w:rFonts w:hint="eastAsia" w:ascii="黑体" w:hAnsi="黑体" w:eastAsia="黑体" w:cs="黑体"/>
          <w:b/>
          <w:bCs w:val="0"/>
          <w:color w:val="auto"/>
          <w:sz w:val="30"/>
          <w:szCs w:val="30"/>
          <w:highlight w:val="none"/>
          <w:lang w:eastAsia="zh-CN"/>
        </w:rPr>
      </w:pPr>
      <w:r>
        <w:rPr>
          <w:rFonts w:hint="eastAsia" w:ascii="黑体" w:hAnsi="黑体" w:eastAsia="黑体" w:cs="黑体"/>
          <w:b/>
          <w:bCs w:val="0"/>
          <w:color w:val="auto"/>
          <w:sz w:val="30"/>
          <w:szCs w:val="30"/>
          <w:highlight w:val="none"/>
          <w:lang w:eastAsia="zh-CN"/>
        </w:rPr>
        <w:t>新疆农业大学老满城校区禾园一餐厅、禾园二餐厅和学苑二楼餐厅面向社会公开招募餐饮服务团队项目</w:t>
      </w:r>
    </w:p>
    <w:p w14:paraId="4C79B7BF">
      <w:pPr>
        <w:jc w:val="center"/>
        <w:outlineLvl w:val="0"/>
        <w:rPr>
          <w:rFonts w:hint="eastAsia"/>
          <w:b/>
          <w:color w:val="auto"/>
          <w:sz w:val="32"/>
          <w:szCs w:val="32"/>
          <w:highlight w:val="none"/>
        </w:rPr>
      </w:pPr>
      <w:bookmarkStart w:id="1" w:name="_Toc28914"/>
      <w:bookmarkStart w:id="2" w:name="_Toc26702"/>
      <w:r>
        <w:rPr>
          <w:rFonts w:hint="eastAsia"/>
          <w:b/>
          <w:color w:val="auto"/>
          <w:sz w:val="32"/>
          <w:szCs w:val="32"/>
          <w:highlight w:val="none"/>
          <w:lang w:val="en-US" w:eastAsia="zh-CN"/>
        </w:rPr>
        <w:t>公开招标</w:t>
      </w:r>
      <w:r>
        <w:rPr>
          <w:b/>
          <w:color w:val="auto"/>
          <w:sz w:val="32"/>
          <w:szCs w:val="32"/>
          <w:highlight w:val="none"/>
        </w:rPr>
        <w:t>公告</w:t>
      </w:r>
      <w:bookmarkEnd w:id="1"/>
      <w:bookmarkEnd w:id="2"/>
    </w:p>
    <w:p w14:paraId="575DB467">
      <w:pPr>
        <w:widowControl/>
        <w:spacing w:before="60" w:after="60" w:line="350" w:lineRule="exact"/>
        <w:jc w:val="left"/>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项目概况</w:t>
      </w:r>
    </w:p>
    <w:p w14:paraId="7DD5AA76">
      <w:pPr>
        <w:widowControl/>
        <w:spacing w:before="60" w:after="60" w:line="350" w:lineRule="exact"/>
        <w:ind w:firstLine="480" w:firstLineChars="200"/>
        <w:jc w:val="left"/>
        <w:rPr>
          <w:rFonts w:hint="default" w:ascii="Times New Roman" w:hAnsi="Times New Roman"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eastAsia="zh-CN"/>
        </w:rPr>
        <w:t>新疆农业大学老满城校区禾园一餐厅、禾园二餐厅、学苑二楼餐厅面向社会公开招募餐饮服务团队项目</w:t>
      </w:r>
      <w:r>
        <w:rPr>
          <w:rFonts w:hint="default" w:ascii="Times New Roman" w:hAnsi="Times New Roman" w:cs="Times New Roman"/>
          <w:color w:val="auto"/>
          <w:kern w:val="0"/>
          <w:sz w:val="24"/>
          <w:szCs w:val="24"/>
          <w:highlight w:val="none"/>
        </w:rPr>
        <w:t>的潜在</w:t>
      </w:r>
      <w:r>
        <w:rPr>
          <w:rFonts w:hint="default" w:ascii="Times New Roman" w:hAnsi="Times New Roman" w:cs="Times New Roman"/>
          <w:color w:val="auto"/>
          <w:kern w:val="0"/>
          <w:sz w:val="24"/>
          <w:szCs w:val="24"/>
          <w:highlight w:val="none"/>
          <w:lang w:eastAsia="zh-CN"/>
        </w:rPr>
        <w:t>投标供应商</w:t>
      </w:r>
      <w:r>
        <w:rPr>
          <w:rFonts w:hint="default" w:ascii="Times New Roman" w:hAnsi="Times New Roman" w:cs="Times New Roman"/>
          <w:color w:val="auto"/>
          <w:kern w:val="0"/>
          <w:sz w:val="24"/>
          <w:szCs w:val="24"/>
          <w:highlight w:val="none"/>
        </w:rPr>
        <w:t>应在</w:t>
      </w:r>
      <w:r>
        <w:rPr>
          <w:rStyle w:val="154"/>
          <w:rFonts w:hint="default" w:ascii="Times New Roman" w:hAnsi="Times New Roman" w:cs="Times New Roman"/>
          <w:color w:val="auto"/>
          <w:sz w:val="24"/>
          <w:szCs w:val="24"/>
          <w:highlight w:val="none"/>
        </w:rPr>
        <w:t>政采云平台http://www.zcygov.cn/获取</w:t>
      </w:r>
      <w:r>
        <w:rPr>
          <w:rStyle w:val="154"/>
          <w:rFonts w:hint="default" w:ascii="Times New Roman" w:hAnsi="Times New Roman" w:cs="Times New Roman"/>
          <w:color w:val="auto"/>
          <w:sz w:val="24"/>
          <w:szCs w:val="24"/>
          <w:highlight w:val="none"/>
          <w:lang w:eastAsia="zh-CN"/>
        </w:rPr>
        <w:t>公开招标文件</w:t>
      </w:r>
      <w:r>
        <w:rPr>
          <w:rFonts w:hint="default" w:ascii="Times New Roman" w:hAnsi="Times New Roman" w:cs="Times New Roman"/>
          <w:color w:val="auto"/>
          <w:kern w:val="0"/>
          <w:sz w:val="24"/>
          <w:szCs w:val="24"/>
          <w:highlight w:val="none"/>
        </w:rPr>
        <w:t>，并于</w:t>
      </w:r>
      <w:bookmarkStart w:id="68" w:name="_GoBack"/>
      <w:bookmarkEnd w:id="68"/>
      <w:r>
        <w:rPr>
          <w:rFonts w:hint="eastAsia" w:cs="Times New Roman"/>
          <w:color w:val="auto"/>
          <w:kern w:val="0"/>
          <w:sz w:val="24"/>
          <w:szCs w:val="24"/>
          <w:highlight w:val="none"/>
          <w:lang w:eastAsia="zh-CN"/>
        </w:rPr>
        <w:t>2026年08月03日</w:t>
      </w:r>
      <w:r>
        <w:rPr>
          <w:rFonts w:hint="default" w:ascii="Times New Roman" w:hAnsi="Times New Roman" w:cs="Times New Roman"/>
          <w:color w:val="auto"/>
          <w:kern w:val="0"/>
          <w:sz w:val="24"/>
          <w:szCs w:val="24"/>
          <w:highlight w:val="none"/>
        </w:rPr>
        <w:t>11:00（北京时间）前递交</w:t>
      </w:r>
      <w:r>
        <w:rPr>
          <w:rFonts w:hint="default" w:ascii="Times New Roman" w:hAnsi="Times New Roman" w:cs="Times New Roman"/>
          <w:color w:val="auto"/>
          <w:kern w:val="0"/>
          <w:sz w:val="24"/>
          <w:szCs w:val="24"/>
          <w:highlight w:val="none"/>
          <w:lang w:eastAsia="zh-CN"/>
        </w:rPr>
        <w:t>投标文件</w:t>
      </w:r>
      <w:r>
        <w:rPr>
          <w:rFonts w:hint="default" w:ascii="Times New Roman" w:hAnsi="Times New Roman" w:cs="Times New Roman"/>
          <w:color w:val="auto"/>
          <w:kern w:val="0"/>
          <w:sz w:val="24"/>
          <w:szCs w:val="24"/>
          <w:highlight w:val="none"/>
        </w:rPr>
        <w:t>。</w:t>
      </w:r>
    </w:p>
    <w:p w14:paraId="3F5FFA48">
      <w:pPr>
        <w:widowControl/>
        <w:spacing w:before="204" w:after="204" w:line="350" w:lineRule="exact"/>
        <w:rPr>
          <w:rFonts w:hint="default" w:ascii="Times New Roman" w:hAnsi="Times New Roman" w:cs="Times New Roman"/>
          <w:color w:val="auto"/>
          <w:kern w:val="0"/>
          <w:sz w:val="24"/>
          <w:szCs w:val="24"/>
          <w:highlight w:val="none"/>
        </w:rPr>
      </w:pPr>
      <w:r>
        <w:rPr>
          <w:rFonts w:hint="default" w:ascii="Times New Roman" w:hAnsi="Times New Roman" w:cs="Times New Roman"/>
          <w:b/>
          <w:bCs/>
          <w:color w:val="auto"/>
          <w:kern w:val="0"/>
          <w:sz w:val="24"/>
          <w:szCs w:val="24"/>
          <w:highlight w:val="none"/>
        </w:rPr>
        <w:t>一、项目基本情况</w:t>
      </w:r>
    </w:p>
    <w:p w14:paraId="5710DA29">
      <w:pPr>
        <w:widowControl/>
        <w:spacing w:before="60" w:after="60"/>
        <w:ind w:firstLine="480"/>
        <w:jc w:val="left"/>
        <w:rPr>
          <w:rFonts w:hint="default" w:ascii="Times New Roman" w:hAnsi="Times New Roman" w:eastAsia="宋体" w:cs="Times New Roman"/>
          <w:color w:val="auto"/>
          <w:kern w:val="0"/>
          <w:sz w:val="24"/>
          <w:szCs w:val="24"/>
          <w:highlight w:val="none"/>
          <w:lang w:eastAsia="zh-CN"/>
        </w:rPr>
      </w:pPr>
      <w:r>
        <w:rPr>
          <w:rFonts w:hint="eastAsia" w:cs="Times New Roman"/>
          <w:color w:val="auto"/>
          <w:kern w:val="0"/>
          <w:sz w:val="24"/>
          <w:szCs w:val="24"/>
          <w:highlight w:val="none"/>
          <w:lang w:eastAsia="zh-CN"/>
        </w:rPr>
        <w:t>招标方</w:t>
      </w:r>
      <w:r>
        <w:rPr>
          <w:rFonts w:hint="default" w:ascii="Times New Roman" w:hAnsi="Times New Roman" w:cs="Times New Roman"/>
          <w:color w:val="auto"/>
          <w:kern w:val="0"/>
          <w:sz w:val="24"/>
          <w:szCs w:val="24"/>
          <w:highlight w:val="none"/>
        </w:rPr>
        <w:t>式</w:t>
      </w:r>
      <w:r>
        <w:rPr>
          <w:rFonts w:hint="default" w:ascii="Times New Roman" w:hAnsi="Times New Roman" w:cs="Times New Roman"/>
          <w:color w:val="auto"/>
          <w:kern w:val="0"/>
          <w:sz w:val="24"/>
          <w:szCs w:val="24"/>
          <w:highlight w:val="none"/>
          <w:lang w:eastAsia="zh-CN"/>
        </w:rPr>
        <w:t>：公开招标</w:t>
      </w:r>
    </w:p>
    <w:p w14:paraId="416C9FA7">
      <w:pPr>
        <w:widowControl/>
        <w:spacing w:before="60" w:after="60"/>
        <w:ind w:firstLine="480"/>
        <w:jc w:val="left"/>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项目编号：</w:t>
      </w:r>
      <w:r>
        <w:rPr>
          <w:rFonts w:hint="eastAsia" w:cs="Times New Roman"/>
          <w:color w:val="auto"/>
          <w:kern w:val="0"/>
          <w:sz w:val="24"/>
          <w:szCs w:val="24"/>
          <w:highlight w:val="none"/>
          <w:lang w:eastAsia="zh-CN"/>
        </w:rPr>
        <w:t>XJSZG2026-036</w:t>
      </w:r>
    </w:p>
    <w:p w14:paraId="45CCE52C">
      <w:pPr>
        <w:widowControl/>
        <w:spacing w:before="60" w:after="60"/>
        <w:ind w:firstLine="480"/>
        <w:jc w:val="left"/>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项目名称：</w:t>
      </w:r>
      <w:r>
        <w:rPr>
          <w:rFonts w:hint="default" w:ascii="Times New Roman" w:hAnsi="Times New Roman" w:eastAsia="宋体" w:cs="Times New Roman"/>
          <w:color w:val="auto"/>
          <w:kern w:val="0"/>
          <w:sz w:val="24"/>
          <w:szCs w:val="24"/>
          <w:highlight w:val="none"/>
          <w:lang w:eastAsia="zh-CN"/>
        </w:rPr>
        <w:t>新疆农业大学老满城校区禾园一餐厅、禾园二餐厅、学苑二楼餐厅面向社会公开招募餐饮服务团队项目</w:t>
      </w:r>
    </w:p>
    <w:p w14:paraId="61F9B58D">
      <w:pPr>
        <w:widowControl/>
        <w:spacing w:before="60" w:after="60"/>
        <w:ind w:firstLine="480"/>
        <w:jc w:val="left"/>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预算金额（元）：</w:t>
      </w:r>
      <w:r>
        <w:rPr>
          <w:rFonts w:hint="default" w:ascii="Times New Roman" w:hAnsi="Times New Roman" w:cs="Times New Roman"/>
          <w:color w:val="auto"/>
          <w:kern w:val="0"/>
          <w:sz w:val="24"/>
          <w:szCs w:val="24"/>
          <w:highlight w:val="none"/>
          <w:lang w:val="en-US" w:eastAsia="zh-CN"/>
        </w:rPr>
        <w:t>9100000</w:t>
      </w:r>
      <w:r>
        <w:rPr>
          <w:rFonts w:hint="default" w:ascii="Times New Roman" w:hAnsi="Times New Roman" w:cs="Times New Roman"/>
          <w:color w:val="auto"/>
          <w:kern w:val="0"/>
          <w:sz w:val="24"/>
          <w:szCs w:val="24"/>
          <w:highlight w:val="none"/>
        </w:rPr>
        <w:t>元</w:t>
      </w:r>
    </w:p>
    <w:p w14:paraId="3855208A">
      <w:pPr>
        <w:widowControl/>
        <w:spacing w:before="60" w:after="60"/>
        <w:ind w:firstLine="480"/>
        <w:jc w:val="left"/>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最高限价（元）：</w:t>
      </w:r>
      <w:r>
        <w:rPr>
          <w:rFonts w:hint="default" w:ascii="Times New Roman" w:hAnsi="Times New Roman" w:cs="Times New Roman"/>
          <w:color w:val="auto"/>
          <w:kern w:val="0"/>
          <w:sz w:val="24"/>
          <w:szCs w:val="24"/>
          <w:highlight w:val="none"/>
          <w:lang w:val="en-US" w:eastAsia="zh-CN"/>
        </w:rPr>
        <w:t>9100000</w:t>
      </w:r>
      <w:r>
        <w:rPr>
          <w:rFonts w:hint="default" w:ascii="Times New Roman" w:hAnsi="Times New Roman" w:cs="Times New Roman"/>
          <w:color w:val="auto"/>
          <w:kern w:val="0"/>
          <w:sz w:val="24"/>
          <w:szCs w:val="24"/>
          <w:highlight w:val="none"/>
        </w:rPr>
        <w:t>元</w:t>
      </w:r>
    </w:p>
    <w:p w14:paraId="106F6ABF">
      <w:pPr>
        <w:pStyle w:val="22"/>
        <w:spacing w:line="276" w:lineRule="auto"/>
        <w:ind w:left="60" w:firstLine="42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采购需求：</w:t>
      </w:r>
    </w:p>
    <w:p w14:paraId="6C84F098">
      <w:pPr>
        <w:pStyle w:val="22"/>
        <w:spacing w:line="276" w:lineRule="auto"/>
        <w:ind w:left="60" w:firstLine="420"/>
        <w:rPr>
          <w:rFonts w:hint="default" w:ascii="Times New Roman" w:hAnsi="Times New Roman" w:cs="Times New Roman"/>
          <w:color w:val="auto"/>
          <w:kern w:val="0"/>
          <w:sz w:val="24"/>
          <w:szCs w:val="24"/>
          <w:highlight w:val="none"/>
        </w:rPr>
      </w:pPr>
    </w:p>
    <w:p w14:paraId="04D0FBCA">
      <w:pPr>
        <w:pStyle w:val="22"/>
        <w:spacing w:line="276" w:lineRule="auto"/>
        <w:ind w:left="60" w:firstLine="42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标项名称</w:t>
      </w:r>
      <w:r>
        <w:rPr>
          <w:rFonts w:hint="default" w:ascii="Times New Roman" w:hAnsi="Times New Roman" w:cs="Times New Roman"/>
          <w:color w:val="auto"/>
          <w:kern w:val="0"/>
          <w:sz w:val="24"/>
          <w:szCs w:val="24"/>
          <w:highlight w:val="none"/>
          <w:lang w:eastAsia="zh-CN"/>
        </w:rPr>
        <w:t>：禾园一</w:t>
      </w:r>
      <w:r>
        <w:rPr>
          <w:rFonts w:hint="default" w:ascii="Times New Roman" w:hAnsi="Times New Roman" w:cs="Times New Roman"/>
          <w:color w:val="auto"/>
          <w:kern w:val="0"/>
          <w:sz w:val="24"/>
          <w:szCs w:val="24"/>
          <w:highlight w:val="none"/>
        </w:rPr>
        <w:t>餐厅招募餐饮服务团队标项一</w:t>
      </w:r>
    </w:p>
    <w:p w14:paraId="7DF81ACE">
      <w:pPr>
        <w:pStyle w:val="22"/>
        <w:spacing w:line="276" w:lineRule="auto"/>
        <w:ind w:left="60" w:firstLine="420"/>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数量</w:t>
      </w:r>
      <w:r>
        <w:rPr>
          <w:rFonts w:hint="default" w:ascii="Times New Roman" w:hAnsi="Times New Roman" w:cs="Times New Roman"/>
          <w:color w:val="auto"/>
          <w:kern w:val="0"/>
          <w:sz w:val="24"/>
          <w:szCs w:val="24"/>
          <w:highlight w:val="none"/>
          <w:lang w:eastAsia="zh-CN"/>
        </w:rPr>
        <w:t>：</w:t>
      </w:r>
      <w:r>
        <w:rPr>
          <w:rFonts w:hint="default" w:ascii="Times New Roman" w:hAnsi="Times New Roman" w:cs="Times New Roman"/>
          <w:color w:val="auto"/>
          <w:kern w:val="0"/>
          <w:sz w:val="24"/>
          <w:szCs w:val="24"/>
          <w:highlight w:val="none"/>
        </w:rPr>
        <w:t>一</w:t>
      </w:r>
      <w:r>
        <w:rPr>
          <w:rFonts w:hint="default" w:ascii="Times New Roman" w:hAnsi="Times New Roman" w:cs="Times New Roman"/>
          <w:color w:val="auto"/>
          <w:kern w:val="0"/>
          <w:sz w:val="24"/>
          <w:szCs w:val="24"/>
          <w:highlight w:val="none"/>
          <w:lang w:val="en-US" w:eastAsia="zh-CN"/>
        </w:rPr>
        <w:t>项</w:t>
      </w:r>
    </w:p>
    <w:p w14:paraId="77BC792D">
      <w:pPr>
        <w:pStyle w:val="22"/>
        <w:spacing w:line="276" w:lineRule="auto"/>
        <w:ind w:left="60" w:firstLine="42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预算金额（元）</w:t>
      </w:r>
      <w:r>
        <w:rPr>
          <w:rFonts w:hint="default" w:ascii="Times New Roman" w:hAnsi="Times New Roman" w:cs="Times New Roman"/>
          <w:color w:val="auto"/>
          <w:kern w:val="0"/>
          <w:sz w:val="24"/>
          <w:szCs w:val="24"/>
          <w:highlight w:val="none"/>
          <w:lang w:eastAsia="zh-CN"/>
        </w:rPr>
        <w:t>：</w:t>
      </w:r>
      <w:r>
        <w:rPr>
          <w:rFonts w:hint="default" w:ascii="Times New Roman" w:hAnsi="Times New Roman" w:cs="Times New Roman"/>
          <w:color w:val="auto"/>
          <w:kern w:val="0"/>
          <w:sz w:val="24"/>
          <w:szCs w:val="24"/>
          <w:highlight w:val="none"/>
          <w:lang w:val="en-US" w:eastAsia="zh-CN"/>
        </w:rPr>
        <w:t>3750000</w:t>
      </w:r>
      <w:r>
        <w:rPr>
          <w:rFonts w:hint="default" w:ascii="Times New Roman" w:hAnsi="Times New Roman" w:cs="Times New Roman"/>
          <w:color w:val="auto"/>
          <w:kern w:val="0"/>
          <w:sz w:val="24"/>
          <w:szCs w:val="24"/>
          <w:highlight w:val="none"/>
        </w:rPr>
        <w:t>元</w:t>
      </w:r>
    </w:p>
    <w:p w14:paraId="142D1385">
      <w:pPr>
        <w:pStyle w:val="22"/>
        <w:spacing w:line="276" w:lineRule="auto"/>
        <w:ind w:left="60" w:firstLine="420"/>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简要规格描述或项目基本概况介绍、用途：</w:t>
      </w:r>
      <w:r>
        <w:rPr>
          <w:rFonts w:hint="default" w:ascii="Times New Roman" w:hAnsi="Times New Roman" w:cs="Times New Roman"/>
          <w:color w:val="auto"/>
          <w:kern w:val="0"/>
          <w:sz w:val="24"/>
          <w:szCs w:val="24"/>
          <w:highlight w:val="none"/>
          <w:lang w:eastAsia="zh-CN"/>
        </w:rPr>
        <w:t>禾园一餐厅招募餐饮服务团队</w:t>
      </w:r>
      <w:r>
        <w:rPr>
          <w:rFonts w:hint="default" w:ascii="Times New Roman" w:hAnsi="Times New Roman" w:cs="Times New Roman"/>
          <w:color w:val="auto"/>
          <w:kern w:val="0"/>
          <w:sz w:val="24"/>
          <w:szCs w:val="24"/>
          <w:highlight w:val="none"/>
        </w:rPr>
        <w:t>，具体采购要求详见采购需求</w:t>
      </w:r>
      <w:r>
        <w:rPr>
          <w:rFonts w:hint="default" w:ascii="Times New Roman" w:hAnsi="Times New Roman" w:cs="Times New Roman"/>
          <w:color w:val="auto"/>
          <w:kern w:val="0"/>
          <w:sz w:val="24"/>
          <w:szCs w:val="24"/>
          <w:highlight w:val="none"/>
          <w:lang w:eastAsia="zh-CN"/>
        </w:rPr>
        <w:t>。</w:t>
      </w:r>
    </w:p>
    <w:p w14:paraId="0B4FF228">
      <w:pPr>
        <w:pStyle w:val="22"/>
        <w:spacing w:line="276" w:lineRule="auto"/>
        <w:ind w:left="60" w:firstLine="420"/>
        <w:rPr>
          <w:rFonts w:hint="default" w:ascii="Times New Roman" w:hAnsi="Times New Roman" w:cs="Times New Roman"/>
          <w:color w:val="auto"/>
          <w:kern w:val="0"/>
          <w:sz w:val="24"/>
          <w:szCs w:val="24"/>
          <w:highlight w:val="none"/>
        </w:rPr>
      </w:pPr>
    </w:p>
    <w:p w14:paraId="137E37CC">
      <w:pPr>
        <w:pStyle w:val="22"/>
        <w:spacing w:line="276" w:lineRule="auto"/>
        <w:ind w:left="60" w:firstLine="420"/>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标项名称</w:t>
      </w:r>
      <w:r>
        <w:rPr>
          <w:rFonts w:hint="default" w:ascii="Times New Roman" w:hAnsi="Times New Roman" w:cs="Times New Roman"/>
          <w:color w:val="auto"/>
          <w:kern w:val="0"/>
          <w:sz w:val="24"/>
          <w:szCs w:val="24"/>
          <w:highlight w:val="none"/>
          <w:lang w:eastAsia="zh-CN"/>
        </w:rPr>
        <w:t>：禾园二餐厅</w:t>
      </w:r>
      <w:r>
        <w:rPr>
          <w:rFonts w:hint="default" w:ascii="Times New Roman" w:hAnsi="Times New Roman" w:cs="Times New Roman"/>
          <w:color w:val="auto"/>
          <w:kern w:val="0"/>
          <w:sz w:val="24"/>
          <w:szCs w:val="24"/>
          <w:highlight w:val="none"/>
          <w:lang w:val="en-US" w:eastAsia="zh-CN"/>
        </w:rPr>
        <w:t>招募餐饮服务团队</w:t>
      </w:r>
      <w:r>
        <w:rPr>
          <w:rFonts w:hint="default" w:ascii="Times New Roman" w:hAnsi="Times New Roman" w:cs="Times New Roman"/>
          <w:color w:val="auto"/>
          <w:kern w:val="0"/>
          <w:sz w:val="24"/>
          <w:szCs w:val="24"/>
          <w:highlight w:val="none"/>
        </w:rPr>
        <w:t>标项</w:t>
      </w:r>
      <w:r>
        <w:rPr>
          <w:rFonts w:hint="default" w:ascii="Times New Roman" w:hAnsi="Times New Roman" w:cs="Times New Roman"/>
          <w:color w:val="auto"/>
          <w:kern w:val="0"/>
          <w:sz w:val="24"/>
          <w:szCs w:val="24"/>
          <w:highlight w:val="none"/>
          <w:lang w:val="en-US" w:eastAsia="zh-CN"/>
        </w:rPr>
        <w:t>二</w:t>
      </w:r>
    </w:p>
    <w:p w14:paraId="19766D26">
      <w:pPr>
        <w:pStyle w:val="22"/>
        <w:spacing w:line="276" w:lineRule="auto"/>
        <w:ind w:left="60" w:firstLine="420"/>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数量</w:t>
      </w:r>
      <w:r>
        <w:rPr>
          <w:rFonts w:hint="default" w:ascii="Times New Roman" w:hAnsi="Times New Roman" w:cs="Times New Roman"/>
          <w:color w:val="auto"/>
          <w:kern w:val="0"/>
          <w:sz w:val="24"/>
          <w:szCs w:val="24"/>
          <w:highlight w:val="none"/>
          <w:lang w:eastAsia="zh-CN"/>
        </w:rPr>
        <w:t>：</w:t>
      </w:r>
      <w:r>
        <w:rPr>
          <w:rFonts w:hint="default" w:ascii="Times New Roman" w:hAnsi="Times New Roman" w:cs="Times New Roman"/>
          <w:color w:val="auto"/>
          <w:kern w:val="0"/>
          <w:sz w:val="24"/>
          <w:szCs w:val="24"/>
          <w:highlight w:val="none"/>
        </w:rPr>
        <w:t>一</w:t>
      </w:r>
      <w:r>
        <w:rPr>
          <w:rFonts w:hint="default" w:ascii="Times New Roman" w:hAnsi="Times New Roman" w:cs="Times New Roman"/>
          <w:color w:val="auto"/>
          <w:kern w:val="0"/>
          <w:sz w:val="24"/>
          <w:szCs w:val="24"/>
          <w:highlight w:val="none"/>
          <w:lang w:val="en-US" w:eastAsia="zh-CN"/>
        </w:rPr>
        <w:t>项</w:t>
      </w:r>
    </w:p>
    <w:p w14:paraId="2FDD1D0D">
      <w:pPr>
        <w:pStyle w:val="22"/>
        <w:spacing w:line="276" w:lineRule="auto"/>
        <w:ind w:left="60" w:firstLine="42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预算金额（元）</w:t>
      </w:r>
      <w:r>
        <w:rPr>
          <w:rFonts w:hint="default" w:ascii="Times New Roman" w:hAnsi="Times New Roman" w:cs="Times New Roman"/>
          <w:color w:val="auto"/>
          <w:kern w:val="0"/>
          <w:sz w:val="24"/>
          <w:szCs w:val="24"/>
          <w:highlight w:val="none"/>
          <w:lang w:eastAsia="zh-CN"/>
        </w:rPr>
        <w:t>：</w:t>
      </w:r>
      <w:r>
        <w:rPr>
          <w:rFonts w:hint="default" w:ascii="Times New Roman" w:hAnsi="Times New Roman" w:cs="Times New Roman"/>
          <w:color w:val="auto"/>
          <w:kern w:val="0"/>
          <w:sz w:val="24"/>
          <w:szCs w:val="24"/>
          <w:highlight w:val="none"/>
          <w:lang w:val="en-US" w:eastAsia="zh-CN"/>
        </w:rPr>
        <w:t>3800000</w:t>
      </w:r>
      <w:r>
        <w:rPr>
          <w:rFonts w:hint="default" w:ascii="Times New Roman" w:hAnsi="Times New Roman" w:cs="Times New Roman"/>
          <w:color w:val="auto"/>
          <w:kern w:val="0"/>
          <w:sz w:val="24"/>
          <w:szCs w:val="24"/>
          <w:highlight w:val="none"/>
        </w:rPr>
        <w:t>元</w:t>
      </w:r>
    </w:p>
    <w:p w14:paraId="6D4269D4">
      <w:pPr>
        <w:pStyle w:val="22"/>
        <w:spacing w:line="276" w:lineRule="auto"/>
        <w:ind w:left="60" w:firstLine="420"/>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简要规格描述或项目基本概况介绍、用途：</w:t>
      </w:r>
      <w:r>
        <w:rPr>
          <w:rFonts w:hint="default" w:ascii="Times New Roman" w:hAnsi="Times New Roman" w:cs="Times New Roman"/>
          <w:color w:val="auto"/>
          <w:kern w:val="0"/>
          <w:sz w:val="24"/>
          <w:szCs w:val="24"/>
          <w:highlight w:val="none"/>
          <w:lang w:eastAsia="zh-CN"/>
        </w:rPr>
        <w:t>禾园二餐厅</w:t>
      </w:r>
      <w:r>
        <w:rPr>
          <w:rFonts w:hint="default" w:ascii="Times New Roman" w:hAnsi="Times New Roman" w:cs="Times New Roman"/>
          <w:color w:val="auto"/>
          <w:kern w:val="0"/>
          <w:sz w:val="24"/>
          <w:szCs w:val="24"/>
          <w:highlight w:val="none"/>
          <w:lang w:val="en-US" w:eastAsia="zh-CN"/>
        </w:rPr>
        <w:t>招募餐饮服务团队</w:t>
      </w:r>
      <w:r>
        <w:rPr>
          <w:rFonts w:hint="default" w:ascii="Times New Roman" w:hAnsi="Times New Roman" w:cs="Times New Roman"/>
          <w:color w:val="auto"/>
          <w:kern w:val="0"/>
          <w:sz w:val="24"/>
          <w:szCs w:val="24"/>
          <w:highlight w:val="none"/>
        </w:rPr>
        <w:t>，具体采购要求详见采购需求</w:t>
      </w:r>
      <w:r>
        <w:rPr>
          <w:rFonts w:hint="default" w:ascii="Times New Roman" w:hAnsi="Times New Roman" w:cs="Times New Roman"/>
          <w:color w:val="auto"/>
          <w:kern w:val="0"/>
          <w:sz w:val="24"/>
          <w:szCs w:val="24"/>
          <w:highlight w:val="none"/>
          <w:lang w:eastAsia="zh-CN"/>
        </w:rPr>
        <w:t>。</w:t>
      </w:r>
    </w:p>
    <w:p w14:paraId="043F1EF5">
      <w:pPr>
        <w:pStyle w:val="22"/>
        <w:spacing w:line="276" w:lineRule="auto"/>
        <w:ind w:left="60" w:firstLine="420"/>
        <w:rPr>
          <w:rFonts w:hint="default" w:ascii="Times New Roman" w:hAnsi="Times New Roman" w:cs="Times New Roman"/>
          <w:color w:val="auto"/>
          <w:kern w:val="0"/>
          <w:sz w:val="24"/>
          <w:szCs w:val="24"/>
          <w:highlight w:val="none"/>
        </w:rPr>
      </w:pPr>
    </w:p>
    <w:p w14:paraId="0806ECB0">
      <w:pPr>
        <w:pStyle w:val="22"/>
        <w:spacing w:line="276" w:lineRule="auto"/>
        <w:ind w:left="60" w:firstLine="420"/>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标项名称</w:t>
      </w:r>
      <w:r>
        <w:rPr>
          <w:rFonts w:hint="default" w:ascii="Times New Roman" w:hAnsi="Times New Roman" w:cs="Times New Roman"/>
          <w:color w:val="auto"/>
          <w:kern w:val="0"/>
          <w:sz w:val="24"/>
          <w:szCs w:val="24"/>
          <w:highlight w:val="none"/>
          <w:lang w:eastAsia="zh-CN"/>
        </w:rPr>
        <w:t>：学苑二楼餐厅</w:t>
      </w:r>
      <w:r>
        <w:rPr>
          <w:rFonts w:hint="default" w:ascii="Times New Roman" w:hAnsi="Times New Roman" w:cs="Times New Roman"/>
          <w:color w:val="auto"/>
          <w:kern w:val="0"/>
          <w:sz w:val="24"/>
          <w:szCs w:val="24"/>
          <w:highlight w:val="none"/>
          <w:lang w:val="en-US" w:eastAsia="zh-CN"/>
        </w:rPr>
        <w:t>招募餐饮服务团队</w:t>
      </w:r>
      <w:r>
        <w:rPr>
          <w:rFonts w:hint="default" w:ascii="Times New Roman" w:hAnsi="Times New Roman" w:cs="Times New Roman"/>
          <w:color w:val="auto"/>
          <w:kern w:val="0"/>
          <w:sz w:val="24"/>
          <w:szCs w:val="24"/>
          <w:highlight w:val="none"/>
        </w:rPr>
        <w:t>标项</w:t>
      </w:r>
      <w:r>
        <w:rPr>
          <w:rFonts w:hint="default" w:ascii="Times New Roman" w:hAnsi="Times New Roman" w:cs="Times New Roman"/>
          <w:color w:val="auto"/>
          <w:kern w:val="0"/>
          <w:sz w:val="24"/>
          <w:szCs w:val="24"/>
          <w:highlight w:val="none"/>
          <w:lang w:eastAsia="zh-CN"/>
        </w:rPr>
        <w:t>三</w:t>
      </w:r>
    </w:p>
    <w:p w14:paraId="674D2217">
      <w:pPr>
        <w:pStyle w:val="22"/>
        <w:spacing w:line="276" w:lineRule="auto"/>
        <w:ind w:left="60" w:firstLine="420"/>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数量</w:t>
      </w:r>
      <w:r>
        <w:rPr>
          <w:rFonts w:hint="default" w:ascii="Times New Roman" w:hAnsi="Times New Roman" w:cs="Times New Roman"/>
          <w:color w:val="auto"/>
          <w:kern w:val="0"/>
          <w:sz w:val="24"/>
          <w:szCs w:val="24"/>
          <w:highlight w:val="none"/>
          <w:lang w:eastAsia="zh-CN"/>
        </w:rPr>
        <w:t>：</w:t>
      </w:r>
      <w:r>
        <w:rPr>
          <w:rFonts w:hint="default" w:ascii="Times New Roman" w:hAnsi="Times New Roman" w:cs="Times New Roman"/>
          <w:color w:val="auto"/>
          <w:kern w:val="0"/>
          <w:sz w:val="24"/>
          <w:szCs w:val="24"/>
          <w:highlight w:val="none"/>
        </w:rPr>
        <w:t>一</w:t>
      </w:r>
      <w:r>
        <w:rPr>
          <w:rFonts w:hint="default" w:ascii="Times New Roman" w:hAnsi="Times New Roman" w:cs="Times New Roman"/>
          <w:color w:val="auto"/>
          <w:kern w:val="0"/>
          <w:sz w:val="24"/>
          <w:szCs w:val="24"/>
          <w:highlight w:val="none"/>
          <w:lang w:val="en-US" w:eastAsia="zh-CN"/>
        </w:rPr>
        <w:t>项</w:t>
      </w:r>
    </w:p>
    <w:p w14:paraId="5BF6A8A8">
      <w:pPr>
        <w:pStyle w:val="22"/>
        <w:spacing w:line="276" w:lineRule="auto"/>
        <w:ind w:left="60" w:firstLine="42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预算金额（元）</w:t>
      </w:r>
      <w:r>
        <w:rPr>
          <w:rFonts w:hint="default" w:ascii="Times New Roman" w:hAnsi="Times New Roman" w:cs="Times New Roman"/>
          <w:color w:val="auto"/>
          <w:kern w:val="0"/>
          <w:sz w:val="24"/>
          <w:szCs w:val="24"/>
          <w:highlight w:val="none"/>
          <w:lang w:eastAsia="zh-CN"/>
        </w:rPr>
        <w:t>：</w:t>
      </w:r>
      <w:r>
        <w:rPr>
          <w:rFonts w:hint="default" w:ascii="Times New Roman" w:hAnsi="Times New Roman" w:cs="Times New Roman"/>
          <w:color w:val="auto"/>
          <w:kern w:val="0"/>
          <w:sz w:val="24"/>
          <w:szCs w:val="24"/>
          <w:highlight w:val="none"/>
          <w:lang w:val="en-US" w:eastAsia="zh-CN"/>
        </w:rPr>
        <w:t>1550000</w:t>
      </w:r>
      <w:r>
        <w:rPr>
          <w:rFonts w:hint="default" w:ascii="Times New Roman" w:hAnsi="Times New Roman" w:cs="Times New Roman"/>
          <w:color w:val="auto"/>
          <w:kern w:val="0"/>
          <w:sz w:val="24"/>
          <w:szCs w:val="24"/>
          <w:highlight w:val="none"/>
        </w:rPr>
        <w:t>元</w:t>
      </w:r>
    </w:p>
    <w:p w14:paraId="2267CBDD">
      <w:pPr>
        <w:pStyle w:val="22"/>
        <w:spacing w:line="276" w:lineRule="auto"/>
        <w:ind w:left="60" w:firstLine="420"/>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简要规格描述或项目基本概况介绍、用途：</w:t>
      </w:r>
      <w:r>
        <w:rPr>
          <w:rFonts w:hint="default" w:ascii="Times New Roman" w:hAnsi="Times New Roman" w:cs="Times New Roman"/>
          <w:color w:val="auto"/>
          <w:kern w:val="0"/>
          <w:sz w:val="24"/>
          <w:szCs w:val="24"/>
          <w:highlight w:val="none"/>
          <w:lang w:eastAsia="zh-CN"/>
        </w:rPr>
        <w:t>学苑二楼餐厅</w:t>
      </w:r>
      <w:r>
        <w:rPr>
          <w:rFonts w:hint="default" w:ascii="Times New Roman" w:hAnsi="Times New Roman" w:cs="Times New Roman"/>
          <w:color w:val="auto"/>
          <w:kern w:val="0"/>
          <w:sz w:val="24"/>
          <w:szCs w:val="24"/>
          <w:highlight w:val="none"/>
          <w:lang w:val="en-US" w:eastAsia="zh-CN"/>
        </w:rPr>
        <w:t>招募餐饮服务团队</w:t>
      </w:r>
      <w:r>
        <w:rPr>
          <w:rFonts w:hint="default" w:ascii="Times New Roman" w:hAnsi="Times New Roman" w:cs="Times New Roman"/>
          <w:color w:val="auto"/>
          <w:kern w:val="0"/>
          <w:sz w:val="24"/>
          <w:szCs w:val="24"/>
          <w:highlight w:val="none"/>
        </w:rPr>
        <w:t>，具体采购要求详见采购需求</w:t>
      </w:r>
      <w:r>
        <w:rPr>
          <w:rFonts w:hint="default" w:ascii="Times New Roman" w:hAnsi="Times New Roman" w:cs="Times New Roman"/>
          <w:color w:val="auto"/>
          <w:kern w:val="0"/>
          <w:sz w:val="24"/>
          <w:szCs w:val="24"/>
          <w:highlight w:val="none"/>
          <w:lang w:eastAsia="zh-CN"/>
        </w:rPr>
        <w:t>。</w:t>
      </w:r>
    </w:p>
    <w:p w14:paraId="334140B7">
      <w:pPr>
        <w:pStyle w:val="22"/>
        <w:spacing w:line="276" w:lineRule="auto"/>
        <w:ind w:left="60" w:firstLine="420"/>
        <w:rPr>
          <w:rFonts w:hint="default" w:ascii="Times New Roman" w:hAnsi="Times New Roman" w:cs="Times New Roman"/>
          <w:color w:val="auto"/>
          <w:kern w:val="0"/>
          <w:sz w:val="24"/>
          <w:szCs w:val="24"/>
          <w:highlight w:val="none"/>
        </w:rPr>
      </w:pPr>
    </w:p>
    <w:p w14:paraId="5B05021D">
      <w:pPr>
        <w:widowControl/>
        <w:spacing w:before="60" w:after="60"/>
        <w:ind w:firstLine="480"/>
        <w:jc w:val="left"/>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cs="Times New Roman"/>
          <w:color w:val="auto"/>
          <w:kern w:val="0"/>
          <w:sz w:val="24"/>
          <w:szCs w:val="24"/>
          <w:highlight w:val="none"/>
        </w:rPr>
        <w:t>合同履约期限：</w:t>
      </w:r>
      <w:r>
        <w:rPr>
          <w:rFonts w:hint="default" w:ascii="Times New Roman" w:hAnsi="Times New Roman" w:cs="Times New Roman"/>
          <w:color w:val="auto"/>
          <w:kern w:val="0"/>
          <w:sz w:val="24"/>
          <w:szCs w:val="24"/>
          <w:highlight w:val="none"/>
          <w:lang w:val="en-US" w:eastAsia="zh-CN"/>
        </w:rPr>
        <w:t>自合同签订之日起</w:t>
      </w:r>
      <w:r>
        <w:rPr>
          <w:rFonts w:hint="eastAsia" w:cs="Times New Roman"/>
          <w:color w:val="auto"/>
          <w:kern w:val="0"/>
          <w:sz w:val="24"/>
          <w:szCs w:val="24"/>
          <w:highlight w:val="none"/>
          <w:lang w:val="en-US" w:eastAsia="zh-CN"/>
        </w:rPr>
        <w:t>两年六个月</w:t>
      </w:r>
      <w:r>
        <w:rPr>
          <w:rFonts w:hint="default" w:ascii="Times New Roman" w:hAnsi="Times New Roman" w:cs="Times New Roman"/>
          <w:color w:val="auto"/>
          <w:kern w:val="0"/>
          <w:sz w:val="24"/>
          <w:szCs w:val="24"/>
          <w:highlight w:val="none"/>
          <w:lang w:val="en-US" w:eastAsia="zh-CN"/>
        </w:rPr>
        <w:t>（合同一年一签。在预算有保障的前提下，购买内容相对固定、价格变化幅度小的，经年度验收或者考核合格后续签下一年合同</w:t>
      </w:r>
      <w:r>
        <w:rPr>
          <w:rFonts w:hint="eastAsia" w:cs="Times New Roman"/>
          <w:color w:val="auto"/>
          <w:kern w:val="0"/>
          <w:sz w:val="24"/>
          <w:szCs w:val="24"/>
          <w:highlight w:val="none"/>
          <w:lang w:val="en-US" w:eastAsia="zh-CN"/>
        </w:rPr>
        <w:t>，总期限不超过两年六个月</w:t>
      </w:r>
      <w:r>
        <w:rPr>
          <w:rFonts w:hint="default" w:ascii="Times New Roman" w:hAnsi="Times New Roman" w:cs="Times New Roman"/>
          <w:color w:val="auto"/>
          <w:kern w:val="0"/>
          <w:sz w:val="24"/>
          <w:szCs w:val="24"/>
          <w:highlight w:val="none"/>
          <w:lang w:val="en-US" w:eastAsia="zh-CN"/>
        </w:rPr>
        <w:t>）</w:t>
      </w:r>
      <w:r>
        <w:rPr>
          <w:rFonts w:hint="eastAsia" w:cs="Times New Roman"/>
          <w:color w:val="auto"/>
          <w:kern w:val="0"/>
          <w:sz w:val="24"/>
          <w:szCs w:val="24"/>
          <w:highlight w:val="none"/>
          <w:lang w:val="en-US" w:eastAsia="zh-CN"/>
        </w:rPr>
        <w:t>。</w:t>
      </w:r>
    </w:p>
    <w:p w14:paraId="332A7BC5">
      <w:pPr>
        <w:widowControl/>
        <w:spacing w:before="60" w:after="60"/>
        <w:ind w:firstLine="480"/>
        <w:jc w:val="left"/>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本项目不接受联合体投标。</w:t>
      </w:r>
    </w:p>
    <w:p w14:paraId="6DB87B1B">
      <w:pPr>
        <w:widowControl/>
        <w:spacing w:before="60" w:after="60" w:line="350" w:lineRule="exact"/>
        <w:jc w:val="left"/>
        <w:rPr>
          <w:rFonts w:hint="default" w:ascii="Times New Roman" w:hAnsi="Times New Roman" w:cs="Times New Roman"/>
          <w:color w:val="auto"/>
          <w:kern w:val="0"/>
          <w:sz w:val="24"/>
          <w:szCs w:val="24"/>
          <w:highlight w:val="none"/>
        </w:rPr>
      </w:pPr>
      <w:r>
        <w:rPr>
          <w:rFonts w:hint="default" w:ascii="Times New Roman" w:hAnsi="Times New Roman" w:cs="Times New Roman"/>
          <w:b/>
          <w:bCs/>
          <w:color w:val="auto"/>
          <w:kern w:val="0"/>
          <w:sz w:val="24"/>
          <w:szCs w:val="24"/>
          <w:highlight w:val="none"/>
        </w:rPr>
        <w:t>二、申请人的资格要求：</w:t>
      </w:r>
    </w:p>
    <w:p w14:paraId="0A316818">
      <w:pPr>
        <w:widowControl/>
        <w:spacing w:before="60" w:after="60" w:line="350" w:lineRule="exact"/>
        <w:ind w:firstLine="480"/>
        <w:jc w:val="left"/>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1.满足《中华人民共和国政府采购法》第二十二条规定；</w:t>
      </w:r>
    </w:p>
    <w:p w14:paraId="60886D4B">
      <w:pPr>
        <w:widowControl/>
        <w:spacing w:before="60" w:after="60" w:line="350" w:lineRule="exact"/>
        <w:ind w:firstLine="480"/>
        <w:jc w:val="left"/>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2.落实政府采购政策需满足的资格要求：本项目为专门面向</w:t>
      </w:r>
      <w:r>
        <w:rPr>
          <w:rFonts w:hint="default" w:ascii="Times New Roman" w:hAnsi="Times New Roman" w:cs="Times New Roman"/>
          <w:color w:val="auto"/>
          <w:kern w:val="0"/>
          <w:sz w:val="24"/>
          <w:szCs w:val="24"/>
          <w:highlight w:val="none"/>
          <w:lang w:val="en-US" w:eastAsia="zh-CN"/>
        </w:rPr>
        <w:t>小微</w:t>
      </w:r>
      <w:r>
        <w:rPr>
          <w:rFonts w:hint="default" w:ascii="Times New Roman" w:hAnsi="Times New Roman" w:cs="Times New Roman"/>
          <w:color w:val="auto"/>
          <w:kern w:val="0"/>
          <w:sz w:val="24"/>
          <w:szCs w:val="24"/>
          <w:highlight w:val="none"/>
        </w:rPr>
        <w:t>企业（含小型、微型企业）采购项目，根据《政府采购促进中小企业发展管理办法》（财库</w:t>
      </w:r>
      <w:r>
        <w:rPr>
          <w:rFonts w:hint="default" w:ascii="Times New Roman" w:hAnsi="Times New Roman" w:cs="Times New Roman"/>
          <w:color w:val="auto"/>
          <w:kern w:val="0"/>
          <w:sz w:val="24"/>
          <w:szCs w:val="24"/>
          <w:highlight w:val="none"/>
          <w:lang w:eastAsia="zh-CN"/>
        </w:rPr>
        <w:t>〔2020〕46号</w:t>
      </w:r>
      <w:r>
        <w:rPr>
          <w:rFonts w:hint="default" w:ascii="Times New Roman" w:hAnsi="Times New Roman" w:cs="Times New Roman"/>
          <w:color w:val="auto"/>
          <w:kern w:val="0"/>
          <w:sz w:val="24"/>
          <w:szCs w:val="24"/>
          <w:highlight w:val="none"/>
        </w:rPr>
        <w:t>）的规定，不再执行价格评审优惠的扶持政策，必须提供中小企业声明函；</w:t>
      </w:r>
    </w:p>
    <w:p w14:paraId="36E417FB">
      <w:pPr>
        <w:widowControl/>
        <w:spacing w:before="60" w:after="60" w:line="350" w:lineRule="exact"/>
        <w:ind w:firstLine="480"/>
        <w:jc w:val="left"/>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cs="Times New Roman"/>
          <w:color w:val="auto"/>
          <w:kern w:val="0"/>
          <w:sz w:val="24"/>
          <w:szCs w:val="24"/>
          <w:highlight w:val="none"/>
        </w:rPr>
        <w:t>3.本项目的特定资格要求：投标供应商须具备</w:t>
      </w:r>
      <w:r>
        <w:rPr>
          <w:rFonts w:hint="default" w:ascii="Times New Roman" w:hAnsi="Times New Roman" w:cs="Times New Roman"/>
          <w:color w:val="auto"/>
          <w:spacing w:val="-2"/>
          <w:sz w:val="24"/>
          <w:highlight w:val="none"/>
        </w:rPr>
        <w:t>有效的《餐饮服务许可证》或《食品经营许可证》</w:t>
      </w:r>
      <w:r>
        <w:rPr>
          <w:rFonts w:hint="default" w:ascii="Times New Roman" w:hAnsi="Times New Roman" w:cs="Times New Roman"/>
          <w:color w:val="auto"/>
          <w:kern w:val="0"/>
          <w:sz w:val="24"/>
          <w:szCs w:val="24"/>
          <w:highlight w:val="none"/>
          <w:lang w:val="en-US" w:eastAsia="zh-CN"/>
        </w:rPr>
        <w:t>。</w:t>
      </w:r>
    </w:p>
    <w:p w14:paraId="22E3511D">
      <w:pPr>
        <w:widowControl/>
        <w:spacing w:before="204" w:after="204" w:line="350" w:lineRule="exact"/>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b/>
          <w:bCs/>
          <w:color w:val="auto"/>
          <w:kern w:val="0"/>
          <w:sz w:val="24"/>
          <w:szCs w:val="24"/>
          <w:highlight w:val="none"/>
        </w:rPr>
        <w:t>三、获取</w:t>
      </w:r>
      <w:r>
        <w:rPr>
          <w:rFonts w:hint="default" w:ascii="Times New Roman" w:hAnsi="Times New Roman" w:cs="Times New Roman"/>
          <w:b/>
          <w:bCs/>
          <w:color w:val="auto"/>
          <w:kern w:val="0"/>
          <w:sz w:val="24"/>
          <w:szCs w:val="24"/>
          <w:highlight w:val="none"/>
          <w:lang w:eastAsia="zh-CN"/>
        </w:rPr>
        <w:t>公开招标文件</w:t>
      </w:r>
    </w:p>
    <w:p w14:paraId="6492FFB3">
      <w:pPr>
        <w:widowControl/>
        <w:spacing w:before="60" w:after="60" w:line="350" w:lineRule="exact"/>
        <w:ind w:firstLine="480"/>
        <w:jc w:val="left"/>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时间：</w:t>
      </w:r>
      <w:r>
        <w:rPr>
          <w:rFonts w:hint="default" w:ascii="Times New Roman" w:hAnsi="Times New Roman" w:cs="Times New Roman"/>
          <w:color w:val="auto"/>
          <w:kern w:val="0"/>
          <w:sz w:val="24"/>
          <w:szCs w:val="24"/>
          <w:highlight w:val="none"/>
          <w:lang w:eastAsia="zh-CN"/>
        </w:rPr>
        <w:t>202</w:t>
      </w:r>
      <w:r>
        <w:rPr>
          <w:rFonts w:hint="default" w:ascii="Times New Roman" w:hAnsi="Times New Roman" w:cs="Times New Roman"/>
          <w:color w:val="auto"/>
          <w:kern w:val="0"/>
          <w:sz w:val="24"/>
          <w:szCs w:val="24"/>
          <w:highlight w:val="none"/>
          <w:lang w:val="en-US" w:eastAsia="zh-CN"/>
        </w:rPr>
        <w:t>6</w:t>
      </w:r>
      <w:r>
        <w:rPr>
          <w:rFonts w:hint="default" w:ascii="Times New Roman" w:hAnsi="Times New Roman" w:cs="Times New Roman"/>
          <w:color w:val="auto"/>
          <w:kern w:val="0"/>
          <w:sz w:val="24"/>
          <w:szCs w:val="24"/>
          <w:highlight w:val="none"/>
          <w:lang w:eastAsia="zh-CN"/>
        </w:rPr>
        <w:t>年</w:t>
      </w:r>
      <w:r>
        <w:rPr>
          <w:rFonts w:hint="eastAsia" w:cs="Times New Roman"/>
          <w:color w:val="auto"/>
          <w:kern w:val="0"/>
          <w:sz w:val="24"/>
          <w:szCs w:val="24"/>
          <w:highlight w:val="none"/>
          <w:lang w:val="en-US" w:eastAsia="zh-CN"/>
        </w:rPr>
        <w:t>07</w:t>
      </w:r>
      <w:r>
        <w:rPr>
          <w:rFonts w:hint="default" w:ascii="Times New Roman" w:hAnsi="Times New Roman" w:cs="Times New Roman"/>
          <w:color w:val="auto"/>
          <w:kern w:val="0"/>
          <w:sz w:val="24"/>
          <w:szCs w:val="24"/>
          <w:highlight w:val="none"/>
          <w:lang w:eastAsia="zh-CN"/>
        </w:rPr>
        <w:t>月</w:t>
      </w:r>
      <w:r>
        <w:rPr>
          <w:rFonts w:hint="eastAsia" w:cs="Times New Roman"/>
          <w:color w:val="auto"/>
          <w:kern w:val="0"/>
          <w:sz w:val="24"/>
          <w:szCs w:val="24"/>
          <w:highlight w:val="none"/>
          <w:lang w:val="en-US" w:eastAsia="zh-CN"/>
        </w:rPr>
        <w:t>10日起至2026年07</w:t>
      </w:r>
      <w:r>
        <w:rPr>
          <w:rFonts w:hint="default" w:ascii="Times New Roman" w:hAnsi="Times New Roman" w:cs="Times New Roman"/>
          <w:color w:val="auto"/>
          <w:kern w:val="0"/>
          <w:sz w:val="24"/>
          <w:szCs w:val="24"/>
          <w:highlight w:val="none"/>
          <w:lang w:eastAsia="zh-CN"/>
        </w:rPr>
        <w:t>月</w:t>
      </w:r>
      <w:r>
        <w:rPr>
          <w:rFonts w:hint="eastAsia" w:cs="Times New Roman"/>
          <w:color w:val="auto"/>
          <w:kern w:val="0"/>
          <w:sz w:val="24"/>
          <w:szCs w:val="24"/>
          <w:highlight w:val="none"/>
          <w:lang w:val="en-US" w:eastAsia="zh-CN"/>
        </w:rPr>
        <w:t>17</w:t>
      </w:r>
      <w:r>
        <w:rPr>
          <w:rFonts w:hint="default" w:ascii="Times New Roman" w:hAnsi="Times New Roman" w:cs="Times New Roman"/>
          <w:color w:val="auto"/>
          <w:kern w:val="0"/>
          <w:sz w:val="24"/>
          <w:szCs w:val="24"/>
          <w:highlight w:val="none"/>
          <w:lang w:eastAsia="zh-CN"/>
        </w:rPr>
        <w:t>日</w:t>
      </w:r>
      <w:r>
        <w:rPr>
          <w:rFonts w:hint="default" w:ascii="Times New Roman" w:hAnsi="Times New Roman" w:cs="Times New Roman"/>
          <w:color w:val="auto"/>
          <w:kern w:val="0"/>
          <w:sz w:val="24"/>
          <w:szCs w:val="24"/>
          <w:highlight w:val="none"/>
        </w:rPr>
        <w:t>（每日00</w:t>
      </w:r>
      <w:r>
        <w:rPr>
          <w:rFonts w:hint="default" w:ascii="Times New Roman" w:hAnsi="Times New Roman" w:cs="Times New Roman"/>
          <w:color w:val="auto"/>
          <w:kern w:val="0"/>
          <w:sz w:val="24"/>
          <w:szCs w:val="24"/>
          <w:highlight w:val="none"/>
          <w:lang w:eastAsia="zh-CN"/>
        </w:rPr>
        <w:t>:</w:t>
      </w:r>
      <w:r>
        <w:rPr>
          <w:rFonts w:hint="default" w:ascii="Times New Roman" w:hAnsi="Times New Roman" w:cs="Times New Roman"/>
          <w:color w:val="auto"/>
          <w:kern w:val="0"/>
          <w:sz w:val="24"/>
          <w:szCs w:val="24"/>
          <w:highlight w:val="none"/>
        </w:rPr>
        <w:t>00-12</w:t>
      </w:r>
      <w:r>
        <w:rPr>
          <w:rFonts w:hint="default" w:ascii="Times New Roman" w:hAnsi="Times New Roman" w:cs="Times New Roman"/>
          <w:color w:val="auto"/>
          <w:kern w:val="0"/>
          <w:sz w:val="24"/>
          <w:szCs w:val="24"/>
          <w:highlight w:val="none"/>
          <w:lang w:eastAsia="zh-CN"/>
        </w:rPr>
        <w:t>:</w:t>
      </w:r>
      <w:r>
        <w:rPr>
          <w:rFonts w:hint="default" w:ascii="Times New Roman" w:hAnsi="Times New Roman" w:cs="Times New Roman"/>
          <w:color w:val="auto"/>
          <w:kern w:val="0"/>
          <w:sz w:val="24"/>
          <w:szCs w:val="24"/>
          <w:highlight w:val="none"/>
        </w:rPr>
        <w:t>00，12</w:t>
      </w:r>
      <w:r>
        <w:rPr>
          <w:rFonts w:hint="default" w:ascii="Times New Roman" w:hAnsi="Times New Roman" w:cs="Times New Roman"/>
          <w:color w:val="auto"/>
          <w:kern w:val="0"/>
          <w:sz w:val="24"/>
          <w:szCs w:val="24"/>
          <w:highlight w:val="none"/>
          <w:lang w:eastAsia="zh-CN"/>
        </w:rPr>
        <w:t>:</w:t>
      </w:r>
      <w:r>
        <w:rPr>
          <w:rFonts w:hint="default" w:ascii="Times New Roman" w:hAnsi="Times New Roman" w:cs="Times New Roman"/>
          <w:color w:val="auto"/>
          <w:kern w:val="0"/>
          <w:sz w:val="24"/>
          <w:szCs w:val="24"/>
          <w:highlight w:val="none"/>
        </w:rPr>
        <w:t>00-23</w:t>
      </w:r>
      <w:r>
        <w:rPr>
          <w:rFonts w:hint="default" w:ascii="Times New Roman" w:hAnsi="Times New Roman" w:cs="Times New Roman"/>
          <w:color w:val="auto"/>
          <w:kern w:val="0"/>
          <w:sz w:val="24"/>
          <w:szCs w:val="24"/>
          <w:highlight w:val="none"/>
          <w:lang w:eastAsia="zh-CN"/>
        </w:rPr>
        <w:t>:</w:t>
      </w:r>
      <w:r>
        <w:rPr>
          <w:rFonts w:hint="default" w:ascii="Times New Roman" w:hAnsi="Times New Roman" w:cs="Times New Roman"/>
          <w:color w:val="auto"/>
          <w:kern w:val="0"/>
          <w:sz w:val="24"/>
          <w:szCs w:val="24"/>
          <w:highlight w:val="none"/>
        </w:rPr>
        <w:t>59</w:t>
      </w:r>
      <w:r>
        <w:rPr>
          <w:rFonts w:hint="eastAsia" w:cs="Times New Roman"/>
          <w:color w:val="auto"/>
          <w:kern w:val="0"/>
          <w:sz w:val="24"/>
          <w:szCs w:val="24"/>
          <w:highlight w:val="none"/>
          <w:lang w:eastAsia="zh-CN"/>
        </w:rPr>
        <w:t>）</w:t>
      </w:r>
      <w:r>
        <w:rPr>
          <w:rFonts w:hint="default" w:ascii="Times New Roman" w:hAnsi="Times New Roman" w:cs="Times New Roman"/>
          <w:color w:val="auto"/>
          <w:kern w:val="0"/>
          <w:sz w:val="24"/>
          <w:szCs w:val="24"/>
          <w:highlight w:val="none"/>
        </w:rPr>
        <w:t>（北京时间，法定节假日除外）</w:t>
      </w:r>
    </w:p>
    <w:p w14:paraId="5EE40EE4">
      <w:pPr>
        <w:widowControl/>
        <w:spacing w:before="60" w:after="60" w:line="350" w:lineRule="exact"/>
        <w:ind w:firstLine="480"/>
        <w:jc w:val="left"/>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地点：</w:t>
      </w:r>
      <w:r>
        <w:rPr>
          <w:rStyle w:val="154"/>
          <w:rFonts w:hint="default" w:ascii="Times New Roman" w:hAnsi="Times New Roman" w:cs="Times New Roman"/>
          <w:color w:val="auto"/>
          <w:sz w:val="24"/>
          <w:szCs w:val="24"/>
          <w:highlight w:val="none"/>
        </w:rPr>
        <w:t>政采云线上</w:t>
      </w:r>
    </w:p>
    <w:p w14:paraId="094AD397">
      <w:pPr>
        <w:widowControl/>
        <w:spacing w:before="60" w:after="60" w:line="350" w:lineRule="exact"/>
        <w:ind w:firstLine="480"/>
        <w:jc w:val="left"/>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方式：供应商登录政采云平台https://www.zcygov.cn/在线申请获取采购文件（进入“项目采购”应用，在获取采购文件菜单中选择项目，申请获取采购文件），或者点击采购公告底部潜在供应商“获取采购文件”，页面跳转后</w:t>
      </w:r>
      <w:r>
        <w:rPr>
          <w:rFonts w:hint="eastAsia" w:cs="Times New Roman"/>
          <w:color w:val="auto"/>
          <w:kern w:val="0"/>
          <w:sz w:val="24"/>
          <w:szCs w:val="24"/>
          <w:highlight w:val="none"/>
          <w:lang w:eastAsia="zh-CN"/>
        </w:rPr>
        <w:t>登录</w:t>
      </w:r>
      <w:r>
        <w:rPr>
          <w:rFonts w:hint="default" w:ascii="Times New Roman" w:hAnsi="Times New Roman" w:cs="Times New Roman"/>
          <w:color w:val="auto"/>
          <w:kern w:val="0"/>
          <w:sz w:val="24"/>
          <w:szCs w:val="24"/>
          <w:highlight w:val="none"/>
        </w:rPr>
        <w:t>，直接获取采购文件。</w:t>
      </w:r>
    </w:p>
    <w:p w14:paraId="05A5E97A">
      <w:pPr>
        <w:widowControl/>
        <w:spacing w:before="60" w:after="60" w:line="350" w:lineRule="exact"/>
        <w:ind w:firstLine="480"/>
        <w:jc w:val="left"/>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cs="Times New Roman"/>
          <w:color w:val="auto"/>
          <w:kern w:val="0"/>
          <w:sz w:val="24"/>
          <w:szCs w:val="24"/>
          <w:highlight w:val="none"/>
        </w:rPr>
        <w:t>售价（元）：</w:t>
      </w:r>
      <w:r>
        <w:rPr>
          <w:rFonts w:hint="default" w:ascii="Times New Roman" w:hAnsi="Times New Roman" w:cs="Times New Roman"/>
          <w:color w:val="auto"/>
          <w:kern w:val="0"/>
          <w:sz w:val="24"/>
          <w:szCs w:val="24"/>
          <w:highlight w:val="none"/>
          <w:lang w:val="en-US" w:eastAsia="zh-CN"/>
        </w:rPr>
        <w:t>0</w:t>
      </w:r>
    </w:p>
    <w:p w14:paraId="27E8A2CD">
      <w:pPr>
        <w:widowControl/>
        <w:spacing w:before="204" w:after="204" w:line="350" w:lineRule="exact"/>
        <w:rPr>
          <w:rFonts w:hint="default" w:ascii="Times New Roman" w:hAnsi="Times New Roman" w:cs="Times New Roman"/>
          <w:color w:val="auto"/>
          <w:kern w:val="0"/>
          <w:sz w:val="24"/>
          <w:szCs w:val="24"/>
          <w:highlight w:val="none"/>
        </w:rPr>
      </w:pPr>
      <w:r>
        <w:rPr>
          <w:rFonts w:hint="default" w:ascii="Times New Roman" w:hAnsi="Times New Roman" w:cs="Times New Roman"/>
          <w:b/>
          <w:bCs/>
          <w:color w:val="auto"/>
          <w:kern w:val="0"/>
          <w:sz w:val="24"/>
          <w:szCs w:val="24"/>
          <w:highlight w:val="none"/>
        </w:rPr>
        <w:t>四、提交</w:t>
      </w:r>
      <w:r>
        <w:rPr>
          <w:rFonts w:hint="default" w:ascii="Times New Roman" w:hAnsi="Times New Roman" w:cs="Times New Roman"/>
          <w:b/>
          <w:bCs/>
          <w:color w:val="auto"/>
          <w:kern w:val="0"/>
          <w:sz w:val="24"/>
          <w:szCs w:val="24"/>
          <w:highlight w:val="none"/>
          <w:lang w:eastAsia="zh-CN"/>
        </w:rPr>
        <w:t>投标文件</w:t>
      </w:r>
      <w:r>
        <w:rPr>
          <w:rFonts w:hint="default" w:ascii="Times New Roman" w:hAnsi="Times New Roman" w:cs="Times New Roman"/>
          <w:b/>
          <w:bCs/>
          <w:color w:val="auto"/>
          <w:kern w:val="0"/>
          <w:sz w:val="24"/>
          <w:szCs w:val="24"/>
          <w:highlight w:val="none"/>
        </w:rPr>
        <w:t>截止时间、开标时间和地点</w:t>
      </w:r>
    </w:p>
    <w:p w14:paraId="25B00BAC">
      <w:pPr>
        <w:widowControl/>
        <w:spacing w:before="60" w:after="60" w:line="350" w:lineRule="exact"/>
        <w:ind w:firstLine="480"/>
        <w:jc w:val="left"/>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提交</w:t>
      </w:r>
      <w:r>
        <w:rPr>
          <w:rFonts w:hint="default" w:ascii="Times New Roman" w:hAnsi="Times New Roman" w:cs="Times New Roman"/>
          <w:color w:val="auto"/>
          <w:kern w:val="0"/>
          <w:sz w:val="24"/>
          <w:szCs w:val="24"/>
          <w:highlight w:val="none"/>
          <w:lang w:eastAsia="zh-CN"/>
        </w:rPr>
        <w:t>投标文件</w:t>
      </w:r>
      <w:r>
        <w:rPr>
          <w:rFonts w:hint="default" w:ascii="Times New Roman" w:hAnsi="Times New Roman" w:cs="Times New Roman"/>
          <w:color w:val="auto"/>
          <w:kern w:val="0"/>
          <w:sz w:val="24"/>
          <w:szCs w:val="24"/>
          <w:highlight w:val="none"/>
        </w:rPr>
        <w:t>截止时间：</w:t>
      </w:r>
      <w:r>
        <w:rPr>
          <w:rFonts w:hint="eastAsia" w:cs="Times New Roman"/>
          <w:color w:val="auto"/>
          <w:kern w:val="0"/>
          <w:sz w:val="24"/>
          <w:szCs w:val="24"/>
          <w:highlight w:val="none"/>
          <w:lang w:eastAsia="zh-CN"/>
        </w:rPr>
        <w:t>2026年08月03日</w:t>
      </w:r>
      <w:r>
        <w:rPr>
          <w:rFonts w:hint="default" w:ascii="Times New Roman" w:hAnsi="Times New Roman" w:cs="Times New Roman"/>
          <w:color w:val="auto"/>
          <w:kern w:val="0"/>
          <w:sz w:val="24"/>
          <w:szCs w:val="24"/>
          <w:highlight w:val="none"/>
        </w:rPr>
        <w:t>11:00（北京时间）</w:t>
      </w:r>
    </w:p>
    <w:p w14:paraId="7FCF2C0B">
      <w:pPr>
        <w:widowControl/>
        <w:spacing w:before="60" w:after="60" w:line="350" w:lineRule="exact"/>
        <w:ind w:firstLine="480"/>
        <w:jc w:val="left"/>
        <w:rPr>
          <w:rStyle w:val="154"/>
          <w:rFonts w:hint="default" w:ascii="Times New Roman" w:hAnsi="Times New Roman" w:cs="Times New Roman"/>
          <w:color w:val="auto"/>
          <w:sz w:val="24"/>
          <w:szCs w:val="24"/>
          <w:highlight w:val="none"/>
        </w:rPr>
      </w:pPr>
      <w:r>
        <w:rPr>
          <w:rFonts w:hint="default" w:ascii="Times New Roman" w:hAnsi="Times New Roman" w:cs="Times New Roman"/>
          <w:color w:val="auto"/>
          <w:kern w:val="0"/>
          <w:sz w:val="24"/>
          <w:szCs w:val="24"/>
          <w:highlight w:val="none"/>
        </w:rPr>
        <w:t>投标地点：新疆政府采购网政采云平台：https://www.zcygov.cn/ </w:t>
      </w:r>
    </w:p>
    <w:p w14:paraId="628C6B25">
      <w:pPr>
        <w:widowControl/>
        <w:spacing w:before="60" w:after="60" w:line="350" w:lineRule="exact"/>
        <w:ind w:firstLine="480"/>
        <w:jc w:val="left"/>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开标时间：</w:t>
      </w:r>
      <w:r>
        <w:rPr>
          <w:rFonts w:hint="eastAsia" w:cs="Times New Roman"/>
          <w:color w:val="auto"/>
          <w:kern w:val="0"/>
          <w:sz w:val="24"/>
          <w:szCs w:val="24"/>
          <w:highlight w:val="none"/>
          <w:lang w:eastAsia="zh-CN"/>
        </w:rPr>
        <w:t>2026年08月03日</w:t>
      </w:r>
      <w:r>
        <w:rPr>
          <w:rFonts w:hint="default" w:ascii="Times New Roman" w:hAnsi="Times New Roman" w:cs="Times New Roman"/>
          <w:color w:val="auto"/>
          <w:kern w:val="0"/>
          <w:sz w:val="24"/>
          <w:szCs w:val="24"/>
          <w:highlight w:val="none"/>
        </w:rPr>
        <w:t>11:00（北京时间）</w:t>
      </w:r>
    </w:p>
    <w:p w14:paraId="29A39EDD">
      <w:pPr>
        <w:widowControl/>
        <w:spacing w:before="60" w:after="60" w:line="350" w:lineRule="exact"/>
        <w:ind w:firstLine="480"/>
        <w:jc w:val="left"/>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开标地点：新疆政府采购网政采云平台：https://www.zcygov.cn/ </w:t>
      </w:r>
    </w:p>
    <w:p w14:paraId="6C07B779">
      <w:pPr>
        <w:widowControl/>
        <w:spacing w:before="204" w:after="204" w:line="350" w:lineRule="exact"/>
        <w:rPr>
          <w:rFonts w:hint="default" w:ascii="Times New Roman" w:hAnsi="Times New Roman" w:cs="Times New Roman"/>
          <w:color w:val="auto"/>
          <w:kern w:val="0"/>
          <w:sz w:val="24"/>
          <w:szCs w:val="24"/>
          <w:highlight w:val="none"/>
        </w:rPr>
      </w:pPr>
      <w:r>
        <w:rPr>
          <w:rFonts w:hint="default" w:ascii="Times New Roman" w:hAnsi="Times New Roman" w:cs="Times New Roman"/>
          <w:b/>
          <w:bCs/>
          <w:color w:val="auto"/>
          <w:kern w:val="0"/>
          <w:sz w:val="24"/>
          <w:szCs w:val="24"/>
          <w:highlight w:val="none"/>
        </w:rPr>
        <w:t>五、公告期限</w:t>
      </w:r>
    </w:p>
    <w:p w14:paraId="252FD08C">
      <w:pPr>
        <w:widowControl/>
        <w:spacing w:before="60" w:after="60" w:line="350" w:lineRule="exact"/>
        <w:ind w:firstLine="480"/>
        <w:jc w:val="left"/>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自本公告发布之日起</w:t>
      </w:r>
      <w:r>
        <w:rPr>
          <w:rFonts w:hint="default" w:ascii="Times New Roman" w:hAnsi="Times New Roman" w:cs="Times New Roman"/>
          <w:color w:val="auto"/>
          <w:kern w:val="0"/>
          <w:sz w:val="24"/>
          <w:szCs w:val="24"/>
          <w:highlight w:val="none"/>
          <w:lang w:val="en-US" w:eastAsia="zh-CN"/>
        </w:rPr>
        <w:t>5</w:t>
      </w:r>
      <w:r>
        <w:rPr>
          <w:rFonts w:hint="default" w:ascii="Times New Roman" w:hAnsi="Times New Roman" w:cs="Times New Roman"/>
          <w:color w:val="auto"/>
          <w:kern w:val="0"/>
          <w:sz w:val="24"/>
          <w:szCs w:val="24"/>
          <w:highlight w:val="none"/>
        </w:rPr>
        <w:t>个工作日。</w:t>
      </w:r>
    </w:p>
    <w:p w14:paraId="13A9CC6A">
      <w:pPr>
        <w:widowControl/>
        <w:spacing w:before="204" w:after="204" w:line="350" w:lineRule="exact"/>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六、其他补充事宜</w:t>
      </w:r>
    </w:p>
    <w:p w14:paraId="7148EF53">
      <w:pPr>
        <w:widowControl/>
        <w:spacing w:before="204" w:after="204" w:line="350" w:lineRule="exact"/>
        <w:ind w:left="0" w:leftChars="0" w:firstLine="420" w:firstLineChars="175"/>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lang w:val="en-US" w:eastAsia="zh-CN"/>
        </w:rPr>
        <w:t>1.</w:t>
      </w:r>
      <w:r>
        <w:rPr>
          <w:rFonts w:hint="default" w:ascii="Times New Roman" w:hAnsi="Times New Roman" w:cs="Times New Roman"/>
          <w:color w:val="auto"/>
          <w:kern w:val="0"/>
          <w:sz w:val="24"/>
          <w:szCs w:val="24"/>
          <w:highlight w:val="none"/>
        </w:rPr>
        <w:t>本项目实行网上投标，采用电子</w:t>
      </w:r>
      <w:r>
        <w:rPr>
          <w:rFonts w:hint="default" w:ascii="Times New Roman" w:hAnsi="Times New Roman" w:cs="Times New Roman"/>
          <w:color w:val="auto"/>
          <w:kern w:val="0"/>
          <w:sz w:val="24"/>
          <w:szCs w:val="24"/>
          <w:highlight w:val="none"/>
          <w:lang w:eastAsia="zh-CN"/>
        </w:rPr>
        <w:t>投标文件</w:t>
      </w:r>
      <w:r>
        <w:rPr>
          <w:rFonts w:hint="default" w:ascii="Times New Roman" w:hAnsi="Times New Roman" w:cs="Times New Roman"/>
          <w:color w:val="auto"/>
          <w:kern w:val="0"/>
          <w:sz w:val="24"/>
          <w:szCs w:val="24"/>
          <w:highlight w:val="none"/>
        </w:rPr>
        <w:t>。</w:t>
      </w:r>
    </w:p>
    <w:p w14:paraId="378F5E82">
      <w:pPr>
        <w:widowControl/>
        <w:spacing w:before="204" w:after="204" w:line="350" w:lineRule="exact"/>
        <w:ind w:left="0" w:leftChars="0" w:firstLine="420" w:firstLineChars="175"/>
        <w:rPr>
          <w:rFonts w:hint="default" w:ascii="Times New Roman" w:hAnsi="Times New Roman" w:eastAsia="宋体" w:cs="Times New Roman"/>
          <w:color w:val="auto"/>
          <w:kern w:val="0"/>
          <w:sz w:val="24"/>
          <w:szCs w:val="24"/>
          <w:highlight w:val="none"/>
        </w:rPr>
      </w:pPr>
      <w:r>
        <w:rPr>
          <w:rFonts w:hint="default" w:ascii="Times New Roman" w:hAnsi="Times New Roman" w:cs="Times New Roman"/>
          <w:color w:val="auto"/>
          <w:kern w:val="0"/>
          <w:sz w:val="24"/>
          <w:szCs w:val="24"/>
          <w:highlight w:val="none"/>
          <w:lang w:val="en-US" w:eastAsia="zh-CN"/>
        </w:rPr>
        <w:t>2.</w:t>
      </w:r>
      <w:r>
        <w:rPr>
          <w:rFonts w:hint="default" w:ascii="Times New Roman" w:hAnsi="Times New Roman" w:eastAsia="宋体" w:cs="Times New Roman"/>
          <w:color w:val="auto"/>
          <w:kern w:val="0"/>
          <w:sz w:val="24"/>
          <w:szCs w:val="24"/>
          <w:highlight w:val="none"/>
        </w:rPr>
        <w:t>各供应商应在开标前确保成为正式注册入库供应商，并完成符合国密标准CA数字证书</w:t>
      </w:r>
      <w:r>
        <w:rPr>
          <w:rFonts w:hint="default" w:ascii="Times New Roman" w:hAnsi="Times New Roman" w:cs="Times New Roman"/>
          <w:color w:val="auto"/>
          <w:kern w:val="0"/>
          <w:sz w:val="24"/>
          <w:szCs w:val="24"/>
          <w:highlight w:val="none"/>
          <w:lang w:val="en-US" w:eastAsia="zh-CN"/>
        </w:rPr>
        <w:t>的</w:t>
      </w:r>
      <w:r>
        <w:rPr>
          <w:rFonts w:hint="default" w:ascii="Times New Roman" w:hAnsi="Times New Roman" w:eastAsia="宋体" w:cs="Times New Roman"/>
          <w:color w:val="auto"/>
          <w:kern w:val="0"/>
          <w:sz w:val="24"/>
          <w:szCs w:val="24"/>
          <w:highlight w:val="none"/>
        </w:rPr>
        <w:t>申领。因未注册入库、未办理CA数字证书等原因造成无法投标或投标失败等后果由供应商自行承担。如需咨询，请联系新疆-安信CA服务热线0991-7810912；翔晟CA服务热线025-66085508；新疆CA服务热线4000921999。</w:t>
      </w:r>
    </w:p>
    <w:p w14:paraId="656A2E4E">
      <w:pPr>
        <w:widowControl/>
        <w:spacing w:before="204" w:after="204" w:line="350" w:lineRule="exact"/>
        <w:ind w:left="0" w:leftChars="0" w:firstLine="420" w:firstLineChars="175"/>
        <w:rPr>
          <w:rFonts w:hint="default" w:ascii="Times New Roman" w:hAnsi="Times New Roman" w:eastAsia="宋体" w:cs="Times New Roman"/>
          <w:color w:val="auto"/>
          <w:kern w:val="0"/>
          <w:sz w:val="24"/>
          <w:szCs w:val="24"/>
          <w:highlight w:val="none"/>
        </w:rPr>
      </w:pPr>
      <w:r>
        <w:rPr>
          <w:rFonts w:hint="default" w:ascii="Times New Roman" w:hAnsi="Times New Roman" w:cs="Times New Roman"/>
          <w:color w:val="auto"/>
          <w:kern w:val="0"/>
          <w:sz w:val="24"/>
          <w:szCs w:val="24"/>
          <w:highlight w:val="none"/>
          <w:lang w:val="en-US" w:eastAsia="zh-CN"/>
        </w:rPr>
        <w:t>3.</w:t>
      </w:r>
      <w:r>
        <w:rPr>
          <w:rFonts w:hint="default" w:ascii="Times New Roman" w:hAnsi="Times New Roman" w:eastAsia="宋体" w:cs="Times New Roman"/>
          <w:color w:val="auto"/>
          <w:kern w:val="0"/>
          <w:sz w:val="24"/>
          <w:szCs w:val="24"/>
          <w:highlight w:val="none"/>
        </w:rPr>
        <w:t>供应商将政采云电子交易客户端下载、安装完成后，可通过账号密码或CA登录客户端进行投标文件的制作。在使用政采云投标客户端时，建议使用WIN7及以上操作系统。</w:t>
      </w:r>
    </w:p>
    <w:p w14:paraId="70CDDAC5">
      <w:pPr>
        <w:widowControl/>
        <w:spacing w:before="204" w:after="204" w:line="350" w:lineRule="exact"/>
        <w:rPr>
          <w:rFonts w:hint="default" w:ascii="Times New Roman" w:hAnsi="Times New Roman" w:cs="Times New Roman"/>
          <w:color w:val="auto"/>
          <w:kern w:val="0"/>
          <w:sz w:val="24"/>
          <w:szCs w:val="24"/>
          <w:highlight w:val="none"/>
        </w:rPr>
      </w:pPr>
      <w:r>
        <w:rPr>
          <w:rFonts w:hint="default" w:ascii="Times New Roman" w:hAnsi="Times New Roman" w:cs="Times New Roman"/>
          <w:b/>
          <w:bCs/>
          <w:color w:val="auto"/>
          <w:kern w:val="0"/>
          <w:sz w:val="24"/>
          <w:szCs w:val="24"/>
          <w:highlight w:val="none"/>
        </w:rPr>
        <w:t>七、对本次采购提出询问，请按以下方式联系</w:t>
      </w:r>
    </w:p>
    <w:p w14:paraId="00F3036D">
      <w:pPr>
        <w:widowControl/>
        <w:spacing w:before="60" w:after="60" w:line="350" w:lineRule="exact"/>
        <w:ind w:firstLine="480"/>
        <w:jc w:val="left"/>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1.采购人信息</w:t>
      </w:r>
    </w:p>
    <w:p w14:paraId="7FD2198C">
      <w:pPr>
        <w:widowControl/>
        <w:spacing w:before="60" w:after="60" w:line="350" w:lineRule="exact"/>
        <w:ind w:firstLine="480"/>
        <w:jc w:val="left"/>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名称：新疆农业大学</w:t>
      </w:r>
    </w:p>
    <w:p w14:paraId="5018CFFF">
      <w:pPr>
        <w:widowControl/>
        <w:spacing w:before="60" w:after="60" w:line="350" w:lineRule="exact"/>
        <w:ind w:firstLine="480"/>
        <w:jc w:val="left"/>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地址：新疆乌鲁木齐市沙依巴克区农大东路311号</w:t>
      </w:r>
    </w:p>
    <w:p w14:paraId="40103B1B">
      <w:pPr>
        <w:widowControl/>
        <w:spacing w:before="60" w:after="60" w:line="350" w:lineRule="exact"/>
        <w:ind w:firstLine="480"/>
        <w:jc w:val="left"/>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cs="Times New Roman"/>
          <w:color w:val="auto"/>
          <w:kern w:val="0"/>
          <w:sz w:val="24"/>
          <w:szCs w:val="24"/>
          <w:highlight w:val="none"/>
        </w:rPr>
        <w:t>联系方式：</w:t>
      </w:r>
      <w:r>
        <w:rPr>
          <w:rFonts w:hint="eastAsia" w:cs="Times New Roman"/>
          <w:color w:val="auto"/>
          <w:kern w:val="0"/>
          <w:sz w:val="24"/>
          <w:szCs w:val="24"/>
          <w:highlight w:val="none"/>
          <w:lang w:val="en-US" w:eastAsia="zh-CN"/>
        </w:rPr>
        <w:t>15292426954、</w:t>
      </w:r>
      <w:r>
        <w:rPr>
          <w:rFonts w:hint="default" w:ascii="Times New Roman" w:hAnsi="Times New Roman" w:cs="Times New Roman"/>
          <w:color w:val="auto"/>
          <w:kern w:val="0"/>
          <w:sz w:val="24"/>
          <w:szCs w:val="24"/>
          <w:highlight w:val="none"/>
          <w:lang w:val="en-US" w:eastAsia="zh-CN"/>
        </w:rPr>
        <w:t>19990144922</w:t>
      </w:r>
    </w:p>
    <w:p w14:paraId="31CAAD53">
      <w:pPr>
        <w:widowControl/>
        <w:spacing w:before="60" w:after="60" w:line="350" w:lineRule="exact"/>
        <w:ind w:firstLine="480"/>
        <w:jc w:val="left"/>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2.采购代理机构信息</w:t>
      </w:r>
    </w:p>
    <w:p w14:paraId="53F66A50">
      <w:pPr>
        <w:widowControl/>
        <w:spacing w:before="60" w:after="60" w:line="350" w:lineRule="exact"/>
        <w:ind w:firstLine="480"/>
        <w:jc w:val="left"/>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名称：新疆守正项目管理咨询有限公司</w:t>
      </w:r>
    </w:p>
    <w:p w14:paraId="5FB2C685">
      <w:pPr>
        <w:widowControl/>
        <w:spacing w:before="60" w:after="60" w:line="350" w:lineRule="exact"/>
        <w:ind w:firstLine="480"/>
        <w:jc w:val="left"/>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地址：新疆乌鲁木齐高新区长春南路528号天康企业大厦3楼</w:t>
      </w:r>
    </w:p>
    <w:p w14:paraId="265F8084">
      <w:pPr>
        <w:widowControl/>
        <w:spacing w:before="60" w:after="60" w:line="350" w:lineRule="exact"/>
        <w:ind w:firstLine="480"/>
        <w:jc w:val="left"/>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联系方式：</w:t>
      </w:r>
      <w:r>
        <w:rPr>
          <w:rFonts w:hint="default" w:ascii="Times New Roman" w:hAnsi="Times New Roman" w:cs="Times New Roman"/>
          <w:color w:val="auto"/>
          <w:kern w:val="0"/>
          <w:sz w:val="24"/>
          <w:szCs w:val="24"/>
          <w:highlight w:val="none"/>
          <w:lang w:eastAsia="zh-CN"/>
        </w:rPr>
        <w:t>邱奕霏、郑龙、陈旭文，</w:t>
      </w:r>
      <w:r>
        <w:rPr>
          <w:rFonts w:hint="eastAsia" w:cs="Times New Roman"/>
          <w:color w:val="auto"/>
          <w:kern w:val="0"/>
          <w:sz w:val="24"/>
          <w:szCs w:val="24"/>
          <w:highlight w:val="none"/>
          <w:lang w:eastAsia="zh-CN"/>
        </w:rPr>
        <w:t>18599788578/18599788582</w:t>
      </w:r>
    </w:p>
    <w:p w14:paraId="333943F5">
      <w:pPr>
        <w:keepNext w:val="0"/>
        <w:keepLines w:val="0"/>
        <w:pageBreakBefore w:val="0"/>
        <w:widowControl/>
        <w:kinsoku/>
        <w:wordWrap/>
        <w:overflowPunct/>
        <w:topLinePunct w:val="0"/>
        <w:autoSpaceDE/>
        <w:autoSpaceDN/>
        <w:bidi w:val="0"/>
        <w:adjustRightInd/>
        <w:snapToGrid/>
        <w:spacing w:before="60" w:after="60" w:line="360" w:lineRule="auto"/>
        <w:ind w:firstLine="482"/>
        <w:jc w:val="center"/>
        <w:textAlignment w:val="auto"/>
        <w:outlineLvl w:val="0"/>
        <w:rPr>
          <w:rFonts w:ascii="宋体" w:hAnsi="宋体"/>
          <w:b/>
          <w:color w:val="auto"/>
          <w:sz w:val="32"/>
          <w:szCs w:val="32"/>
          <w:highlight w:val="none"/>
        </w:rPr>
      </w:pPr>
      <w:r>
        <w:rPr>
          <w:rFonts w:hint="default" w:ascii="Times New Roman" w:hAnsi="Times New Roman" w:cs="Times New Roman"/>
          <w:color w:val="auto"/>
          <w:kern w:val="0"/>
          <w:sz w:val="24"/>
          <w:szCs w:val="24"/>
          <w:highlight w:val="none"/>
        </w:rPr>
        <w:br w:type="page"/>
      </w:r>
      <w:bookmarkStart w:id="3" w:name="_Toc23524"/>
      <w:bookmarkStart w:id="4" w:name="_Toc89792125"/>
      <w:bookmarkStart w:id="5" w:name="_Toc29618"/>
      <w:r>
        <w:rPr>
          <w:rFonts w:hint="eastAsia" w:ascii="宋体" w:hAnsi="宋体"/>
          <w:b/>
          <w:color w:val="auto"/>
          <w:sz w:val="32"/>
          <w:szCs w:val="32"/>
          <w:highlight w:val="none"/>
        </w:rPr>
        <w:t>第一部</w:t>
      </w:r>
      <w:r>
        <w:rPr>
          <w:rFonts w:hint="eastAsia" w:ascii="宋体" w:hAnsi="宋体"/>
          <w:b/>
          <w:color w:val="auto"/>
          <w:sz w:val="32"/>
          <w:highlight w:val="none"/>
        </w:rPr>
        <w:t>分</w:t>
      </w:r>
      <w:r>
        <w:rPr>
          <w:rFonts w:hint="eastAsia" w:ascii="宋体" w:hAnsi="宋体"/>
          <w:b/>
          <w:color w:val="auto"/>
          <w:sz w:val="32"/>
          <w:szCs w:val="32"/>
          <w:highlight w:val="none"/>
        </w:rPr>
        <w:t>投标须知</w:t>
      </w:r>
      <w:bookmarkEnd w:id="3"/>
      <w:bookmarkEnd w:id="4"/>
      <w:bookmarkEnd w:id="5"/>
    </w:p>
    <w:tbl>
      <w:tblPr>
        <w:tblStyle w:val="27"/>
        <w:tblW w:w="1032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79"/>
        <w:gridCol w:w="1774"/>
        <w:gridCol w:w="7572"/>
      </w:tblGrid>
      <w:tr w14:paraId="21B26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979" w:type="dxa"/>
            <w:noWrap w:val="0"/>
            <w:vAlign w:val="center"/>
          </w:tcPr>
          <w:p w14:paraId="1D8A5A8F">
            <w:pPr>
              <w:keepNext w:val="0"/>
              <w:keepLines w:val="0"/>
              <w:suppressLineNumbers w:val="0"/>
              <w:overflowPunct w:val="0"/>
              <w:spacing w:before="0" w:beforeAutospacing="0" w:after="0" w:afterAutospacing="0" w:line="276" w:lineRule="auto"/>
              <w:ind w:left="0" w:right="0"/>
              <w:jc w:val="center"/>
              <w:rPr>
                <w:rFonts w:hint="default" w:ascii="宋体" w:hAnsi="宋体"/>
                <w:b/>
                <w:color w:val="auto"/>
                <w:sz w:val="24"/>
                <w:szCs w:val="20"/>
                <w:highlight w:val="none"/>
              </w:rPr>
            </w:pPr>
            <w:r>
              <w:rPr>
                <w:rFonts w:hint="eastAsia" w:ascii="宋体" w:hAnsi="宋体"/>
                <w:b/>
                <w:color w:val="auto"/>
                <w:sz w:val="24"/>
                <w:szCs w:val="20"/>
                <w:highlight w:val="none"/>
              </w:rPr>
              <w:t>序号</w:t>
            </w:r>
          </w:p>
        </w:tc>
        <w:tc>
          <w:tcPr>
            <w:tcW w:w="1774" w:type="dxa"/>
            <w:noWrap w:val="0"/>
            <w:vAlign w:val="center"/>
          </w:tcPr>
          <w:p w14:paraId="6E96D5AD">
            <w:pPr>
              <w:keepNext w:val="0"/>
              <w:keepLines w:val="0"/>
              <w:suppressLineNumbers w:val="0"/>
              <w:overflowPunct w:val="0"/>
              <w:spacing w:before="0" w:beforeAutospacing="0" w:after="0" w:afterAutospacing="0" w:line="276" w:lineRule="auto"/>
              <w:ind w:left="0" w:right="0"/>
              <w:jc w:val="center"/>
              <w:rPr>
                <w:rFonts w:hint="default" w:ascii="宋体" w:hAnsi="宋体"/>
                <w:b/>
                <w:color w:val="auto"/>
                <w:sz w:val="24"/>
                <w:szCs w:val="20"/>
                <w:highlight w:val="none"/>
              </w:rPr>
            </w:pPr>
            <w:r>
              <w:rPr>
                <w:rFonts w:hint="eastAsia" w:ascii="宋体" w:hAnsi="宋体"/>
                <w:b/>
                <w:color w:val="auto"/>
                <w:sz w:val="24"/>
                <w:szCs w:val="20"/>
                <w:highlight w:val="none"/>
              </w:rPr>
              <w:t>名称</w:t>
            </w:r>
          </w:p>
        </w:tc>
        <w:tc>
          <w:tcPr>
            <w:tcW w:w="7572" w:type="dxa"/>
            <w:noWrap w:val="0"/>
            <w:vAlign w:val="center"/>
          </w:tcPr>
          <w:p w14:paraId="34BEE228">
            <w:pPr>
              <w:keepNext w:val="0"/>
              <w:keepLines w:val="0"/>
              <w:suppressLineNumbers w:val="0"/>
              <w:overflowPunct w:val="0"/>
              <w:spacing w:before="0" w:beforeAutospacing="0" w:after="0" w:afterAutospacing="0" w:line="276" w:lineRule="auto"/>
              <w:ind w:left="0" w:right="0"/>
              <w:jc w:val="center"/>
              <w:rPr>
                <w:rFonts w:hint="default" w:ascii="宋体" w:hAnsi="宋体"/>
                <w:b/>
                <w:color w:val="auto"/>
                <w:sz w:val="24"/>
                <w:szCs w:val="20"/>
                <w:highlight w:val="none"/>
              </w:rPr>
            </w:pPr>
            <w:r>
              <w:rPr>
                <w:rFonts w:hint="eastAsia" w:ascii="宋体" w:hAnsi="宋体"/>
                <w:b/>
                <w:color w:val="auto"/>
                <w:sz w:val="24"/>
                <w:szCs w:val="20"/>
                <w:highlight w:val="none"/>
              </w:rPr>
              <w:t>内容</w:t>
            </w:r>
          </w:p>
        </w:tc>
      </w:tr>
      <w:tr w14:paraId="38CF41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noWrap w:val="0"/>
            <w:vAlign w:val="center"/>
          </w:tcPr>
          <w:p w14:paraId="5B481AAA">
            <w:pPr>
              <w:keepNext w:val="0"/>
              <w:keepLines w:val="0"/>
              <w:suppressLineNumbers w:val="0"/>
              <w:overflowPunct w:val="0"/>
              <w:spacing w:before="0" w:beforeAutospacing="0" w:after="0" w:afterAutospacing="0" w:line="276" w:lineRule="auto"/>
              <w:ind w:left="0" w:right="0"/>
              <w:jc w:val="center"/>
              <w:rPr>
                <w:rFonts w:hint="default" w:ascii="宋体" w:hAnsi="宋体"/>
                <w:b/>
                <w:color w:val="auto"/>
                <w:sz w:val="24"/>
                <w:szCs w:val="20"/>
                <w:highlight w:val="none"/>
              </w:rPr>
            </w:pPr>
            <w:r>
              <w:rPr>
                <w:rFonts w:hint="eastAsia" w:ascii="宋体" w:hAnsi="宋体"/>
                <w:b/>
                <w:color w:val="auto"/>
                <w:sz w:val="24"/>
                <w:szCs w:val="20"/>
                <w:highlight w:val="none"/>
              </w:rPr>
              <w:t>1</w:t>
            </w:r>
          </w:p>
        </w:tc>
        <w:tc>
          <w:tcPr>
            <w:tcW w:w="1774" w:type="dxa"/>
            <w:noWrap w:val="0"/>
            <w:vAlign w:val="center"/>
          </w:tcPr>
          <w:p w14:paraId="7B047027">
            <w:pPr>
              <w:keepNext w:val="0"/>
              <w:keepLines w:val="0"/>
              <w:suppressLineNumbers w:val="0"/>
              <w:overflowPunct w:val="0"/>
              <w:spacing w:before="0" w:beforeAutospacing="0" w:after="0" w:afterAutospacing="0" w:line="276" w:lineRule="auto"/>
              <w:ind w:left="0" w:right="0"/>
              <w:jc w:val="center"/>
              <w:rPr>
                <w:rFonts w:hint="eastAsia" w:ascii="宋体" w:hAnsi="宋体"/>
                <w:b/>
                <w:color w:val="auto"/>
                <w:sz w:val="24"/>
                <w:szCs w:val="20"/>
                <w:highlight w:val="none"/>
              </w:rPr>
            </w:pPr>
            <w:r>
              <w:rPr>
                <w:rFonts w:hint="eastAsia" w:ascii="宋体" w:hAnsi="宋体"/>
                <w:b/>
                <w:color w:val="auto"/>
                <w:sz w:val="24"/>
                <w:szCs w:val="20"/>
                <w:highlight w:val="none"/>
              </w:rPr>
              <w:t>项目编号</w:t>
            </w:r>
          </w:p>
        </w:tc>
        <w:tc>
          <w:tcPr>
            <w:tcW w:w="7572" w:type="dxa"/>
            <w:noWrap w:val="0"/>
            <w:vAlign w:val="center"/>
          </w:tcPr>
          <w:p w14:paraId="382BA6DF">
            <w:pPr>
              <w:keepNext w:val="0"/>
              <w:keepLines w:val="0"/>
              <w:suppressLineNumbers w:val="0"/>
              <w:spacing w:before="0" w:beforeAutospacing="0" w:after="0" w:afterAutospacing="0" w:line="276" w:lineRule="auto"/>
              <w:ind w:left="0" w:right="0"/>
              <w:rPr>
                <w:rFonts w:hint="default" w:ascii="Times New Roman" w:hAnsi="Times New Roman" w:eastAsia="宋体" w:cs="Times New Roman"/>
                <w:color w:val="auto"/>
                <w:sz w:val="24"/>
                <w:szCs w:val="20"/>
                <w:highlight w:val="none"/>
                <w:lang w:eastAsia="zh-CN"/>
              </w:rPr>
            </w:pPr>
            <w:r>
              <w:rPr>
                <w:rFonts w:hint="eastAsia" w:cs="Times New Roman"/>
                <w:color w:val="auto"/>
                <w:sz w:val="24"/>
                <w:szCs w:val="20"/>
                <w:highlight w:val="none"/>
                <w:lang w:eastAsia="zh-CN"/>
              </w:rPr>
              <w:t>XJSZG2026-036</w:t>
            </w:r>
          </w:p>
        </w:tc>
      </w:tr>
      <w:tr w14:paraId="7A48A0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noWrap w:val="0"/>
            <w:vAlign w:val="center"/>
          </w:tcPr>
          <w:p w14:paraId="1F7131E6">
            <w:pPr>
              <w:keepNext w:val="0"/>
              <w:keepLines w:val="0"/>
              <w:suppressLineNumbers w:val="0"/>
              <w:overflowPunct w:val="0"/>
              <w:spacing w:before="0" w:beforeAutospacing="0" w:after="0" w:afterAutospacing="0" w:line="276" w:lineRule="auto"/>
              <w:ind w:left="0" w:right="0"/>
              <w:jc w:val="center"/>
              <w:rPr>
                <w:rFonts w:hint="default" w:ascii="宋体" w:hAnsi="宋体"/>
                <w:b/>
                <w:color w:val="auto"/>
                <w:sz w:val="24"/>
                <w:szCs w:val="20"/>
                <w:highlight w:val="none"/>
              </w:rPr>
            </w:pPr>
            <w:r>
              <w:rPr>
                <w:rFonts w:hint="eastAsia" w:ascii="宋体" w:hAnsi="宋体"/>
                <w:b/>
                <w:color w:val="auto"/>
                <w:sz w:val="24"/>
                <w:szCs w:val="20"/>
                <w:highlight w:val="none"/>
              </w:rPr>
              <w:t>2</w:t>
            </w:r>
          </w:p>
        </w:tc>
        <w:tc>
          <w:tcPr>
            <w:tcW w:w="1774" w:type="dxa"/>
            <w:noWrap w:val="0"/>
            <w:vAlign w:val="center"/>
          </w:tcPr>
          <w:p w14:paraId="01944F7F">
            <w:pPr>
              <w:keepNext w:val="0"/>
              <w:keepLines w:val="0"/>
              <w:suppressLineNumbers w:val="0"/>
              <w:overflowPunct w:val="0"/>
              <w:spacing w:before="0" w:beforeAutospacing="0" w:after="0" w:afterAutospacing="0" w:line="276" w:lineRule="auto"/>
              <w:ind w:left="0" w:right="0"/>
              <w:jc w:val="center"/>
              <w:rPr>
                <w:rFonts w:hint="default" w:ascii="宋体" w:hAnsi="宋体"/>
                <w:b/>
                <w:color w:val="auto"/>
                <w:sz w:val="24"/>
                <w:szCs w:val="20"/>
                <w:highlight w:val="none"/>
              </w:rPr>
            </w:pPr>
            <w:r>
              <w:rPr>
                <w:rFonts w:hint="eastAsia" w:ascii="宋体" w:hAnsi="宋体"/>
                <w:b/>
                <w:color w:val="auto"/>
                <w:sz w:val="24"/>
                <w:szCs w:val="20"/>
                <w:highlight w:val="none"/>
              </w:rPr>
              <w:t>项目名称</w:t>
            </w:r>
          </w:p>
        </w:tc>
        <w:tc>
          <w:tcPr>
            <w:tcW w:w="7572" w:type="dxa"/>
            <w:noWrap w:val="0"/>
            <w:vAlign w:val="top"/>
          </w:tcPr>
          <w:p w14:paraId="07C7F172">
            <w:pPr>
              <w:keepNext w:val="0"/>
              <w:keepLines w:val="0"/>
              <w:suppressLineNumbers w:val="0"/>
              <w:spacing w:before="0" w:beforeAutospacing="0" w:after="0" w:afterAutospacing="0" w:line="276" w:lineRule="auto"/>
              <w:ind w:left="0" w:right="0"/>
              <w:rPr>
                <w:rFonts w:hint="default" w:ascii="Times New Roman" w:hAnsi="Times New Roman" w:eastAsia="宋体" w:cs="Times New Roman"/>
                <w:color w:val="auto"/>
                <w:kern w:val="0"/>
                <w:sz w:val="24"/>
                <w:szCs w:val="20"/>
                <w:highlight w:val="none"/>
                <w:lang w:eastAsia="zh-CN"/>
              </w:rPr>
            </w:pPr>
            <w:r>
              <w:rPr>
                <w:rFonts w:hint="default" w:ascii="Times New Roman" w:hAnsi="Times New Roman" w:eastAsia="宋体" w:cs="Times New Roman"/>
                <w:color w:val="auto"/>
                <w:kern w:val="0"/>
                <w:sz w:val="24"/>
                <w:szCs w:val="24"/>
                <w:highlight w:val="none"/>
                <w:lang w:eastAsia="zh-CN"/>
              </w:rPr>
              <w:t>新疆农业大学老满城校区禾园一餐厅、禾园二餐厅、学苑二楼餐厅面向社会公开招募餐饮服务团队项目</w:t>
            </w:r>
          </w:p>
        </w:tc>
      </w:tr>
      <w:tr w14:paraId="7B5EC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noWrap w:val="0"/>
            <w:vAlign w:val="center"/>
          </w:tcPr>
          <w:p w14:paraId="651F4B23">
            <w:pPr>
              <w:keepNext w:val="0"/>
              <w:keepLines w:val="0"/>
              <w:suppressLineNumbers w:val="0"/>
              <w:overflowPunct w:val="0"/>
              <w:spacing w:before="0" w:beforeAutospacing="0" w:after="0" w:afterAutospacing="0" w:line="276" w:lineRule="auto"/>
              <w:ind w:left="0" w:right="0"/>
              <w:jc w:val="center"/>
              <w:rPr>
                <w:rFonts w:hint="default" w:ascii="宋体" w:hAnsi="宋体"/>
                <w:b/>
                <w:color w:val="auto"/>
                <w:sz w:val="24"/>
                <w:szCs w:val="20"/>
                <w:highlight w:val="none"/>
              </w:rPr>
            </w:pPr>
            <w:r>
              <w:rPr>
                <w:rFonts w:hint="eastAsia" w:ascii="宋体" w:hAnsi="宋体"/>
                <w:b/>
                <w:color w:val="auto"/>
                <w:sz w:val="24"/>
                <w:szCs w:val="20"/>
                <w:highlight w:val="none"/>
              </w:rPr>
              <w:t>3</w:t>
            </w:r>
          </w:p>
        </w:tc>
        <w:tc>
          <w:tcPr>
            <w:tcW w:w="1774" w:type="dxa"/>
            <w:noWrap w:val="0"/>
            <w:vAlign w:val="center"/>
          </w:tcPr>
          <w:p w14:paraId="22870177">
            <w:pPr>
              <w:keepNext w:val="0"/>
              <w:keepLines w:val="0"/>
              <w:suppressLineNumbers w:val="0"/>
              <w:overflowPunct w:val="0"/>
              <w:spacing w:before="0" w:beforeAutospacing="0" w:after="0" w:afterAutospacing="0" w:line="276" w:lineRule="auto"/>
              <w:ind w:left="0" w:right="0"/>
              <w:jc w:val="center"/>
              <w:rPr>
                <w:rFonts w:hint="default" w:ascii="宋体" w:hAnsi="宋体"/>
                <w:b/>
                <w:color w:val="auto"/>
                <w:sz w:val="24"/>
                <w:szCs w:val="20"/>
                <w:highlight w:val="none"/>
              </w:rPr>
            </w:pPr>
            <w:r>
              <w:rPr>
                <w:rFonts w:hint="eastAsia" w:ascii="宋体" w:hAnsi="宋体"/>
                <w:b/>
                <w:color w:val="auto"/>
                <w:sz w:val="24"/>
                <w:szCs w:val="20"/>
                <w:highlight w:val="none"/>
              </w:rPr>
              <w:t>联系方式</w:t>
            </w:r>
          </w:p>
        </w:tc>
        <w:tc>
          <w:tcPr>
            <w:tcW w:w="7572" w:type="dxa"/>
            <w:noWrap w:val="0"/>
            <w:vAlign w:val="center"/>
          </w:tcPr>
          <w:p w14:paraId="7F1411F7">
            <w:pPr>
              <w:keepNext w:val="0"/>
              <w:keepLines w:val="0"/>
              <w:widowControl/>
              <w:suppressLineNumbers w:val="0"/>
              <w:spacing w:before="60" w:beforeAutospacing="0" w:after="60" w:afterAutospacing="0" w:line="350" w:lineRule="exact"/>
              <w:ind w:left="0" w:right="0"/>
              <w:jc w:val="left"/>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t>采购单位：</w:t>
            </w:r>
            <w:r>
              <w:rPr>
                <w:rFonts w:hint="default" w:ascii="Times New Roman" w:hAnsi="Times New Roman" w:cs="Times New Roman"/>
                <w:color w:val="auto"/>
                <w:kern w:val="0"/>
                <w:sz w:val="24"/>
                <w:szCs w:val="24"/>
                <w:highlight w:val="none"/>
              </w:rPr>
              <w:t>新疆农业大学</w:t>
            </w:r>
          </w:p>
          <w:p w14:paraId="53A5C5D5">
            <w:pPr>
              <w:keepNext w:val="0"/>
              <w:keepLines w:val="0"/>
              <w:suppressLineNumbers w:val="0"/>
              <w:overflowPunct w:val="0"/>
              <w:spacing w:before="0" w:beforeAutospacing="0" w:after="0" w:afterAutospacing="0" w:line="276" w:lineRule="auto"/>
              <w:ind w:left="0" w:right="0"/>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t>采购单位地址：新疆乌鲁木齐市沙依巴克区农大东路311号</w:t>
            </w:r>
          </w:p>
          <w:p w14:paraId="785EF43F">
            <w:pPr>
              <w:keepNext w:val="0"/>
              <w:keepLines w:val="0"/>
              <w:suppressLineNumbers w:val="0"/>
              <w:overflowPunct w:val="0"/>
              <w:spacing w:before="0" w:beforeAutospacing="0" w:after="0" w:afterAutospacing="0" w:line="276" w:lineRule="auto"/>
              <w:ind w:left="0" w:right="0"/>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lang w:eastAsia="zh-CN"/>
              </w:rPr>
              <w:t>采购代理机构</w:t>
            </w:r>
            <w:r>
              <w:rPr>
                <w:rFonts w:hint="default" w:ascii="Times New Roman" w:hAnsi="Times New Roman" w:cs="Times New Roman"/>
                <w:color w:val="auto"/>
                <w:sz w:val="24"/>
                <w:szCs w:val="20"/>
                <w:highlight w:val="none"/>
              </w:rPr>
              <w:t>：</w:t>
            </w:r>
            <w:r>
              <w:rPr>
                <w:rFonts w:hint="default" w:ascii="Times New Roman" w:hAnsi="Times New Roman" w:cs="Times New Roman"/>
                <w:color w:val="auto"/>
                <w:kern w:val="0"/>
                <w:sz w:val="24"/>
                <w:szCs w:val="24"/>
                <w:highlight w:val="none"/>
              </w:rPr>
              <w:t>新疆守正项目管理咨询有限公司</w:t>
            </w:r>
          </w:p>
          <w:p w14:paraId="4A068495">
            <w:pPr>
              <w:keepNext w:val="0"/>
              <w:keepLines w:val="0"/>
              <w:suppressLineNumbers w:val="0"/>
              <w:overflowPunct w:val="0"/>
              <w:spacing w:before="0" w:beforeAutospacing="0" w:after="0" w:afterAutospacing="0" w:line="276" w:lineRule="auto"/>
              <w:ind w:left="0" w:right="0"/>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t>招标公司地址：</w:t>
            </w:r>
            <w:r>
              <w:rPr>
                <w:rFonts w:hint="default" w:ascii="Times New Roman" w:hAnsi="Times New Roman" w:cs="Times New Roman"/>
                <w:color w:val="auto"/>
                <w:kern w:val="0"/>
                <w:sz w:val="24"/>
                <w:szCs w:val="24"/>
                <w:highlight w:val="none"/>
              </w:rPr>
              <w:t>新疆乌鲁木齐高新区长春南路528号天康企业大厦3楼</w:t>
            </w:r>
          </w:p>
        </w:tc>
      </w:tr>
      <w:tr w14:paraId="2E6D4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noWrap w:val="0"/>
            <w:vAlign w:val="center"/>
          </w:tcPr>
          <w:p w14:paraId="0757CEC7">
            <w:pPr>
              <w:keepNext w:val="0"/>
              <w:keepLines w:val="0"/>
              <w:suppressLineNumbers w:val="0"/>
              <w:overflowPunct w:val="0"/>
              <w:spacing w:before="0" w:beforeAutospacing="0" w:after="0" w:afterAutospacing="0" w:line="276" w:lineRule="auto"/>
              <w:ind w:left="0" w:right="0"/>
              <w:jc w:val="center"/>
              <w:rPr>
                <w:rFonts w:hint="default" w:ascii="宋体" w:hAnsi="宋体"/>
                <w:b/>
                <w:color w:val="auto"/>
                <w:sz w:val="24"/>
                <w:szCs w:val="20"/>
                <w:highlight w:val="none"/>
              </w:rPr>
            </w:pPr>
            <w:r>
              <w:rPr>
                <w:rFonts w:hint="eastAsia" w:ascii="宋体" w:hAnsi="宋体"/>
                <w:b/>
                <w:color w:val="auto"/>
                <w:sz w:val="24"/>
                <w:szCs w:val="20"/>
                <w:highlight w:val="none"/>
              </w:rPr>
              <w:t>4</w:t>
            </w:r>
          </w:p>
        </w:tc>
        <w:tc>
          <w:tcPr>
            <w:tcW w:w="1774" w:type="dxa"/>
            <w:noWrap w:val="0"/>
            <w:vAlign w:val="center"/>
          </w:tcPr>
          <w:p w14:paraId="1A330A78">
            <w:pPr>
              <w:keepNext w:val="0"/>
              <w:keepLines w:val="0"/>
              <w:suppressLineNumbers w:val="0"/>
              <w:overflowPunct w:val="0"/>
              <w:spacing w:before="0" w:beforeAutospacing="0" w:after="0" w:afterAutospacing="0" w:line="276" w:lineRule="auto"/>
              <w:ind w:left="0" w:right="0"/>
              <w:jc w:val="center"/>
              <w:rPr>
                <w:rFonts w:hint="default" w:ascii="宋体" w:hAnsi="宋体"/>
                <w:b/>
                <w:color w:val="auto"/>
                <w:sz w:val="24"/>
                <w:szCs w:val="24"/>
                <w:highlight w:val="none"/>
              </w:rPr>
            </w:pPr>
            <w:r>
              <w:rPr>
                <w:rFonts w:hint="eastAsia" w:ascii="宋体" w:hAnsi="宋体"/>
                <w:b/>
                <w:color w:val="auto"/>
                <w:sz w:val="24"/>
                <w:szCs w:val="24"/>
                <w:highlight w:val="none"/>
              </w:rPr>
              <w:t>采购内容</w:t>
            </w:r>
          </w:p>
        </w:tc>
        <w:tc>
          <w:tcPr>
            <w:tcW w:w="7572" w:type="dxa"/>
            <w:noWrap w:val="0"/>
            <w:vAlign w:val="center"/>
          </w:tcPr>
          <w:p w14:paraId="7C1F2837">
            <w:pPr>
              <w:pStyle w:val="22"/>
              <w:keepNext w:val="0"/>
              <w:keepLines w:val="0"/>
              <w:suppressLineNumbers w:val="0"/>
              <w:spacing w:before="0" w:beforeAutospacing="0" w:after="0" w:afterAutospacing="0"/>
              <w:ind w:left="0" w:right="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基本概况：</w:t>
            </w:r>
          </w:p>
          <w:p w14:paraId="71E0D320">
            <w:pPr>
              <w:pStyle w:val="22"/>
              <w:keepNext w:val="0"/>
              <w:keepLines w:val="0"/>
              <w:suppressLineNumbers w:val="0"/>
              <w:spacing w:before="0" w:beforeAutospacing="0" w:after="0" w:afterAutospacing="0"/>
              <w:ind w:left="0" w:right="0"/>
              <w:rPr>
                <w:rFonts w:hint="default" w:ascii="Times New Roman" w:hAnsi="Times New Roman" w:cs="Times New Roman"/>
                <w:color w:val="auto"/>
                <w:kern w:val="0"/>
                <w:sz w:val="24"/>
                <w:szCs w:val="24"/>
                <w:highlight w:val="none"/>
              </w:rPr>
            </w:pPr>
            <w:r>
              <w:rPr>
                <w:rFonts w:hint="default" w:ascii="Times New Roman" w:hAnsi="Times New Roman" w:cs="Times New Roman"/>
                <w:b/>
                <w:bCs/>
                <w:color w:val="auto"/>
                <w:kern w:val="0"/>
                <w:sz w:val="24"/>
                <w:szCs w:val="24"/>
                <w:highlight w:val="none"/>
              </w:rPr>
              <w:t>第一标段：</w:t>
            </w:r>
            <w:r>
              <w:rPr>
                <w:rFonts w:hint="default" w:ascii="Times New Roman" w:hAnsi="Times New Roman" w:cs="Times New Roman"/>
                <w:b w:val="0"/>
                <w:bCs w:val="0"/>
                <w:color w:val="auto"/>
                <w:kern w:val="0"/>
                <w:sz w:val="24"/>
                <w:szCs w:val="24"/>
                <w:highlight w:val="none"/>
                <w:lang w:eastAsia="zh-CN"/>
              </w:rPr>
              <w:t>禾园一</w:t>
            </w:r>
            <w:r>
              <w:rPr>
                <w:rFonts w:hint="default" w:ascii="Times New Roman" w:hAnsi="Times New Roman" w:cs="Times New Roman"/>
                <w:color w:val="auto"/>
                <w:kern w:val="0"/>
                <w:sz w:val="24"/>
                <w:szCs w:val="24"/>
                <w:highlight w:val="none"/>
              </w:rPr>
              <w:t>餐厅</w:t>
            </w:r>
            <w:r>
              <w:rPr>
                <w:rFonts w:hint="default" w:ascii="Times New Roman" w:hAnsi="Times New Roman" w:cs="Times New Roman"/>
                <w:color w:val="auto"/>
                <w:kern w:val="0"/>
                <w:sz w:val="24"/>
                <w:szCs w:val="24"/>
                <w:highlight w:val="none"/>
                <w:lang w:eastAsia="zh-CN"/>
              </w:rPr>
              <w:t>，</w:t>
            </w:r>
            <w:r>
              <w:rPr>
                <w:rFonts w:hint="default" w:ascii="Times New Roman" w:hAnsi="Times New Roman" w:cs="Times New Roman"/>
                <w:color w:val="auto"/>
                <w:kern w:val="0"/>
                <w:sz w:val="24"/>
                <w:szCs w:val="24"/>
                <w:highlight w:val="none"/>
              </w:rPr>
              <w:t>服务范围为餐饮服务（早、中、晚餐等），面积约为</w:t>
            </w:r>
            <w:r>
              <w:rPr>
                <w:rFonts w:hint="default" w:ascii="Times New Roman" w:hAnsi="Times New Roman" w:cs="Times New Roman"/>
                <w:color w:val="auto"/>
                <w:kern w:val="0"/>
                <w:sz w:val="24"/>
                <w:szCs w:val="24"/>
                <w:highlight w:val="none"/>
                <w:lang w:val="en-US" w:eastAsia="zh-CN"/>
              </w:rPr>
              <w:t>5750</w:t>
            </w:r>
            <w:r>
              <w:rPr>
                <w:rFonts w:hint="default" w:ascii="Times New Roman" w:hAnsi="Times New Roman" w:cs="Times New Roman"/>
                <w:color w:val="auto"/>
                <w:kern w:val="0"/>
                <w:sz w:val="24"/>
                <w:szCs w:val="24"/>
                <w:highlight w:val="none"/>
              </w:rPr>
              <w:t>平方米，预算金额</w:t>
            </w:r>
            <w:r>
              <w:rPr>
                <w:rFonts w:hint="default" w:ascii="Times New Roman" w:hAnsi="Times New Roman" w:cs="Times New Roman"/>
                <w:color w:val="auto"/>
                <w:kern w:val="0"/>
                <w:sz w:val="24"/>
                <w:szCs w:val="24"/>
                <w:highlight w:val="none"/>
                <w:lang w:val="en-US" w:eastAsia="zh-CN"/>
              </w:rPr>
              <w:t>375万</w:t>
            </w:r>
            <w:r>
              <w:rPr>
                <w:rFonts w:hint="default" w:ascii="Times New Roman" w:hAnsi="Times New Roman" w:cs="Times New Roman"/>
                <w:color w:val="auto"/>
                <w:kern w:val="0"/>
                <w:sz w:val="24"/>
                <w:szCs w:val="24"/>
                <w:highlight w:val="none"/>
              </w:rPr>
              <w:t>元，</w:t>
            </w:r>
            <w:r>
              <w:rPr>
                <w:rFonts w:hint="eastAsia" w:cs="Times New Roman"/>
                <w:color w:val="auto"/>
                <w:kern w:val="0"/>
                <w:sz w:val="24"/>
                <w:szCs w:val="24"/>
                <w:highlight w:val="none"/>
                <w:lang w:eastAsia="zh-CN"/>
              </w:rPr>
              <w:t>中标</w:t>
            </w:r>
            <w:r>
              <w:rPr>
                <w:rFonts w:hint="default" w:ascii="Times New Roman" w:hAnsi="Times New Roman" w:cs="Times New Roman"/>
                <w:color w:val="auto"/>
                <w:kern w:val="0"/>
                <w:sz w:val="24"/>
                <w:szCs w:val="24"/>
                <w:highlight w:val="none"/>
              </w:rPr>
              <w:t>供应商以餐饮服务团队方式提供一日三餐中华传统美食及新疆特色</w:t>
            </w:r>
            <w:r>
              <w:rPr>
                <w:rFonts w:hint="default" w:ascii="Times New Roman" w:hAnsi="Times New Roman" w:cs="Times New Roman"/>
                <w:color w:val="auto"/>
                <w:kern w:val="0"/>
                <w:sz w:val="24"/>
                <w:szCs w:val="24"/>
                <w:highlight w:val="none"/>
                <w:lang w:val="en-US" w:eastAsia="zh-CN"/>
              </w:rPr>
              <w:t>美食。</w:t>
            </w:r>
          </w:p>
          <w:p w14:paraId="548CF5A1">
            <w:pPr>
              <w:pStyle w:val="22"/>
              <w:keepNext w:val="0"/>
              <w:keepLines w:val="0"/>
              <w:suppressLineNumbers w:val="0"/>
              <w:spacing w:before="0" w:beforeAutospacing="0" w:after="0" w:afterAutospacing="0"/>
              <w:ind w:left="0" w:right="0"/>
              <w:rPr>
                <w:rFonts w:hint="default" w:ascii="Times New Roman" w:hAnsi="Times New Roman" w:cs="Times New Roman"/>
                <w:color w:val="auto"/>
                <w:kern w:val="0"/>
                <w:sz w:val="24"/>
                <w:szCs w:val="24"/>
                <w:highlight w:val="none"/>
              </w:rPr>
            </w:pPr>
            <w:r>
              <w:rPr>
                <w:rFonts w:hint="default" w:ascii="Times New Roman" w:hAnsi="Times New Roman" w:cs="Times New Roman"/>
                <w:b/>
                <w:bCs/>
                <w:color w:val="auto"/>
                <w:kern w:val="0"/>
                <w:sz w:val="24"/>
                <w:szCs w:val="24"/>
                <w:highlight w:val="none"/>
              </w:rPr>
              <w:t>第二标段：</w:t>
            </w:r>
            <w:r>
              <w:rPr>
                <w:rFonts w:hint="default" w:ascii="Times New Roman" w:hAnsi="Times New Roman" w:cs="Times New Roman"/>
                <w:color w:val="auto"/>
                <w:kern w:val="0"/>
                <w:sz w:val="24"/>
                <w:szCs w:val="24"/>
                <w:highlight w:val="none"/>
                <w:lang w:eastAsia="zh-CN"/>
              </w:rPr>
              <w:t>禾园二</w:t>
            </w:r>
            <w:r>
              <w:rPr>
                <w:rFonts w:hint="default" w:ascii="Times New Roman" w:hAnsi="Times New Roman" w:cs="Times New Roman"/>
                <w:color w:val="auto"/>
                <w:kern w:val="0"/>
                <w:sz w:val="24"/>
                <w:szCs w:val="24"/>
                <w:highlight w:val="none"/>
              </w:rPr>
              <w:t>餐厅</w:t>
            </w:r>
            <w:r>
              <w:rPr>
                <w:rFonts w:hint="default" w:ascii="Times New Roman" w:hAnsi="Times New Roman" w:cs="Times New Roman"/>
                <w:color w:val="auto"/>
                <w:kern w:val="0"/>
                <w:sz w:val="24"/>
                <w:szCs w:val="24"/>
                <w:highlight w:val="none"/>
                <w:lang w:eastAsia="zh-CN"/>
              </w:rPr>
              <w:t>，</w:t>
            </w:r>
            <w:r>
              <w:rPr>
                <w:rFonts w:hint="default" w:ascii="Times New Roman" w:hAnsi="Times New Roman" w:cs="Times New Roman"/>
                <w:color w:val="auto"/>
                <w:kern w:val="0"/>
                <w:sz w:val="24"/>
                <w:szCs w:val="24"/>
                <w:highlight w:val="none"/>
              </w:rPr>
              <w:t>服务范围为餐饮服务（早、中、晚餐等），面积约为</w:t>
            </w:r>
            <w:r>
              <w:rPr>
                <w:rFonts w:hint="default" w:ascii="Times New Roman" w:hAnsi="Times New Roman" w:cs="Times New Roman"/>
                <w:color w:val="auto"/>
                <w:kern w:val="0"/>
                <w:sz w:val="24"/>
                <w:szCs w:val="24"/>
                <w:highlight w:val="none"/>
                <w:lang w:val="en-US" w:eastAsia="zh-CN"/>
              </w:rPr>
              <w:t>5000</w:t>
            </w:r>
            <w:r>
              <w:rPr>
                <w:rFonts w:hint="default" w:ascii="Times New Roman" w:hAnsi="Times New Roman" w:cs="Times New Roman"/>
                <w:color w:val="auto"/>
                <w:kern w:val="0"/>
                <w:sz w:val="24"/>
                <w:szCs w:val="24"/>
                <w:highlight w:val="none"/>
              </w:rPr>
              <w:t>平方米，预算金额</w:t>
            </w:r>
            <w:r>
              <w:rPr>
                <w:rFonts w:hint="default" w:ascii="Times New Roman" w:hAnsi="Times New Roman" w:cs="Times New Roman"/>
                <w:color w:val="auto"/>
                <w:kern w:val="0"/>
                <w:sz w:val="24"/>
                <w:szCs w:val="24"/>
                <w:highlight w:val="none"/>
                <w:lang w:val="en-US" w:eastAsia="zh-CN"/>
              </w:rPr>
              <w:t>380万</w:t>
            </w:r>
            <w:r>
              <w:rPr>
                <w:rFonts w:hint="default" w:ascii="Times New Roman" w:hAnsi="Times New Roman" w:cs="Times New Roman"/>
                <w:color w:val="auto"/>
                <w:kern w:val="0"/>
                <w:sz w:val="24"/>
                <w:szCs w:val="24"/>
                <w:highlight w:val="none"/>
              </w:rPr>
              <w:t>元，</w:t>
            </w:r>
            <w:r>
              <w:rPr>
                <w:rFonts w:hint="eastAsia" w:cs="Times New Roman"/>
                <w:color w:val="auto"/>
                <w:kern w:val="0"/>
                <w:sz w:val="24"/>
                <w:szCs w:val="24"/>
                <w:highlight w:val="none"/>
                <w:lang w:eastAsia="zh-CN"/>
              </w:rPr>
              <w:t>中标</w:t>
            </w:r>
            <w:r>
              <w:rPr>
                <w:rFonts w:hint="default" w:ascii="Times New Roman" w:hAnsi="Times New Roman" w:cs="Times New Roman"/>
                <w:color w:val="auto"/>
                <w:kern w:val="0"/>
                <w:sz w:val="24"/>
                <w:szCs w:val="24"/>
                <w:highlight w:val="none"/>
              </w:rPr>
              <w:t>供应商以餐饮服务团队方式提供一日三餐中华传统美食及新疆特色</w:t>
            </w:r>
            <w:r>
              <w:rPr>
                <w:rFonts w:hint="default" w:ascii="Times New Roman" w:hAnsi="Times New Roman" w:cs="Times New Roman"/>
                <w:color w:val="auto"/>
                <w:kern w:val="0"/>
                <w:sz w:val="24"/>
                <w:szCs w:val="24"/>
                <w:highlight w:val="none"/>
                <w:lang w:val="en-US" w:eastAsia="zh-CN"/>
              </w:rPr>
              <w:t>美食。</w:t>
            </w:r>
          </w:p>
          <w:p w14:paraId="02073CE9">
            <w:pPr>
              <w:pStyle w:val="22"/>
              <w:keepNext w:val="0"/>
              <w:keepLines w:val="0"/>
              <w:suppressLineNumbers w:val="0"/>
              <w:spacing w:before="0" w:beforeAutospacing="0" w:after="0" w:afterAutospacing="0"/>
              <w:ind w:left="0" w:right="0"/>
              <w:rPr>
                <w:rFonts w:hint="default" w:ascii="Times New Roman" w:hAnsi="Times New Roman" w:cs="Times New Roman"/>
                <w:color w:val="auto"/>
                <w:kern w:val="0"/>
                <w:sz w:val="24"/>
                <w:szCs w:val="24"/>
                <w:highlight w:val="none"/>
                <w:lang w:val="en-US" w:eastAsia="zh-CN"/>
              </w:rPr>
            </w:pPr>
            <w:r>
              <w:rPr>
                <w:rFonts w:hint="default" w:ascii="Times New Roman" w:hAnsi="Times New Roman" w:cs="Times New Roman"/>
                <w:b/>
                <w:bCs/>
                <w:color w:val="auto"/>
                <w:kern w:val="0"/>
                <w:sz w:val="24"/>
                <w:szCs w:val="24"/>
                <w:highlight w:val="none"/>
                <w:lang w:eastAsia="zh-CN"/>
              </w:rPr>
              <w:t>第三标段：</w:t>
            </w:r>
            <w:r>
              <w:rPr>
                <w:rFonts w:hint="default" w:ascii="Times New Roman" w:hAnsi="Times New Roman" w:cs="Times New Roman"/>
                <w:color w:val="auto"/>
                <w:kern w:val="0"/>
                <w:sz w:val="24"/>
                <w:szCs w:val="24"/>
                <w:highlight w:val="none"/>
              </w:rPr>
              <w:t>学苑</w:t>
            </w:r>
            <w:r>
              <w:rPr>
                <w:rFonts w:hint="default" w:ascii="Times New Roman" w:hAnsi="Times New Roman" w:cs="Times New Roman"/>
                <w:color w:val="auto"/>
                <w:kern w:val="0"/>
                <w:sz w:val="24"/>
                <w:szCs w:val="24"/>
                <w:highlight w:val="none"/>
                <w:lang w:eastAsia="zh-CN"/>
              </w:rPr>
              <w:t>二楼</w:t>
            </w:r>
            <w:r>
              <w:rPr>
                <w:rFonts w:hint="default" w:ascii="Times New Roman" w:hAnsi="Times New Roman" w:cs="Times New Roman"/>
                <w:color w:val="auto"/>
                <w:kern w:val="0"/>
                <w:sz w:val="24"/>
                <w:szCs w:val="24"/>
                <w:highlight w:val="none"/>
              </w:rPr>
              <w:t>餐厅</w:t>
            </w:r>
            <w:r>
              <w:rPr>
                <w:rFonts w:hint="default" w:ascii="Times New Roman" w:hAnsi="Times New Roman" w:cs="Times New Roman"/>
                <w:color w:val="auto"/>
                <w:kern w:val="0"/>
                <w:sz w:val="24"/>
                <w:szCs w:val="24"/>
                <w:highlight w:val="none"/>
                <w:lang w:eastAsia="zh-CN"/>
              </w:rPr>
              <w:t>，</w:t>
            </w:r>
            <w:r>
              <w:rPr>
                <w:rFonts w:hint="default" w:ascii="Times New Roman" w:hAnsi="Times New Roman" w:cs="Times New Roman"/>
                <w:color w:val="auto"/>
                <w:kern w:val="0"/>
                <w:sz w:val="24"/>
                <w:szCs w:val="24"/>
                <w:highlight w:val="none"/>
              </w:rPr>
              <w:t>服务范围为餐饮服务（早、中、晚</w:t>
            </w:r>
            <w:r>
              <w:rPr>
                <w:rFonts w:hint="default" w:ascii="Times New Roman" w:hAnsi="Times New Roman" w:cs="Times New Roman"/>
                <w:color w:val="auto"/>
                <w:kern w:val="0"/>
                <w:sz w:val="24"/>
                <w:szCs w:val="24"/>
                <w:highlight w:val="none"/>
                <w:lang w:eastAsia="zh-CN"/>
              </w:rPr>
              <w:t>餐</w:t>
            </w:r>
            <w:r>
              <w:rPr>
                <w:rFonts w:hint="default" w:ascii="Times New Roman" w:hAnsi="Times New Roman" w:cs="Times New Roman"/>
                <w:color w:val="auto"/>
                <w:kern w:val="0"/>
                <w:sz w:val="24"/>
                <w:szCs w:val="24"/>
                <w:highlight w:val="none"/>
              </w:rPr>
              <w:t>全体师生均可就餐，其中早餐、晚餐以学生为主，午餐以教师为主），面积约为</w:t>
            </w:r>
            <w:r>
              <w:rPr>
                <w:rFonts w:hint="default" w:ascii="Times New Roman" w:hAnsi="Times New Roman" w:cs="Times New Roman"/>
                <w:color w:val="auto"/>
                <w:kern w:val="0"/>
                <w:sz w:val="24"/>
                <w:szCs w:val="24"/>
                <w:highlight w:val="none"/>
                <w:lang w:val="en-US" w:eastAsia="zh-CN"/>
              </w:rPr>
              <w:t>2098</w:t>
            </w:r>
            <w:r>
              <w:rPr>
                <w:rFonts w:hint="default" w:ascii="Times New Roman" w:hAnsi="Times New Roman" w:cs="Times New Roman"/>
                <w:color w:val="auto"/>
                <w:kern w:val="0"/>
                <w:sz w:val="24"/>
                <w:szCs w:val="24"/>
                <w:highlight w:val="none"/>
              </w:rPr>
              <w:t>平方米，预算金额</w:t>
            </w:r>
            <w:r>
              <w:rPr>
                <w:rFonts w:hint="default" w:ascii="Times New Roman" w:hAnsi="Times New Roman" w:cs="Times New Roman"/>
                <w:color w:val="auto"/>
                <w:kern w:val="0"/>
                <w:sz w:val="24"/>
                <w:szCs w:val="24"/>
                <w:highlight w:val="none"/>
                <w:lang w:val="en-US" w:eastAsia="zh-CN"/>
              </w:rPr>
              <w:t>155万</w:t>
            </w:r>
            <w:r>
              <w:rPr>
                <w:rFonts w:hint="default" w:ascii="Times New Roman" w:hAnsi="Times New Roman" w:cs="Times New Roman"/>
                <w:color w:val="auto"/>
                <w:kern w:val="0"/>
                <w:sz w:val="24"/>
                <w:szCs w:val="24"/>
                <w:highlight w:val="none"/>
              </w:rPr>
              <w:t>元，</w:t>
            </w:r>
            <w:r>
              <w:rPr>
                <w:rFonts w:hint="eastAsia" w:cs="Times New Roman"/>
                <w:color w:val="auto"/>
                <w:kern w:val="0"/>
                <w:sz w:val="24"/>
                <w:szCs w:val="24"/>
                <w:highlight w:val="none"/>
                <w:lang w:eastAsia="zh-CN"/>
              </w:rPr>
              <w:t>中标</w:t>
            </w:r>
            <w:r>
              <w:rPr>
                <w:rFonts w:hint="default" w:ascii="Times New Roman" w:hAnsi="Times New Roman" w:cs="Times New Roman"/>
                <w:color w:val="auto"/>
                <w:kern w:val="0"/>
                <w:sz w:val="24"/>
                <w:szCs w:val="24"/>
                <w:highlight w:val="none"/>
              </w:rPr>
              <w:t>供应商以餐饮服务团队方式提供一日三餐中华传统美食及新疆特色</w:t>
            </w:r>
            <w:r>
              <w:rPr>
                <w:rFonts w:hint="default" w:ascii="Times New Roman" w:hAnsi="Times New Roman" w:cs="Times New Roman"/>
                <w:color w:val="auto"/>
                <w:kern w:val="0"/>
                <w:sz w:val="24"/>
                <w:szCs w:val="24"/>
                <w:highlight w:val="none"/>
                <w:lang w:val="en-US" w:eastAsia="zh-CN"/>
              </w:rPr>
              <w:t>美食。</w:t>
            </w:r>
          </w:p>
          <w:p w14:paraId="63551042">
            <w:pPr>
              <w:pStyle w:val="22"/>
              <w:keepNext w:val="0"/>
              <w:keepLines w:val="0"/>
              <w:suppressLineNumbers w:val="0"/>
              <w:spacing w:before="0" w:beforeAutospacing="0" w:after="0" w:afterAutospacing="0"/>
              <w:ind w:left="0" w:right="0"/>
              <w:rPr>
                <w:rFonts w:hint="default" w:ascii="Times New Roman" w:hAnsi="Times New Roman" w:eastAsia="宋体" w:cs="Times New Roman"/>
                <w:b/>
                <w:bCs/>
                <w:color w:val="auto"/>
                <w:kern w:val="0"/>
                <w:sz w:val="24"/>
                <w:szCs w:val="24"/>
                <w:highlight w:val="none"/>
                <w:lang w:eastAsia="zh-CN"/>
              </w:rPr>
            </w:pPr>
            <w:r>
              <w:rPr>
                <w:rFonts w:hint="default" w:ascii="Times New Roman" w:hAnsi="Times New Roman" w:cs="Times New Roman"/>
                <w:color w:val="auto"/>
                <w:kern w:val="0"/>
                <w:sz w:val="24"/>
                <w:szCs w:val="24"/>
                <w:highlight w:val="none"/>
              </w:rPr>
              <w:t>服务地点：新疆农业大学老满城校区</w:t>
            </w:r>
            <w:r>
              <w:rPr>
                <w:rFonts w:hint="default" w:ascii="Times New Roman" w:hAnsi="Times New Roman" w:cs="Times New Roman"/>
                <w:color w:val="auto"/>
                <w:kern w:val="0"/>
                <w:sz w:val="24"/>
                <w:szCs w:val="24"/>
                <w:highlight w:val="none"/>
                <w:lang w:eastAsia="zh-CN"/>
              </w:rPr>
              <w:t>禾园一餐厅、禾园二餐厅、学苑二楼</w:t>
            </w:r>
            <w:r>
              <w:rPr>
                <w:rFonts w:hint="default" w:ascii="Times New Roman" w:hAnsi="Times New Roman" w:cs="Times New Roman"/>
                <w:color w:val="auto"/>
                <w:kern w:val="0"/>
                <w:sz w:val="24"/>
                <w:szCs w:val="24"/>
                <w:highlight w:val="none"/>
              </w:rPr>
              <w:t>餐厅。</w:t>
            </w:r>
          </w:p>
          <w:p w14:paraId="0E1176A9">
            <w:pPr>
              <w:pStyle w:val="22"/>
              <w:keepNext w:val="0"/>
              <w:keepLines w:val="0"/>
              <w:suppressLineNumbers w:val="0"/>
              <w:spacing w:before="0" w:beforeAutospacing="0" w:after="0" w:afterAutospacing="0"/>
              <w:ind w:left="0" w:right="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★经营管理模式：</w:t>
            </w:r>
          </w:p>
          <w:p w14:paraId="534982C9">
            <w:pPr>
              <w:pStyle w:val="22"/>
              <w:keepNext w:val="0"/>
              <w:keepLines w:val="0"/>
              <w:numPr>
                <w:ilvl w:val="0"/>
                <w:numId w:val="0"/>
              </w:numPr>
              <w:suppressLineNumbers w:val="0"/>
              <w:spacing w:before="0" w:beforeAutospacing="0" w:after="0" w:afterAutospacing="0"/>
              <w:ind w:left="0" w:right="0" w:rightChars="0"/>
              <w:rPr>
                <w:rFonts w:hint="default" w:ascii="Times New Roman" w:hAnsi="Times New Roman" w:cs="Times New Roman"/>
                <w:color w:val="auto"/>
                <w:kern w:val="0"/>
                <w:sz w:val="24"/>
                <w:szCs w:val="24"/>
                <w:highlight w:val="none"/>
              </w:rPr>
            </w:pPr>
            <w:r>
              <w:rPr>
                <w:rFonts w:hint="eastAsia" w:cs="Times New Roman"/>
                <w:color w:val="auto"/>
                <w:kern w:val="0"/>
                <w:sz w:val="24"/>
                <w:szCs w:val="24"/>
                <w:highlight w:val="none"/>
                <w:lang w:val="en-US" w:eastAsia="zh-CN"/>
              </w:rPr>
              <w:t>1.</w:t>
            </w:r>
            <w:r>
              <w:rPr>
                <w:rFonts w:hint="eastAsia" w:cs="Times New Roman"/>
                <w:color w:val="auto"/>
                <w:kern w:val="0"/>
                <w:sz w:val="24"/>
                <w:szCs w:val="24"/>
                <w:highlight w:val="none"/>
                <w:lang w:eastAsia="zh-CN"/>
              </w:rPr>
              <w:t>采购人</w:t>
            </w:r>
            <w:r>
              <w:rPr>
                <w:rFonts w:hint="default" w:ascii="Times New Roman" w:hAnsi="Times New Roman" w:cs="Times New Roman"/>
                <w:color w:val="auto"/>
                <w:kern w:val="0"/>
                <w:sz w:val="24"/>
                <w:szCs w:val="24"/>
                <w:highlight w:val="none"/>
              </w:rPr>
              <w:t>授权后勤服务处饮食中心履行监督管理职能</w:t>
            </w:r>
            <w:r>
              <w:rPr>
                <w:rFonts w:hint="default" w:ascii="Times New Roman" w:hAnsi="Times New Roman" w:cs="Times New Roman"/>
                <w:color w:val="auto"/>
                <w:kern w:val="0"/>
                <w:sz w:val="24"/>
                <w:szCs w:val="24"/>
                <w:highlight w:val="none"/>
                <w:lang w:eastAsia="zh-CN"/>
              </w:rPr>
              <w:t>；</w:t>
            </w:r>
          </w:p>
          <w:p w14:paraId="7F8DCB06">
            <w:pPr>
              <w:pStyle w:val="22"/>
              <w:keepNext w:val="0"/>
              <w:keepLines w:val="0"/>
              <w:numPr>
                <w:ilvl w:val="0"/>
                <w:numId w:val="0"/>
              </w:numPr>
              <w:suppressLineNumbers w:val="0"/>
              <w:spacing w:before="0" w:beforeAutospacing="0" w:after="0" w:afterAutospacing="0"/>
              <w:ind w:left="0" w:right="0" w:rightChars="0"/>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cs="Times New Roman"/>
                <w:color w:val="auto"/>
                <w:kern w:val="0"/>
                <w:sz w:val="24"/>
                <w:szCs w:val="24"/>
                <w:highlight w:val="none"/>
                <w:lang w:val="en-US" w:eastAsia="zh-CN"/>
              </w:rPr>
              <w:t>2.</w:t>
            </w:r>
            <w:r>
              <w:rPr>
                <w:rFonts w:hint="eastAsia" w:cs="Times New Roman"/>
                <w:color w:val="auto"/>
                <w:kern w:val="0"/>
                <w:sz w:val="24"/>
                <w:szCs w:val="24"/>
                <w:highlight w:val="none"/>
                <w:lang w:val="en-US" w:eastAsia="zh-CN"/>
              </w:rPr>
              <w:t>采购人</w:t>
            </w:r>
            <w:r>
              <w:rPr>
                <w:rFonts w:hint="default" w:ascii="Times New Roman" w:hAnsi="Times New Roman" w:cs="Times New Roman"/>
                <w:color w:val="auto"/>
                <w:kern w:val="0"/>
                <w:sz w:val="24"/>
                <w:szCs w:val="24"/>
                <w:highlight w:val="none"/>
                <w:lang w:val="en-US" w:eastAsia="zh-CN"/>
              </w:rPr>
              <w:t>提供的经营场所需满足以下基本条件：在第一个合同经营期内，完成餐厅基本运营所需修缮工作，并承担全部相关费用；同时，为</w:t>
            </w:r>
            <w:r>
              <w:rPr>
                <w:rFonts w:hint="eastAsia" w:cs="Times New Roman"/>
                <w:color w:val="auto"/>
                <w:kern w:val="0"/>
                <w:sz w:val="24"/>
                <w:szCs w:val="24"/>
                <w:highlight w:val="none"/>
                <w:lang w:val="en-US" w:eastAsia="zh-CN"/>
              </w:rPr>
              <w:t>中标供应商</w:t>
            </w:r>
            <w:r>
              <w:rPr>
                <w:rFonts w:hint="default" w:ascii="Times New Roman" w:hAnsi="Times New Roman" w:cs="Times New Roman"/>
                <w:color w:val="auto"/>
                <w:kern w:val="0"/>
                <w:sz w:val="24"/>
                <w:szCs w:val="24"/>
                <w:highlight w:val="none"/>
                <w:lang w:val="en-US" w:eastAsia="zh-CN"/>
              </w:rPr>
              <w:t>提供经营所需相关设施、服务及各类用品，经营过程中涉及的全部升级改造、装修工程、所有硬件及软件</w:t>
            </w:r>
            <w:r>
              <w:rPr>
                <w:rFonts w:hint="eastAsia" w:cs="Times New Roman"/>
                <w:color w:val="auto"/>
                <w:kern w:val="0"/>
                <w:sz w:val="24"/>
                <w:szCs w:val="24"/>
                <w:highlight w:val="none"/>
                <w:lang w:val="en-US" w:eastAsia="zh-CN"/>
              </w:rPr>
              <w:t>等</w:t>
            </w:r>
            <w:r>
              <w:rPr>
                <w:rFonts w:hint="default" w:ascii="Times New Roman" w:hAnsi="Times New Roman" w:cs="Times New Roman"/>
                <w:color w:val="auto"/>
                <w:kern w:val="0"/>
                <w:sz w:val="24"/>
                <w:szCs w:val="24"/>
                <w:highlight w:val="none"/>
                <w:lang w:val="en-US" w:eastAsia="zh-CN"/>
              </w:rPr>
              <w:t>，具体如下：①后厨所需炉灶；②后厨烟罩排烟系统；③消防基础设施及维保服务；④就餐大厅就餐座椅；⑤各类厨具、餐具等基础运营用品；⑥一次性使用用品；⑦除供水、供电、供气、供暖正常检修或相关设备出现意外故障外，确保水、电、天然气及暖气稳定正常供应</w:t>
            </w:r>
            <w:r>
              <w:rPr>
                <w:rFonts w:hint="default" w:ascii="Times New Roman" w:hAnsi="Times New Roman" w:cs="Times New Roman"/>
                <w:color w:val="auto"/>
                <w:kern w:val="0"/>
                <w:sz w:val="24"/>
                <w:szCs w:val="24"/>
                <w:highlight w:val="none"/>
                <w:lang w:eastAsia="zh-CN"/>
              </w:rPr>
              <w:t>；</w:t>
            </w:r>
          </w:p>
          <w:p w14:paraId="32E87C49">
            <w:pPr>
              <w:pStyle w:val="22"/>
              <w:keepNext w:val="0"/>
              <w:keepLines w:val="0"/>
              <w:numPr>
                <w:ilvl w:val="0"/>
                <w:numId w:val="0"/>
              </w:numPr>
              <w:suppressLineNumbers w:val="0"/>
              <w:spacing w:before="0" w:beforeAutospacing="0" w:after="0" w:afterAutospacing="0"/>
              <w:ind w:left="0" w:leftChars="0" w:right="0" w:rightChars="0"/>
              <w:rPr>
                <w:rFonts w:hint="default" w:ascii="Times New Roman" w:hAnsi="Times New Roman" w:eastAsia="宋体" w:cs="Times New Roman"/>
                <w:color w:val="auto"/>
                <w:kern w:val="0"/>
                <w:sz w:val="24"/>
                <w:szCs w:val="24"/>
                <w:highlight w:val="none"/>
              </w:rPr>
            </w:pPr>
            <w:r>
              <w:rPr>
                <w:rFonts w:hint="default" w:ascii="Times New Roman" w:hAnsi="Times New Roman" w:cs="Times New Roman"/>
                <w:color w:val="auto"/>
                <w:kern w:val="0"/>
                <w:sz w:val="24"/>
                <w:szCs w:val="24"/>
                <w:highlight w:val="none"/>
                <w:lang w:val="en-US" w:eastAsia="zh-CN"/>
              </w:rPr>
              <w:t>3.</w:t>
            </w:r>
            <w:r>
              <w:rPr>
                <w:rFonts w:hint="eastAsia" w:cs="Times New Roman"/>
                <w:color w:val="auto"/>
                <w:kern w:val="0"/>
                <w:sz w:val="24"/>
                <w:szCs w:val="24"/>
                <w:highlight w:val="none"/>
                <w:lang w:val="en-US" w:eastAsia="zh-CN"/>
              </w:rPr>
              <w:t>投标</w:t>
            </w:r>
            <w:r>
              <w:rPr>
                <w:rFonts w:hint="default" w:ascii="Times New Roman" w:hAnsi="Times New Roman" w:cs="Times New Roman"/>
                <w:color w:val="auto"/>
                <w:sz w:val="24"/>
                <w:szCs w:val="20"/>
                <w:highlight w:val="none"/>
                <w:lang w:eastAsia="zh-CN"/>
              </w:rPr>
              <w:t>供应商</w:t>
            </w:r>
            <w:r>
              <w:rPr>
                <w:rFonts w:hint="default" w:ascii="Times New Roman" w:hAnsi="Times New Roman" w:cs="Times New Roman"/>
                <w:color w:val="auto"/>
                <w:kern w:val="0"/>
                <w:sz w:val="24"/>
                <w:szCs w:val="24"/>
                <w:highlight w:val="none"/>
              </w:rPr>
              <w:t>需要执行学校统一采购、统一配送、统一核算，严禁</w:t>
            </w:r>
            <w:r>
              <w:rPr>
                <w:rFonts w:hint="default" w:ascii="Times New Roman" w:hAnsi="Times New Roman" w:eastAsia="宋体" w:cs="Times New Roman"/>
                <w:color w:val="auto"/>
                <w:kern w:val="0"/>
                <w:sz w:val="24"/>
                <w:szCs w:val="24"/>
                <w:highlight w:val="none"/>
              </w:rPr>
              <w:t>自行购买食材</w:t>
            </w:r>
            <w:r>
              <w:rPr>
                <w:rFonts w:hint="default" w:ascii="Times New Roman" w:hAnsi="Times New Roman" w:cs="Times New Roman"/>
                <w:color w:val="auto"/>
                <w:kern w:val="0"/>
                <w:sz w:val="24"/>
                <w:szCs w:val="24"/>
                <w:highlight w:val="none"/>
                <w:lang w:eastAsia="zh-CN"/>
              </w:rPr>
              <w:t>；</w:t>
            </w:r>
          </w:p>
          <w:p w14:paraId="41E30D02">
            <w:pPr>
              <w:pStyle w:val="22"/>
              <w:keepNext w:val="0"/>
              <w:keepLines w:val="0"/>
              <w:numPr>
                <w:ilvl w:val="0"/>
                <w:numId w:val="0"/>
              </w:numPr>
              <w:suppressLineNumbers w:val="0"/>
              <w:spacing w:before="0" w:beforeAutospacing="0" w:after="0" w:afterAutospacing="0"/>
              <w:ind w:left="0" w:leftChars="0" w:right="0" w:rightChars="0"/>
              <w:rPr>
                <w:rFonts w:hint="default" w:ascii="Times New Roman" w:hAnsi="Times New Roman" w:eastAsia="宋体" w:cs="Times New Roman"/>
                <w:color w:val="auto"/>
                <w:kern w:val="0"/>
                <w:sz w:val="24"/>
                <w:szCs w:val="24"/>
                <w:highlight w:val="none"/>
              </w:rPr>
            </w:pPr>
            <w:r>
              <w:rPr>
                <w:rFonts w:hint="default" w:ascii="Times New Roman" w:hAnsi="Times New Roman" w:cs="Times New Roman"/>
                <w:color w:val="auto"/>
                <w:kern w:val="0"/>
                <w:sz w:val="24"/>
                <w:szCs w:val="24"/>
                <w:highlight w:val="none"/>
                <w:lang w:val="en-US" w:eastAsia="zh-CN"/>
              </w:rPr>
              <w:t>4.</w:t>
            </w:r>
            <w:r>
              <w:rPr>
                <w:rFonts w:hint="eastAsia" w:cs="Times New Roman"/>
                <w:color w:val="auto"/>
                <w:kern w:val="0"/>
                <w:sz w:val="24"/>
                <w:szCs w:val="24"/>
                <w:highlight w:val="none"/>
                <w:lang w:val="en-US" w:eastAsia="zh-CN"/>
              </w:rPr>
              <w:t>投标</w:t>
            </w:r>
            <w:r>
              <w:rPr>
                <w:rFonts w:hint="default" w:ascii="Times New Roman" w:hAnsi="Times New Roman" w:cs="Times New Roman"/>
                <w:color w:val="auto"/>
                <w:sz w:val="24"/>
                <w:szCs w:val="20"/>
                <w:highlight w:val="none"/>
                <w:lang w:eastAsia="zh-CN"/>
              </w:rPr>
              <w:t>供应商</w:t>
            </w:r>
            <w:r>
              <w:rPr>
                <w:rFonts w:hint="default" w:ascii="Times New Roman" w:hAnsi="Times New Roman" w:eastAsia="宋体" w:cs="Times New Roman"/>
                <w:color w:val="auto"/>
                <w:kern w:val="0"/>
                <w:sz w:val="24"/>
                <w:szCs w:val="24"/>
                <w:highlight w:val="none"/>
              </w:rPr>
              <w:t>遵守学校财务管理关于校园托管餐厅的统一规定，使用校园一卡通收费系统，结算/核算工作要求内容真实合法，程序符合规定，不得使用其他未经允许的收款方式。</w:t>
            </w:r>
          </w:p>
          <w:p w14:paraId="10160C41">
            <w:pPr>
              <w:pStyle w:val="22"/>
              <w:keepNext w:val="0"/>
              <w:keepLines w:val="0"/>
              <w:suppressLineNumbers w:val="0"/>
              <w:spacing w:before="0" w:beforeAutospacing="0" w:after="0" w:afterAutospacing="0"/>
              <w:ind w:left="0" w:right="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★团队配置要求：</w:t>
            </w:r>
          </w:p>
          <w:p w14:paraId="7B0D138D">
            <w:pPr>
              <w:pStyle w:val="22"/>
              <w:keepNext w:val="0"/>
              <w:keepLines w:val="0"/>
              <w:suppressLineNumbers w:val="0"/>
              <w:spacing w:before="0" w:beforeAutospacing="0" w:after="0" w:afterAutospacing="0"/>
              <w:ind w:left="0" w:right="0" w:firstLine="480" w:firstLineChars="20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各标段均</w:t>
            </w:r>
            <w:r>
              <w:rPr>
                <w:rFonts w:hint="eastAsia" w:cs="Times New Roman"/>
                <w:color w:val="auto"/>
                <w:kern w:val="0"/>
                <w:sz w:val="24"/>
                <w:szCs w:val="24"/>
                <w:highlight w:val="none"/>
                <w:lang w:val="en-US" w:eastAsia="zh-CN"/>
              </w:rPr>
              <w:t>需投标</w:t>
            </w:r>
            <w:r>
              <w:rPr>
                <w:rFonts w:hint="default" w:ascii="Times New Roman" w:hAnsi="Times New Roman" w:cs="Times New Roman"/>
                <w:color w:val="auto"/>
                <w:sz w:val="24"/>
                <w:szCs w:val="20"/>
                <w:highlight w:val="none"/>
                <w:lang w:eastAsia="zh-CN"/>
              </w:rPr>
              <w:t>供应商</w:t>
            </w:r>
            <w:r>
              <w:rPr>
                <w:rFonts w:hint="eastAsia" w:cs="Times New Roman"/>
                <w:color w:val="auto"/>
                <w:kern w:val="0"/>
                <w:sz w:val="24"/>
                <w:szCs w:val="24"/>
                <w:highlight w:val="none"/>
                <w:lang w:val="en-US" w:eastAsia="zh-CN"/>
              </w:rPr>
              <w:t>配备</w:t>
            </w:r>
            <w:r>
              <w:rPr>
                <w:rFonts w:hint="default" w:ascii="Times New Roman" w:hAnsi="Times New Roman" w:eastAsia="宋体" w:cs="Times New Roman"/>
                <w:color w:val="auto"/>
                <w:kern w:val="0"/>
                <w:sz w:val="24"/>
                <w:szCs w:val="24"/>
                <w:highlight w:val="none"/>
              </w:rPr>
              <w:t>项目负责人1</w:t>
            </w:r>
            <w:r>
              <w:rPr>
                <w:rFonts w:hint="eastAsia" w:cs="Times New Roman"/>
                <w:color w:val="auto"/>
                <w:kern w:val="0"/>
                <w:sz w:val="24"/>
                <w:szCs w:val="24"/>
                <w:highlight w:val="none"/>
                <w:lang w:val="en-US" w:eastAsia="zh-CN"/>
              </w:rPr>
              <w:t>名</w:t>
            </w:r>
            <w:r>
              <w:rPr>
                <w:rFonts w:hint="default" w:ascii="Times New Roman" w:hAnsi="Times New Roman" w:eastAsia="宋体" w:cs="Times New Roman"/>
                <w:color w:val="auto"/>
                <w:kern w:val="0"/>
                <w:sz w:val="24"/>
                <w:szCs w:val="24"/>
                <w:highlight w:val="none"/>
              </w:rPr>
              <w:t>，项目负责人应具备餐饮服务相关项目管理工作经验。</w:t>
            </w:r>
          </w:p>
          <w:p w14:paraId="37B7D515">
            <w:pPr>
              <w:pStyle w:val="22"/>
              <w:keepNext w:val="0"/>
              <w:keepLines w:val="0"/>
              <w:suppressLineNumbers w:val="0"/>
              <w:spacing w:before="0" w:beforeAutospacing="0" w:after="0" w:afterAutospacing="0"/>
              <w:ind w:left="0" w:right="0" w:firstLine="240" w:firstLineChars="10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第一标段（</w:t>
            </w:r>
            <w:r>
              <w:rPr>
                <w:rFonts w:hint="default" w:ascii="Times New Roman" w:hAnsi="Times New Roman" w:cs="Times New Roman"/>
                <w:color w:val="auto"/>
                <w:kern w:val="0"/>
                <w:sz w:val="24"/>
                <w:szCs w:val="24"/>
                <w:highlight w:val="none"/>
                <w:lang w:eastAsia="zh-CN"/>
              </w:rPr>
              <w:t>禾园一</w:t>
            </w:r>
            <w:r>
              <w:rPr>
                <w:rFonts w:hint="default" w:ascii="Times New Roman" w:hAnsi="Times New Roman" w:eastAsia="宋体" w:cs="Times New Roman"/>
                <w:color w:val="auto"/>
                <w:kern w:val="0"/>
                <w:sz w:val="24"/>
                <w:szCs w:val="24"/>
                <w:highlight w:val="none"/>
              </w:rPr>
              <w:t>餐厅项目）工作人员不得</w:t>
            </w:r>
            <w:r>
              <w:rPr>
                <w:rFonts w:hint="default" w:ascii="Times New Roman" w:hAnsi="Times New Roman" w:cs="Times New Roman"/>
                <w:color w:val="auto"/>
                <w:kern w:val="0"/>
                <w:sz w:val="24"/>
                <w:szCs w:val="24"/>
                <w:highlight w:val="none"/>
                <w:lang w:eastAsia="zh-CN"/>
              </w:rPr>
              <w:t>低</w:t>
            </w:r>
            <w:r>
              <w:rPr>
                <w:rFonts w:hint="default" w:ascii="Times New Roman" w:hAnsi="Times New Roman" w:eastAsia="宋体" w:cs="Times New Roman"/>
                <w:color w:val="auto"/>
                <w:kern w:val="0"/>
                <w:sz w:val="24"/>
                <w:szCs w:val="24"/>
                <w:highlight w:val="none"/>
              </w:rPr>
              <w:t>于</w:t>
            </w:r>
            <w:r>
              <w:rPr>
                <w:rFonts w:hint="default" w:ascii="Times New Roman" w:hAnsi="Times New Roman" w:cs="Times New Roman"/>
                <w:color w:val="auto"/>
                <w:kern w:val="0"/>
                <w:sz w:val="24"/>
                <w:szCs w:val="24"/>
                <w:highlight w:val="none"/>
                <w:lang w:val="en-US" w:eastAsia="zh-CN"/>
              </w:rPr>
              <w:t>75</w:t>
            </w:r>
            <w:r>
              <w:rPr>
                <w:rFonts w:hint="default" w:ascii="Times New Roman" w:hAnsi="Times New Roman" w:eastAsia="宋体" w:cs="Times New Roman"/>
                <w:color w:val="auto"/>
                <w:kern w:val="0"/>
                <w:sz w:val="24"/>
                <w:szCs w:val="24"/>
                <w:highlight w:val="none"/>
              </w:rPr>
              <w:t>人，岗位职数可根据餐厅实际经营项目情况调整，男性年龄</w:t>
            </w:r>
            <w:r>
              <w:rPr>
                <w:rFonts w:hint="default" w:ascii="Times New Roman" w:hAnsi="Times New Roman" w:cs="Times New Roman"/>
                <w:color w:val="auto"/>
                <w:kern w:val="0"/>
                <w:sz w:val="24"/>
                <w:szCs w:val="24"/>
                <w:highlight w:val="none"/>
                <w:lang w:val="en-US" w:eastAsia="zh-CN"/>
              </w:rPr>
              <w:t>60</w:t>
            </w:r>
            <w:r>
              <w:rPr>
                <w:rFonts w:hint="default" w:ascii="Times New Roman" w:hAnsi="Times New Roman" w:eastAsia="宋体" w:cs="Times New Roman"/>
                <w:color w:val="auto"/>
                <w:kern w:val="0"/>
                <w:sz w:val="24"/>
                <w:szCs w:val="24"/>
                <w:highlight w:val="none"/>
              </w:rPr>
              <w:t>周岁以下，女性年龄5</w:t>
            </w:r>
            <w:r>
              <w:rPr>
                <w:rFonts w:hint="default" w:ascii="Times New Roman" w:hAnsi="Times New Roman" w:cs="Times New Roman"/>
                <w:color w:val="auto"/>
                <w:kern w:val="0"/>
                <w:sz w:val="24"/>
                <w:szCs w:val="24"/>
                <w:highlight w:val="none"/>
                <w:lang w:val="en-US" w:eastAsia="zh-CN"/>
              </w:rPr>
              <w:t>5</w:t>
            </w:r>
            <w:r>
              <w:rPr>
                <w:rFonts w:hint="default" w:ascii="Times New Roman" w:hAnsi="Times New Roman" w:eastAsia="宋体" w:cs="Times New Roman"/>
                <w:color w:val="auto"/>
                <w:kern w:val="0"/>
                <w:sz w:val="24"/>
                <w:szCs w:val="24"/>
                <w:highlight w:val="none"/>
              </w:rPr>
              <w:t>周岁以下；要求厨师不少于</w:t>
            </w:r>
            <w:r>
              <w:rPr>
                <w:rFonts w:hint="default" w:ascii="Times New Roman" w:hAnsi="Times New Roman" w:cs="Times New Roman"/>
                <w:color w:val="auto"/>
                <w:kern w:val="0"/>
                <w:sz w:val="24"/>
                <w:szCs w:val="24"/>
                <w:highlight w:val="none"/>
                <w:lang w:val="en-US" w:eastAsia="zh-CN"/>
              </w:rPr>
              <w:t>15</w:t>
            </w:r>
            <w:r>
              <w:rPr>
                <w:rFonts w:hint="default" w:ascii="Times New Roman" w:hAnsi="Times New Roman" w:eastAsia="宋体" w:cs="Times New Roman"/>
                <w:color w:val="auto"/>
                <w:kern w:val="0"/>
                <w:sz w:val="24"/>
                <w:szCs w:val="24"/>
                <w:highlight w:val="none"/>
              </w:rPr>
              <w:t>人</w:t>
            </w:r>
            <w:r>
              <w:rPr>
                <w:rFonts w:hint="default" w:ascii="Times New Roman" w:hAnsi="Times New Roman" w:cs="Times New Roman"/>
                <w:color w:val="auto"/>
                <w:kern w:val="0"/>
                <w:sz w:val="24"/>
                <w:szCs w:val="24"/>
                <w:highlight w:val="none"/>
                <w:lang w:eastAsia="zh-CN"/>
              </w:rPr>
              <w:t>；</w:t>
            </w:r>
          </w:p>
          <w:p w14:paraId="4D7C7B77">
            <w:pPr>
              <w:pStyle w:val="22"/>
              <w:keepNext w:val="0"/>
              <w:keepLines w:val="0"/>
              <w:suppressLineNumbers w:val="0"/>
              <w:spacing w:before="0" w:beforeAutospacing="0" w:after="0" w:afterAutospacing="0"/>
              <w:ind w:left="0" w:right="0"/>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rPr>
              <w:t>第二标段（</w:t>
            </w:r>
            <w:r>
              <w:rPr>
                <w:rFonts w:hint="default" w:ascii="Times New Roman" w:hAnsi="Times New Roman" w:cs="Times New Roman"/>
                <w:color w:val="auto"/>
                <w:kern w:val="0"/>
                <w:sz w:val="24"/>
                <w:szCs w:val="24"/>
                <w:highlight w:val="none"/>
                <w:lang w:eastAsia="zh-CN"/>
              </w:rPr>
              <w:t>禾园二</w:t>
            </w:r>
            <w:r>
              <w:rPr>
                <w:rFonts w:hint="default" w:ascii="Times New Roman" w:hAnsi="Times New Roman" w:eastAsia="宋体" w:cs="Times New Roman"/>
                <w:color w:val="auto"/>
                <w:kern w:val="0"/>
                <w:sz w:val="24"/>
                <w:szCs w:val="24"/>
                <w:highlight w:val="none"/>
              </w:rPr>
              <w:t>餐厅项目）工作人员不得</w:t>
            </w:r>
            <w:r>
              <w:rPr>
                <w:rFonts w:hint="default" w:ascii="Times New Roman" w:hAnsi="Times New Roman" w:cs="Times New Roman"/>
                <w:color w:val="auto"/>
                <w:kern w:val="0"/>
                <w:sz w:val="24"/>
                <w:szCs w:val="24"/>
                <w:highlight w:val="none"/>
                <w:lang w:eastAsia="zh-CN"/>
              </w:rPr>
              <w:t>低</w:t>
            </w:r>
            <w:r>
              <w:rPr>
                <w:rFonts w:hint="default" w:ascii="Times New Roman" w:hAnsi="Times New Roman" w:eastAsia="宋体" w:cs="Times New Roman"/>
                <w:color w:val="auto"/>
                <w:kern w:val="0"/>
                <w:sz w:val="24"/>
                <w:szCs w:val="24"/>
                <w:highlight w:val="none"/>
              </w:rPr>
              <w:t>于</w:t>
            </w:r>
            <w:r>
              <w:rPr>
                <w:rFonts w:hint="default" w:ascii="Times New Roman" w:hAnsi="Times New Roman" w:cs="Times New Roman"/>
                <w:color w:val="auto"/>
                <w:kern w:val="0"/>
                <w:sz w:val="24"/>
                <w:szCs w:val="24"/>
                <w:highlight w:val="none"/>
                <w:lang w:val="en-US" w:eastAsia="zh-CN"/>
              </w:rPr>
              <w:t>78</w:t>
            </w:r>
            <w:r>
              <w:rPr>
                <w:rFonts w:hint="default" w:ascii="Times New Roman" w:hAnsi="Times New Roman" w:eastAsia="宋体" w:cs="Times New Roman"/>
                <w:color w:val="auto"/>
                <w:kern w:val="0"/>
                <w:sz w:val="24"/>
                <w:szCs w:val="24"/>
                <w:highlight w:val="none"/>
              </w:rPr>
              <w:t>人，岗位职数可根据餐厅实际经营项目情况调整，男性年龄</w:t>
            </w:r>
            <w:r>
              <w:rPr>
                <w:rFonts w:hint="default" w:ascii="Times New Roman" w:hAnsi="Times New Roman" w:cs="Times New Roman"/>
                <w:color w:val="auto"/>
                <w:kern w:val="0"/>
                <w:sz w:val="24"/>
                <w:szCs w:val="24"/>
                <w:highlight w:val="none"/>
                <w:lang w:val="en-US" w:eastAsia="zh-CN"/>
              </w:rPr>
              <w:t>60</w:t>
            </w:r>
            <w:r>
              <w:rPr>
                <w:rFonts w:hint="default" w:ascii="Times New Roman" w:hAnsi="Times New Roman" w:eastAsia="宋体" w:cs="Times New Roman"/>
                <w:color w:val="auto"/>
                <w:kern w:val="0"/>
                <w:sz w:val="24"/>
                <w:szCs w:val="24"/>
                <w:highlight w:val="none"/>
              </w:rPr>
              <w:t>周岁以下，女性年龄5</w:t>
            </w:r>
            <w:r>
              <w:rPr>
                <w:rFonts w:hint="default" w:ascii="Times New Roman" w:hAnsi="Times New Roman" w:cs="Times New Roman"/>
                <w:color w:val="auto"/>
                <w:kern w:val="0"/>
                <w:sz w:val="24"/>
                <w:szCs w:val="24"/>
                <w:highlight w:val="none"/>
                <w:lang w:val="en-US" w:eastAsia="zh-CN"/>
              </w:rPr>
              <w:t>5</w:t>
            </w:r>
            <w:r>
              <w:rPr>
                <w:rFonts w:hint="default" w:ascii="Times New Roman" w:hAnsi="Times New Roman" w:eastAsia="宋体" w:cs="Times New Roman"/>
                <w:color w:val="auto"/>
                <w:kern w:val="0"/>
                <w:sz w:val="24"/>
                <w:szCs w:val="24"/>
                <w:highlight w:val="none"/>
              </w:rPr>
              <w:t>周岁以下；要求厨师不少于</w:t>
            </w:r>
            <w:r>
              <w:rPr>
                <w:rFonts w:hint="default" w:ascii="Times New Roman" w:hAnsi="Times New Roman" w:cs="Times New Roman"/>
                <w:color w:val="auto"/>
                <w:kern w:val="0"/>
                <w:sz w:val="24"/>
                <w:szCs w:val="24"/>
                <w:highlight w:val="none"/>
                <w:lang w:val="en-US" w:eastAsia="zh-CN"/>
              </w:rPr>
              <w:t>12</w:t>
            </w:r>
            <w:r>
              <w:rPr>
                <w:rFonts w:hint="default" w:ascii="Times New Roman" w:hAnsi="Times New Roman" w:eastAsia="宋体" w:cs="Times New Roman"/>
                <w:color w:val="auto"/>
                <w:kern w:val="0"/>
                <w:sz w:val="24"/>
                <w:szCs w:val="24"/>
                <w:highlight w:val="none"/>
              </w:rPr>
              <w:t>人</w:t>
            </w:r>
            <w:r>
              <w:rPr>
                <w:rFonts w:hint="default" w:ascii="Times New Roman" w:hAnsi="Times New Roman" w:cs="Times New Roman"/>
                <w:color w:val="auto"/>
                <w:kern w:val="0"/>
                <w:sz w:val="24"/>
                <w:szCs w:val="24"/>
                <w:highlight w:val="none"/>
                <w:lang w:eastAsia="zh-CN"/>
              </w:rPr>
              <w:t>；</w:t>
            </w:r>
          </w:p>
          <w:p w14:paraId="037F9B13">
            <w:pPr>
              <w:pStyle w:val="22"/>
              <w:keepNext w:val="0"/>
              <w:keepLines w:val="0"/>
              <w:suppressLineNumbers w:val="0"/>
              <w:spacing w:before="0" w:beforeAutospacing="0" w:after="0" w:afterAutospacing="0"/>
              <w:ind w:left="0" w:right="0"/>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rPr>
              <w:t>第</w:t>
            </w:r>
            <w:r>
              <w:rPr>
                <w:rFonts w:hint="default" w:ascii="Times New Roman" w:hAnsi="Times New Roman" w:eastAsia="宋体" w:cs="Times New Roman"/>
                <w:color w:val="auto"/>
                <w:kern w:val="0"/>
                <w:sz w:val="24"/>
                <w:szCs w:val="24"/>
                <w:highlight w:val="none"/>
                <w:lang w:eastAsia="zh-CN"/>
              </w:rPr>
              <w:t>三</w:t>
            </w:r>
            <w:r>
              <w:rPr>
                <w:rFonts w:hint="default" w:ascii="Times New Roman" w:hAnsi="Times New Roman" w:eastAsia="宋体" w:cs="Times New Roman"/>
                <w:color w:val="auto"/>
                <w:kern w:val="0"/>
                <w:sz w:val="24"/>
                <w:szCs w:val="24"/>
                <w:highlight w:val="none"/>
              </w:rPr>
              <w:t>标段（</w:t>
            </w:r>
            <w:r>
              <w:rPr>
                <w:rFonts w:hint="default" w:ascii="Times New Roman" w:hAnsi="Times New Roman" w:eastAsia="宋体" w:cs="Times New Roman"/>
                <w:color w:val="auto"/>
                <w:kern w:val="0"/>
                <w:sz w:val="24"/>
                <w:szCs w:val="24"/>
                <w:highlight w:val="none"/>
                <w:lang w:eastAsia="zh-CN"/>
              </w:rPr>
              <w:t>学苑</w:t>
            </w:r>
            <w:r>
              <w:rPr>
                <w:rFonts w:hint="default" w:ascii="Times New Roman" w:hAnsi="Times New Roman" w:cs="Times New Roman"/>
                <w:color w:val="auto"/>
                <w:kern w:val="0"/>
                <w:sz w:val="24"/>
                <w:szCs w:val="24"/>
                <w:highlight w:val="none"/>
                <w:lang w:eastAsia="zh-CN"/>
              </w:rPr>
              <w:t>二楼</w:t>
            </w:r>
            <w:r>
              <w:rPr>
                <w:rFonts w:hint="default" w:ascii="Times New Roman" w:hAnsi="Times New Roman" w:eastAsia="宋体" w:cs="Times New Roman"/>
                <w:color w:val="auto"/>
                <w:kern w:val="0"/>
                <w:sz w:val="24"/>
                <w:szCs w:val="24"/>
                <w:highlight w:val="none"/>
              </w:rPr>
              <w:t>餐厅项目）工作人员不得</w:t>
            </w:r>
            <w:r>
              <w:rPr>
                <w:rFonts w:hint="default" w:ascii="Times New Roman" w:hAnsi="Times New Roman" w:cs="Times New Roman"/>
                <w:color w:val="auto"/>
                <w:kern w:val="0"/>
                <w:sz w:val="24"/>
                <w:szCs w:val="24"/>
                <w:highlight w:val="none"/>
                <w:lang w:eastAsia="zh-CN"/>
              </w:rPr>
              <w:t>低</w:t>
            </w:r>
            <w:r>
              <w:rPr>
                <w:rFonts w:hint="default" w:ascii="Times New Roman" w:hAnsi="Times New Roman" w:eastAsia="宋体" w:cs="Times New Roman"/>
                <w:color w:val="auto"/>
                <w:kern w:val="0"/>
                <w:sz w:val="24"/>
                <w:szCs w:val="24"/>
                <w:highlight w:val="none"/>
              </w:rPr>
              <w:t>于</w:t>
            </w:r>
            <w:r>
              <w:rPr>
                <w:rFonts w:hint="default" w:ascii="Times New Roman" w:hAnsi="Times New Roman" w:cs="Times New Roman"/>
                <w:color w:val="auto"/>
                <w:kern w:val="0"/>
                <w:sz w:val="24"/>
                <w:szCs w:val="24"/>
                <w:highlight w:val="none"/>
                <w:lang w:val="en-US" w:eastAsia="zh-CN"/>
              </w:rPr>
              <w:t>32</w:t>
            </w:r>
            <w:r>
              <w:rPr>
                <w:rFonts w:hint="default" w:ascii="Times New Roman" w:hAnsi="Times New Roman" w:eastAsia="宋体" w:cs="Times New Roman"/>
                <w:color w:val="auto"/>
                <w:kern w:val="0"/>
                <w:sz w:val="24"/>
                <w:szCs w:val="24"/>
                <w:highlight w:val="none"/>
              </w:rPr>
              <w:t>人，岗位职数可根据餐厅实际经营项目情况调整，男性年龄</w:t>
            </w:r>
            <w:r>
              <w:rPr>
                <w:rFonts w:hint="default" w:ascii="Times New Roman" w:hAnsi="Times New Roman" w:cs="Times New Roman"/>
                <w:color w:val="auto"/>
                <w:kern w:val="0"/>
                <w:sz w:val="24"/>
                <w:szCs w:val="24"/>
                <w:highlight w:val="none"/>
                <w:lang w:val="en-US" w:eastAsia="zh-CN"/>
              </w:rPr>
              <w:t>60</w:t>
            </w:r>
            <w:r>
              <w:rPr>
                <w:rFonts w:hint="default" w:ascii="Times New Roman" w:hAnsi="Times New Roman" w:eastAsia="宋体" w:cs="Times New Roman"/>
                <w:color w:val="auto"/>
                <w:kern w:val="0"/>
                <w:sz w:val="24"/>
                <w:szCs w:val="24"/>
                <w:highlight w:val="none"/>
              </w:rPr>
              <w:t>周岁以下，女性年龄5</w:t>
            </w:r>
            <w:r>
              <w:rPr>
                <w:rFonts w:hint="default" w:ascii="Times New Roman" w:hAnsi="Times New Roman" w:cs="Times New Roman"/>
                <w:color w:val="auto"/>
                <w:kern w:val="0"/>
                <w:sz w:val="24"/>
                <w:szCs w:val="24"/>
                <w:highlight w:val="none"/>
                <w:lang w:val="en-US" w:eastAsia="zh-CN"/>
              </w:rPr>
              <w:t>5</w:t>
            </w:r>
            <w:r>
              <w:rPr>
                <w:rFonts w:hint="default" w:ascii="Times New Roman" w:hAnsi="Times New Roman" w:eastAsia="宋体" w:cs="Times New Roman"/>
                <w:color w:val="auto"/>
                <w:kern w:val="0"/>
                <w:sz w:val="24"/>
                <w:szCs w:val="24"/>
                <w:highlight w:val="none"/>
              </w:rPr>
              <w:t>周岁以下；要求厨师不少于</w:t>
            </w:r>
            <w:r>
              <w:rPr>
                <w:rFonts w:hint="default" w:ascii="Times New Roman" w:hAnsi="Times New Roman" w:cs="Times New Roman"/>
                <w:color w:val="auto"/>
                <w:kern w:val="0"/>
                <w:sz w:val="24"/>
                <w:szCs w:val="24"/>
                <w:highlight w:val="none"/>
                <w:lang w:val="en-US" w:eastAsia="zh-CN"/>
              </w:rPr>
              <w:t>12</w:t>
            </w:r>
            <w:r>
              <w:rPr>
                <w:rFonts w:hint="default" w:ascii="Times New Roman" w:hAnsi="Times New Roman" w:eastAsia="宋体" w:cs="Times New Roman"/>
                <w:color w:val="auto"/>
                <w:kern w:val="0"/>
                <w:sz w:val="24"/>
                <w:szCs w:val="24"/>
                <w:highlight w:val="none"/>
              </w:rPr>
              <w:t>人</w:t>
            </w:r>
            <w:r>
              <w:rPr>
                <w:rFonts w:hint="default" w:ascii="Times New Roman" w:hAnsi="Times New Roman" w:cs="Times New Roman"/>
                <w:color w:val="auto"/>
                <w:kern w:val="0"/>
                <w:sz w:val="24"/>
                <w:szCs w:val="24"/>
                <w:highlight w:val="none"/>
                <w:lang w:eastAsia="zh-CN"/>
              </w:rPr>
              <w:t>。</w:t>
            </w:r>
          </w:p>
          <w:p w14:paraId="244C5BD0">
            <w:pPr>
              <w:pStyle w:val="22"/>
              <w:keepNext w:val="0"/>
              <w:keepLines w:val="0"/>
              <w:suppressLineNumbers w:val="0"/>
              <w:spacing w:before="0" w:beforeAutospacing="0" w:after="0" w:afterAutospacing="0"/>
              <w:ind w:left="0" w:right="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★服务期限：自合同签订之日起</w:t>
            </w:r>
            <w:r>
              <w:rPr>
                <w:rFonts w:hint="eastAsia" w:cs="Times New Roman"/>
                <w:color w:val="auto"/>
                <w:kern w:val="0"/>
                <w:sz w:val="24"/>
                <w:szCs w:val="24"/>
                <w:highlight w:val="none"/>
                <w:lang w:val="en-US" w:eastAsia="zh-CN"/>
              </w:rPr>
              <w:t>两年六个月</w:t>
            </w:r>
            <w:r>
              <w:rPr>
                <w:rFonts w:hint="default" w:ascii="Times New Roman" w:hAnsi="Times New Roman" w:eastAsia="宋体" w:cs="Times New Roman"/>
                <w:color w:val="auto"/>
                <w:kern w:val="0"/>
                <w:sz w:val="24"/>
                <w:szCs w:val="24"/>
                <w:highlight w:val="none"/>
              </w:rPr>
              <w:t>（合同一年一签。在预算有保障的前提下，购买内容相对固定、价格变化幅度小的，经年度验收或者考核合格后续签下一年合同）。</w:t>
            </w:r>
          </w:p>
          <w:p w14:paraId="3BC97425">
            <w:pPr>
              <w:pStyle w:val="22"/>
              <w:keepNext w:val="0"/>
              <w:keepLines w:val="0"/>
              <w:suppressLineNumbers w:val="0"/>
              <w:spacing w:before="0" w:beforeAutospacing="0" w:after="0" w:afterAutospacing="0"/>
              <w:ind w:left="0" w:right="0"/>
              <w:rPr>
                <w:rFonts w:hint="default" w:ascii="Times New Roman" w:hAnsi="Times New Roman"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采用固定周期和不定期考核相结合，一年一综合考核。如无违法、违规、违约行为和安全责任事故，且每年综合</w:t>
            </w:r>
            <w:r>
              <w:rPr>
                <w:rFonts w:hint="default" w:ascii="Times New Roman" w:hAnsi="Times New Roman" w:cs="Times New Roman"/>
                <w:color w:val="auto"/>
                <w:kern w:val="0"/>
                <w:sz w:val="24"/>
                <w:szCs w:val="24"/>
                <w:highlight w:val="none"/>
              </w:rPr>
              <w:t>管理考核达80分以上，方可继续履行下一年度合同，否则采购人有权终止合同并重新选择服务单位。</w:t>
            </w:r>
          </w:p>
        </w:tc>
      </w:tr>
      <w:tr w14:paraId="32948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shd w:val="clear" w:color="auto" w:fill="auto"/>
            <w:noWrap w:val="0"/>
            <w:vAlign w:val="center"/>
          </w:tcPr>
          <w:p w14:paraId="5D87517B">
            <w:pPr>
              <w:keepNext w:val="0"/>
              <w:keepLines w:val="0"/>
              <w:suppressLineNumbers w:val="0"/>
              <w:overflowPunct w:val="0"/>
              <w:spacing w:before="0" w:beforeAutospacing="0" w:after="0" w:afterAutospacing="0" w:line="276" w:lineRule="auto"/>
              <w:ind w:left="0" w:leftChars="0" w:right="0" w:rightChars="0"/>
              <w:jc w:val="center"/>
              <w:rPr>
                <w:rFonts w:hint="eastAsia" w:ascii="宋体" w:hAnsi="宋体" w:eastAsia="宋体" w:cs="Times New Roman"/>
                <w:b/>
                <w:color w:val="auto"/>
                <w:kern w:val="2"/>
                <w:sz w:val="24"/>
                <w:szCs w:val="20"/>
                <w:highlight w:val="none"/>
                <w:lang w:val="en-US" w:eastAsia="zh-CN" w:bidi="ar-SA"/>
              </w:rPr>
            </w:pPr>
            <w:r>
              <w:rPr>
                <w:rFonts w:hint="eastAsia" w:ascii="宋体" w:hAnsi="宋体"/>
                <w:b/>
                <w:color w:val="auto"/>
                <w:sz w:val="24"/>
                <w:szCs w:val="20"/>
                <w:highlight w:val="none"/>
              </w:rPr>
              <w:t>5</w:t>
            </w:r>
          </w:p>
        </w:tc>
        <w:tc>
          <w:tcPr>
            <w:tcW w:w="1774" w:type="dxa"/>
            <w:noWrap w:val="0"/>
            <w:vAlign w:val="center"/>
          </w:tcPr>
          <w:p w14:paraId="74085F77">
            <w:pPr>
              <w:keepNext w:val="0"/>
              <w:keepLines w:val="0"/>
              <w:suppressLineNumbers w:val="0"/>
              <w:overflowPunct w:val="0"/>
              <w:spacing w:before="0" w:beforeAutospacing="0" w:after="0" w:afterAutospacing="0" w:line="276" w:lineRule="auto"/>
              <w:ind w:left="0" w:right="0"/>
              <w:jc w:val="center"/>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预算金额</w:t>
            </w:r>
          </w:p>
        </w:tc>
        <w:tc>
          <w:tcPr>
            <w:tcW w:w="7572" w:type="dxa"/>
            <w:noWrap w:val="0"/>
            <w:vAlign w:val="center"/>
          </w:tcPr>
          <w:p w14:paraId="298FDC59">
            <w:pPr>
              <w:pStyle w:val="22"/>
              <w:keepNext w:val="0"/>
              <w:keepLines w:val="0"/>
              <w:suppressLineNumbers w:val="0"/>
              <w:spacing w:before="0" w:beforeAutospacing="0" w:after="0" w:afterAutospacing="0"/>
              <w:ind w:left="0" w:right="0"/>
              <w:rPr>
                <w:rFonts w:hint="default" w:ascii="Times New Roman" w:hAnsi="Times New Roman" w:cs="Times New Roman"/>
                <w:color w:val="auto"/>
                <w:kern w:val="0"/>
                <w:sz w:val="24"/>
                <w:szCs w:val="24"/>
                <w:highlight w:val="none"/>
                <w:lang w:val="en-US" w:eastAsia="zh-CN"/>
              </w:rPr>
            </w:pPr>
            <w:r>
              <w:rPr>
                <w:rFonts w:hint="default" w:ascii="Times New Roman" w:hAnsi="Times New Roman" w:cs="Times New Roman"/>
                <w:color w:val="auto"/>
                <w:kern w:val="0"/>
                <w:sz w:val="24"/>
                <w:szCs w:val="24"/>
                <w:highlight w:val="none"/>
                <w:lang w:val="en-US" w:eastAsia="zh-CN"/>
              </w:rPr>
              <w:t>标项一：3750000元</w:t>
            </w:r>
          </w:p>
          <w:p w14:paraId="04BC91BC">
            <w:pPr>
              <w:pStyle w:val="22"/>
              <w:keepNext w:val="0"/>
              <w:keepLines w:val="0"/>
              <w:suppressLineNumbers w:val="0"/>
              <w:spacing w:before="0" w:beforeAutospacing="0" w:after="0" w:afterAutospacing="0"/>
              <w:ind w:left="0" w:right="0"/>
              <w:rPr>
                <w:rFonts w:hint="default" w:ascii="Times New Roman" w:hAnsi="Times New Roman" w:cs="Times New Roman"/>
                <w:color w:val="auto"/>
                <w:kern w:val="0"/>
                <w:sz w:val="24"/>
                <w:szCs w:val="24"/>
                <w:highlight w:val="none"/>
                <w:lang w:val="en-US" w:eastAsia="zh-CN"/>
              </w:rPr>
            </w:pPr>
            <w:r>
              <w:rPr>
                <w:rFonts w:hint="default" w:ascii="Times New Roman" w:hAnsi="Times New Roman" w:cs="Times New Roman"/>
                <w:color w:val="auto"/>
                <w:kern w:val="0"/>
                <w:sz w:val="24"/>
                <w:szCs w:val="24"/>
                <w:highlight w:val="none"/>
                <w:lang w:val="en-US" w:eastAsia="zh-CN"/>
              </w:rPr>
              <w:t>标项二：3800000元</w:t>
            </w:r>
          </w:p>
          <w:p w14:paraId="6FFDB3B8">
            <w:pPr>
              <w:pStyle w:val="22"/>
              <w:keepNext w:val="0"/>
              <w:keepLines w:val="0"/>
              <w:suppressLineNumbers w:val="0"/>
              <w:spacing w:before="0" w:beforeAutospacing="0" w:after="0" w:afterAutospacing="0"/>
              <w:ind w:left="0" w:right="0"/>
              <w:rPr>
                <w:rFonts w:hint="default" w:ascii="Times New Roman" w:hAnsi="Times New Roman" w:cs="Times New Roman"/>
                <w:color w:val="auto"/>
                <w:kern w:val="0"/>
                <w:sz w:val="24"/>
                <w:szCs w:val="24"/>
                <w:highlight w:val="none"/>
                <w:lang w:val="en-US" w:eastAsia="zh-CN"/>
              </w:rPr>
            </w:pPr>
            <w:r>
              <w:rPr>
                <w:rFonts w:hint="default" w:ascii="Times New Roman" w:hAnsi="Times New Roman" w:cs="Times New Roman"/>
                <w:color w:val="auto"/>
                <w:kern w:val="0"/>
                <w:sz w:val="24"/>
                <w:szCs w:val="24"/>
                <w:highlight w:val="none"/>
                <w:lang w:val="en-US" w:eastAsia="zh-CN"/>
              </w:rPr>
              <w:t>标项三：1550000元</w:t>
            </w:r>
          </w:p>
          <w:p w14:paraId="6565B905">
            <w:pPr>
              <w:pStyle w:val="22"/>
              <w:keepNext w:val="0"/>
              <w:keepLines w:val="0"/>
              <w:suppressLineNumbers w:val="0"/>
              <w:spacing w:before="0" w:beforeAutospacing="0" w:after="0" w:afterAutospacing="0"/>
              <w:ind w:left="0" w:right="0"/>
              <w:rPr>
                <w:rFonts w:hint="default" w:ascii="Times New Roman" w:hAnsi="Times New Roman" w:cs="Times New Roman"/>
                <w:color w:val="auto"/>
                <w:kern w:val="0"/>
                <w:sz w:val="24"/>
                <w:szCs w:val="24"/>
                <w:highlight w:val="none"/>
                <w:lang w:val="en-US" w:eastAsia="zh-CN"/>
              </w:rPr>
            </w:pPr>
            <w:r>
              <w:rPr>
                <w:rFonts w:hint="default" w:ascii="Times New Roman" w:hAnsi="Times New Roman" w:cs="Times New Roman"/>
                <w:color w:val="auto"/>
                <w:kern w:val="0"/>
                <w:sz w:val="24"/>
                <w:szCs w:val="24"/>
                <w:highlight w:val="none"/>
                <w:lang w:val="en-US" w:eastAsia="zh-CN"/>
              </w:rPr>
              <w:t>本次预算金额为2026年下半年的预算。</w:t>
            </w:r>
          </w:p>
        </w:tc>
      </w:tr>
      <w:tr w14:paraId="3AAA4F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shd w:val="clear" w:color="auto" w:fill="auto"/>
            <w:noWrap w:val="0"/>
            <w:vAlign w:val="center"/>
          </w:tcPr>
          <w:p w14:paraId="408A52FE">
            <w:pPr>
              <w:keepNext w:val="0"/>
              <w:keepLines w:val="0"/>
              <w:suppressLineNumbers w:val="0"/>
              <w:overflowPunct w:val="0"/>
              <w:spacing w:before="0" w:beforeAutospacing="0" w:after="0" w:afterAutospacing="0" w:line="276" w:lineRule="auto"/>
              <w:ind w:left="0" w:leftChars="0" w:right="0" w:rightChars="0"/>
              <w:jc w:val="center"/>
              <w:rPr>
                <w:rFonts w:hint="eastAsia" w:ascii="宋体" w:hAnsi="宋体" w:eastAsia="宋体" w:cs="Times New Roman"/>
                <w:b/>
                <w:color w:val="auto"/>
                <w:kern w:val="2"/>
                <w:sz w:val="24"/>
                <w:szCs w:val="20"/>
                <w:highlight w:val="none"/>
                <w:lang w:val="en-US" w:eastAsia="zh-CN" w:bidi="ar-SA"/>
              </w:rPr>
            </w:pPr>
            <w:r>
              <w:rPr>
                <w:rFonts w:hint="eastAsia" w:ascii="宋体" w:hAnsi="宋体"/>
                <w:b/>
                <w:color w:val="auto"/>
                <w:sz w:val="24"/>
                <w:szCs w:val="20"/>
                <w:highlight w:val="none"/>
              </w:rPr>
              <w:t>6</w:t>
            </w:r>
          </w:p>
        </w:tc>
        <w:tc>
          <w:tcPr>
            <w:tcW w:w="1774" w:type="dxa"/>
            <w:noWrap w:val="0"/>
            <w:vAlign w:val="center"/>
          </w:tcPr>
          <w:p w14:paraId="300713D4">
            <w:pPr>
              <w:keepNext w:val="0"/>
              <w:keepLines w:val="0"/>
              <w:suppressLineNumbers w:val="0"/>
              <w:overflowPunct w:val="0"/>
              <w:spacing w:before="0" w:beforeAutospacing="0" w:after="0" w:afterAutospacing="0" w:line="276" w:lineRule="auto"/>
              <w:ind w:left="0" w:right="0"/>
              <w:jc w:val="center"/>
              <w:rPr>
                <w:rFonts w:hint="eastAsia" w:ascii="宋体" w:hAnsi="宋体"/>
                <w:b/>
                <w:color w:val="auto"/>
                <w:sz w:val="24"/>
                <w:szCs w:val="24"/>
                <w:highlight w:val="none"/>
              </w:rPr>
            </w:pPr>
            <w:r>
              <w:rPr>
                <w:rFonts w:hint="eastAsia" w:ascii="宋体" w:hAnsi="宋体"/>
                <w:b/>
                <w:color w:val="auto"/>
                <w:sz w:val="24"/>
                <w:szCs w:val="24"/>
                <w:highlight w:val="none"/>
              </w:rPr>
              <w:t>最高限价</w:t>
            </w:r>
          </w:p>
        </w:tc>
        <w:tc>
          <w:tcPr>
            <w:tcW w:w="7572" w:type="dxa"/>
            <w:noWrap w:val="0"/>
            <w:vAlign w:val="center"/>
          </w:tcPr>
          <w:p w14:paraId="5F1D8138">
            <w:pPr>
              <w:pStyle w:val="22"/>
              <w:keepNext w:val="0"/>
              <w:keepLines w:val="0"/>
              <w:suppressLineNumbers w:val="0"/>
              <w:spacing w:before="0" w:beforeAutospacing="0" w:after="0" w:afterAutospacing="0"/>
              <w:ind w:left="0" w:right="0"/>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第一标段：餐饮服务支付比例不得高于占每期收入的51%（根据实际报价执行）；</w:t>
            </w:r>
          </w:p>
          <w:p w14:paraId="7A08F29D">
            <w:pPr>
              <w:pStyle w:val="22"/>
              <w:keepNext w:val="0"/>
              <w:keepLines w:val="0"/>
              <w:suppressLineNumbers w:val="0"/>
              <w:spacing w:before="0" w:beforeAutospacing="0" w:after="0" w:afterAutospacing="0"/>
              <w:ind w:left="0" w:right="0"/>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第二标段：餐饮服务支付比例不得高于占每期收入的63.5%（根据实际报价执行）；</w:t>
            </w:r>
          </w:p>
          <w:p w14:paraId="7D7A0E35">
            <w:pPr>
              <w:pStyle w:val="22"/>
              <w:keepNext w:val="0"/>
              <w:keepLines w:val="0"/>
              <w:suppressLineNumbers w:val="0"/>
              <w:spacing w:before="0" w:beforeAutospacing="0" w:after="0" w:afterAutospacing="0"/>
              <w:ind w:left="0" w:right="0"/>
              <w:rPr>
                <w:rFonts w:hint="default"/>
                <w:szCs w:val="20"/>
                <w:highlight w:val="none"/>
                <w:lang w:eastAsia="zh-CN"/>
              </w:rPr>
            </w:pPr>
            <w:r>
              <w:rPr>
                <w:rFonts w:hint="default" w:ascii="Times New Roman" w:hAnsi="Times New Roman" w:eastAsia="宋体" w:cs="Times New Roman"/>
                <w:color w:val="auto"/>
                <w:kern w:val="0"/>
                <w:sz w:val="24"/>
                <w:szCs w:val="24"/>
                <w:highlight w:val="none"/>
                <w:lang w:val="en-US" w:eastAsia="zh-CN"/>
              </w:rPr>
              <w:t>第三标段：餐饮服务支付比例不得高于占每期收入的52%（根据实际报价执行）</w:t>
            </w:r>
            <w:r>
              <w:rPr>
                <w:rFonts w:hint="default"/>
                <w:szCs w:val="20"/>
                <w:highlight w:val="none"/>
                <w:lang w:eastAsia="zh-CN"/>
              </w:rPr>
              <w:t>。</w:t>
            </w:r>
          </w:p>
          <w:p w14:paraId="2D6E9D92">
            <w:pPr>
              <w:pStyle w:val="22"/>
              <w:keepNext w:val="0"/>
              <w:keepLines w:val="0"/>
              <w:suppressLineNumbers w:val="0"/>
              <w:spacing w:before="0" w:beforeAutospacing="0" w:after="0" w:afterAutospacing="0"/>
              <w:ind w:left="0" w:right="0"/>
              <w:rPr>
                <w:rFonts w:hint="default"/>
                <w:szCs w:val="20"/>
                <w:highlight w:val="none"/>
                <w:lang w:eastAsia="zh-CN"/>
              </w:rPr>
            </w:pPr>
            <w:r>
              <w:rPr>
                <w:rFonts w:hint="default" w:ascii="Times New Roman" w:hAnsi="Times New Roman" w:cs="Times New Roman"/>
                <w:b/>
                <w:color w:val="auto"/>
                <w:kern w:val="0"/>
                <w:sz w:val="24"/>
                <w:szCs w:val="24"/>
                <w:highlight w:val="none"/>
                <w:lang w:eastAsia="zh-CN"/>
              </w:rPr>
              <w:t>投标供应商</w:t>
            </w:r>
            <w:r>
              <w:rPr>
                <w:rFonts w:hint="default" w:ascii="Times New Roman" w:hAnsi="Times New Roman" w:cs="Times New Roman"/>
                <w:b/>
                <w:color w:val="auto"/>
                <w:kern w:val="0"/>
                <w:sz w:val="24"/>
                <w:szCs w:val="24"/>
                <w:highlight w:val="none"/>
              </w:rPr>
              <w:t>投标报价不得高于项目最高限价</w:t>
            </w:r>
            <w:r>
              <w:rPr>
                <w:rFonts w:hint="default" w:ascii="Times New Roman" w:hAnsi="Times New Roman" w:cs="Times New Roman"/>
                <w:b/>
                <w:color w:val="auto"/>
                <w:kern w:val="0"/>
                <w:sz w:val="24"/>
                <w:szCs w:val="24"/>
                <w:highlight w:val="none"/>
                <w:lang w:eastAsia="zh-CN"/>
              </w:rPr>
              <w:t>，</w:t>
            </w:r>
            <w:r>
              <w:rPr>
                <w:rFonts w:hint="default" w:ascii="Times New Roman" w:hAnsi="Times New Roman" w:cs="Times New Roman"/>
                <w:b/>
                <w:color w:val="auto"/>
                <w:kern w:val="0"/>
                <w:sz w:val="24"/>
                <w:szCs w:val="24"/>
                <w:highlight w:val="none"/>
              </w:rPr>
              <w:t>否则其投标将被否决</w:t>
            </w:r>
            <w:r>
              <w:rPr>
                <w:rFonts w:hint="default" w:ascii="Times New Roman" w:hAnsi="Times New Roman" w:cs="Times New Roman"/>
                <w:b/>
                <w:color w:val="auto"/>
                <w:kern w:val="0"/>
                <w:sz w:val="24"/>
                <w:szCs w:val="24"/>
                <w:highlight w:val="none"/>
                <w:lang w:eastAsia="zh-CN"/>
              </w:rPr>
              <w:t>。</w:t>
            </w:r>
          </w:p>
        </w:tc>
      </w:tr>
      <w:tr w14:paraId="5E8C6A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shd w:val="clear" w:color="auto" w:fill="auto"/>
            <w:noWrap w:val="0"/>
            <w:vAlign w:val="center"/>
          </w:tcPr>
          <w:p w14:paraId="548848F8">
            <w:pPr>
              <w:keepNext w:val="0"/>
              <w:keepLines w:val="0"/>
              <w:suppressLineNumbers w:val="0"/>
              <w:overflowPunct w:val="0"/>
              <w:spacing w:before="0" w:beforeAutospacing="0" w:after="0" w:afterAutospacing="0" w:line="276" w:lineRule="auto"/>
              <w:ind w:left="0" w:leftChars="0" w:right="0" w:rightChars="0"/>
              <w:jc w:val="center"/>
              <w:rPr>
                <w:rFonts w:hint="default" w:ascii="宋体" w:hAnsi="宋体" w:eastAsia="宋体" w:cs="Times New Roman"/>
                <w:b/>
                <w:color w:val="auto"/>
                <w:kern w:val="2"/>
                <w:sz w:val="24"/>
                <w:szCs w:val="20"/>
                <w:highlight w:val="none"/>
                <w:lang w:val="en-US" w:eastAsia="zh-CN" w:bidi="ar-SA"/>
              </w:rPr>
            </w:pPr>
            <w:r>
              <w:rPr>
                <w:rFonts w:hint="eastAsia" w:ascii="宋体" w:hAnsi="宋体"/>
                <w:b/>
                <w:color w:val="auto"/>
                <w:sz w:val="24"/>
                <w:szCs w:val="20"/>
                <w:highlight w:val="none"/>
              </w:rPr>
              <w:t>7</w:t>
            </w:r>
          </w:p>
        </w:tc>
        <w:tc>
          <w:tcPr>
            <w:tcW w:w="1774" w:type="dxa"/>
            <w:tcBorders>
              <w:bottom w:val="single" w:color="auto" w:sz="4" w:space="0"/>
              <w:right w:val="single" w:color="auto" w:sz="4" w:space="0"/>
            </w:tcBorders>
            <w:noWrap w:val="0"/>
            <w:vAlign w:val="center"/>
          </w:tcPr>
          <w:p w14:paraId="7966228E">
            <w:pPr>
              <w:keepNext w:val="0"/>
              <w:keepLines w:val="0"/>
              <w:suppressLineNumbers w:val="0"/>
              <w:overflowPunct w:val="0"/>
              <w:spacing w:before="0" w:beforeAutospacing="0" w:after="0" w:afterAutospacing="0" w:line="276" w:lineRule="auto"/>
              <w:ind w:left="0" w:right="0"/>
              <w:jc w:val="center"/>
              <w:rPr>
                <w:rFonts w:hint="default" w:ascii="宋体" w:hAnsi="宋体"/>
                <w:b/>
                <w:color w:val="auto"/>
                <w:sz w:val="24"/>
                <w:szCs w:val="20"/>
                <w:highlight w:val="none"/>
              </w:rPr>
            </w:pPr>
            <w:r>
              <w:rPr>
                <w:rFonts w:hint="eastAsia" w:ascii="宋体" w:hAnsi="宋体"/>
                <w:b/>
                <w:color w:val="auto"/>
                <w:sz w:val="24"/>
                <w:szCs w:val="20"/>
                <w:highlight w:val="none"/>
              </w:rPr>
              <w:t>投标资格</w:t>
            </w:r>
          </w:p>
        </w:tc>
        <w:tc>
          <w:tcPr>
            <w:tcW w:w="7572" w:type="dxa"/>
            <w:tcBorders>
              <w:left w:val="single" w:color="auto" w:sz="4" w:space="0"/>
              <w:bottom w:val="single" w:color="auto" w:sz="4" w:space="0"/>
            </w:tcBorders>
            <w:noWrap w:val="0"/>
            <w:vAlign w:val="center"/>
          </w:tcPr>
          <w:p w14:paraId="4F6D86F2">
            <w:pPr>
              <w:keepNext w:val="0"/>
              <w:keepLines w:val="0"/>
              <w:widowControl/>
              <w:suppressLineNumbers w:val="0"/>
              <w:spacing w:before="0" w:beforeAutospacing="0" w:after="0" w:afterAutospacing="0" w:line="276" w:lineRule="auto"/>
              <w:ind w:left="0" w:right="0" w:firstLine="360" w:firstLineChars="150"/>
              <w:jc w:val="left"/>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t>具有承担本项目的能力以及符合下述条件的供应商（制造商、代理商）均为合格的</w:t>
            </w:r>
            <w:r>
              <w:rPr>
                <w:rFonts w:hint="default" w:ascii="Times New Roman" w:hAnsi="Times New Roman" w:cs="Times New Roman"/>
                <w:color w:val="auto"/>
                <w:sz w:val="24"/>
                <w:szCs w:val="20"/>
                <w:highlight w:val="none"/>
                <w:lang w:eastAsia="zh-CN"/>
              </w:rPr>
              <w:t>投标供应商</w:t>
            </w:r>
            <w:r>
              <w:rPr>
                <w:rFonts w:hint="default" w:ascii="Times New Roman" w:hAnsi="Times New Roman" w:cs="Times New Roman"/>
                <w:color w:val="auto"/>
                <w:sz w:val="24"/>
                <w:szCs w:val="20"/>
                <w:highlight w:val="none"/>
              </w:rPr>
              <w:t>：</w:t>
            </w:r>
          </w:p>
          <w:p w14:paraId="39B3753A">
            <w:pPr>
              <w:keepNext w:val="0"/>
              <w:keepLines w:val="0"/>
              <w:widowControl/>
              <w:suppressLineNumbers w:val="0"/>
              <w:spacing w:before="60" w:beforeAutospacing="0" w:after="60" w:afterAutospacing="0" w:line="350" w:lineRule="exact"/>
              <w:ind w:left="0" w:right="0" w:firstLine="240" w:firstLineChars="100"/>
              <w:jc w:val="left"/>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lang w:val="en-US" w:eastAsia="zh-CN"/>
              </w:rPr>
              <w:t>1.</w:t>
            </w:r>
            <w:r>
              <w:rPr>
                <w:rFonts w:hint="default" w:ascii="Times New Roman" w:hAnsi="Times New Roman" w:cs="Times New Roman"/>
                <w:color w:val="auto"/>
                <w:sz w:val="24"/>
                <w:szCs w:val="24"/>
                <w:highlight w:val="none"/>
              </w:rPr>
              <w:t>必须是在中华人民共和国境内注册的合法</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，具有有效的营业执照的供应商</w:t>
            </w:r>
            <w:r>
              <w:rPr>
                <w:rFonts w:hint="default" w:ascii="Times New Roman" w:hAnsi="Times New Roman" w:cs="Times New Roman"/>
                <w:color w:val="auto"/>
                <w:kern w:val="0"/>
                <w:sz w:val="24"/>
                <w:szCs w:val="24"/>
                <w:highlight w:val="none"/>
              </w:rPr>
              <w:t>；</w:t>
            </w:r>
          </w:p>
          <w:p w14:paraId="3149ABD6">
            <w:pPr>
              <w:keepNext w:val="0"/>
              <w:keepLines w:val="0"/>
              <w:widowControl/>
              <w:suppressLineNumbers w:val="0"/>
              <w:spacing w:before="60" w:beforeAutospacing="0" w:after="60" w:afterAutospacing="0" w:line="350" w:lineRule="exact"/>
              <w:ind w:left="0" w:right="0" w:firstLine="240" w:firstLineChars="100"/>
              <w:jc w:val="left"/>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lang w:val="en-US" w:eastAsia="zh-CN"/>
              </w:rPr>
              <w:t>2.</w:t>
            </w:r>
            <w:r>
              <w:rPr>
                <w:rFonts w:hint="default" w:ascii="Times New Roman" w:hAnsi="Times New Roman" w:cs="Times New Roman"/>
                <w:color w:val="auto"/>
                <w:kern w:val="0"/>
                <w:sz w:val="24"/>
                <w:szCs w:val="24"/>
                <w:highlight w:val="none"/>
                <w:lang w:eastAsia="zh-CN"/>
              </w:rPr>
              <w:t>投标供应商</w:t>
            </w:r>
            <w:r>
              <w:rPr>
                <w:rFonts w:hint="default" w:ascii="Times New Roman" w:hAnsi="Times New Roman" w:cs="Times New Roman"/>
                <w:color w:val="auto"/>
                <w:kern w:val="0"/>
                <w:sz w:val="24"/>
                <w:szCs w:val="24"/>
                <w:highlight w:val="none"/>
              </w:rPr>
              <w:t>在“信用中国”（www.creditchina.gov.cn）未被列入</w:t>
            </w:r>
            <w:r>
              <w:rPr>
                <w:rFonts w:hint="default" w:ascii="Times New Roman" w:hAnsi="Times New Roman" w:cs="Times New Roman"/>
                <w:color w:val="auto"/>
                <w:sz w:val="24"/>
                <w:szCs w:val="20"/>
                <w:highlight w:val="none"/>
              </w:rPr>
              <w:t>重大税收违法失信主体</w:t>
            </w:r>
            <w:r>
              <w:rPr>
                <w:rFonts w:hint="default" w:ascii="Times New Roman" w:hAnsi="Times New Roman" w:cs="Times New Roman"/>
                <w:color w:val="auto"/>
                <w:kern w:val="0"/>
                <w:sz w:val="24"/>
                <w:szCs w:val="24"/>
                <w:highlight w:val="none"/>
              </w:rPr>
              <w:t>、“中国执行信息公开网”（http://zxgk.court.gov.cn/）未被列入失信被执行人、</w:t>
            </w:r>
            <w:r>
              <w:rPr>
                <w:rFonts w:hint="default" w:ascii="Times New Roman" w:hAnsi="Times New Roman" w:cs="Times New Roman"/>
                <w:color w:val="auto"/>
                <w:kern w:val="0"/>
                <w:sz w:val="24"/>
                <w:szCs w:val="24"/>
                <w:highlight w:val="none"/>
                <w:lang w:val="en-US" w:eastAsia="zh-CN"/>
              </w:rPr>
              <w:t>在</w:t>
            </w:r>
            <w:r>
              <w:rPr>
                <w:rFonts w:hint="default" w:ascii="Times New Roman" w:hAnsi="Times New Roman" w:cs="Times New Roman"/>
                <w:color w:val="auto"/>
                <w:kern w:val="0"/>
                <w:sz w:val="24"/>
                <w:szCs w:val="24"/>
                <w:highlight w:val="none"/>
              </w:rPr>
              <w:t>“中国政府采购网”（www.ccgp.gov.cn）网站上未被列入政府采购严重违法失信行为记录名单；</w:t>
            </w:r>
          </w:p>
          <w:p w14:paraId="098B6898">
            <w:pPr>
              <w:keepNext w:val="0"/>
              <w:keepLines w:val="0"/>
              <w:widowControl/>
              <w:suppressLineNumbers w:val="0"/>
              <w:spacing w:before="60" w:beforeAutospacing="0" w:after="60" w:afterAutospacing="0" w:line="350" w:lineRule="exact"/>
              <w:ind w:left="0" w:right="0" w:firstLine="240" w:firstLineChars="100"/>
              <w:jc w:val="left"/>
              <w:rPr>
                <w:rFonts w:hint="default" w:ascii="Times New Roman" w:hAnsi="Times New Roman" w:cs="Times New Roman"/>
                <w:color w:val="auto"/>
                <w:szCs w:val="20"/>
                <w:highlight w:val="none"/>
              </w:rPr>
            </w:pPr>
            <w:r>
              <w:rPr>
                <w:rFonts w:hint="default" w:ascii="Times New Roman" w:hAnsi="Times New Roman" w:cs="Times New Roman"/>
                <w:color w:val="auto"/>
                <w:kern w:val="0"/>
                <w:sz w:val="24"/>
                <w:szCs w:val="24"/>
                <w:highlight w:val="none"/>
                <w:lang w:val="en-US" w:eastAsia="zh-CN"/>
              </w:rPr>
              <w:t>3.</w:t>
            </w:r>
            <w:r>
              <w:rPr>
                <w:rFonts w:hint="default" w:ascii="Times New Roman" w:hAnsi="Times New Roman" w:cs="Times New Roman"/>
                <w:color w:val="auto"/>
                <w:kern w:val="0"/>
                <w:sz w:val="24"/>
                <w:szCs w:val="24"/>
                <w:highlight w:val="none"/>
                <w:lang w:eastAsia="zh-CN"/>
              </w:rPr>
              <w:t>投标供应商须具备有效的《餐饮服务许可证》或《食品经营许可证》。</w:t>
            </w:r>
          </w:p>
        </w:tc>
      </w:tr>
      <w:tr w14:paraId="3088BA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shd w:val="clear" w:color="auto" w:fill="auto"/>
            <w:noWrap w:val="0"/>
            <w:vAlign w:val="center"/>
          </w:tcPr>
          <w:p w14:paraId="245E468E">
            <w:pPr>
              <w:keepNext w:val="0"/>
              <w:keepLines w:val="0"/>
              <w:suppressLineNumbers w:val="0"/>
              <w:overflowPunct w:val="0"/>
              <w:spacing w:before="0" w:beforeAutospacing="0" w:after="0" w:afterAutospacing="0" w:line="276" w:lineRule="auto"/>
              <w:ind w:left="0" w:leftChars="0" w:right="0" w:rightChars="0"/>
              <w:jc w:val="center"/>
              <w:rPr>
                <w:rFonts w:hint="eastAsia" w:ascii="宋体" w:hAnsi="宋体" w:eastAsia="宋体" w:cs="Times New Roman"/>
                <w:b/>
                <w:color w:val="auto"/>
                <w:kern w:val="2"/>
                <w:sz w:val="24"/>
                <w:szCs w:val="20"/>
                <w:highlight w:val="none"/>
                <w:lang w:val="en-US" w:eastAsia="zh-CN" w:bidi="ar-SA"/>
              </w:rPr>
            </w:pPr>
            <w:r>
              <w:rPr>
                <w:rFonts w:hint="eastAsia" w:ascii="宋体" w:hAnsi="宋体"/>
                <w:b/>
                <w:color w:val="auto"/>
                <w:sz w:val="24"/>
                <w:szCs w:val="20"/>
                <w:highlight w:val="none"/>
              </w:rPr>
              <w:t>8</w:t>
            </w:r>
          </w:p>
        </w:tc>
        <w:tc>
          <w:tcPr>
            <w:tcW w:w="1774" w:type="dxa"/>
            <w:tcBorders>
              <w:bottom w:val="single" w:color="auto" w:sz="4" w:space="0"/>
              <w:right w:val="single" w:color="auto" w:sz="4" w:space="0"/>
            </w:tcBorders>
            <w:noWrap w:val="0"/>
            <w:vAlign w:val="center"/>
          </w:tcPr>
          <w:p w14:paraId="19BD3FFE">
            <w:pPr>
              <w:keepNext w:val="0"/>
              <w:keepLines w:val="0"/>
              <w:suppressLineNumbers w:val="0"/>
              <w:overflowPunct w:val="0"/>
              <w:spacing w:before="0" w:beforeAutospacing="0" w:after="0" w:afterAutospacing="0" w:line="276" w:lineRule="auto"/>
              <w:ind w:left="0" w:right="0"/>
              <w:jc w:val="center"/>
              <w:rPr>
                <w:rFonts w:hint="eastAsia" w:ascii="宋体" w:hAnsi="宋体"/>
                <w:b/>
                <w:color w:val="auto"/>
                <w:sz w:val="24"/>
                <w:szCs w:val="20"/>
                <w:highlight w:val="none"/>
              </w:rPr>
            </w:pPr>
            <w:r>
              <w:rPr>
                <w:rFonts w:hint="eastAsia" w:ascii="宋体" w:hAnsi="宋体"/>
                <w:b/>
                <w:color w:val="auto"/>
                <w:sz w:val="24"/>
                <w:szCs w:val="20"/>
                <w:highlight w:val="none"/>
              </w:rPr>
              <w:t>现场踏勘</w:t>
            </w:r>
          </w:p>
        </w:tc>
        <w:tc>
          <w:tcPr>
            <w:tcW w:w="7572" w:type="dxa"/>
            <w:tcBorders>
              <w:left w:val="single" w:color="auto" w:sz="4" w:space="0"/>
              <w:bottom w:val="single" w:color="auto" w:sz="4" w:space="0"/>
            </w:tcBorders>
            <w:noWrap w:val="0"/>
            <w:vAlign w:val="center"/>
          </w:tcPr>
          <w:p w14:paraId="3EF76074">
            <w:pPr>
              <w:pStyle w:val="22"/>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24"/>
                <w:szCs w:val="24"/>
                <w:highlight w:val="none"/>
              </w:rPr>
            </w:pPr>
            <w:r>
              <w:rPr>
                <w:rFonts w:hint="default" w:ascii="Times New Roman" w:hAnsi="Times New Roman" w:cs="Times New Roman" w:eastAsiaTheme="minorEastAsia"/>
                <w:b/>
                <w:bCs/>
                <w:color w:val="auto"/>
                <w:spacing w:val="-2"/>
                <w:sz w:val="24"/>
                <w:szCs w:val="24"/>
                <w:highlight w:val="none"/>
              </w:rPr>
              <w:sym w:font="Wingdings" w:char="00A8"/>
            </w:r>
            <w:r>
              <w:rPr>
                <w:rFonts w:hint="default" w:ascii="Times New Roman" w:hAnsi="Times New Roman" w:eastAsia="宋体" w:cs="Times New Roman"/>
                <w:b/>
                <w:bCs/>
                <w:color w:val="auto"/>
                <w:sz w:val="24"/>
                <w:szCs w:val="24"/>
                <w:highlight w:val="none"/>
              </w:rPr>
              <w:t>不组织，投标</w:t>
            </w:r>
            <w:r>
              <w:rPr>
                <w:rFonts w:hint="eastAsia" w:cs="Times New Roman"/>
                <w:b/>
                <w:bCs/>
                <w:color w:val="auto"/>
                <w:sz w:val="24"/>
                <w:szCs w:val="24"/>
                <w:highlight w:val="none"/>
                <w:lang w:eastAsia="zh-CN"/>
              </w:rPr>
              <w:t>供应商</w:t>
            </w:r>
            <w:r>
              <w:rPr>
                <w:rFonts w:hint="default" w:ascii="Times New Roman" w:hAnsi="Times New Roman" w:eastAsia="宋体" w:cs="Times New Roman"/>
                <w:b/>
                <w:bCs/>
                <w:color w:val="auto"/>
                <w:sz w:val="24"/>
                <w:szCs w:val="24"/>
                <w:highlight w:val="none"/>
              </w:rPr>
              <w:t>自行前往。</w:t>
            </w:r>
          </w:p>
          <w:p w14:paraId="64E42942">
            <w:pPr>
              <w:pStyle w:val="22"/>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24"/>
                <w:szCs w:val="24"/>
                <w:highlight w:val="none"/>
              </w:rPr>
            </w:pPr>
            <w:r>
              <w:rPr>
                <w:rFonts w:hint="default" w:ascii="Times New Roman" w:hAnsi="Times New Roman" w:cs="Times New Roman" w:eastAsiaTheme="minorEastAsia"/>
                <w:b/>
                <w:bCs/>
                <w:color w:val="auto"/>
                <w:spacing w:val="-2"/>
                <w:sz w:val="24"/>
                <w:szCs w:val="24"/>
                <w:highlight w:val="none"/>
              </w:rPr>
              <w:sym w:font="Wingdings" w:char="00FE"/>
            </w:r>
            <w:r>
              <w:rPr>
                <w:rFonts w:hint="default" w:ascii="Times New Roman" w:hAnsi="Times New Roman" w:eastAsia="宋体" w:cs="Times New Roman"/>
                <w:b/>
                <w:bCs/>
                <w:color w:val="auto"/>
                <w:sz w:val="24"/>
                <w:szCs w:val="24"/>
                <w:highlight w:val="none"/>
              </w:rPr>
              <w:t>组织</w:t>
            </w:r>
          </w:p>
          <w:p w14:paraId="0DDA5086">
            <w:pPr>
              <w:pStyle w:val="22"/>
              <w:keepNext w:val="0"/>
              <w:keepLines w:val="0"/>
              <w:suppressLineNumbers w:val="0"/>
              <w:spacing w:before="0" w:beforeAutospacing="0" w:after="0" w:afterAutospacing="0"/>
              <w:ind w:left="0" w:right="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时间：202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年</w:t>
            </w:r>
            <w:r>
              <w:rPr>
                <w:rFonts w:hint="eastAsia" w:ascii="宋体" w:hAnsi="宋体" w:eastAsia="宋体" w:cs="宋体"/>
                <w:b/>
                <w:bCs/>
                <w:color w:val="auto"/>
                <w:sz w:val="24"/>
                <w:szCs w:val="24"/>
                <w:highlight w:val="none"/>
                <w:lang w:val="en-US" w:eastAsia="zh-CN"/>
              </w:rPr>
              <w:t>07</w:t>
            </w:r>
            <w:r>
              <w:rPr>
                <w:rFonts w:hint="eastAsia" w:ascii="宋体" w:hAnsi="宋体" w:cs="宋体"/>
                <w:b/>
                <w:bCs/>
                <w:color w:val="auto"/>
                <w:sz w:val="24"/>
                <w:szCs w:val="24"/>
                <w:highlight w:val="none"/>
                <w:lang w:val="en-US" w:eastAsia="zh-CN"/>
              </w:rPr>
              <w:t>月21</w:t>
            </w:r>
            <w:r>
              <w:rPr>
                <w:rFonts w:hint="eastAsia" w:ascii="宋体" w:hAnsi="宋体" w:eastAsia="宋体" w:cs="宋体"/>
                <w:b/>
                <w:bCs/>
                <w:color w:val="auto"/>
                <w:sz w:val="24"/>
                <w:szCs w:val="24"/>
                <w:highlight w:val="none"/>
              </w:rPr>
              <w:t>日1</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点现场踏勘</w:t>
            </w:r>
          </w:p>
          <w:p w14:paraId="6E0D550E">
            <w:pPr>
              <w:pStyle w:val="22"/>
              <w:keepNext w:val="0"/>
              <w:keepLines w:val="0"/>
              <w:suppressLineNumbers w:val="0"/>
              <w:spacing w:before="0" w:beforeAutospacing="0" w:after="0" w:afterAutospacing="0"/>
              <w:ind w:left="0" w:right="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地点：供应商须在此之前，将踏勘人员信息发送至</w:t>
            </w:r>
            <w:r>
              <w:rPr>
                <w:rFonts w:hint="eastAsia" w:ascii="宋体" w:hAnsi="宋体" w:eastAsia="宋体" w:cs="宋体"/>
                <w:b/>
                <w:bCs/>
                <w:color w:val="auto"/>
                <w:sz w:val="24"/>
                <w:szCs w:val="24"/>
                <w:highlight w:val="none"/>
                <w:lang w:val="en-US" w:eastAsia="zh-CN"/>
              </w:rPr>
              <w:t>346596835</w:t>
            </w:r>
            <w:r>
              <w:rPr>
                <w:rFonts w:hint="eastAsia" w:ascii="宋体" w:hAnsi="宋体" w:eastAsia="宋体" w:cs="宋体"/>
                <w:b/>
                <w:bCs/>
                <w:color w:val="auto"/>
                <w:sz w:val="24"/>
                <w:szCs w:val="24"/>
                <w:highlight w:val="none"/>
              </w:rPr>
              <w:t>@qq.com</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踏勘人员信息包含：踏勘</w:t>
            </w:r>
            <w:r>
              <w:rPr>
                <w:rFonts w:hint="eastAsia" w:ascii="宋体" w:hAnsi="宋体" w:cs="宋体"/>
                <w:b/>
                <w:bCs/>
                <w:color w:val="auto"/>
                <w:sz w:val="24"/>
                <w:szCs w:val="24"/>
                <w:highlight w:val="none"/>
                <w:lang w:val="en-US" w:eastAsia="zh-CN"/>
              </w:rPr>
              <w:t>单位名称、</w:t>
            </w:r>
            <w:r>
              <w:rPr>
                <w:rFonts w:hint="eastAsia" w:ascii="宋体" w:hAnsi="宋体" w:eastAsia="宋体" w:cs="宋体"/>
                <w:b/>
                <w:bCs/>
                <w:color w:val="auto"/>
                <w:sz w:val="24"/>
                <w:szCs w:val="24"/>
                <w:highlight w:val="none"/>
              </w:rPr>
              <w:t>人员姓名、联系方式、</w:t>
            </w:r>
            <w:r>
              <w:rPr>
                <w:rFonts w:hint="eastAsia" w:ascii="宋体" w:hAnsi="宋体" w:eastAsia="宋体" w:cs="宋体"/>
                <w:b/>
                <w:bCs/>
                <w:color w:val="auto"/>
                <w:sz w:val="24"/>
                <w:szCs w:val="24"/>
                <w:highlight w:val="none"/>
                <w:lang w:val="en-US" w:eastAsia="zh-CN"/>
              </w:rPr>
              <w:t>一寸照、</w:t>
            </w:r>
            <w:r>
              <w:rPr>
                <w:rFonts w:hint="eastAsia" w:ascii="宋体" w:hAnsi="宋体" w:eastAsia="宋体" w:cs="宋体"/>
                <w:b/>
                <w:bCs/>
                <w:color w:val="auto"/>
                <w:sz w:val="24"/>
                <w:szCs w:val="24"/>
                <w:highlight w:val="none"/>
              </w:rPr>
              <w:t>身份证正反面图片、车牌号（若有），并致电</w:t>
            </w:r>
            <w:r>
              <w:rPr>
                <w:rFonts w:hint="eastAsia" w:ascii="宋体" w:hAnsi="宋体" w:eastAsia="宋体" w:cs="宋体"/>
                <w:b/>
                <w:bCs/>
                <w:color w:val="auto"/>
                <w:sz w:val="24"/>
                <w:szCs w:val="24"/>
                <w:highlight w:val="none"/>
                <w:lang w:val="en-US" w:eastAsia="zh-CN"/>
              </w:rPr>
              <w:t>15099331657</w:t>
            </w:r>
            <w:r>
              <w:rPr>
                <w:rFonts w:hint="eastAsia" w:ascii="宋体" w:hAnsi="宋体" w:eastAsia="宋体" w:cs="宋体"/>
                <w:b/>
                <w:bCs/>
                <w:color w:val="auto"/>
                <w:sz w:val="24"/>
                <w:szCs w:val="24"/>
                <w:highlight w:val="none"/>
              </w:rPr>
              <w:t>。</w:t>
            </w:r>
          </w:p>
          <w:p w14:paraId="78C2CC89">
            <w:pPr>
              <w:pStyle w:val="22"/>
              <w:keepNext w:val="0"/>
              <w:keepLines w:val="0"/>
              <w:suppressLineNumbers w:val="0"/>
              <w:spacing w:before="0" w:beforeAutospacing="0" w:after="0" w:afterAutospacing="0"/>
              <w:ind w:left="0" w:right="0"/>
              <w:rPr>
                <w:rFonts w:hint="default" w:ascii="Times New Roman" w:hAnsi="Times New Roman" w:cs="Times New Roman"/>
                <w:color w:val="auto"/>
                <w:szCs w:val="20"/>
                <w:highlight w:val="none"/>
              </w:rPr>
            </w:pPr>
            <w:r>
              <w:rPr>
                <w:rFonts w:hint="eastAsia" w:ascii="宋体" w:hAnsi="宋体" w:eastAsia="宋体" w:cs="宋体"/>
                <w:b/>
                <w:bCs/>
                <w:color w:val="auto"/>
                <w:sz w:val="24"/>
                <w:szCs w:val="24"/>
                <w:highlight w:val="none"/>
              </w:rPr>
              <w:t>未勘察现场或勘察工作不详细的投标方中标后，不得以不完全了解现场情况为理由而向采购人提出任何索赔或其他要求，对此采购人不承担任何责任并将不作任何答复。</w:t>
            </w:r>
          </w:p>
        </w:tc>
      </w:tr>
      <w:tr w14:paraId="28A653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shd w:val="clear" w:color="auto" w:fill="auto"/>
            <w:noWrap w:val="0"/>
            <w:vAlign w:val="center"/>
          </w:tcPr>
          <w:p w14:paraId="5B48C528">
            <w:pPr>
              <w:keepNext w:val="0"/>
              <w:keepLines w:val="0"/>
              <w:suppressLineNumbers w:val="0"/>
              <w:overflowPunct w:val="0"/>
              <w:spacing w:before="0" w:beforeAutospacing="0" w:after="0" w:afterAutospacing="0" w:line="276" w:lineRule="auto"/>
              <w:ind w:left="0" w:leftChars="0" w:right="0" w:rightChars="0"/>
              <w:jc w:val="center"/>
              <w:rPr>
                <w:rFonts w:hint="default" w:ascii="宋体" w:hAnsi="宋体" w:eastAsia="宋体" w:cs="Times New Roman"/>
                <w:b/>
                <w:color w:val="auto"/>
                <w:kern w:val="2"/>
                <w:sz w:val="24"/>
                <w:szCs w:val="20"/>
                <w:highlight w:val="none"/>
                <w:lang w:val="en-US" w:eastAsia="zh-CN" w:bidi="ar-SA"/>
              </w:rPr>
            </w:pPr>
            <w:r>
              <w:rPr>
                <w:rFonts w:hint="eastAsia" w:ascii="宋体" w:hAnsi="宋体"/>
                <w:b/>
                <w:color w:val="auto"/>
                <w:sz w:val="24"/>
                <w:szCs w:val="20"/>
                <w:highlight w:val="none"/>
              </w:rPr>
              <w:t>9</w:t>
            </w:r>
          </w:p>
        </w:tc>
        <w:tc>
          <w:tcPr>
            <w:tcW w:w="1774" w:type="dxa"/>
            <w:tcBorders>
              <w:bottom w:val="single" w:color="auto" w:sz="4" w:space="0"/>
              <w:right w:val="single" w:color="auto" w:sz="4" w:space="0"/>
            </w:tcBorders>
            <w:noWrap w:val="0"/>
            <w:vAlign w:val="center"/>
          </w:tcPr>
          <w:p w14:paraId="608FDB87">
            <w:pPr>
              <w:pStyle w:val="42"/>
              <w:keepNext w:val="0"/>
              <w:keepLines w:val="0"/>
              <w:suppressLineNumbers w:val="0"/>
              <w:spacing w:before="0" w:beforeAutospacing="0" w:after="0" w:afterAutospacing="0" w:line="276" w:lineRule="auto"/>
              <w:ind w:left="38" w:right="0"/>
              <w:jc w:val="center"/>
              <w:rPr>
                <w:rFonts w:hint="default" w:cs="Times New Roman"/>
                <w:b/>
                <w:color w:val="auto"/>
                <w:kern w:val="2"/>
                <w:highlight w:val="none"/>
              </w:rPr>
            </w:pPr>
            <w:r>
              <w:rPr>
                <w:rFonts w:hint="eastAsia" w:cs="Times New Roman"/>
                <w:b/>
                <w:color w:val="auto"/>
                <w:kern w:val="2"/>
                <w:highlight w:val="none"/>
              </w:rPr>
              <w:t>信用情况</w:t>
            </w:r>
          </w:p>
        </w:tc>
        <w:tc>
          <w:tcPr>
            <w:tcW w:w="7572" w:type="dxa"/>
            <w:tcBorders>
              <w:left w:val="single" w:color="auto" w:sz="4" w:space="0"/>
              <w:bottom w:val="single" w:color="auto" w:sz="4" w:space="0"/>
            </w:tcBorders>
            <w:noWrap w:val="0"/>
            <w:vAlign w:val="center"/>
          </w:tcPr>
          <w:p w14:paraId="12449544">
            <w:pPr>
              <w:keepNext w:val="0"/>
              <w:keepLines w:val="0"/>
              <w:widowControl/>
              <w:suppressLineNumbers w:val="0"/>
              <w:spacing w:before="0" w:beforeAutospacing="0" w:after="0" w:afterAutospacing="0" w:line="276" w:lineRule="auto"/>
              <w:ind w:left="0" w:right="0"/>
              <w:jc w:val="left"/>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t>信用记录审查：</w:t>
            </w:r>
          </w:p>
          <w:p w14:paraId="02C1EAAF">
            <w:pPr>
              <w:keepNext w:val="0"/>
              <w:keepLines w:val="0"/>
              <w:widowControl/>
              <w:suppressLineNumbers w:val="0"/>
              <w:spacing w:before="0" w:beforeAutospacing="0" w:after="0" w:afterAutospacing="0" w:line="276" w:lineRule="auto"/>
              <w:ind w:left="0" w:right="0"/>
              <w:jc w:val="left"/>
              <w:rPr>
                <w:rFonts w:hint="default" w:ascii="Times New Roman" w:hAnsi="Times New Roman" w:cs="Times New Roman"/>
                <w:b/>
                <w:color w:val="auto"/>
                <w:sz w:val="24"/>
                <w:szCs w:val="20"/>
                <w:highlight w:val="none"/>
              </w:rPr>
            </w:pPr>
            <w:r>
              <w:rPr>
                <w:rFonts w:hint="default" w:ascii="Times New Roman" w:hAnsi="Times New Roman" w:cs="Times New Roman"/>
                <w:color w:val="auto"/>
                <w:sz w:val="24"/>
                <w:szCs w:val="20"/>
                <w:highlight w:val="none"/>
              </w:rPr>
              <w:t>根据《财政部关于在政府采购活动中查询及使用信用记录有关问题的通知》（财库〔2016〕125号）规定，投标截止时间后，采购人或采购代理机构将通过“信用中国”网站</w:t>
            </w:r>
            <w:r>
              <w:rPr>
                <w:rFonts w:hint="default" w:ascii="Times New Roman" w:hAnsi="Times New Roman" w:cs="Times New Roman"/>
                <w:color w:val="auto"/>
                <w:sz w:val="24"/>
                <w:szCs w:val="20"/>
                <w:highlight w:val="none"/>
                <w:lang w:eastAsia="zh-CN"/>
              </w:rPr>
              <w:t>（</w:t>
            </w:r>
            <w:r>
              <w:rPr>
                <w:rFonts w:hint="default" w:ascii="Times New Roman" w:hAnsi="Times New Roman" w:cs="Times New Roman"/>
                <w:color w:val="auto"/>
                <w:sz w:val="24"/>
                <w:szCs w:val="20"/>
                <w:highlight w:val="none"/>
              </w:rPr>
              <w:t>www.creditchina.gov.cn</w:t>
            </w:r>
            <w:r>
              <w:rPr>
                <w:rFonts w:hint="default" w:ascii="Times New Roman" w:hAnsi="Times New Roman" w:cs="Times New Roman"/>
                <w:color w:val="auto"/>
                <w:sz w:val="24"/>
                <w:szCs w:val="20"/>
                <w:highlight w:val="none"/>
                <w:lang w:eastAsia="zh-CN"/>
              </w:rPr>
              <w:t>），</w:t>
            </w:r>
            <w:r>
              <w:rPr>
                <w:rFonts w:hint="default" w:ascii="Times New Roman" w:hAnsi="Times New Roman" w:cs="Times New Roman"/>
                <w:color w:val="auto"/>
                <w:kern w:val="0"/>
                <w:sz w:val="24"/>
                <w:szCs w:val="24"/>
                <w:highlight w:val="none"/>
              </w:rPr>
              <w:t>未被列入</w:t>
            </w:r>
            <w:r>
              <w:rPr>
                <w:rFonts w:hint="default" w:ascii="Times New Roman" w:hAnsi="Times New Roman" w:cs="Times New Roman"/>
                <w:color w:val="auto"/>
                <w:sz w:val="24"/>
                <w:szCs w:val="20"/>
                <w:highlight w:val="none"/>
              </w:rPr>
              <w:t>重大税收违法失信主体</w:t>
            </w:r>
            <w:r>
              <w:rPr>
                <w:rFonts w:hint="default" w:ascii="Times New Roman" w:hAnsi="Times New Roman" w:cs="Times New Roman"/>
                <w:color w:val="auto"/>
                <w:sz w:val="24"/>
                <w:szCs w:val="20"/>
                <w:highlight w:val="none"/>
                <w:lang w:eastAsia="zh-CN"/>
              </w:rPr>
              <w:t>；</w:t>
            </w:r>
            <w:r>
              <w:rPr>
                <w:rFonts w:hint="default" w:ascii="Times New Roman" w:hAnsi="Times New Roman" w:cs="Times New Roman"/>
                <w:color w:val="auto"/>
                <w:sz w:val="24"/>
                <w:szCs w:val="20"/>
                <w:highlight w:val="none"/>
              </w:rPr>
              <w:t>“中国执行信息公开网”http://zxgk.court.gov.cn/）</w:t>
            </w:r>
            <w:r>
              <w:rPr>
                <w:rFonts w:hint="default" w:ascii="Times New Roman" w:hAnsi="Times New Roman" w:cs="Times New Roman"/>
                <w:color w:val="auto"/>
                <w:sz w:val="24"/>
                <w:szCs w:val="20"/>
                <w:highlight w:val="none"/>
                <w:lang w:eastAsia="zh-CN"/>
              </w:rPr>
              <w:t>，未</w:t>
            </w:r>
            <w:r>
              <w:rPr>
                <w:rFonts w:hint="default" w:ascii="Times New Roman" w:hAnsi="Times New Roman" w:cs="Times New Roman"/>
                <w:color w:val="auto"/>
                <w:sz w:val="24"/>
                <w:szCs w:val="20"/>
                <w:highlight w:val="none"/>
              </w:rPr>
              <w:t>被列入失信被执行人</w:t>
            </w:r>
            <w:r>
              <w:rPr>
                <w:rFonts w:hint="eastAsia" w:cs="Times New Roman"/>
                <w:color w:val="auto"/>
                <w:sz w:val="24"/>
                <w:szCs w:val="20"/>
                <w:highlight w:val="none"/>
                <w:lang w:eastAsia="zh-CN"/>
              </w:rPr>
              <w:t>；在</w:t>
            </w:r>
            <w:r>
              <w:rPr>
                <w:rFonts w:hint="default" w:ascii="Times New Roman" w:hAnsi="Times New Roman" w:cs="Times New Roman"/>
                <w:color w:val="auto"/>
                <w:sz w:val="24"/>
                <w:szCs w:val="20"/>
                <w:highlight w:val="none"/>
              </w:rPr>
              <w:t>中国政府采购网</w:t>
            </w:r>
            <w:r>
              <w:rPr>
                <w:rFonts w:hint="default" w:ascii="Times New Roman" w:hAnsi="Times New Roman" w:cs="Times New Roman"/>
                <w:color w:val="auto"/>
                <w:sz w:val="24"/>
                <w:szCs w:val="20"/>
                <w:highlight w:val="none"/>
                <w:lang w:eastAsia="zh-CN"/>
              </w:rPr>
              <w:t>（</w:t>
            </w:r>
            <w:r>
              <w:rPr>
                <w:rFonts w:hint="default" w:ascii="Times New Roman" w:hAnsi="Times New Roman" w:cs="Times New Roman"/>
                <w:color w:val="auto"/>
                <w:sz w:val="24"/>
                <w:szCs w:val="20"/>
                <w:highlight w:val="none"/>
              </w:rPr>
              <w:t>www.ccgp.gov.cn</w:t>
            </w:r>
            <w:r>
              <w:rPr>
                <w:rFonts w:hint="default" w:ascii="Times New Roman" w:hAnsi="Times New Roman" w:cs="Times New Roman"/>
                <w:color w:val="auto"/>
                <w:sz w:val="24"/>
                <w:szCs w:val="20"/>
                <w:highlight w:val="none"/>
                <w:lang w:eastAsia="zh-CN"/>
              </w:rPr>
              <w:t>）</w:t>
            </w:r>
            <w:r>
              <w:rPr>
                <w:rFonts w:hint="default" w:ascii="Times New Roman" w:hAnsi="Times New Roman" w:cs="Times New Roman"/>
                <w:color w:val="auto"/>
                <w:kern w:val="0"/>
                <w:sz w:val="24"/>
                <w:szCs w:val="24"/>
                <w:highlight w:val="none"/>
              </w:rPr>
              <w:t>网站上</w:t>
            </w:r>
            <w:r>
              <w:rPr>
                <w:rFonts w:hint="default" w:ascii="Times New Roman" w:hAnsi="Times New Roman" w:cs="Times New Roman"/>
                <w:color w:val="auto"/>
                <w:kern w:val="0"/>
                <w:sz w:val="24"/>
                <w:szCs w:val="24"/>
                <w:highlight w:val="none"/>
                <w:lang w:eastAsia="zh-CN"/>
              </w:rPr>
              <w:t>，未</w:t>
            </w:r>
            <w:r>
              <w:rPr>
                <w:rFonts w:hint="default" w:ascii="Times New Roman" w:hAnsi="Times New Roman" w:cs="Times New Roman"/>
                <w:color w:val="auto"/>
                <w:kern w:val="0"/>
                <w:sz w:val="24"/>
                <w:szCs w:val="24"/>
                <w:highlight w:val="none"/>
              </w:rPr>
              <w:t>被列入政府采购严重违法失信行为记录名单</w:t>
            </w:r>
            <w:r>
              <w:rPr>
                <w:rFonts w:hint="default" w:ascii="Times New Roman" w:hAnsi="Times New Roman" w:cs="Times New Roman"/>
                <w:color w:val="auto"/>
                <w:sz w:val="24"/>
                <w:szCs w:val="20"/>
                <w:highlight w:val="none"/>
              </w:rPr>
              <w:t>，对</w:t>
            </w:r>
            <w:r>
              <w:rPr>
                <w:rFonts w:hint="default" w:ascii="Times New Roman" w:hAnsi="Times New Roman" w:cs="Times New Roman"/>
                <w:color w:val="auto"/>
                <w:sz w:val="24"/>
                <w:szCs w:val="20"/>
                <w:highlight w:val="none"/>
                <w:lang w:eastAsia="zh-CN"/>
              </w:rPr>
              <w:t>投标供应商</w:t>
            </w:r>
            <w:r>
              <w:rPr>
                <w:rFonts w:hint="eastAsia" w:cs="Times New Roman"/>
                <w:color w:val="auto"/>
                <w:sz w:val="24"/>
                <w:szCs w:val="20"/>
                <w:highlight w:val="none"/>
                <w:lang w:eastAsia="zh-CN"/>
              </w:rPr>
              <w:t>截至</w:t>
            </w:r>
            <w:r>
              <w:rPr>
                <w:rFonts w:hint="default" w:ascii="Times New Roman" w:hAnsi="Times New Roman" w:cs="Times New Roman"/>
                <w:color w:val="auto"/>
                <w:sz w:val="24"/>
                <w:szCs w:val="20"/>
                <w:highlight w:val="none"/>
              </w:rPr>
              <w:t>投标截止时间的信用</w:t>
            </w:r>
            <w:r>
              <w:rPr>
                <w:rFonts w:hint="default" w:ascii="Times New Roman" w:hAnsi="Times New Roman" w:cs="Times New Roman"/>
                <w:color w:val="auto"/>
                <w:sz w:val="24"/>
                <w:szCs w:val="20"/>
                <w:highlight w:val="none"/>
                <w:lang w:eastAsia="zh-CN"/>
              </w:rPr>
              <w:t>记录进行审查。</w:t>
            </w:r>
            <w:r>
              <w:rPr>
                <w:rFonts w:hint="default" w:ascii="Times New Roman" w:hAnsi="Times New Roman" w:cs="Times New Roman"/>
                <w:color w:val="auto"/>
                <w:sz w:val="24"/>
                <w:szCs w:val="20"/>
                <w:highlight w:val="none"/>
              </w:rPr>
              <w:t>进行审查，对列入失信被执行人、重大税收违法失信主体、政府采购严重违法失信行为记录名单及其他不符合《中华人民共和国政府采购法》第二十二条规定条件的供应商，其投标将被拒绝。</w:t>
            </w:r>
          </w:p>
        </w:tc>
      </w:tr>
      <w:tr w14:paraId="3FC39D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75" w:hRule="atLeast"/>
          <w:jc w:val="center"/>
        </w:trPr>
        <w:tc>
          <w:tcPr>
            <w:tcW w:w="979" w:type="dxa"/>
            <w:tcBorders>
              <w:top w:val="single" w:color="auto" w:sz="4" w:space="0"/>
            </w:tcBorders>
            <w:shd w:val="clear" w:color="auto" w:fill="auto"/>
            <w:noWrap w:val="0"/>
            <w:vAlign w:val="center"/>
          </w:tcPr>
          <w:p w14:paraId="0ECA39B9">
            <w:pPr>
              <w:keepNext w:val="0"/>
              <w:keepLines w:val="0"/>
              <w:suppressLineNumbers w:val="0"/>
              <w:overflowPunct w:val="0"/>
              <w:spacing w:before="0" w:beforeAutospacing="0" w:after="0" w:afterAutospacing="0" w:line="276" w:lineRule="auto"/>
              <w:ind w:left="0" w:leftChars="0" w:right="0" w:rightChars="0"/>
              <w:jc w:val="center"/>
              <w:rPr>
                <w:rFonts w:hint="eastAsia" w:ascii="宋体" w:hAnsi="宋体" w:eastAsia="宋体" w:cs="Times New Roman"/>
                <w:b/>
                <w:color w:val="auto"/>
                <w:kern w:val="2"/>
                <w:sz w:val="24"/>
                <w:szCs w:val="20"/>
                <w:highlight w:val="none"/>
                <w:lang w:val="en-US" w:eastAsia="zh-CN" w:bidi="ar-SA"/>
              </w:rPr>
            </w:pPr>
            <w:r>
              <w:rPr>
                <w:rFonts w:hint="eastAsia" w:ascii="宋体" w:hAnsi="宋体"/>
                <w:b/>
                <w:color w:val="auto"/>
                <w:sz w:val="24"/>
                <w:szCs w:val="20"/>
                <w:highlight w:val="none"/>
              </w:rPr>
              <w:t>10</w:t>
            </w:r>
          </w:p>
        </w:tc>
        <w:tc>
          <w:tcPr>
            <w:tcW w:w="1774" w:type="dxa"/>
            <w:tcBorders>
              <w:top w:val="single" w:color="auto" w:sz="4" w:space="0"/>
            </w:tcBorders>
            <w:noWrap w:val="0"/>
            <w:vAlign w:val="center"/>
          </w:tcPr>
          <w:p w14:paraId="718C2331">
            <w:pPr>
              <w:keepNext w:val="0"/>
              <w:keepLines w:val="0"/>
              <w:suppressLineNumbers w:val="0"/>
              <w:overflowPunct w:val="0"/>
              <w:spacing w:before="0" w:beforeAutospacing="0" w:after="0" w:afterAutospacing="0" w:line="276" w:lineRule="auto"/>
              <w:ind w:left="0" w:right="0"/>
              <w:jc w:val="center"/>
              <w:rPr>
                <w:rFonts w:hint="default" w:ascii="宋体" w:hAnsi="宋体"/>
                <w:b/>
                <w:color w:val="auto"/>
                <w:sz w:val="24"/>
                <w:szCs w:val="20"/>
                <w:highlight w:val="none"/>
              </w:rPr>
            </w:pPr>
            <w:r>
              <w:rPr>
                <w:rFonts w:hint="eastAsia" w:ascii="宋体" w:hAnsi="宋体" w:cs="宋体"/>
                <w:b/>
                <w:color w:val="auto"/>
                <w:kern w:val="0"/>
                <w:sz w:val="24"/>
                <w:szCs w:val="20"/>
                <w:highlight w:val="none"/>
              </w:rPr>
              <w:t>是否接受联合体投标</w:t>
            </w:r>
          </w:p>
        </w:tc>
        <w:tc>
          <w:tcPr>
            <w:tcW w:w="7572" w:type="dxa"/>
            <w:tcBorders>
              <w:top w:val="single" w:color="auto" w:sz="4" w:space="0"/>
            </w:tcBorders>
            <w:noWrap w:val="0"/>
            <w:vAlign w:val="center"/>
          </w:tcPr>
          <w:p w14:paraId="223C3D59">
            <w:pPr>
              <w:keepNext w:val="0"/>
              <w:keepLines w:val="0"/>
              <w:suppressLineNumbers w:val="0"/>
              <w:overflowPunct w:val="0"/>
              <w:spacing w:before="0" w:beforeAutospacing="0" w:after="0" w:afterAutospacing="0" w:line="276" w:lineRule="auto"/>
              <w:ind w:left="0" w:right="0"/>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t>不接受</w:t>
            </w:r>
          </w:p>
        </w:tc>
      </w:tr>
      <w:tr w14:paraId="30EB72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76" w:hRule="atLeast"/>
          <w:jc w:val="center"/>
        </w:trPr>
        <w:tc>
          <w:tcPr>
            <w:tcW w:w="979" w:type="dxa"/>
            <w:tcBorders>
              <w:top w:val="single" w:color="auto" w:sz="4" w:space="0"/>
            </w:tcBorders>
            <w:shd w:val="clear" w:color="auto" w:fill="auto"/>
            <w:noWrap w:val="0"/>
            <w:vAlign w:val="center"/>
          </w:tcPr>
          <w:p w14:paraId="188BB29C">
            <w:pPr>
              <w:keepNext w:val="0"/>
              <w:keepLines w:val="0"/>
              <w:suppressLineNumbers w:val="0"/>
              <w:overflowPunct w:val="0"/>
              <w:spacing w:before="0" w:beforeAutospacing="0" w:after="0" w:afterAutospacing="0" w:line="276" w:lineRule="auto"/>
              <w:ind w:left="0" w:leftChars="0" w:right="0" w:rightChars="0"/>
              <w:jc w:val="center"/>
              <w:rPr>
                <w:rFonts w:hint="eastAsia" w:ascii="宋体" w:hAnsi="宋体" w:eastAsia="宋体" w:cs="Times New Roman"/>
                <w:b/>
                <w:color w:val="auto"/>
                <w:kern w:val="2"/>
                <w:sz w:val="24"/>
                <w:szCs w:val="20"/>
                <w:highlight w:val="none"/>
                <w:lang w:val="en-US" w:eastAsia="zh-CN" w:bidi="ar-SA"/>
              </w:rPr>
            </w:pPr>
            <w:r>
              <w:rPr>
                <w:rFonts w:hint="eastAsia" w:ascii="宋体" w:hAnsi="宋体"/>
                <w:b/>
                <w:color w:val="auto"/>
                <w:sz w:val="24"/>
                <w:szCs w:val="20"/>
                <w:highlight w:val="none"/>
              </w:rPr>
              <w:t>11</w:t>
            </w:r>
          </w:p>
        </w:tc>
        <w:tc>
          <w:tcPr>
            <w:tcW w:w="1774" w:type="dxa"/>
            <w:tcBorders>
              <w:top w:val="single" w:color="auto" w:sz="4" w:space="0"/>
            </w:tcBorders>
            <w:noWrap w:val="0"/>
            <w:vAlign w:val="center"/>
          </w:tcPr>
          <w:p w14:paraId="66A44F1F">
            <w:pPr>
              <w:keepNext w:val="0"/>
              <w:keepLines w:val="0"/>
              <w:suppressLineNumbers w:val="0"/>
              <w:overflowPunct w:val="0"/>
              <w:spacing w:before="0" w:beforeAutospacing="0" w:after="0" w:afterAutospacing="0" w:line="276" w:lineRule="auto"/>
              <w:ind w:left="0" w:right="0"/>
              <w:jc w:val="center"/>
              <w:rPr>
                <w:rFonts w:hint="default" w:ascii="宋体" w:hAnsi="宋体" w:eastAsia="宋体" w:cs="宋体"/>
                <w:b/>
                <w:color w:val="auto"/>
                <w:kern w:val="0"/>
                <w:sz w:val="24"/>
                <w:szCs w:val="20"/>
                <w:highlight w:val="none"/>
                <w:lang w:val="en-US" w:eastAsia="zh-CN"/>
              </w:rPr>
            </w:pPr>
            <w:r>
              <w:rPr>
                <w:rFonts w:hint="eastAsia" w:ascii="宋体" w:hAnsi="宋体" w:cs="宋体"/>
                <w:b/>
                <w:color w:val="auto"/>
                <w:kern w:val="0"/>
                <w:sz w:val="24"/>
                <w:szCs w:val="20"/>
                <w:highlight w:val="none"/>
                <w:lang w:val="en-US" w:eastAsia="zh-CN"/>
              </w:rPr>
              <w:t>报价方式</w:t>
            </w:r>
          </w:p>
        </w:tc>
        <w:tc>
          <w:tcPr>
            <w:tcW w:w="7572" w:type="dxa"/>
            <w:tcBorders>
              <w:top w:val="single" w:color="auto" w:sz="4" w:space="0"/>
            </w:tcBorders>
            <w:noWrap w:val="0"/>
            <w:vAlign w:val="center"/>
          </w:tcPr>
          <w:p w14:paraId="0C78339C">
            <w:pPr>
              <w:keepNext w:val="0"/>
              <w:keepLines w:val="0"/>
              <w:suppressLineNumbers w:val="0"/>
              <w:overflowPunct w:val="0"/>
              <w:spacing w:before="0" w:beforeAutospacing="0" w:after="0" w:afterAutospacing="0" w:line="276" w:lineRule="auto"/>
              <w:ind w:left="0" w:right="0"/>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lang w:val="en-US" w:eastAsia="zh-CN"/>
              </w:rPr>
              <w:t>1.</w:t>
            </w:r>
            <w:r>
              <w:rPr>
                <w:rFonts w:hint="default" w:ascii="Times New Roman" w:hAnsi="Times New Roman" w:cs="Times New Roman"/>
                <w:color w:val="auto"/>
                <w:sz w:val="24"/>
                <w:szCs w:val="20"/>
                <w:highlight w:val="none"/>
              </w:rPr>
              <w:t>报价方式</w:t>
            </w:r>
            <w:r>
              <w:rPr>
                <w:rFonts w:hint="eastAsia" w:cs="Times New Roman"/>
                <w:color w:val="auto"/>
                <w:sz w:val="24"/>
                <w:szCs w:val="20"/>
                <w:highlight w:val="none"/>
                <w:lang w:eastAsia="zh-CN"/>
              </w:rPr>
              <w:t>：</w:t>
            </w:r>
            <w:r>
              <w:rPr>
                <w:rFonts w:hint="default" w:ascii="Times New Roman" w:hAnsi="Times New Roman" w:cs="Times New Roman"/>
                <w:color w:val="auto"/>
                <w:sz w:val="24"/>
                <w:szCs w:val="20"/>
                <w:highlight w:val="none"/>
              </w:rPr>
              <w:t>自主报价；</w:t>
            </w:r>
          </w:p>
          <w:p w14:paraId="6DB1705B">
            <w:pPr>
              <w:keepNext w:val="0"/>
              <w:keepLines w:val="0"/>
              <w:suppressLineNumbers w:val="0"/>
              <w:overflowPunct w:val="0"/>
              <w:spacing w:before="0" w:beforeAutospacing="0" w:after="0" w:afterAutospacing="0" w:line="276" w:lineRule="auto"/>
              <w:ind w:left="0" w:right="0"/>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lang w:val="en-US" w:eastAsia="zh-CN"/>
              </w:rPr>
              <w:t>2.</w:t>
            </w:r>
            <w:r>
              <w:rPr>
                <w:rFonts w:hint="default" w:ascii="Times New Roman" w:hAnsi="Times New Roman" w:cs="Times New Roman"/>
                <w:color w:val="auto"/>
                <w:sz w:val="24"/>
                <w:szCs w:val="20"/>
                <w:highlight w:val="none"/>
              </w:rPr>
              <w:t>报价要求：餐饮服务费支付比例；</w:t>
            </w:r>
          </w:p>
          <w:p w14:paraId="13C6B0F4">
            <w:pPr>
              <w:keepNext w:val="0"/>
              <w:keepLines w:val="0"/>
              <w:suppressLineNumbers w:val="0"/>
              <w:overflowPunct w:val="0"/>
              <w:spacing w:before="0" w:beforeAutospacing="0" w:after="0" w:afterAutospacing="0" w:line="276" w:lineRule="auto"/>
              <w:ind w:left="0" w:right="0"/>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lang w:val="en-US" w:eastAsia="zh-CN"/>
              </w:rPr>
              <w:t>3.</w:t>
            </w:r>
            <w:r>
              <w:rPr>
                <w:rFonts w:hint="default" w:ascii="Times New Roman" w:hAnsi="Times New Roman" w:cs="Times New Roman"/>
                <w:color w:val="auto"/>
                <w:sz w:val="24"/>
                <w:szCs w:val="20"/>
                <w:highlight w:val="none"/>
              </w:rPr>
              <w:t>餐饮服务费支付：</w:t>
            </w:r>
          </w:p>
          <w:p w14:paraId="05A0EFA7">
            <w:pPr>
              <w:pStyle w:val="67"/>
              <w:keepNext w:val="0"/>
              <w:keepLines w:val="0"/>
              <w:suppressLineNumbers w:val="0"/>
              <w:shd w:val="clear"/>
              <w:spacing w:before="0" w:beforeAutospacing="0" w:after="0" w:afterAutospacing="0" w:line="300" w:lineRule="exact"/>
              <w:ind w:left="111" w:right="0"/>
              <w:rPr>
                <w:rFonts w:hint="default" w:ascii="Times New Roman" w:hAnsi="Times New Roman" w:cs="Times New Roman" w:eastAsiaTheme="minorEastAsia"/>
                <w:color w:val="auto"/>
                <w:spacing w:val="-4"/>
                <w:sz w:val="24"/>
                <w:szCs w:val="24"/>
                <w:highlight w:val="none"/>
              </w:rPr>
            </w:pPr>
            <w:r>
              <w:rPr>
                <w:rFonts w:hint="default" w:ascii="Times New Roman" w:hAnsi="Times New Roman" w:cs="Times New Roman" w:eastAsiaTheme="minorEastAsia"/>
                <w:color w:val="auto"/>
                <w:spacing w:val="-4"/>
                <w:sz w:val="24"/>
                <w:szCs w:val="24"/>
                <w:highlight w:val="none"/>
              </w:rPr>
              <w:t>第一标段：餐饮服务支付比例不得高于占每期收入的</w:t>
            </w:r>
            <w:r>
              <w:rPr>
                <w:rFonts w:hint="default" w:ascii="Times New Roman" w:hAnsi="Times New Roman" w:cs="Times New Roman" w:eastAsiaTheme="minorEastAsia"/>
                <w:color w:val="auto"/>
                <w:spacing w:val="-4"/>
                <w:sz w:val="24"/>
                <w:szCs w:val="24"/>
                <w:highlight w:val="none"/>
                <w:lang w:val="en-US" w:eastAsia="zh-CN"/>
              </w:rPr>
              <w:t>51</w:t>
            </w:r>
            <w:r>
              <w:rPr>
                <w:rFonts w:hint="default" w:ascii="Times New Roman" w:hAnsi="Times New Roman" w:cs="Times New Roman" w:eastAsiaTheme="minorEastAsia"/>
                <w:color w:val="auto"/>
                <w:spacing w:val="-4"/>
                <w:sz w:val="24"/>
                <w:szCs w:val="24"/>
                <w:highlight w:val="none"/>
              </w:rPr>
              <w:t>%（根据实际报价执行）；</w:t>
            </w:r>
          </w:p>
          <w:p w14:paraId="2E9735F2">
            <w:pPr>
              <w:pStyle w:val="67"/>
              <w:keepNext w:val="0"/>
              <w:keepLines w:val="0"/>
              <w:suppressLineNumbers w:val="0"/>
              <w:shd w:val="clear"/>
              <w:spacing w:before="0" w:beforeAutospacing="0" w:after="0" w:afterAutospacing="0" w:line="300" w:lineRule="exact"/>
              <w:ind w:left="111" w:right="0"/>
              <w:rPr>
                <w:rFonts w:hint="default" w:ascii="Times New Roman" w:hAnsi="Times New Roman" w:cs="Times New Roman" w:eastAsiaTheme="minorEastAsia"/>
                <w:color w:val="auto"/>
                <w:spacing w:val="-4"/>
                <w:sz w:val="24"/>
                <w:szCs w:val="24"/>
                <w:highlight w:val="none"/>
                <w:lang w:eastAsia="zh-CN"/>
              </w:rPr>
            </w:pPr>
            <w:r>
              <w:rPr>
                <w:rFonts w:hint="default" w:ascii="Times New Roman" w:hAnsi="Times New Roman" w:cs="Times New Roman" w:eastAsiaTheme="minorEastAsia"/>
                <w:color w:val="auto"/>
                <w:spacing w:val="-4"/>
                <w:sz w:val="24"/>
                <w:szCs w:val="24"/>
                <w:highlight w:val="none"/>
              </w:rPr>
              <w:t>第二标段：餐饮服务支付比例不得高于占每期收入的</w:t>
            </w:r>
            <w:r>
              <w:rPr>
                <w:rFonts w:hint="default" w:ascii="Times New Roman" w:hAnsi="Times New Roman" w:cs="Times New Roman" w:eastAsiaTheme="minorEastAsia"/>
                <w:color w:val="auto"/>
                <w:spacing w:val="-4"/>
                <w:sz w:val="24"/>
                <w:szCs w:val="24"/>
                <w:highlight w:val="none"/>
                <w:lang w:val="en-US" w:eastAsia="zh-CN"/>
              </w:rPr>
              <w:t>63</w:t>
            </w:r>
            <w:r>
              <w:rPr>
                <w:rFonts w:hint="eastAsia" w:ascii="Times New Roman" w:hAnsi="Times New Roman" w:cs="Times New Roman" w:eastAsiaTheme="minorEastAsia"/>
                <w:color w:val="auto"/>
                <w:spacing w:val="-4"/>
                <w:sz w:val="24"/>
                <w:szCs w:val="24"/>
                <w:highlight w:val="none"/>
                <w:lang w:val="en-US" w:eastAsia="zh-CN"/>
              </w:rPr>
              <w:t>.5</w:t>
            </w:r>
            <w:r>
              <w:rPr>
                <w:rFonts w:hint="default" w:ascii="Times New Roman" w:hAnsi="Times New Roman" w:cs="Times New Roman" w:eastAsiaTheme="minorEastAsia"/>
                <w:color w:val="auto"/>
                <w:spacing w:val="-4"/>
                <w:sz w:val="24"/>
                <w:szCs w:val="24"/>
                <w:highlight w:val="none"/>
              </w:rPr>
              <w:t>%（根据实际报价执行）</w:t>
            </w:r>
            <w:r>
              <w:rPr>
                <w:rFonts w:hint="default" w:ascii="Times New Roman" w:hAnsi="Times New Roman" w:cs="Times New Roman" w:eastAsiaTheme="minorEastAsia"/>
                <w:color w:val="auto"/>
                <w:spacing w:val="-4"/>
                <w:sz w:val="24"/>
                <w:szCs w:val="24"/>
                <w:highlight w:val="none"/>
                <w:lang w:eastAsia="zh-CN"/>
              </w:rPr>
              <w:t>；</w:t>
            </w:r>
          </w:p>
          <w:p w14:paraId="514942DA">
            <w:pPr>
              <w:pStyle w:val="67"/>
              <w:keepNext w:val="0"/>
              <w:keepLines w:val="0"/>
              <w:suppressLineNumbers w:val="0"/>
              <w:shd w:val="clear"/>
              <w:spacing w:before="0" w:beforeAutospacing="0" w:after="0" w:afterAutospacing="0" w:line="300" w:lineRule="exact"/>
              <w:ind w:left="111" w:right="0"/>
              <w:rPr>
                <w:rFonts w:hint="default" w:ascii="Times New Roman" w:hAnsi="Times New Roman" w:cs="Times New Roman" w:eastAsiaTheme="minorEastAsia"/>
                <w:color w:val="auto"/>
                <w:spacing w:val="-4"/>
                <w:sz w:val="24"/>
                <w:szCs w:val="24"/>
                <w:highlight w:val="none"/>
              </w:rPr>
            </w:pPr>
            <w:r>
              <w:rPr>
                <w:rFonts w:hint="default" w:ascii="Times New Roman" w:hAnsi="Times New Roman" w:cs="Times New Roman" w:eastAsiaTheme="minorEastAsia"/>
                <w:color w:val="auto"/>
                <w:spacing w:val="-4"/>
                <w:sz w:val="24"/>
                <w:szCs w:val="24"/>
                <w:highlight w:val="none"/>
              </w:rPr>
              <w:t>第</w:t>
            </w:r>
            <w:r>
              <w:rPr>
                <w:rFonts w:hint="default" w:ascii="Times New Roman" w:hAnsi="Times New Roman" w:cs="Times New Roman" w:eastAsiaTheme="minorEastAsia"/>
                <w:color w:val="auto"/>
                <w:spacing w:val="-4"/>
                <w:sz w:val="24"/>
                <w:szCs w:val="24"/>
                <w:highlight w:val="none"/>
                <w:lang w:eastAsia="zh-CN"/>
              </w:rPr>
              <w:t>三</w:t>
            </w:r>
            <w:r>
              <w:rPr>
                <w:rFonts w:hint="default" w:ascii="Times New Roman" w:hAnsi="Times New Roman" w:cs="Times New Roman" w:eastAsiaTheme="minorEastAsia"/>
                <w:color w:val="auto"/>
                <w:spacing w:val="-4"/>
                <w:sz w:val="24"/>
                <w:szCs w:val="24"/>
                <w:highlight w:val="none"/>
              </w:rPr>
              <w:t>标段：餐饮服务支付比例不得高于占每期收入的</w:t>
            </w:r>
            <w:r>
              <w:rPr>
                <w:rFonts w:hint="default" w:ascii="Times New Roman" w:hAnsi="Times New Roman" w:cs="Times New Roman" w:eastAsiaTheme="minorEastAsia"/>
                <w:color w:val="auto"/>
                <w:spacing w:val="-4"/>
                <w:sz w:val="24"/>
                <w:szCs w:val="24"/>
                <w:highlight w:val="none"/>
                <w:lang w:val="en-US" w:eastAsia="zh-CN"/>
              </w:rPr>
              <w:t>52</w:t>
            </w:r>
            <w:r>
              <w:rPr>
                <w:rFonts w:hint="default" w:ascii="Times New Roman" w:hAnsi="Times New Roman" w:cs="Times New Roman" w:eastAsiaTheme="minorEastAsia"/>
                <w:color w:val="auto"/>
                <w:spacing w:val="-4"/>
                <w:sz w:val="24"/>
                <w:szCs w:val="24"/>
                <w:highlight w:val="none"/>
              </w:rPr>
              <w:t>%（根据实际报价执行）</w:t>
            </w:r>
            <w:r>
              <w:rPr>
                <w:rFonts w:hint="default" w:ascii="Times New Roman" w:hAnsi="Times New Roman" w:cs="Times New Roman" w:eastAsiaTheme="minorEastAsia"/>
                <w:color w:val="auto"/>
                <w:spacing w:val="-4"/>
                <w:sz w:val="24"/>
                <w:szCs w:val="24"/>
                <w:highlight w:val="none"/>
                <w:lang w:eastAsia="zh-CN"/>
              </w:rPr>
              <w:t>。</w:t>
            </w:r>
          </w:p>
        </w:tc>
      </w:tr>
      <w:tr w14:paraId="29A335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shd w:val="clear" w:color="auto" w:fill="auto"/>
            <w:noWrap w:val="0"/>
            <w:vAlign w:val="center"/>
          </w:tcPr>
          <w:p w14:paraId="5627FB81">
            <w:pPr>
              <w:keepNext w:val="0"/>
              <w:keepLines w:val="0"/>
              <w:suppressLineNumbers w:val="0"/>
              <w:overflowPunct w:val="0"/>
              <w:spacing w:before="0" w:beforeAutospacing="0" w:after="0" w:afterAutospacing="0" w:line="276" w:lineRule="auto"/>
              <w:ind w:left="0" w:leftChars="0" w:right="0" w:rightChars="0"/>
              <w:jc w:val="center"/>
              <w:rPr>
                <w:rFonts w:hint="eastAsia" w:ascii="宋体" w:hAnsi="宋体" w:eastAsia="宋体" w:cs="Times New Roman"/>
                <w:b/>
                <w:color w:val="auto"/>
                <w:kern w:val="2"/>
                <w:sz w:val="24"/>
                <w:szCs w:val="20"/>
                <w:highlight w:val="none"/>
                <w:lang w:val="en-US" w:eastAsia="zh-CN" w:bidi="ar-SA"/>
              </w:rPr>
            </w:pPr>
            <w:r>
              <w:rPr>
                <w:rFonts w:hint="eastAsia" w:ascii="宋体" w:hAnsi="宋体"/>
                <w:b/>
                <w:color w:val="auto"/>
                <w:sz w:val="24"/>
                <w:szCs w:val="20"/>
                <w:highlight w:val="none"/>
              </w:rPr>
              <w:t>12</w:t>
            </w:r>
          </w:p>
        </w:tc>
        <w:tc>
          <w:tcPr>
            <w:tcW w:w="1774" w:type="dxa"/>
            <w:noWrap w:val="0"/>
            <w:vAlign w:val="center"/>
          </w:tcPr>
          <w:p w14:paraId="490E8E67">
            <w:pPr>
              <w:keepNext w:val="0"/>
              <w:keepLines w:val="0"/>
              <w:suppressLineNumbers w:val="0"/>
              <w:overflowPunct w:val="0"/>
              <w:spacing w:before="0" w:beforeAutospacing="0" w:after="0" w:afterAutospacing="0" w:line="276" w:lineRule="auto"/>
              <w:ind w:left="0" w:right="0"/>
              <w:jc w:val="center"/>
              <w:rPr>
                <w:rFonts w:hint="default" w:ascii="宋体" w:hAnsi="宋体"/>
                <w:b/>
                <w:color w:val="auto"/>
                <w:sz w:val="24"/>
                <w:szCs w:val="20"/>
                <w:highlight w:val="none"/>
              </w:rPr>
            </w:pPr>
            <w:r>
              <w:rPr>
                <w:rFonts w:hint="eastAsia" w:ascii="宋体" w:hAnsi="宋体"/>
                <w:b/>
                <w:color w:val="auto"/>
                <w:sz w:val="24"/>
                <w:szCs w:val="20"/>
                <w:highlight w:val="none"/>
                <w:lang w:eastAsia="zh-CN"/>
              </w:rPr>
              <w:t>公开招标文件</w:t>
            </w:r>
            <w:r>
              <w:rPr>
                <w:rFonts w:hint="eastAsia" w:ascii="宋体" w:hAnsi="宋体"/>
                <w:b/>
                <w:color w:val="auto"/>
                <w:sz w:val="24"/>
                <w:szCs w:val="20"/>
                <w:highlight w:val="none"/>
              </w:rPr>
              <w:t>发放日期</w:t>
            </w:r>
          </w:p>
        </w:tc>
        <w:tc>
          <w:tcPr>
            <w:tcW w:w="7572" w:type="dxa"/>
            <w:noWrap w:val="0"/>
            <w:vAlign w:val="center"/>
          </w:tcPr>
          <w:p w14:paraId="488F1976">
            <w:pPr>
              <w:keepNext w:val="0"/>
              <w:keepLines w:val="0"/>
              <w:suppressLineNumbers w:val="0"/>
              <w:overflowPunct w:val="0"/>
              <w:spacing w:before="0" w:beforeAutospacing="0" w:after="0" w:afterAutospacing="0" w:line="276" w:lineRule="auto"/>
              <w:ind w:left="0" w:right="0"/>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t>时间：</w:t>
            </w:r>
            <w:r>
              <w:rPr>
                <w:rFonts w:hint="default" w:ascii="Times New Roman" w:hAnsi="Times New Roman" w:cs="Times New Roman"/>
                <w:color w:val="auto"/>
                <w:kern w:val="0"/>
                <w:sz w:val="24"/>
                <w:szCs w:val="24"/>
                <w:highlight w:val="none"/>
                <w:lang w:eastAsia="zh-CN"/>
              </w:rPr>
              <w:t>202</w:t>
            </w:r>
            <w:r>
              <w:rPr>
                <w:rFonts w:hint="default" w:ascii="Times New Roman" w:hAnsi="Times New Roman" w:cs="Times New Roman"/>
                <w:color w:val="auto"/>
                <w:kern w:val="0"/>
                <w:sz w:val="24"/>
                <w:szCs w:val="24"/>
                <w:highlight w:val="none"/>
                <w:lang w:val="en-US" w:eastAsia="zh-CN"/>
              </w:rPr>
              <w:t>6</w:t>
            </w:r>
            <w:r>
              <w:rPr>
                <w:rFonts w:hint="default" w:ascii="Times New Roman" w:hAnsi="Times New Roman" w:cs="Times New Roman"/>
                <w:color w:val="auto"/>
                <w:kern w:val="0"/>
                <w:sz w:val="24"/>
                <w:szCs w:val="24"/>
                <w:highlight w:val="none"/>
                <w:lang w:eastAsia="zh-CN"/>
              </w:rPr>
              <w:t>年</w:t>
            </w:r>
            <w:r>
              <w:rPr>
                <w:rFonts w:hint="eastAsia" w:cs="Times New Roman"/>
                <w:color w:val="auto"/>
                <w:kern w:val="0"/>
                <w:sz w:val="24"/>
                <w:szCs w:val="24"/>
                <w:highlight w:val="none"/>
                <w:lang w:val="en-US" w:eastAsia="zh-CN"/>
              </w:rPr>
              <w:t>07</w:t>
            </w:r>
            <w:r>
              <w:rPr>
                <w:rFonts w:hint="default" w:ascii="Times New Roman" w:hAnsi="Times New Roman" w:cs="Times New Roman"/>
                <w:color w:val="auto"/>
                <w:kern w:val="0"/>
                <w:sz w:val="24"/>
                <w:szCs w:val="24"/>
                <w:highlight w:val="none"/>
                <w:lang w:eastAsia="zh-CN"/>
              </w:rPr>
              <w:t>月</w:t>
            </w:r>
            <w:r>
              <w:rPr>
                <w:rFonts w:hint="eastAsia" w:cs="Times New Roman"/>
                <w:color w:val="auto"/>
                <w:kern w:val="0"/>
                <w:sz w:val="24"/>
                <w:szCs w:val="24"/>
                <w:highlight w:val="none"/>
                <w:lang w:val="en-US" w:eastAsia="zh-CN"/>
              </w:rPr>
              <w:t>10</w:t>
            </w:r>
            <w:r>
              <w:rPr>
                <w:rFonts w:hint="default" w:ascii="Times New Roman" w:hAnsi="Times New Roman" w:cs="Times New Roman"/>
                <w:color w:val="auto"/>
                <w:kern w:val="0"/>
                <w:sz w:val="24"/>
                <w:szCs w:val="24"/>
                <w:highlight w:val="none"/>
                <w:lang w:eastAsia="zh-CN"/>
              </w:rPr>
              <w:t>日</w:t>
            </w:r>
            <w:r>
              <w:rPr>
                <w:rFonts w:hint="default" w:ascii="Times New Roman" w:hAnsi="Times New Roman" w:cs="Times New Roman"/>
                <w:color w:val="auto"/>
                <w:kern w:val="0"/>
                <w:sz w:val="24"/>
                <w:szCs w:val="24"/>
                <w:highlight w:val="none"/>
              </w:rPr>
              <w:t>至</w:t>
            </w:r>
            <w:r>
              <w:rPr>
                <w:rFonts w:hint="default" w:ascii="Times New Roman" w:hAnsi="Times New Roman" w:cs="Times New Roman"/>
                <w:color w:val="auto"/>
                <w:kern w:val="0"/>
                <w:sz w:val="24"/>
                <w:szCs w:val="24"/>
                <w:highlight w:val="none"/>
                <w:lang w:eastAsia="zh-CN"/>
              </w:rPr>
              <w:t>202</w:t>
            </w:r>
            <w:r>
              <w:rPr>
                <w:rFonts w:hint="default" w:ascii="Times New Roman" w:hAnsi="Times New Roman" w:cs="Times New Roman"/>
                <w:color w:val="auto"/>
                <w:kern w:val="0"/>
                <w:sz w:val="24"/>
                <w:szCs w:val="24"/>
                <w:highlight w:val="none"/>
                <w:lang w:val="en-US" w:eastAsia="zh-CN"/>
              </w:rPr>
              <w:t>6</w:t>
            </w:r>
            <w:r>
              <w:rPr>
                <w:rFonts w:hint="default" w:ascii="Times New Roman" w:hAnsi="Times New Roman" w:cs="Times New Roman"/>
                <w:color w:val="auto"/>
                <w:kern w:val="0"/>
                <w:sz w:val="24"/>
                <w:szCs w:val="24"/>
                <w:highlight w:val="none"/>
                <w:lang w:eastAsia="zh-CN"/>
              </w:rPr>
              <w:t>年</w:t>
            </w:r>
            <w:r>
              <w:rPr>
                <w:rFonts w:hint="eastAsia" w:cs="Times New Roman"/>
                <w:color w:val="auto"/>
                <w:kern w:val="0"/>
                <w:sz w:val="24"/>
                <w:szCs w:val="24"/>
                <w:highlight w:val="none"/>
                <w:lang w:val="en-US" w:eastAsia="zh-CN"/>
              </w:rPr>
              <w:t>07</w:t>
            </w:r>
            <w:r>
              <w:rPr>
                <w:rFonts w:hint="default" w:ascii="Times New Roman" w:hAnsi="Times New Roman" w:cs="Times New Roman"/>
                <w:color w:val="auto"/>
                <w:kern w:val="0"/>
                <w:sz w:val="24"/>
                <w:szCs w:val="24"/>
                <w:highlight w:val="none"/>
                <w:lang w:eastAsia="zh-CN"/>
              </w:rPr>
              <w:t>月</w:t>
            </w:r>
            <w:r>
              <w:rPr>
                <w:rFonts w:hint="eastAsia" w:cs="Times New Roman"/>
                <w:color w:val="auto"/>
                <w:kern w:val="0"/>
                <w:sz w:val="24"/>
                <w:szCs w:val="24"/>
                <w:highlight w:val="none"/>
                <w:lang w:val="en-US" w:eastAsia="zh-CN"/>
              </w:rPr>
              <w:t>17</w:t>
            </w:r>
            <w:r>
              <w:rPr>
                <w:rFonts w:hint="default" w:ascii="Times New Roman" w:hAnsi="Times New Roman" w:cs="Times New Roman"/>
                <w:color w:val="auto"/>
                <w:kern w:val="0"/>
                <w:sz w:val="24"/>
                <w:szCs w:val="24"/>
                <w:highlight w:val="none"/>
                <w:lang w:eastAsia="zh-CN"/>
              </w:rPr>
              <w:t>日</w:t>
            </w:r>
            <w:r>
              <w:rPr>
                <w:rFonts w:hint="default" w:ascii="Times New Roman" w:hAnsi="Times New Roman" w:cs="Times New Roman"/>
                <w:color w:val="auto"/>
                <w:sz w:val="24"/>
                <w:szCs w:val="20"/>
                <w:highlight w:val="none"/>
              </w:rPr>
              <w:t>（每日00</w:t>
            </w:r>
            <w:r>
              <w:rPr>
                <w:rFonts w:hint="default" w:ascii="Times New Roman" w:hAnsi="Times New Roman" w:cs="Times New Roman"/>
                <w:color w:val="auto"/>
                <w:sz w:val="24"/>
                <w:szCs w:val="20"/>
                <w:highlight w:val="none"/>
                <w:lang w:eastAsia="zh-CN"/>
              </w:rPr>
              <w:t>:</w:t>
            </w:r>
            <w:r>
              <w:rPr>
                <w:rFonts w:hint="default" w:ascii="Times New Roman" w:hAnsi="Times New Roman" w:cs="Times New Roman"/>
                <w:color w:val="auto"/>
                <w:sz w:val="24"/>
                <w:szCs w:val="20"/>
                <w:highlight w:val="none"/>
              </w:rPr>
              <w:t>00-12</w:t>
            </w:r>
            <w:r>
              <w:rPr>
                <w:rFonts w:hint="default" w:ascii="Times New Roman" w:hAnsi="Times New Roman" w:cs="Times New Roman"/>
                <w:color w:val="auto"/>
                <w:sz w:val="24"/>
                <w:szCs w:val="20"/>
                <w:highlight w:val="none"/>
                <w:lang w:eastAsia="zh-CN"/>
              </w:rPr>
              <w:t>:</w:t>
            </w:r>
            <w:r>
              <w:rPr>
                <w:rFonts w:hint="default" w:ascii="Times New Roman" w:hAnsi="Times New Roman" w:cs="Times New Roman"/>
                <w:color w:val="auto"/>
                <w:sz w:val="24"/>
                <w:szCs w:val="20"/>
                <w:highlight w:val="none"/>
              </w:rPr>
              <w:t>00，12</w:t>
            </w:r>
            <w:r>
              <w:rPr>
                <w:rFonts w:hint="default" w:ascii="Times New Roman" w:hAnsi="Times New Roman" w:cs="Times New Roman"/>
                <w:color w:val="auto"/>
                <w:sz w:val="24"/>
                <w:szCs w:val="20"/>
                <w:highlight w:val="none"/>
                <w:lang w:eastAsia="zh-CN"/>
              </w:rPr>
              <w:t>:</w:t>
            </w:r>
            <w:r>
              <w:rPr>
                <w:rFonts w:hint="default" w:ascii="Times New Roman" w:hAnsi="Times New Roman" w:cs="Times New Roman"/>
                <w:color w:val="auto"/>
                <w:sz w:val="24"/>
                <w:szCs w:val="20"/>
                <w:highlight w:val="none"/>
              </w:rPr>
              <w:t>00-23</w:t>
            </w:r>
            <w:r>
              <w:rPr>
                <w:rFonts w:hint="default" w:ascii="Times New Roman" w:hAnsi="Times New Roman" w:cs="Times New Roman"/>
                <w:color w:val="auto"/>
                <w:sz w:val="24"/>
                <w:szCs w:val="20"/>
                <w:highlight w:val="none"/>
                <w:lang w:eastAsia="zh-CN"/>
              </w:rPr>
              <w:t>:</w:t>
            </w:r>
            <w:r>
              <w:rPr>
                <w:rFonts w:hint="default" w:ascii="Times New Roman" w:hAnsi="Times New Roman" w:cs="Times New Roman"/>
                <w:color w:val="auto"/>
                <w:sz w:val="24"/>
                <w:szCs w:val="20"/>
                <w:highlight w:val="none"/>
              </w:rPr>
              <w:t>59，北京时间，节假日除外</w:t>
            </w:r>
            <w:r>
              <w:rPr>
                <w:rFonts w:hint="default" w:ascii="Times New Roman" w:hAnsi="Times New Roman" w:cs="Times New Roman"/>
                <w:color w:val="auto"/>
                <w:sz w:val="24"/>
                <w:szCs w:val="20"/>
                <w:highlight w:val="none"/>
                <w:lang w:eastAsia="zh-CN"/>
              </w:rPr>
              <w:t>）</w:t>
            </w:r>
          </w:p>
          <w:p w14:paraId="691C8D78">
            <w:pPr>
              <w:keepNext w:val="0"/>
              <w:keepLines w:val="0"/>
              <w:widowControl/>
              <w:suppressLineNumbers w:val="0"/>
              <w:spacing w:before="0" w:beforeAutospacing="0" w:after="0" w:afterAutospacing="0" w:line="276" w:lineRule="auto"/>
              <w:ind w:left="0" w:right="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sz w:val="24"/>
                <w:szCs w:val="20"/>
                <w:highlight w:val="none"/>
              </w:rPr>
              <w:t>地点：</w:t>
            </w:r>
            <w:r>
              <w:rPr>
                <w:rFonts w:hint="default" w:ascii="Times New Roman" w:hAnsi="Times New Roman" w:cs="Times New Roman"/>
                <w:color w:val="auto"/>
                <w:kern w:val="0"/>
                <w:sz w:val="24"/>
                <w:szCs w:val="24"/>
                <w:highlight w:val="none"/>
              </w:rPr>
              <w:t>线上获取。供应商登录政采云平台https://www.zcygov.cn/在线申请获取</w:t>
            </w:r>
            <w:r>
              <w:rPr>
                <w:rFonts w:hint="default" w:ascii="Times New Roman" w:hAnsi="Times New Roman" w:cs="Times New Roman"/>
                <w:color w:val="auto"/>
                <w:kern w:val="0"/>
                <w:sz w:val="24"/>
                <w:szCs w:val="24"/>
                <w:highlight w:val="none"/>
                <w:lang w:eastAsia="zh-CN"/>
              </w:rPr>
              <w:t>公开招标文件</w:t>
            </w:r>
            <w:r>
              <w:rPr>
                <w:rFonts w:hint="default" w:ascii="Times New Roman" w:hAnsi="Times New Roman" w:cs="Times New Roman"/>
                <w:color w:val="auto"/>
                <w:kern w:val="0"/>
                <w:sz w:val="24"/>
                <w:szCs w:val="24"/>
                <w:highlight w:val="none"/>
              </w:rPr>
              <w:t>（进入“项目采购”应用，在获取</w:t>
            </w:r>
            <w:r>
              <w:rPr>
                <w:rFonts w:hint="default" w:ascii="Times New Roman" w:hAnsi="Times New Roman" w:cs="Times New Roman"/>
                <w:color w:val="auto"/>
                <w:kern w:val="0"/>
                <w:sz w:val="24"/>
                <w:szCs w:val="24"/>
                <w:highlight w:val="none"/>
                <w:lang w:eastAsia="zh-CN"/>
              </w:rPr>
              <w:t>公开招标文件</w:t>
            </w:r>
            <w:r>
              <w:rPr>
                <w:rFonts w:hint="default" w:ascii="Times New Roman" w:hAnsi="Times New Roman" w:cs="Times New Roman"/>
                <w:color w:val="auto"/>
                <w:kern w:val="0"/>
                <w:sz w:val="24"/>
                <w:szCs w:val="24"/>
                <w:highlight w:val="none"/>
              </w:rPr>
              <w:t>菜单中选择项目，申请获取</w:t>
            </w:r>
            <w:r>
              <w:rPr>
                <w:rFonts w:hint="default" w:ascii="Times New Roman" w:hAnsi="Times New Roman" w:cs="Times New Roman"/>
                <w:color w:val="auto"/>
                <w:kern w:val="0"/>
                <w:sz w:val="24"/>
                <w:szCs w:val="24"/>
                <w:highlight w:val="none"/>
                <w:lang w:eastAsia="zh-CN"/>
              </w:rPr>
              <w:t>公开招标文件</w:t>
            </w:r>
            <w:r>
              <w:rPr>
                <w:rFonts w:hint="default" w:ascii="Times New Roman" w:hAnsi="Times New Roman" w:cs="Times New Roman"/>
                <w:color w:val="auto"/>
                <w:kern w:val="0"/>
                <w:sz w:val="24"/>
                <w:szCs w:val="24"/>
                <w:highlight w:val="none"/>
              </w:rPr>
              <w:t>）</w:t>
            </w:r>
          </w:p>
        </w:tc>
      </w:tr>
      <w:tr w14:paraId="387A94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8" w:hRule="atLeast"/>
          <w:jc w:val="center"/>
        </w:trPr>
        <w:tc>
          <w:tcPr>
            <w:tcW w:w="979" w:type="dxa"/>
            <w:shd w:val="clear" w:color="auto" w:fill="auto"/>
            <w:noWrap w:val="0"/>
            <w:vAlign w:val="center"/>
          </w:tcPr>
          <w:p w14:paraId="1672E2AA">
            <w:pPr>
              <w:keepNext w:val="0"/>
              <w:keepLines w:val="0"/>
              <w:suppressLineNumbers w:val="0"/>
              <w:overflowPunct w:val="0"/>
              <w:spacing w:before="0" w:beforeAutospacing="0" w:after="0" w:afterAutospacing="0" w:line="276" w:lineRule="auto"/>
              <w:ind w:left="0" w:leftChars="0" w:right="0" w:rightChars="0"/>
              <w:jc w:val="center"/>
              <w:rPr>
                <w:rFonts w:hint="default" w:ascii="宋体" w:hAnsi="宋体" w:eastAsia="宋体" w:cs="Times New Roman"/>
                <w:b/>
                <w:color w:val="auto"/>
                <w:kern w:val="2"/>
                <w:sz w:val="24"/>
                <w:szCs w:val="20"/>
                <w:highlight w:val="none"/>
                <w:lang w:val="en-US" w:eastAsia="zh-CN" w:bidi="ar-SA"/>
              </w:rPr>
            </w:pPr>
            <w:r>
              <w:rPr>
                <w:rFonts w:hint="eastAsia" w:ascii="宋体" w:hAnsi="宋体"/>
                <w:b/>
                <w:color w:val="auto"/>
                <w:sz w:val="24"/>
                <w:szCs w:val="20"/>
                <w:highlight w:val="none"/>
              </w:rPr>
              <w:t>13</w:t>
            </w:r>
          </w:p>
        </w:tc>
        <w:tc>
          <w:tcPr>
            <w:tcW w:w="1774" w:type="dxa"/>
            <w:noWrap w:val="0"/>
            <w:vAlign w:val="center"/>
          </w:tcPr>
          <w:p w14:paraId="4EEC4D56">
            <w:pPr>
              <w:keepNext w:val="0"/>
              <w:keepLines w:val="0"/>
              <w:suppressLineNumbers w:val="0"/>
              <w:overflowPunct w:val="0"/>
              <w:spacing w:before="0" w:beforeAutospacing="0" w:after="0" w:afterAutospacing="0" w:line="276" w:lineRule="auto"/>
              <w:ind w:left="0" w:right="0"/>
              <w:jc w:val="center"/>
              <w:rPr>
                <w:rFonts w:hint="default" w:ascii="宋体" w:hAnsi="宋体"/>
                <w:b/>
                <w:color w:val="auto"/>
                <w:sz w:val="24"/>
                <w:szCs w:val="20"/>
                <w:highlight w:val="none"/>
              </w:rPr>
            </w:pPr>
            <w:r>
              <w:rPr>
                <w:rFonts w:hint="eastAsia" w:ascii="宋体" w:hAnsi="宋体"/>
                <w:b/>
                <w:color w:val="auto"/>
                <w:sz w:val="24"/>
                <w:szCs w:val="20"/>
                <w:highlight w:val="none"/>
              </w:rPr>
              <w:t>标书售价</w:t>
            </w:r>
          </w:p>
        </w:tc>
        <w:tc>
          <w:tcPr>
            <w:tcW w:w="7572" w:type="dxa"/>
            <w:noWrap w:val="0"/>
            <w:vAlign w:val="center"/>
          </w:tcPr>
          <w:p w14:paraId="364B14DA">
            <w:pPr>
              <w:keepNext w:val="0"/>
              <w:keepLines w:val="0"/>
              <w:suppressLineNumbers w:val="0"/>
              <w:overflowPunct w:val="0"/>
              <w:spacing w:before="0" w:beforeAutospacing="0" w:after="0" w:afterAutospacing="0" w:line="276" w:lineRule="auto"/>
              <w:ind w:left="0" w:right="0"/>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t>人民币0元/份</w:t>
            </w:r>
          </w:p>
        </w:tc>
      </w:tr>
      <w:tr w14:paraId="686C29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8" w:hRule="atLeast"/>
          <w:jc w:val="center"/>
        </w:trPr>
        <w:tc>
          <w:tcPr>
            <w:tcW w:w="979" w:type="dxa"/>
            <w:shd w:val="clear" w:color="auto" w:fill="auto"/>
            <w:noWrap w:val="0"/>
            <w:vAlign w:val="center"/>
          </w:tcPr>
          <w:p w14:paraId="1BC8B8B0">
            <w:pPr>
              <w:keepNext w:val="0"/>
              <w:keepLines w:val="0"/>
              <w:suppressLineNumbers w:val="0"/>
              <w:overflowPunct w:val="0"/>
              <w:spacing w:before="0" w:beforeAutospacing="0" w:after="0" w:afterAutospacing="0" w:line="276" w:lineRule="auto"/>
              <w:ind w:left="0" w:leftChars="0" w:right="0" w:rightChars="0"/>
              <w:jc w:val="center"/>
              <w:rPr>
                <w:rFonts w:hint="default" w:ascii="宋体" w:hAnsi="宋体" w:cs="Times New Roman"/>
                <w:b/>
                <w:color w:val="auto"/>
                <w:sz w:val="24"/>
                <w:szCs w:val="24"/>
                <w:highlight w:val="none"/>
                <w:lang w:val="en-US" w:eastAsia="zh-CN"/>
              </w:rPr>
            </w:pPr>
            <w:r>
              <w:rPr>
                <w:rFonts w:hint="eastAsia" w:ascii="宋体" w:hAnsi="宋体"/>
                <w:b/>
                <w:color w:val="auto"/>
                <w:sz w:val="24"/>
                <w:szCs w:val="20"/>
                <w:highlight w:val="none"/>
                <w:lang w:val="en-US" w:eastAsia="zh-CN"/>
              </w:rPr>
              <w:t>14</w:t>
            </w:r>
          </w:p>
        </w:tc>
        <w:tc>
          <w:tcPr>
            <w:tcW w:w="1774" w:type="dxa"/>
            <w:noWrap w:val="0"/>
            <w:vAlign w:val="center"/>
          </w:tcPr>
          <w:p w14:paraId="5EAC216D">
            <w:pPr>
              <w:keepNext w:val="0"/>
              <w:keepLines w:val="0"/>
              <w:suppressLineNumbers w:val="0"/>
              <w:overflowPunct w:val="0"/>
              <w:spacing w:before="0" w:beforeAutospacing="0" w:after="0" w:afterAutospacing="0" w:line="276" w:lineRule="auto"/>
              <w:ind w:left="0" w:right="0"/>
              <w:jc w:val="center"/>
              <w:rPr>
                <w:rFonts w:hint="eastAsia" w:ascii="宋体" w:hAnsi="宋体"/>
                <w:b/>
                <w:color w:val="auto"/>
                <w:sz w:val="24"/>
                <w:szCs w:val="20"/>
                <w:highlight w:val="none"/>
                <w:lang w:val="zh-CN" w:eastAsia="zh-CN"/>
              </w:rPr>
            </w:pPr>
            <w:r>
              <w:rPr>
                <w:rFonts w:hint="default" w:ascii="宋体" w:hAnsi="宋体"/>
                <w:b/>
                <w:color w:val="auto"/>
                <w:sz w:val="24"/>
                <w:szCs w:val="20"/>
                <w:highlight w:val="none"/>
                <w:lang w:eastAsia="zh-CN"/>
              </w:rPr>
              <w:t>评标方法</w:t>
            </w:r>
          </w:p>
        </w:tc>
        <w:tc>
          <w:tcPr>
            <w:tcW w:w="7572" w:type="dxa"/>
            <w:noWrap w:val="0"/>
            <w:vAlign w:val="top"/>
          </w:tcPr>
          <w:p w14:paraId="061D31CE">
            <w:pPr>
              <w:pStyle w:val="67"/>
              <w:keepNext w:val="0"/>
              <w:keepLines w:val="0"/>
              <w:suppressLineNumbers w:val="0"/>
              <w:shd w:val="clear"/>
              <w:spacing w:before="0" w:beforeAutospacing="0" w:after="0" w:afterAutospacing="0" w:line="300" w:lineRule="exact"/>
              <w:ind w:left="111" w:right="0"/>
              <w:rPr>
                <w:rFonts w:hint="default" w:ascii="Times New Roman" w:hAnsi="Times New Roman" w:cs="Times New Roman" w:eastAsiaTheme="minorEastAsia"/>
                <w:color w:val="auto"/>
                <w:spacing w:val="-4"/>
                <w:sz w:val="24"/>
                <w:szCs w:val="24"/>
                <w:highlight w:val="none"/>
              </w:rPr>
            </w:pPr>
            <w:r>
              <w:rPr>
                <w:rFonts w:hint="default" w:ascii="Times New Roman" w:hAnsi="Times New Roman" w:cs="Times New Roman" w:eastAsiaTheme="minorEastAsia"/>
                <w:color w:val="auto"/>
                <w:spacing w:val="-2"/>
                <w:sz w:val="24"/>
                <w:szCs w:val="24"/>
                <w:highlight w:val="none"/>
              </w:rPr>
              <w:sym w:font="Wingdings" w:char="00FE"/>
            </w:r>
            <w:r>
              <w:rPr>
                <w:rFonts w:hint="default" w:ascii="Times New Roman" w:hAnsi="Times New Roman" w:cs="Times New Roman" w:eastAsiaTheme="minorEastAsia"/>
                <w:color w:val="auto"/>
                <w:spacing w:val="-4"/>
                <w:sz w:val="24"/>
                <w:szCs w:val="24"/>
                <w:highlight w:val="none"/>
              </w:rPr>
              <w:t>综合评分法</w:t>
            </w:r>
          </w:p>
          <w:p w14:paraId="2C882042">
            <w:pPr>
              <w:keepNext w:val="0"/>
              <w:keepLines w:val="0"/>
              <w:suppressLineNumbers w:val="0"/>
              <w:shd w:val="clear"/>
              <w:spacing w:before="0" w:beforeAutospacing="0" w:after="0" w:afterAutospacing="0" w:line="300" w:lineRule="exact"/>
              <w:ind w:left="0" w:right="0" w:firstLine="482" w:firstLineChars="200"/>
              <w:rPr>
                <w:rFonts w:hint="default" w:ascii="Times New Roman" w:hAnsi="Times New Roman" w:cs="Times New Roman" w:eastAsiaTheme="minorEastAsia"/>
                <w:b/>
                <w:bCs/>
                <w:color w:val="auto"/>
                <w:spacing w:val="-4"/>
                <w:sz w:val="24"/>
                <w:szCs w:val="24"/>
                <w:highlight w:val="none"/>
              </w:rPr>
            </w:pPr>
            <w:r>
              <w:rPr>
                <w:rFonts w:hint="default" w:ascii="Times New Roman" w:hAnsi="Times New Roman" w:cs="Times New Roman" w:eastAsiaTheme="minorEastAsia"/>
                <w:b/>
                <w:bCs/>
                <w:color w:val="auto"/>
                <w:sz w:val="24"/>
                <w:szCs w:val="24"/>
                <w:highlight w:val="none"/>
              </w:rPr>
              <w:t>①本项目共分为</w:t>
            </w:r>
            <w:r>
              <w:rPr>
                <w:rFonts w:hint="default" w:ascii="Times New Roman" w:hAnsi="Times New Roman" w:cs="Times New Roman" w:eastAsiaTheme="minorEastAsia"/>
                <w:b/>
                <w:bCs/>
                <w:color w:val="auto"/>
                <w:sz w:val="24"/>
                <w:szCs w:val="24"/>
                <w:highlight w:val="none"/>
                <w:lang w:val="en-US" w:eastAsia="zh-CN"/>
              </w:rPr>
              <w:t>3</w:t>
            </w:r>
            <w:r>
              <w:rPr>
                <w:rFonts w:hint="default" w:ascii="Times New Roman" w:hAnsi="Times New Roman" w:cs="Times New Roman" w:eastAsiaTheme="minorEastAsia"/>
                <w:b/>
                <w:bCs/>
                <w:color w:val="auto"/>
                <w:sz w:val="24"/>
                <w:szCs w:val="24"/>
                <w:highlight w:val="none"/>
              </w:rPr>
              <w:t>个标项。投标</w:t>
            </w:r>
            <w:r>
              <w:rPr>
                <w:rFonts w:hint="eastAsia" w:cs="Times New Roman" w:eastAsiaTheme="minorEastAsia"/>
                <w:b/>
                <w:bCs/>
                <w:color w:val="auto"/>
                <w:sz w:val="24"/>
                <w:szCs w:val="24"/>
                <w:highlight w:val="none"/>
                <w:lang w:eastAsia="zh-CN"/>
              </w:rPr>
              <w:t>供应商</w:t>
            </w:r>
            <w:r>
              <w:rPr>
                <w:rFonts w:hint="default" w:ascii="Times New Roman" w:hAnsi="Times New Roman" w:cs="Times New Roman" w:eastAsiaTheme="minorEastAsia"/>
                <w:b/>
                <w:bCs/>
                <w:color w:val="auto"/>
                <w:sz w:val="24"/>
                <w:szCs w:val="24"/>
                <w:highlight w:val="none"/>
              </w:rPr>
              <w:t>可同时参加一个或多个标项的投标，但每个申请人最多只能中标一个标段，评标顺序将按标项一、标项二</w:t>
            </w:r>
            <w:r>
              <w:rPr>
                <w:rFonts w:hint="default" w:ascii="Times New Roman" w:hAnsi="Times New Roman" w:cs="Times New Roman" w:eastAsiaTheme="minorEastAsia"/>
                <w:b/>
                <w:bCs/>
                <w:color w:val="auto"/>
                <w:sz w:val="24"/>
                <w:szCs w:val="24"/>
                <w:highlight w:val="none"/>
                <w:lang w:eastAsia="zh-CN"/>
              </w:rPr>
              <w:t>、标项三</w:t>
            </w:r>
            <w:r>
              <w:rPr>
                <w:rFonts w:hint="default" w:ascii="Times New Roman" w:hAnsi="Times New Roman" w:cs="Times New Roman" w:eastAsiaTheme="minorEastAsia"/>
                <w:b/>
                <w:bCs/>
                <w:color w:val="auto"/>
                <w:sz w:val="24"/>
                <w:szCs w:val="24"/>
                <w:highlight w:val="none"/>
              </w:rPr>
              <w:t>顺序进行，标项一的第一成交候选人</w:t>
            </w:r>
            <w:r>
              <w:rPr>
                <w:rFonts w:hint="default" w:ascii="Times New Roman" w:hAnsi="Times New Roman" w:cs="Times New Roman" w:eastAsiaTheme="minorEastAsia"/>
                <w:b/>
                <w:bCs/>
                <w:color w:val="auto"/>
                <w:sz w:val="24"/>
                <w:szCs w:val="24"/>
                <w:highlight w:val="none"/>
                <w:lang w:val="en-US" w:eastAsia="zh-CN"/>
              </w:rPr>
              <w:t>不再</w:t>
            </w:r>
            <w:r>
              <w:rPr>
                <w:rFonts w:hint="default" w:ascii="Times New Roman" w:hAnsi="Times New Roman" w:cs="Times New Roman" w:eastAsiaTheme="minorEastAsia"/>
                <w:b/>
                <w:bCs/>
                <w:color w:val="auto"/>
                <w:sz w:val="24"/>
                <w:szCs w:val="24"/>
                <w:highlight w:val="none"/>
              </w:rPr>
              <w:t>进入</w:t>
            </w:r>
            <w:r>
              <w:rPr>
                <w:rFonts w:hint="default" w:ascii="Times New Roman" w:hAnsi="Times New Roman" w:cs="Times New Roman" w:eastAsiaTheme="minorEastAsia"/>
                <w:b/>
                <w:bCs/>
                <w:color w:val="auto"/>
                <w:sz w:val="24"/>
                <w:szCs w:val="24"/>
                <w:highlight w:val="none"/>
                <w:lang w:val="en-US" w:eastAsia="zh-CN"/>
              </w:rPr>
              <w:t>标项二、标项三</w:t>
            </w:r>
            <w:r>
              <w:rPr>
                <w:rFonts w:hint="default" w:ascii="Times New Roman" w:hAnsi="Times New Roman" w:cs="Times New Roman" w:eastAsiaTheme="minorEastAsia"/>
                <w:b/>
                <w:bCs/>
                <w:color w:val="auto"/>
                <w:sz w:val="24"/>
                <w:szCs w:val="24"/>
                <w:highlight w:val="none"/>
              </w:rPr>
              <w:t>评审</w:t>
            </w:r>
            <w:r>
              <w:rPr>
                <w:rFonts w:hint="default" w:ascii="Times New Roman" w:hAnsi="Times New Roman" w:cs="Times New Roman" w:eastAsiaTheme="minorEastAsia"/>
                <w:b/>
                <w:bCs/>
                <w:color w:val="auto"/>
                <w:sz w:val="24"/>
                <w:szCs w:val="24"/>
                <w:highlight w:val="none"/>
                <w:lang w:eastAsia="zh-CN"/>
              </w:rPr>
              <w:t>，标项二的第一成交候选人不再进入标项三评审。</w:t>
            </w:r>
          </w:p>
          <w:p w14:paraId="1986F6AA">
            <w:pPr>
              <w:pStyle w:val="67"/>
              <w:keepNext w:val="0"/>
              <w:keepLines w:val="0"/>
              <w:suppressLineNumbers w:val="0"/>
              <w:shd w:val="clear"/>
              <w:spacing w:before="0" w:beforeAutospacing="0" w:after="0" w:afterAutospacing="0" w:line="300" w:lineRule="exact"/>
              <w:ind w:left="111" w:leftChars="0" w:right="0" w:rightChars="0"/>
              <w:rPr>
                <w:rFonts w:hint="default" w:ascii="Times New Roman" w:hAnsi="Times New Roman" w:cs="Times New Roman" w:eastAsiaTheme="minorEastAsia"/>
                <w:color w:val="auto"/>
                <w:spacing w:val="-4"/>
                <w:kern w:val="0"/>
                <w:sz w:val="24"/>
                <w:szCs w:val="24"/>
                <w:highlight w:val="none"/>
                <w:lang w:val="en-US" w:eastAsia="zh-CN" w:bidi="zh-CN"/>
              </w:rPr>
            </w:pPr>
            <w:r>
              <w:rPr>
                <w:rFonts w:hint="default" w:ascii="Times New Roman" w:hAnsi="Times New Roman" w:cs="Times New Roman" w:eastAsiaTheme="minorEastAsia"/>
                <w:color w:val="auto"/>
                <w:spacing w:val="-2"/>
                <w:sz w:val="24"/>
                <w:szCs w:val="24"/>
                <w:highlight w:val="none"/>
              </w:rPr>
              <w:sym w:font="Wingdings" w:char="00A8"/>
            </w:r>
            <w:r>
              <w:rPr>
                <w:rFonts w:hint="default" w:ascii="Times New Roman" w:hAnsi="Times New Roman" w:cs="Times New Roman" w:eastAsiaTheme="minorEastAsia"/>
                <w:color w:val="auto"/>
                <w:spacing w:val="-4"/>
                <w:sz w:val="24"/>
                <w:szCs w:val="24"/>
                <w:highlight w:val="none"/>
              </w:rPr>
              <w:t>最低评标价法</w:t>
            </w:r>
          </w:p>
        </w:tc>
      </w:tr>
      <w:tr w14:paraId="5EC3CE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3" w:hRule="atLeast"/>
          <w:jc w:val="center"/>
        </w:trPr>
        <w:tc>
          <w:tcPr>
            <w:tcW w:w="979" w:type="dxa"/>
            <w:shd w:val="clear" w:color="auto" w:fill="auto"/>
            <w:noWrap w:val="0"/>
            <w:vAlign w:val="center"/>
          </w:tcPr>
          <w:p w14:paraId="4DCE1C70">
            <w:pPr>
              <w:keepNext w:val="0"/>
              <w:keepLines w:val="0"/>
              <w:suppressLineNumbers w:val="0"/>
              <w:overflowPunct w:val="0"/>
              <w:spacing w:before="0" w:beforeAutospacing="0" w:after="0" w:afterAutospacing="0" w:line="276" w:lineRule="auto"/>
              <w:ind w:left="0" w:leftChars="0" w:right="0" w:rightChars="0"/>
              <w:jc w:val="center"/>
              <w:rPr>
                <w:rFonts w:hint="eastAsia" w:ascii="宋体" w:hAnsi="宋体" w:eastAsia="宋体" w:cs="Times New Roman"/>
                <w:b/>
                <w:color w:val="auto"/>
                <w:kern w:val="2"/>
                <w:sz w:val="24"/>
                <w:szCs w:val="20"/>
                <w:highlight w:val="none"/>
                <w:lang w:val="en-US" w:eastAsia="zh-CN" w:bidi="ar-SA"/>
              </w:rPr>
            </w:pPr>
            <w:r>
              <w:rPr>
                <w:rFonts w:hint="eastAsia" w:ascii="宋体" w:hAnsi="宋体"/>
                <w:b/>
                <w:color w:val="auto"/>
                <w:sz w:val="24"/>
                <w:szCs w:val="20"/>
                <w:highlight w:val="none"/>
              </w:rPr>
              <w:t>1</w:t>
            </w:r>
            <w:r>
              <w:rPr>
                <w:rFonts w:hint="eastAsia" w:ascii="宋体" w:hAnsi="宋体"/>
                <w:b/>
                <w:color w:val="auto"/>
                <w:sz w:val="24"/>
                <w:szCs w:val="20"/>
                <w:highlight w:val="none"/>
                <w:lang w:val="en-US" w:eastAsia="zh-CN"/>
              </w:rPr>
              <w:t>5</w:t>
            </w:r>
          </w:p>
        </w:tc>
        <w:tc>
          <w:tcPr>
            <w:tcW w:w="1774" w:type="dxa"/>
            <w:noWrap w:val="0"/>
            <w:vAlign w:val="center"/>
          </w:tcPr>
          <w:p w14:paraId="2C4CB5CD">
            <w:pPr>
              <w:keepNext w:val="0"/>
              <w:keepLines w:val="0"/>
              <w:suppressLineNumbers w:val="0"/>
              <w:overflowPunct w:val="0"/>
              <w:spacing w:before="0" w:beforeAutospacing="0" w:after="0" w:afterAutospacing="0" w:line="276" w:lineRule="auto"/>
              <w:ind w:left="0" w:right="0"/>
              <w:jc w:val="center"/>
              <w:rPr>
                <w:rFonts w:hint="default" w:ascii="宋体" w:hAnsi="宋体"/>
                <w:b/>
                <w:color w:val="auto"/>
                <w:sz w:val="24"/>
                <w:szCs w:val="20"/>
                <w:highlight w:val="none"/>
                <w:lang w:eastAsia="zh-CN"/>
              </w:rPr>
            </w:pPr>
            <w:r>
              <w:rPr>
                <w:rFonts w:hint="eastAsia" w:ascii="宋体" w:hAnsi="宋体"/>
                <w:b/>
                <w:color w:val="auto"/>
                <w:sz w:val="24"/>
                <w:szCs w:val="20"/>
                <w:highlight w:val="none"/>
                <w:lang w:eastAsia="zh-CN"/>
              </w:rPr>
              <w:t>投标文件递交截止时间及开标时间</w:t>
            </w:r>
          </w:p>
        </w:tc>
        <w:tc>
          <w:tcPr>
            <w:tcW w:w="7572" w:type="dxa"/>
            <w:noWrap w:val="0"/>
            <w:vAlign w:val="center"/>
          </w:tcPr>
          <w:p w14:paraId="521A2366">
            <w:pPr>
              <w:keepNext w:val="0"/>
              <w:keepLines w:val="0"/>
              <w:widowControl/>
              <w:suppressLineNumbers w:val="0"/>
              <w:spacing w:before="0" w:beforeAutospacing="0" w:after="0" w:afterAutospacing="0" w:line="276" w:lineRule="auto"/>
              <w:ind w:left="0" w:right="0"/>
              <w:jc w:val="left"/>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lang w:eastAsia="zh-CN"/>
              </w:rPr>
              <w:t>2026年</w:t>
            </w:r>
            <w:r>
              <w:rPr>
                <w:rFonts w:hint="eastAsia" w:cs="Times New Roman"/>
                <w:color w:val="auto"/>
                <w:sz w:val="24"/>
                <w:szCs w:val="20"/>
                <w:highlight w:val="none"/>
                <w:lang w:val="en-US" w:eastAsia="zh-CN"/>
              </w:rPr>
              <w:t>08</w:t>
            </w:r>
            <w:r>
              <w:rPr>
                <w:rFonts w:hint="default" w:ascii="Times New Roman" w:hAnsi="Times New Roman" w:cs="Times New Roman"/>
                <w:color w:val="auto"/>
                <w:sz w:val="24"/>
                <w:szCs w:val="20"/>
                <w:highlight w:val="none"/>
                <w:lang w:eastAsia="zh-CN"/>
              </w:rPr>
              <w:t>月</w:t>
            </w:r>
            <w:r>
              <w:rPr>
                <w:rFonts w:hint="eastAsia" w:cs="Times New Roman"/>
                <w:color w:val="auto"/>
                <w:sz w:val="24"/>
                <w:szCs w:val="20"/>
                <w:highlight w:val="none"/>
                <w:lang w:val="en-US" w:eastAsia="zh-CN"/>
              </w:rPr>
              <w:t>03</w:t>
            </w:r>
            <w:r>
              <w:rPr>
                <w:rFonts w:hint="default" w:ascii="Times New Roman" w:hAnsi="Times New Roman" w:cs="Times New Roman"/>
                <w:color w:val="auto"/>
                <w:sz w:val="24"/>
                <w:szCs w:val="20"/>
                <w:highlight w:val="none"/>
                <w:lang w:eastAsia="zh-CN"/>
              </w:rPr>
              <w:t>日</w:t>
            </w:r>
            <w:r>
              <w:rPr>
                <w:rFonts w:hint="default" w:ascii="Times New Roman" w:hAnsi="Times New Roman" w:cs="Times New Roman"/>
                <w:color w:val="auto"/>
                <w:sz w:val="24"/>
                <w:szCs w:val="20"/>
                <w:highlight w:val="none"/>
              </w:rPr>
              <w:t>11:00（北京时间）</w:t>
            </w:r>
          </w:p>
        </w:tc>
      </w:tr>
      <w:tr w14:paraId="4BA60B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8" w:hRule="atLeast"/>
          <w:jc w:val="center"/>
        </w:trPr>
        <w:tc>
          <w:tcPr>
            <w:tcW w:w="979" w:type="dxa"/>
            <w:shd w:val="clear" w:color="auto" w:fill="auto"/>
            <w:noWrap w:val="0"/>
            <w:vAlign w:val="center"/>
          </w:tcPr>
          <w:p w14:paraId="7E2E5023">
            <w:pPr>
              <w:keepNext w:val="0"/>
              <w:keepLines w:val="0"/>
              <w:suppressLineNumbers w:val="0"/>
              <w:overflowPunct w:val="0"/>
              <w:spacing w:before="0" w:beforeAutospacing="0" w:after="0" w:afterAutospacing="0" w:line="276" w:lineRule="auto"/>
              <w:ind w:left="0" w:leftChars="0" w:right="0" w:rightChars="0"/>
              <w:jc w:val="center"/>
              <w:rPr>
                <w:rFonts w:hint="default" w:ascii="宋体" w:hAnsi="宋体" w:eastAsia="宋体" w:cs="Times New Roman"/>
                <w:b/>
                <w:color w:val="auto"/>
                <w:kern w:val="2"/>
                <w:sz w:val="24"/>
                <w:szCs w:val="20"/>
                <w:highlight w:val="none"/>
                <w:lang w:val="en-US" w:eastAsia="zh-CN" w:bidi="ar-SA"/>
              </w:rPr>
            </w:pPr>
            <w:r>
              <w:rPr>
                <w:rFonts w:hint="eastAsia" w:ascii="宋体" w:hAnsi="宋体"/>
                <w:b/>
                <w:color w:val="auto"/>
                <w:sz w:val="24"/>
                <w:szCs w:val="20"/>
                <w:highlight w:val="none"/>
                <w:lang w:val="en-US" w:eastAsia="zh-CN"/>
              </w:rPr>
              <w:t>16</w:t>
            </w:r>
          </w:p>
        </w:tc>
        <w:tc>
          <w:tcPr>
            <w:tcW w:w="1774" w:type="dxa"/>
            <w:noWrap w:val="0"/>
            <w:vAlign w:val="center"/>
          </w:tcPr>
          <w:p w14:paraId="15E454F3">
            <w:pPr>
              <w:keepNext w:val="0"/>
              <w:keepLines w:val="0"/>
              <w:suppressLineNumbers w:val="0"/>
              <w:overflowPunct w:val="0"/>
              <w:spacing w:before="0" w:beforeAutospacing="0" w:after="0" w:afterAutospacing="0" w:line="276" w:lineRule="auto"/>
              <w:ind w:left="0" w:right="0"/>
              <w:jc w:val="center"/>
              <w:rPr>
                <w:rFonts w:hint="default" w:ascii="宋体" w:hAnsi="宋体"/>
                <w:b/>
                <w:color w:val="auto"/>
                <w:sz w:val="24"/>
                <w:szCs w:val="20"/>
                <w:highlight w:val="none"/>
              </w:rPr>
            </w:pPr>
            <w:r>
              <w:rPr>
                <w:rFonts w:hint="eastAsia" w:ascii="宋体" w:hAnsi="宋体"/>
                <w:b/>
                <w:color w:val="auto"/>
                <w:sz w:val="24"/>
                <w:szCs w:val="20"/>
                <w:highlight w:val="none"/>
                <w:lang w:eastAsia="zh-CN"/>
              </w:rPr>
              <w:t>投标文件</w:t>
            </w:r>
            <w:r>
              <w:rPr>
                <w:rFonts w:hint="eastAsia" w:ascii="宋体" w:hAnsi="宋体"/>
                <w:b/>
                <w:color w:val="auto"/>
                <w:sz w:val="24"/>
                <w:szCs w:val="20"/>
                <w:highlight w:val="none"/>
              </w:rPr>
              <w:t>递交及开标地点</w:t>
            </w:r>
          </w:p>
        </w:tc>
        <w:tc>
          <w:tcPr>
            <w:tcW w:w="7572" w:type="dxa"/>
            <w:noWrap w:val="0"/>
            <w:vAlign w:val="center"/>
          </w:tcPr>
          <w:p w14:paraId="3B464212">
            <w:pPr>
              <w:keepNext w:val="0"/>
              <w:keepLines w:val="0"/>
              <w:widowControl/>
              <w:suppressLineNumbers w:val="0"/>
              <w:spacing w:before="0" w:beforeAutospacing="0" w:after="0" w:afterAutospacing="0" w:line="276" w:lineRule="auto"/>
              <w:ind w:left="0" w:right="0"/>
              <w:jc w:val="left"/>
              <w:rPr>
                <w:rFonts w:hint="default" w:ascii="Times New Roman" w:hAnsi="Times New Roman" w:cs="Times New Roman"/>
                <w:color w:val="auto"/>
                <w:kern w:val="0"/>
                <w:sz w:val="24"/>
                <w:szCs w:val="28"/>
                <w:highlight w:val="none"/>
              </w:rPr>
            </w:pPr>
            <w:r>
              <w:rPr>
                <w:rFonts w:hint="default" w:ascii="Times New Roman" w:hAnsi="Times New Roman" w:cs="Times New Roman"/>
                <w:color w:val="auto"/>
                <w:kern w:val="0"/>
                <w:sz w:val="24"/>
                <w:szCs w:val="24"/>
                <w:highlight w:val="none"/>
              </w:rPr>
              <w:t>新疆政府采购网政采云平台：https://www.zcygov.cn/</w:t>
            </w:r>
          </w:p>
        </w:tc>
      </w:tr>
      <w:tr w14:paraId="57D3B2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3" w:hRule="atLeast"/>
          <w:jc w:val="center"/>
        </w:trPr>
        <w:tc>
          <w:tcPr>
            <w:tcW w:w="979" w:type="dxa"/>
            <w:tcBorders>
              <w:top w:val="single" w:color="auto" w:sz="4" w:space="0"/>
            </w:tcBorders>
            <w:shd w:val="clear" w:color="auto" w:fill="auto"/>
            <w:noWrap w:val="0"/>
            <w:vAlign w:val="center"/>
          </w:tcPr>
          <w:p w14:paraId="25BBF9F3">
            <w:pPr>
              <w:keepNext w:val="0"/>
              <w:keepLines w:val="0"/>
              <w:suppressLineNumbers w:val="0"/>
              <w:overflowPunct w:val="0"/>
              <w:spacing w:before="0" w:beforeAutospacing="0" w:after="0" w:afterAutospacing="0" w:line="276" w:lineRule="auto"/>
              <w:ind w:left="0" w:leftChars="0" w:right="0" w:rightChars="0"/>
              <w:jc w:val="center"/>
              <w:rPr>
                <w:rFonts w:hint="default" w:ascii="宋体" w:hAnsi="宋体" w:eastAsia="宋体" w:cs="Times New Roman"/>
                <w:b/>
                <w:color w:val="auto"/>
                <w:kern w:val="2"/>
                <w:sz w:val="24"/>
                <w:szCs w:val="20"/>
                <w:highlight w:val="none"/>
                <w:lang w:val="en-US" w:eastAsia="zh-CN" w:bidi="ar-SA"/>
              </w:rPr>
            </w:pPr>
            <w:r>
              <w:rPr>
                <w:rFonts w:hint="eastAsia" w:ascii="宋体" w:hAnsi="宋体"/>
                <w:b/>
                <w:color w:val="auto"/>
                <w:sz w:val="24"/>
                <w:szCs w:val="20"/>
                <w:highlight w:val="none"/>
                <w:lang w:val="en-US" w:eastAsia="zh-CN"/>
              </w:rPr>
              <w:t>17</w:t>
            </w:r>
          </w:p>
        </w:tc>
        <w:tc>
          <w:tcPr>
            <w:tcW w:w="1774" w:type="dxa"/>
            <w:tcBorders>
              <w:top w:val="single" w:color="auto" w:sz="4" w:space="0"/>
            </w:tcBorders>
            <w:noWrap w:val="0"/>
            <w:vAlign w:val="center"/>
          </w:tcPr>
          <w:p w14:paraId="60192AB1">
            <w:pPr>
              <w:keepNext w:val="0"/>
              <w:keepLines w:val="0"/>
              <w:suppressLineNumbers w:val="0"/>
              <w:overflowPunct w:val="0"/>
              <w:spacing w:before="0" w:beforeAutospacing="0" w:after="0" w:afterAutospacing="0" w:line="276" w:lineRule="auto"/>
              <w:ind w:left="0" w:right="0"/>
              <w:jc w:val="center"/>
              <w:rPr>
                <w:rFonts w:hint="eastAsia" w:ascii="宋体" w:hAnsi="宋体" w:eastAsia="宋体"/>
                <w:b/>
                <w:color w:val="auto"/>
                <w:sz w:val="24"/>
                <w:szCs w:val="20"/>
                <w:highlight w:val="none"/>
                <w:lang w:eastAsia="zh-CN"/>
              </w:rPr>
            </w:pPr>
            <w:r>
              <w:rPr>
                <w:rFonts w:hint="eastAsia" w:ascii="宋体" w:hAnsi="宋体"/>
                <w:b/>
                <w:color w:val="auto"/>
                <w:sz w:val="24"/>
                <w:szCs w:val="20"/>
                <w:highlight w:val="none"/>
                <w:lang w:eastAsia="zh-CN"/>
              </w:rPr>
              <w:t>投标有效期</w:t>
            </w:r>
          </w:p>
        </w:tc>
        <w:tc>
          <w:tcPr>
            <w:tcW w:w="7572" w:type="dxa"/>
            <w:tcBorders>
              <w:top w:val="single" w:color="auto" w:sz="4" w:space="0"/>
            </w:tcBorders>
            <w:noWrap w:val="0"/>
            <w:vAlign w:val="center"/>
          </w:tcPr>
          <w:p w14:paraId="5B7E4B86">
            <w:pPr>
              <w:keepNext w:val="0"/>
              <w:keepLines w:val="0"/>
              <w:suppressLineNumbers w:val="0"/>
              <w:overflowPunct w:val="0"/>
              <w:spacing w:before="0" w:beforeAutospacing="0" w:after="0" w:afterAutospacing="0" w:line="276" w:lineRule="auto"/>
              <w:ind w:left="0" w:right="0"/>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t>九十天</w:t>
            </w:r>
          </w:p>
        </w:tc>
      </w:tr>
      <w:tr w14:paraId="4A3E5B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shd w:val="clear" w:color="auto" w:fill="auto"/>
            <w:noWrap w:val="0"/>
            <w:vAlign w:val="center"/>
          </w:tcPr>
          <w:p w14:paraId="0F2291A7">
            <w:pPr>
              <w:keepNext w:val="0"/>
              <w:keepLines w:val="0"/>
              <w:suppressLineNumbers w:val="0"/>
              <w:overflowPunct w:val="0"/>
              <w:spacing w:before="0" w:beforeAutospacing="0" w:after="0" w:afterAutospacing="0" w:line="276" w:lineRule="auto"/>
              <w:ind w:left="0" w:leftChars="0" w:right="0" w:rightChars="0"/>
              <w:jc w:val="center"/>
              <w:rPr>
                <w:rFonts w:hint="default" w:ascii="宋体" w:hAnsi="宋体" w:eastAsia="宋体" w:cs="Times New Roman"/>
                <w:b/>
                <w:color w:val="auto"/>
                <w:kern w:val="2"/>
                <w:sz w:val="24"/>
                <w:szCs w:val="20"/>
                <w:highlight w:val="none"/>
                <w:lang w:val="en-US" w:eastAsia="zh-CN" w:bidi="ar-SA"/>
              </w:rPr>
            </w:pPr>
            <w:r>
              <w:rPr>
                <w:rFonts w:hint="eastAsia" w:ascii="宋体" w:hAnsi="宋体"/>
                <w:b/>
                <w:color w:val="auto"/>
                <w:sz w:val="24"/>
                <w:szCs w:val="20"/>
                <w:highlight w:val="none"/>
                <w:lang w:val="en-US" w:eastAsia="zh-CN"/>
              </w:rPr>
              <w:t>18</w:t>
            </w:r>
          </w:p>
        </w:tc>
        <w:tc>
          <w:tcPr>
            <w:tcW w:w="1774" w:type="dxa"/>
            <w:tcBorders>
              <w:top w:val="single" w:color="auto" w:sz="4" w:space="0"/>
            </w:tcBorders>
            <w:noWrap w:val="0"/>
            <w:vAlign w:val="center"/>
          </w:tcPr>
          <w:p w14:paraId="774A00B7">
            <w:pPr>
              <w:keepNext w:val="0"/>
              <w:keepLines w:val="0"/>
              <w:suppressLineNumbers w:val="0"/>
              <w:overflowPunct w:val="0"/>
              <w:spacing w:before="0" w:beforeAutospacing="0" w:after="0" w:afterAutospacing="0" w:line="276" w:lineRule="auto"/>
              <w:ind w:left="0" w:right="0"/>
              <w:jc w:val="center"/>
              <w:rPr>
                <w:rFonts w:hint="eastAsia" w:ascii="宋体" w:hAnsi="宋体"/>
                <w:b/>
                <w:color w:val="auto"/>
                <w:sz w:val="24"/>
                <w:szCs w:val="20"/>
                <w:highlight w:val="none"/>
              </w:rPr>
            </w:pPr>
            <w:r>
              <w:rPr>
                <w:rFonts w:hint="eastAsia" w:ascii="宋体" w:hAnsi="宋体"/>
                <w:b/>
                <w:color w:val="auto"/>
                <w:sz w:val="24"/>
                <w:szCs w:val="20"/>
                <w:highlight w:val="none"/>
                <w:lang w:val="en-US" w:eastAsia="zh-CN"/>
              </w:rPr>
              <w:t>服务</w:t>
            </w:r>
            <w:r>
              <w:rPr>
                <w:rFonts w:hint="eastAsia" w:ascii="宋体" w:hAnsi="宋体"/>
                <w:b/>
                <w:color w:val="auto"/>
                <w:sz w:val="24"/>
                <w:szCs w:val="20"/>
                <w:highlight w:val="none"/>
              </w:rPr>
              <w:t>周期</w:t>
            </w:r>
          </w:p>
        </w:tc>
        <w:tc>
          <w:tcPr>
            <w:tcW w:w="7572" w:type="dxa"/>
            <w:noWrap w:val="0"/>
            <w:vAlign w:val="center"/>
          </w:tcPr>
          <w:p w14:paraId="07AD6DF3">
            <w:pPr>
              <w:keepNext w:val="0"/>
              <w:keepLines w:val="0"/>
              <w:suppressLineNumbers w:val="0"/>
              <w:spacing w:before="0" w:beforeAutospacing="0" w:after="0" w:afterAutospacing="0" w:line="276" w:lineRule="auto"/>
              <w:ind w:left="0" w:right="0"/>
              <w:rPr>
                <w:rFonts w:hint="default" w:ascii="Times New Roman" w:hAnsi="Times New Roman" w:eastAsia="宋体" w:cs="Times New Roman"/>
                <w:color w:val="auto"/>
                <w:sz w:val="24"/>
                <w:szCs w:val="20"/>
                <w:highlight w:val="none"/>
                <w:lang w:eastAsia="zh-CN"/>
              </w:rPr>
            </w:pPr>
            <w:r>
              <w:rPr>
                <w:rFonts w:hint="default" w:ascii="Times New Roman" w:hAnsi="Times New Roman" w:eastAsia="宋体" w:cs="Times New Roman"/>
                <w:color w:val="auto"/>
                <w:sz w:val="24"/>
                <w:szCs w:val="20"/>
                <w:highlight w:val="none"/>
                <w:lang w:eastAsia="zh-CN"/>
              </w:rPr>
              <w:t>自合同签订之日起</w:t>
            </w:r>
            <w:r>
              <w:rPr>
                <w:rFonts w:hint="eastAsia" w:cs="Times New Roman"/>
                <w:color w:val="auto"/>
                <w:sz w:val="24"/>
                <w:szCs w:val="20"/>
                <w:highlight w:val="none"/>
                <w:lang w:val="en-US" w:eastAsia="zh-CN"/>
              </w:rPr>
              <w:t>两年六个月</w:t>
            </w:r>
            <w:r>
              <w:rPr>
                <w:rFonts w:hint="default" w:ascii="Times New Roman" w:hAnsi="Times New Roman" w:eastAsia="宋体" w:cs="Times New Roman"/>
                <w:color w:val="auto"/>
                <w:sz w:val="24"/>
                <w:szCs w:val="20"/>
                <w:highlight w:val="none"/>
                <w:lang w:eastAsia="zh-CN"/>
              </w:rPr>
              <w:t>（合同一年一签。在预算有保障的前提下，购买内容相对固定、价格变化幅度小的，经年度验收或者考核合格后续签下一年合同</w:t>
            </w:r>
            <w:r>
              <w:rPr>
                <w:rFonts w:hint="eastAsia" w:cs="Times New Roman"/>
                <w:color w:val="auto"/>
                <w:sz w:val="24"/>
                <w:szCs w:val="20"/>
                <w:highlight w:val="none"/>
                <w:lang w:eastAsia="zh-CN"/>
              </w:rPr>
              <w:t>，总期限不超过两年六个月</w:t>
            </w:r>
            <w:r>
              <w:rPr>
                <w:rFonts w:hint="default" w:ascii="Times New Roman" w:hAnsi="Times New Roman" w:eastAsia="宋体" w:cs="Times New Roman"/>
                <w:color w:val="auto"/>
                <w:sz w:val="24"/>
                <w:szCs w:val="20"/>
                <w:highlight w:val="none"/>
                <w:lang w:eastAsia="zh-CN"/>
              </w:rPr>
              <w:t>）。</w:t>
            </w:r>
          </w:p>
        </w:tc>
      </w:tr>
      <w:tr w14:paraId="7E29E0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979" w:type="dxa"/>
            <w:shd w:val="clear" w:color="auto" w:fill="auto"/>
            <w:noWrap w:val="0"/>
            <w:vAlign w:val="center"/>
          </w:tcPr>
          <w:p w14:paraId="6A76DB23">
            <w:pPr>
              <w:keepNext w:val="0"/>
              <w:keepLines w:val="0"/>
              <w:suppressLineNumbers w:val="0"/>
              <w:overflowPunct w:val="0"/>
              <w:spacing w:before="0" w:beforeAutospacing="0" w:after="0" w:afterAutospacing="0" w:line="276" w:lineRule="auto"/>
              <w:ind w:left="0" w:leftChars="0" w:right="0" w:rightChars="0"/>
              <w:jc w:val="center"/>
              <w:rPr>
                <w:rFonts w:hint="default" w:ascii="宋体" w:hAnsi="宋体" w:eastAsia="宋体" w:cs="Times New Roman"/>
                <w:b/>
                <w:color w:val="auto"/>
                <w:kern w:val="2"/>
                <w:sz w:val="24"/>
                <w:szCs w:val="20"/>
                <w:highlight w:val="none"/>
                <w:lang w:val="en-US" w:eastAsia="zh-CN" w:bidi="ar-SA"/>
              </w:rPr>
            </w:pPr>
            <w:r>
              <w:rPr>
                <w:rFonts w:hint="eastAsia" w:ascii="宋体" w:hAnsi="宋体"/>
                <w:b/>
                <w:color w:val="auto"/>
                <w:sz w:val="24"/>
                <w:szCs w:val="20"/>
                <w:highlight w:val="none"/>
                <w:lang w:val="en-US" w:eastAsia="zh-CN"/>
              </w:rPr>
              <w:t>19</w:t>
            </w:r>
          </w:p>
        </w:tc>
        <w:tc>
          <w:tcPr>
            <w:tcW w:w="1774" w:type="dxa"/>
            <w:noWrap w:val="0"/>
            <w:vAlign w:val="center"/>
          </w:tcPr>
          <w:p w14:paraId="62B1BCD0">
            <w:pPr>
              <w:keepNext w:val="0"/>
              <w:keepLines w:val="0"/>
              <w:suppressLineNumbers w:val="0"/>
              <w:overflowPunct w:val="0"/>
              <w:spacing w:before="0" w:beforeAutospacing="0" w:after="0" w:afterAutospacing="0" w:line="276" w:lineRule="auto"/>
              <w:ind w:left="0" w:right="0"/>
              <w:jc w:val="center"/>
              <w:rPr>
                <w:rFonts w:hint="default" w:ascii="宋体" w:hAnsi="宋体"/>
                <w:b/>
                <w:color w:val="auto"/>
                <w:sz w:val="24"/>
                <w:szCs w:val="20"/>
                <w:highlight w:val="none"/>
              </w:rPr>
            </w:pPr>
            <w:r>
              <w:rPr>
                <w:rFonts w:hint="eastAsia" w:ascii="宋体" w:hAnsi="宋体"/>
                <w:b/>
                <w:color w:val="auto"/>
                <w:sz w:val="24"/>
                <w:szCs w:val="20"/>
                <w:highlight w:val="none"/>
                <w:lang w:val="en-US" w:eastAsia="zh-CN"/>
              </w:rPr>
              <w:t>服务</w:t>
            </w:r>
            <w:r>
              <w:rPr>
                <w:rFonts w:hint="eastAsia" w:ascii="宋体" w:hAnsi="宋体"/>
                <w:b/>
                <w:color w:val="auto"/>
                <w:sz w:val="24"/>
                <w:szCs w:val="20"/>
                <w:highlight w:val="none"/>
              </w:rPr>
              <w:t>地点</w:t>
            </w:r>
          </w:p>
        </w:tc>
        <w:tc>
          <w:tcPr>
            <w:tcW w:w="7572" w:type="dxa"/>
            <w:noWrap w:val="0"/>
            <w:vAlign w:val="center"/>
          </w:tcPr>
          <w:p w14:paraId="66D779F3">
            <w:pPr>
              <w:keepNext w:val="0"/>
              <w:keepLines w:val="0"/>
              <w:suppressLineNumbers w:val="0"/>
              <w:spacing w:before="0" w:beforeAutospacing="0" w:after="0" w:afterAutospacing="0" w:line="276" w:lineRule="auto"/>
              <w:ind w:left="0" w:right="0"/>
              <w:rPr>
                <w:rFonts w:hint="default" w:ascii="Times New Roman" w:hAnsi="Times New Roman" w:eastAsia="宋体" w:cs="Times New Roman"/>
                <w:color w:val="auto"/>
                <w:sz w:val="24"/>
                <w:szCs w:val="20"/>
                <w:highlight w:val="none"/>
                <w:lang w:eastAsia="zh-CN"/>
              </w:rPr>
            </w:pPr>
            <w:r>
              <w:rPr>
                <w:rFonts w:hint="default" w:ascii="Times New Roman" w:hAnsi="Times New Roman" w:cs="Times New Roman"/>
                <w:color w:val="auto"/>
                <w:sz w:val="24"/>
                <w:szCs w:val="20"/>
                <w:highlight w:val="none"/>
              </w:rPr>
              <w:t>新疆农业大学，最终按</w:t>
            </w:r>
            <w:r>
              <w:rPr>
                <w:rFonts w:hint="eastAsia" w:cs="Times New Roman"/>
                <w:color w:val="auto"/>
                <w:sz w:val="24"/>
                <w:szCs w:val="20"/>
                <w:highlight w:val="none"/>
                <w:lang w:eastAsia="zh-CN"/>
              </w:rPr>
              <w:t>采购人</w:t>
            </w:r>
            <w:r>
              <w:rPr>
                <w:rFonts w:hint="default" w:ascii="Times New Roman" w:hAnsi="Times New Roman" w:cs="Times New Roman"/>
                <w:color w:val="auto"/>
                <w:sz w:val="24"/>
                <w:szCs w:val="20"/>
                <w:highlight w:val="none"/>
              </w:rPr>
              <w:t>指定地点验收、交货。</w:t>
            </w:r>
          </w:p>
        </w:tc>
      </w:tr>
      <w:tr w14:paraId="0F8C79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4" w:hRule="atLeast"/>
          <w:jc w:val="center"/>
        </w:trPr>
        <w:tc>
          <w:tcPr>
            <w:tcW w:w="979" w:type="dxa"/>
            <w:shd w:val="clear" w:color="auto" w:fill="auto"/>
            <w:noWrap w:val="0"/>
            <w:vAlign w:val="center"/>
          </w:tcPr>
          <w:p w14:paraId="15AD21E6">
            <w:pPr>
              <w:keepNext w:val="0"/>
              <w:keepLines w:val="0"/>
              <w:suppressLineNumbers w:val="0"/>
              <w:overflowPunct w:val="0"/>
              <w:spacing w:before="0" w:beforeAutospacing="0" w:after="0" w:afterAutospacing="0" w:line="276" w:lineRule="auto"/>
              <w:ind w:left="0" w:leftChars="0" w:right="0" w:rightChars="0"/>
              <w:jc w:val="center"/>
              <w:rPr>
                <w:rFonts w:hint="default" w:ascii="宋体" w:hAnsi="宋体" w:eastAsia="宋体" w:cs="Times New Roman"/>
                <w:b/>
                <w:color w:val="auto"/>
                <w:kern w:val="2"/>
                <w:sz w:val="24"/>
                <w:szCs w:val="20"/>
                <w:highlight w:val="none"/>
                <w:lang w:val="en-US" w:eastAsia="zh-CN" w:bidi="ar-SA"/>
              </w:rPr>
            </w:pPr>
            <w:r>
              <w:rPr>
                <w:rFonts w:hint="eastAsia" w:ascii="宋体" w:hAnsi="宋体"/>
                <w:b/>
                <w:color w:val="auto"/>
                <w:sz w:val="24"/>
                <w:szCs w:val="20"/>
                <w:highlight w:val="none"/>
                <w:lang w:val="en-US" w:eastAsia="zh-CN"/>
              </w:rPr>
              <w:t>20</w:t>
            </w:r>
          </w:p>
        </w:tc>
        <w:tc>
          <w:tcPr>
            <w:tcW w:w="1774" w:type="dxa"/>
            <w:tcBorders>
              <w:bottom w:val="single" w:color="auto" w:sz="4" w:space="0"/>
            </w:tcBorders>
            <w:noWrap w:val="0"/>
            <w:vAlign w:val="center"/>
          </w:tcPr>
          <w:p w14:paraId="6D817BF6">
            <w:pPr>
              <w:keepNext w:val="0"/>
              <w:keepLines w:val="0"/>
              <w:suppressLineNumbers w:val="0"/>
              <w:overflowPunct w:val="0"/>
              <w:spacing w:before="0" w:beforeAutospacing="0" w:after="0" w:afterAutospacing="0" w:line="276" w:lineRule="auto"/>
              <w:ind w:left="0" w:right="0"/>
              <w:jc w:val="center"/>
              <w:rPr>
                <w:rFonts w:hint="default" w:ascii="宋体" w:hAnsi="宋体"/>
                <w:b/>
                <w:color w:val="auto"/>
                <w:sz w:val="24"/>
                <w:szCs w:val="20"/>
                <w:highlight w:val="none"/>
              </w:rPr>
            </w:pPr>
            <w:r>
              <w:rPr>
                <w:rFonts w:hint="eastAsia" w:ascii="宋体" w:hAnsi="宋体"/>
                <w:b/>
                <w:color w:val="auto"/>
                <w:sz w:val="24"/>
                <w:szCs w:val="20"/>
                <w:highlight w:val="none"/>
              </w:rPr>
              <w:t>评标方法</w:t>
            </w:r>
          </w:p>
        </w:tc>
        <w:tc>
          <w:tcPr>
            <w:tcW w:w="7572" w:type="dxa"/>
            <w:tcBorders>
              <w:bottom w:val="single" w:color="auto" w:sz="4" w:space="0"/>
            </w:tcBorders>
            <w:noWrap w:val="0"/>
            <w:vAlign w:val="center"/>
          </w:tcPr>
          <w:p w14:paraId="0C3038EB">
            <w:pPr>
              <w:keepNext w:val="0"/>
              <w:keepLines w:val="0"/>
              <w:suppressLineNumbers w:val="0"/>
              <w:overflowPunct w:val="0"/>
              <w:spacing w:before="0" w:beforeAutospacing="0" w:after="0" w:afterAutospacing="0" w:line="276" w:lineRule="auto"/>
              <w:ind w:left="0" w:right="0"/>
              <w:jc w:val="both"/>
              <w:rPr>
                <w:rFonts w:hint="default" w:ascii="Times New Roman" w:hAnsi="Times New Roman" w:cs="Times New Roman"/>
                <w:color w:val="auto"/>
                <w:sz w:val="24"/>
                <w:szCs w:val="20"/>
                <w:highlight w:val="none"/>
              </w:rPr>
            </w:pPr>
            <w:r>
              <w:rPr>
                <w:rFonts w:hint="default" w:ascii="Times New Roman" w:hAnsi="Times New Roman" w:cs="Times New Roman"/>
                <w:b/>
                <w:bCs/>
                <w:color w:val="auto"/>
                <w:sz w:val="24"/>
                <w:szCs w:val="20"/>
                <w:highlight w:val="none"/>
              </w:rPr>
              <w:t>综合评分法</w:t>
            </w:r>
          </w:p>
        </w:tc>
      </w:tr>
      <w:tr w14:paraId="5C1B4D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8" w:hRule="atLeast"/>
          <w:jc w:val="center"/>
        </w:trPr>
        <w:tc>
          <w:tcPr>
            <w:tcW w:w="979" w:type="dxa"/>
            <w:tcBorders>
              <w:bottom w:val="single" w:color="auto" w:sz="4" w:space="0"/>
            </w:tcBorders>
            <w:shd w:val="clear" w:color="auto" w:fill="auto"/>
            <w:noWrap w:val="0"/>
            <w:vAlign w:val="center"/>
          </w:tcPr>
          <w:p w14:paraId="3FE82525">
            <w:pPr>
              <w:keepNext w:val="0"/>
              <w:keepLines w:val="0"/>
              <w:suppressLineNumbers w:val="0"/>
              <w:overflowPunct w:val="0"/>
              <w:spacing w:before="0" w:beforeAutospacing="0" w:after="0" w:afterAutospacing="0" w:line="276" w:lineRule="auto"/>
              <w:ind w:left="0" w:leftChars="0" w:right="0" w:rightChars="0"/>
              <w:jc w:val="center"/>
              <w:rPr>
                <w:rFonts w:hint="default" w:ascii="宋体" w:hAnsi="宋体" w:eastAsia="宋体"/>
                <w:b/>
                <w:color w:val="auto"/>
                <w:sz w:val="24"/>
                <w:szCs w:val="20"/>
                <w:highlight w:val="none"/>
                <w:lang w:val="en-US" w:eastAsia="zh-CN"/>
              </w:rPr>
            </w:pPr>
            <w:r>
              <w:rPr>
                <w:rFonts w:hint="eastAsia" w:ascii="宋体" w:hAnsi="宋体"/>
                <w:b/>
                <w:color w:val="auto"/>
                <w:sz w:val="24"/>
                <w:szCs w:val="20"/>
                <w:highlight w:val="none"/>
                <w:lang w:val="en-US" w:eastAsia="zh-CN"/>
              </w:rPr>
              <w:t>21</w:t>
            </w:r>
          </w:p>
        </w:tc>
        <w:tc>
          <w:tcPr>
            <w:tcW w:w="1774" w:type="dxa"/>
            <w:shd w:val="clear" w:color="auto" w:fill="auto"/>
            <w:noWrap w:val="0"/>
            <w:vAlign w:val="center"/>
          </w:tcPr>
          <w:p w14:paraId="46C72A72">
            <w:pPr>
              <w:keepNext w:val="0"/>
              <w:keepLines w:val="0"/>
              <w:suppressLineNumbers w:val="0"/>
              <w:snapToGrid w:val="0"/>
              <w:spacing w:before="0" w:beforeAutospacing="0" w:after="0" w:afterAutospacing="0" w:line="260" w:lineRule="exact"/>
              <w:ind w:left="0" w:right="0"/>
              <w:jc w:val="center"/>
              <w:rPr>
                <w:rFonts w:hint="default" w:ascii="Times New Roman" w:hAnsi="Times New Roman" w:eastAsia="宋体" w:cs="Times New Roman"/>
                <w:kern w:val="0"/>
                <w:sz w:val="24"/>
                <w:szCs w:val="20"/>
                <w:highlight w:val="none"/>
                <w:lang w:val="en-US" w:eastAsia="zh-CN" w:bidi="ar-SA"/>
              </w:rPr>
            </w:pPr>
            <w:r>
              <w:rPr>
                <w:rFonts w:hint="default" w:ascii="宋体" w:hAnsi="宋体"/>
                <w:b/>
                <w:color w:val="auto"/>
                <w:sz w:val="24"/>
                <w:szCs w:val="20"/>
                <w:highlight w:val="none"/>
              </w:rPr>
              <w:t>评标委员会</w:t>
            </w:r>
          </w:p>
        </w:tc>
        <w:tc>
          <w:tcPr>
            <w:tcW w:w="7572" w:type="dxa"/>
            <w:shd w:val="clear" w:color="auto" w:fill="auto"/>
            <w:noWrap w:val="0"/>
            <w:vAlign w:val="center"/>
          </w:tcPr>
          <w:p w14:paraId="4CAE734A">
            <w:pPr>
              <w:keepNext w:val="0"/>
              <w:keepLines w:val="0"/>
              <w:pageBreakBefore w:val="0"/>
              <w:suppressLineNumbers w:val="0"/>
              <w:kinsoku/>
              <w:wordWrap/>
              <w:overflowPunct/>
              <w:topLinePunct w:val="0"/>
              <w:bidi w:val="0"/>
              <w:snapToGrid/>
              <w:spacing w:before="0" w:beforeAutospacing="0" w:after="0" w:afterAutospacing="0" w:line="240" w:lineRule="auto"/>
              <w:ind w:left="0" w:right="0"/>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rPr>
              <w:t>（1）构成：</w:t>
            </w:r>
            <w:r>
              <w:rPr>
                <w:rFonts w:hint="eastAsia" w:ascii="Times New Roman" w:hAnsi="Times New Roman" w:eastAsia="宋体" w:cs="Times New Roman"/>
                <w:sz w:val="24"/>
                <w:szCs w:val="20"/>
                <w:highlight w:val="none"/>
                <w:lang w:val="en-US" w:eastAsia="zh-CN"/>
              </w:rPr>
              <w:t>7</w:t>
            </w:r>
            <w:r>
              <w:rPr>
                <w:rFonts w:hint="default" w:ascii="Times New Roman" w:hAnsi="Times New Roman" w:eastAsia="宋体" w:cs="Times New Roman"/>
                <w:sz w:val="24"/>
                <w:szCs w:val="20"/>
                <w:highlight w:val="none"/>
                <w:lang w:val="en-US" w:eastAsia="zh-CN"/>
              </w:rPr>
              <w:t>人，其中采购人代表</w:t>
            </w:r>
            <w:r>
              <w:rPr>
                <w:rFonts w:hint="eastAsia" w:ascii="Times New Roman" w:hAnsi="Times New Roman" w:eastAsia="宋体" w:cs="Times New Roman"/>
                <w:sz w:val="24"/>
                <w:szCs w:val="20"/>
                <w:highlight w:val="none"/>
                <w:lang w:val="en-US" w:eastAsia="zh-CN"/>
              </w:rPr>
              <w:t>2</w:t>
            </w:r>
            <w:r>
              <w:rPr>
                <w:rFonts w:hint="default" w:ascii="Times New Roman" w:hAnsi="Times New Roman" w:eastAsia="宋体" w:cs="Times New Roman"/>
                <w:sz w:val="24"/>
                <w:szCs w:val="20"/>
                <w:highlight w:val="none"/>
                <w:lang w:val="en-US" w:eastAsia="zh-CN"/>
              </w:rPr>
              <w:t>人，抽取专家</w:t>
            </w:r>
            <w:r>
              <w:rPr>
                <w:rFonts w:hint="eastAsia" w:ascii="Times New Roman" w:hAnsi="Times New Roman" w:eastAsia="宋体" w:cs="Times New Roman"/>
                <w:sz w:val="24"/>
                <w:szCs w:val="20"/>
                <w:highlight w:val="none"/>
                <w:lang w:val="en-US" w:eastAsia="zh-CN"/>
              </w:rPr>
              <w:t>5</w:t>
            </w:r>
            <w:r>
              <w:rPr>
                <w:rFonts w:hint="default" w:ascii="Times New Roman" w:hAnsi="Times New Roman" w:eastAsia="宋体" w:cs="Times New Roman"/>
                <w:sz w:val="24"/>
                <w:szCs w:val="20"/>
                <w:highlight w:val="none"/>
                <w:lang w:val="en-US" w:eastAsia="zh-CN"/>
              </w:rPr>
              <w:t>人</w:t>
            </w:r>
          </w:p>
          <w:p w14:paraId="415A1D55">
            <w:pPr>
              <w:keepNext w:val="0"/>
              <w:keepLines w:val="0"/>
              <w:pageBreakBefore w:val="0"/>
              <w:suppressLineNumbers w:val="0"/>
              <w:kinsoku/>
              <w:wordWrap/>
              <w:overflowPunct/>
              <w:topLinePunct w:val="0"/>
              <w:bidi w:val="0"/>
              <w:snapToGrid/>
              <w:spacing w:before="0" w:beforeAutospacing="0" w:after="0" w:afterAutospacing="0" w:line="240" w:lineRule="auto"/>
              <w:ind w:left="0" w:right="0"/>
              <w:rPr>
                <w:rFonts w:hint="default" w:ascii="Times New Roman" w:hAnsi="Times New Roman" w:eastAsia="宋体" w:cs="Times New Roman"/>
                <w:kern w:val="2"/>
                <w:sz w:val="24"/>
                <w:szCs w:val="20"/>
                <w:highlight w:val="none"/>
                <w:lang w:val="en-US" w:eastAsia="zh-CN" w:bidi="ar-SA"/>
              </w:rPr>
            </w:pPr>
            <w:r>
              <w:rPr>
                <w:rFonts w:hint="default" w:ascii="Times New Roman" w:hAnsi="Times New Roman" w:eastAsia="宋体" w:cs="Times New Roman"/>
                <w:sz w:val="24"/>
                <w:szCs w:val="20"/>
                <w:highlight w:val="none"/>
                <w:lang w:val="en-US" w:eastAsia="zh-CN"/>
              </w:rPr>
              <w:t>（2）方式：政采云评标</w:t>
            </w:r>
            <w:r>
              <w:rPr>
                <w:rFonts w:hint="default" w:ascii="Times New Roman" w:hAnsi="Times New Roman" w:eastAsia="宋体" w:cs="Times New Roman"/>
                <w:sz w:val="24"/>
                <w:szCs w:val="20"/>
                <w:highlight w:val="none"/>
              </w:rPr>
              <w:t>专家库中随机抽取</w:t>
            </w:r>
          </w:p>
        </w:tc>
      </w:tr>
      <w:tr w14:paraId="69D44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8" w:hRule="atLeast"/>
          <w:jc w:val="center"/>
        </w:trPr>
        <w:tc>
          <w:tcPr>
            <w:tcW w:w="979" w:type="dxa"/>
            <w:tcBorders>
              <w:bottom w:val="single" w:color="auto" w:sz="4" w:space="0"/>
            </w:tcBorders>
            <w:shd w:val="clear" w:color="auto" w:fill="auto"/>
            <w:noWrap w:val="0"/>
            <w:vAlign w:val="center"/>
          </w:tcPr>
          <w:p w14:paraId="582C416F">
            <w:pPr>
              <w:keepNext w:val="0"/>
              <w:keepLines w:val="0"/>
              <w:suppressLineNumbers w:val="0"/>
              <w:overflowPunct w:val="0"/>
              <w:spacing w:before="0" w:beforeAutospacing="0" w:after="0" w:afterAutospacing="0" w:line="276" w:lineRule="auto"/>
              <w:ind w:left="0" w:leftChars="0" w:right="0" w:rightChars="0"/>
              <w:jc w:val="center"/>
              <w:rPr>
                <w:rFonts w:hint="default" w:ascii="Times New Roman" w:hAnsi="Times New Roman" w:eastAsia="宋体" w:cs="Times New Roman"/>
                <w:b/>
                <w:color w:val="auto"/>
                <w:kern w:val="2"/>
                <w:sz w:val="24"/>
                <w:szCs w:val="20"/>
                <w:highlight w:val="none"/>
                <w:lang w:val="en-US" w:eastAsia="zh-CN" w:bidi="ar-SA"/>
              </w:rPr>
            </w:pPr>
            <w:r>
              <w:rPr>
                <w:rFonts w:hint="default" w:ascii="宋体" w:hAnsi="宋体" w:eastAsia="宋体"/>
                <w:b/>
                <w:color w:val="auto"/>
                <w:sz w:val="24"/>
                <w:szCs w:val="20"/>
                <w:highlight w:val="none"/>
                <w:lang w:val="en-US" w:eastAsia="zh-CN"/>
              </w:rPr>
              <w:t>2</w:t>
            </w:r>
            <w:r>
              <w:rPr>
                <w:rFonts w:hint="eastAsia" w:ascii="宋体" w:hAnsi="宋体"/>
                <w:b/>
                <w:color w:val="auto"/>
                <w:sz w:val="24"/>
                <w:szCs w:val="20"/>
                <w:highlight w:val="none"/>
                <w:lang w:val="en-US" w:eastAsia="zh-CN"/>
              </w:rPr>
              <w:t>2</w:t>
            </w:r>
          </w:p>
        </w:tc>
        <w:tc>
          <w:tcPr>
            <w:tcW w:w="1774" w:type="dxa"/>
            <w:noWrap w:val="0"/>
            <w:vAlign w:val="center"/>
          </w:tcPr>
          <w:p w14:paraId="7DC07A78">
            <w:pPr>
              <w:keepNext w:val="0"/>
              <w:keepLines w:val="0"/>
              <w:suppressLineNumbers w:val="0"/>
              <w:overflowPunct w:val="0"/>
              <w:spacing w:before="0" w:beforeAutospacing="0" w:after="0" w:afterAutospacing="0" w:line="276" w:lineRule="auto"/>
              <w:ind w:left="0" w:right="0"/>
              <w:jc w:val="center"/>
              <w:rPr>
                <w:rFonts w:hint="default" w:ascii="Times New Roman" w:hAnsi="Times New Roman" w:cs="Times New Roman"/>
                <w:b/>
                <w:color w:val="auto"/>
                <w:sz w:val="24"/>
                <w:szCs w:val="20"/>
                <w:highlight w:val="none"/>
              </w:rPr>
            </w:pPr>
            <w:r>
              <w:rPr>
                <w:rFonts w:hint="default" w:ascii="Times New Roman" w:hAnsi="Times New Roman" w:cs="Times New Roman"/>
                <w:b/>
                <w:color w:val="auto"/>
                <w:sz w:val="24"/>
                <w:szCs w:val="24"/>
                <w:highlight w:val="none"/>
              </w:rPr>
              <w:t>投标保证金</w:t>
            </w:r>
          </w:p>
        </w:tc>
        <w:tc>
          <w:tcPr>
            <w:tcW w:w="7572" w:type="dxa"/>
            <w:noWrap w:val="0"/>
            <w:vAlign w:val="center"/>
          </w:tcPr>
          <w:p w14:paraId="785C2A2C">
            <w:pPr>
              <w:keepNext w:val="0"/>
              <w:keepLines w:val="0"/>
              <w:suppressLineNumbers w:val="0"/>
              <w:spacing w:before="0" w:beforeAutospacing="0" w:after="0" w:afterAutospacing="0" w:line="276" w:lineRule="auto"/>
              <w:ind w:left="0" w:right="0"/>
              <w:rPr>
                <w:rFonts w:hint="default" w:ascii="Times New Roman" w:hAnsi="Times New Roman" w:cs="Times New Roman"/>
                <w:b/>
                <w:bCs/>
                <w:color w:val="auto"/>
                <w:sz w:val="24"/>
                <w:szCs w:val="20"/>
                <w:highlight w:val="none"/>
              </w:rPr>
            </w:pPr>
            <w:r>
              <w:rPr>
                <w:rFonts w:hint="default" w:ascii="Times New Roman" w:hAnsi="Times New Roman" w:cs="Times New Roman"/>
                <w:b/>
                <w:bCs/>
                <w:color w:val="auto"/>
                <w:sz w:val="24"/>
                <w:szCs w:val="20"/>
                <w:highlight w:val="none"/>
              </w:rPr>
              <w:t>保证金金额：</w:t>
            </w:r>
          </w:p>
          <w:p w14:paraId="0D49D017">
            <w:pPr>
              <w:keepNext w:val="0"/>
              <w:keepLines w:val="0"/>
              <w:suppressLineNumbers w:val="0"/>
              <w:spacing w:before="0" w:beforeAutospacing="0" w:after="0" w:afterAutospacing="0" w:line="276" w:lineRule="auto"/>
              <w:ind w:left="0" w:right="0"/>
              <w:rPr>
                <w:rFonts w:hint="default" w:ascii="Times New Roman" w:hAnsi="Times New Roman" w:eastAsia="宋体" w:cs="Times New Roman"/>
                <w:b/>
                <w:bCs/>
                <w:color w:val="auto"/>
                <w:sz w:val="24"/>
                <w:szCs w:val="20"/>
                <w:highlight w:val="none"/>
                <w:lang w:val="en-US" w:eastAsia="zh-CN"/>
              </w:rPr>
            </w:pPr>
            <w:r>
              <w:rPr>
                <w:rFonts w:hint="default" w:ascii="Times New Roman" w:hAnsi="Times New Roman" w:cs="Times New Roman"/>
                <w:b/>
                <w:bCs/>
                <w:color w:val="auto"/>
                <w:sz w:val="24"/>
                <w:szCs w:val="20"/>
                <w:highlight w:val="none"/>
                <w:lang w:val="en-US" w:eastAsia="zh-CN"/>
              </w:rPr>
              <w:t>标项一：</w:t>
            </w:r>
            <w:r>
              <w:rPr>
                <w:rFonts w:hint="eastAsia" w:cs="Times New Roman"/>
                <w:b/>
                <w:bCs/>
                <w:color w:val="auto"/>
                <w:sz w:val="24"/>
                <w:szCs w:val="20"/>
                <w:highlight w:val="none"/>
                <w:lang w:val="en-US" w:eastAsia="zh-CN"/>
              </w:rPr>
              <w:t>75000</w:t>
            </w:r>
            <w:r>
              <w:rPr>
                <w:rFonts w:hint="default" w:ascii="Times New Roman" w:hAnsi="Times New Roman" w:cs="Times New Roman"/>
                <w:b/>
                <w:bCs/>
                <w:color w:val="auto"/>
                <w:sz w:val="24"/>
                <w:szCs w:val="20"/>
                <w:highlight w:val="none"/>
              </w:rPr>
              <w:t>元（</w:t>
            </w:r>
            <w:r>
              <w:rPr>
                <w:rFonts w:hint="eastAsia" w:cs="Times New Roman"/>
                <w:b/>
                <w:bCs/>
                <w:color w:val="auto"/>
                <w:sz w:val="24"/>
                <w:szCs w:val="20"/>
                <w:highlight w:val="none"/>
                <w:lang w:val="en-US" w:eastAsia="zh-CN"/>
              </w:rPr>
              <w:t>柒万伍仟元整</w:t>
            </w:r>
            <w:r>
              <w:rPr>
                <w:rFonts w:hint="default" w:ascii="Times New Roman" w:hAnsi="Times New Roman" w:cs="Times New Roman"/>
                <w:b/>
                <w:bCs/>
                <w:color w:val="auto"/>
                <w:sz w:val="24"/>
                <w:szCs w:val="20"/>
                <w:highlight w:val="none"/>
              </w:rPr>
              <w:t>）（人民币）</w:t>
            </w:r>
          </w:p>
          <w:p w14:paraId="3F975305">
            <w:pPr>
              <w:keepNext w:val="0"/>
              <w:keepLines w:val="0"/>
              <w:suppressLineNumbers w:val="0"/>
              <w:spacing w:before="0" w:beforeAutospacing="0" w:after="0" w:afterAutospacing="0" w:line="276" w:lineRule="auto"/>
              <w:ind w:left="0" w:right="0"/>
              <w:rPr>
                <w:rFonts w:hint="default" w:ascii="Times New Roman" w:hAnsi="Times New Roman" w:cs="Times New Roman"/>
                <w:b/>
                <w:bCs/>
                <w:color w:val="auto"/>
                <w:sz w:val="24"/>
                <w:szCs w:val="20"/>
                <w:highlight w:val="none"/>
              </w:rPr>
            </w:pPr>
            <w:r>
              <w:rPr>
                <w:rFonts w:hint="default" w:ascii="Times New Roman" w:hAnsi="Times New Roman" w:cs="Times New Roman"/>
                <w:b/>
                <w:bCs/>
                <w:color w:val="auto"/>
                <w:sz w:val="24"/>
                <w:szCs w:val="20"/>
                <w:highlight w:val="none"/>
                <w:lang w:val="en-US" w:eastAsia="zh-CN"/>
              </w:rPr>
              <w:t>标项二：</w:t>
            </w:r>
            <w:r>
              <w:rPr>
                <w:rFonts w:hint="eastAsia" w:cs="Times New Roman"/>
                <w:b/>
                <w:bCs/>
                <w:color w:val="auto"/>
                <w:sz w:val="24"/>
                <w:szCs w:val="20"/>
                <w:highlight w:val="none"/>
                <w:lang w:val="en-US" w:eastAsia="zh-CN"/>
              </w:rPr>
              <w:t>76000</w:t>
            </w:r>
            <w:r>
              <w:rPr>
                <w:rFonts w:hint="default" w:ascii="Times New Roman" w:hAnsi="Times New Roman" w:cs="Times New Roman"/>
                <w:b/>
                <w:bCs/>
                <w:color w:val="auto"/>
                <w:sz w:val="24"/>
                <w:szCs w:val="20"/>
                <w:highlight w:val="none"/>
              </w:rPr>
              <w:t>元（</w:t>
            </w:r>
            <w:r>
              <w:rPr>
                <w:rFonts w:hint="eastAsia" w:cs="Times New Roman"/>
                <w:b/>
                <w:bCs/>
                <w:color w:val="auto"/>
                <w:sz w:val="24"/>
                <w:szCs w:val="20"/>
                <w:highlight w:val="none"/>
                <w:lang w:val="en-US" w:eastAsia="zh-CN"/>
              </w:rPr>
              <w:t>柒万陆仟元整</w:t>
            </w:r>
            <w:r>
              <w:rPr>
                <w:rFonts w:hint="default" w:ascii="Times New Roman" w:hAnsi="Times New Roman" w:cs="Times New Roman"/>
                <w:b/>
                <w:bCs/>
                <w:color w:val="auto"/>
                <w:sz w:val="24"/>
                <w:szCs w:val="20"/>
                <w:highlight w:val="none"/>
              </w:rPr>
              <w:t>）（人民币）</w:t>
            </w:r>
          </w:p>
          <w:p w14:paraId="5799A1A1">
            <w:pPr>
              <w:keepNext w:val="0"/>
              <w:keepLines w:val="0"/>
              <w:suppressLineNumbers w:val="0"/>
              <w:spacing w:before="0" w:beforeAutospacing="0" w:after="0" w:afterAutospacing="0" w:line="276" w:lineRule="auto"/>
              <w:ind w:left="0" w:right="0"/>
              <w:rPr>
                <w:rFonts w:hint="default" w:ascii="Times New Roman" w:hAnsi="Times New Roman" w:eastAsia="宋体" w:cs="Times New Roman"/>
                <w:b/>
                <w:bCs/>
                <w:color w:val="auto"/>
                <w:sz w:val="24"/>
                <w:szCs w:val="20"/>
                <w:highlight w:val="none"/>
                <w:lang w:eastAsia="zh-CN"/>
              </w:rPr>
            </w:pPr>
            <w:r>
              <w:rPr>
                <w:rFonts w:hint="default" w:ascii="Times New Roman" w:hAnsi="Times New Roman" w:cs="Times New Roman"/>
                <w:b/>
                <w:bCs/>
                <w:color w:val="auto"/>
                <w:sz w:val="24"/>
                <w:szCs w:val="20"/>
                <w:highlight w:val="none"/>
                <w:lang w:eastAsia="zh-CN"/>
              </w:rPr>
              <w:t>标项三：</w:t>
            </w:r>
            <w:r>
              <w:rPr>
                <w:rFonts w:hint="eastAsia" w:cs="Times New Roman"/>
                <w:b/>
                <w:bCs/>
                <w:color w:val="auto"/>
                <w:sz w:val="24"/>
                <w:szCs w:val="20"/>
                <w:highlight w:val="none"/>
                <w:lang w:val="en-US" w:eastAsia="zh-CN"/>
              </w:rPr>
              <w:t>31000</w:t>
            </w:r>
            <w:r>
              <w:rPr>
                <w:rFonts w:hint="default" w:ascii="Times New Roman" w:hAnsi="Times New Roman" w:cs="Times New Roman"/>
                <w:b/>
                <w:bCs/>
                <w:color w:val="auto"/>
                <w:sz w:val="24"/>
                <w:szCs w:val="20"/>
                <w:highlight w:val="none"/>
              </w:rPr>
              <w:t>元（</w:t>
            </w:r>
            <w:r>
              <w:rPr>
                <w:rFonts w:hint="eastAsia" w:cs="Times New Roman"/>
                <w:b/>
                <w:bCs/>
                <w:color w:val="auto"/>
                <w:sz w:val="24"/>
                <w:szCs w:val="20"/>
                <w:highlight w:val="none"/>
                <w:lang w:val="en-US" w:eastAsia="zh-CN"/>
              </w:rPr>
              <w:t>叁万壹仟元整</w:t>
            </w:r>
            <w:r>
              <w:rPr>
                <w:rFonts w:hint="default" w:ascii="Times New Roman" w:hAnsi="Times New Roman" w:cs="Times New Roman"/>
                <w:b/>
                <w:bCs/>
                <w:color w:val="auto"/>
                <w:sz w:val="24"/>
                <w:szCs w:val="20"/>
                <w:highlight w:val="none"/>
              </w:rPr>
              <w:t>）（人民币）</w:t>
            </w:r>
          </w:p>
          <w:p w14:paraId="2CF3CF55">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保证金缴纳方式：</w:t>
            </w:r>
            <w:r>
              <w:rPr>
                <w:rFonts w:hint="default" w:ascii="Times New Roman" w:hAnsi="Times New Roman" w:eastAsia="宋体" w:cs="Times New Roman"/>
                <w:color w:val="auto"/>
                <w:sz w:val="24"/>
                <w:szCs w:val="24"/>
                <w:highlight w:val="none"/>
              </w:rPr>
              <w:t>本项目保证金供应商自主选择以银行转账（仅支持平台电子保证金）、保函等非现金形式缴纳。以上方式投标</w:t>
            </w:r>
            <w:r>
              <w:rPr>
                <w:rFonts w:hint="eastAsia" w:cs="Times New Roman"/>
                <w:color w:val="auto"/>
                <w:sz w:val="24"/>
                <w:szCs w:val="24"/>
                <w:highlight w:val="none"/>
                <w:lang w:eastAsia="zh-CN"/>
              </w:rPr>
              <w:t>供应商</w:t>
            </w:r>
            <w:r>
              <w:rPr>
                <w:rFonts w:hint="default" w:ascii="Times New Roman" w:hAnsi="Times New Roman" w:eastAsia="宋体" w:cs="Times New Roman"/>
                <w:color w:val="auto"/>
                <w:sz w:val="24"/>
                <w:szCs w:val="24"/>
                <w:highlight w:val="none"/>
              </w:rPr>
              <w:t>仅需选择其中一种即可。具体缴纳方式如下：</w:t>
            </w:r>
          </w:p>
          <w:p w14:paraId="4E0BF900">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4"/>
                <w:szCs w:val="24"/>
                <w:highlight w:val="none"/>
              </w:rPr>
            </w:pPr>
            <w:r>
              <w:rPr>
                <w:rFonts w:hint="default" w:ascii="Times New Roman" w:hAnsi="Times New Roman" w:cs="Times New Roman" w:eastAsiaTheme="minorEastAsia"/>
                <w:color w:val="auto"/>
                <w:kern w:val="2"/>
                <w:sz w:val="24"/>
                <w:szCs w:val="24"/>
                <w:highlight w:val="none"/>
                <w:lang w:bidi="ar"/>
              </w:rPr>
              <w:t>1.</w:t>
            </w:r>
            <w:r>
              <w:rPr>
                <w:rFonts w:hint="default" w:ascii="Times New Roman" w:hAnsi="Times New Roman" w:eastAsia="宋体" w:cs="Times New Roman"/>
                <w:color w:val="auto"/>
                <w:sz w:val="24"/>
                <w:szCs w:val="24"/>
                <w:highlight w:val="none"/>
              </w:rPr>
              <w:t>电子保证金：</w:t>
            </w:r>
          </w:p>
          <w:p w14:paraId="0404E576">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按政采云平台系统自动生成的收款账号信息进行缴纳。具体操作在【保证金管理】页面，选择【电子保证金</w:t>
            </w:r>
            <w:r>
              <w:rPr>
                <w:rFonts w:hint="default"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在线获取账号</w:t>
            </w:r>
            <w:r>
              <w:rPr>
                <w:rFonts w:hint="default"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】，点击【新疆保证金平台】，自动从银行获取保证金的收款户名、收款账号、收款银行信息。供应商需将保证金转入获取到的收款账号</w:t>
            </w:r>
            <w:r>
              <w:rPr>
                <w:rFonts w:hint="default" w:ascii="Times New Roman" w:hAnsi="Times New Roman" w:cs="Times New Roman"/>
                <w:color w:val="auto"/>
                <w:sz w:val="24"/>
                <w:szCs w:val="24"/>
                <w:highlight w:val="none"/>
              </w:rPr>
              <w:t>；</w:t>
            </w:r>
          </w:p>
          <w:p w14:paraId="04B0B04C">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保函（电子保函、纸质保函）</w:t>
            </w:r>
          </w:p>
          <w:p w14:paraId="558B741A">
            <w:pPr>
              <w:keepNext w:val="0"/>
              <w:keepLines w:val="0"/>
              <w:suppressLineNumbers w:val="0"/>
              <w:spacing w:before="0" w:beforeAutospacing="0" w:after="0" w:afterAutospacing="0" w:line="276" w:lineRule="auto"/>
              <w:ind w:left="0" w:right="0"/>
              <w:rPr>
                <w:rFonts w:hint="default" w:ascii="Times New Roman" w:hAnsi="Times New Roman" w:cs="Times New Roman"/>
                <w:color w:val="auto"/>
                <w:sz w:val="24"/>
                <w:szCs w:val="20"/>
                <w:highlight w:val="none"/>
              </w:rPr>
            </w:pPr>
            <w:r>
              <w:rPr>
                <w:rFonts w:hint="default" w:ascii="Times New Roman" w:hAnsi="Times New Roman" w:eastAsia="宋体" w:cs="Times New Roman"/>
                <w:color w:val="auto"/>
                <w:sz w:val="24"/>
                <w:szCs w:val="24"/>
                <w:highlight w:val="none"/>
              </w:rPr>
              <w:t>保函推荐使用政采云电子保函，投标</w:t>
            </w:r>
            <w:r>
              <w:rPr>
                <w:rFonts w:hint="eastAsia" w:cs="Times New Roman"/>
                <w:color w:val="auto"/>
                <w:sz w:val="24"/>
                <w:szCs w:val="24"/>
                <w:highlight w:val="none"/>
                <w:lang w:eastAsia="zh-CN"/>
              </w:rPr>
              <w:t>供应商</w:t>
            </w:r>
            <w:r>
              <w:rPr>
                <w:rFonts w:hint="default" w:ascii="Times New Roman" w:hAnsi="Times New Roman" w:eastAsia="宋体" w:cs="Times New Roman"/>
                <w:color w:val="auto"/>
                <w:sz w:val="24"/>
                <w:szCs w:val="24"/>
                <w:highlight w:val="none"/>
              </w:rPr>
              <w:t>通过政采云平台金融服务页面点击电子保函→立即申请，具体操作详见以下网址：https://jinrong.zcygov.cn/luban/finance/letter/xinjiang?pageModelFlag=650000&amp;utm=luban.luban-PC-42055.959-pc-websitegroup-navBar-front.6.7e243ab01fd611eeaa409fcd72e2594c</w:t>
            </w:r>
          </w:p>
        </w:tc>
      </w:tr>
      <w:tr w14:paraId="610C36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shd w:val="clear" w:color="auto" w:fill="auto"/>
            <w:noWrap w:val="0"/>
            <w:vAlign w:val="center"/>
          </w:tcPr>
          <w:p w14:paraId="6DE5A789">
            <w:pPr>
              <w:keepNext w:val="0"/>
              <w:keepLines w:val="0"/>
              <w:suppressLineNumbers w:val="0"/>
              <w:overflowPunct w:val="0"/>
              <w:spacing w:before="0" w:beforeAutospacing="0" w:after="0" w:afterAutospacing="0" w:line="276" w:lineRule="auto"/>
              <w:ind w:left="0" w:leftChars="0" w:right="0" w:rightChars="0"/>
              <w:jc w:val="center"/>
              <w:rPr>
                <w:rFonts w:hint="default" w:ascii="Times New Roman" w:hAnsi="Times New Roman" w:eastAsia="宋体" w:cs="Times New Roman"/>
                <w:b/>
                <w:color w:val="auto"/>
                <w:kern w:val="2"/>
                <w:sz w:val="24"/>
                <w:szCs w:val="20"/>
                <w:highlight w:val="none"/>
                <w:lang w:val="en-US" w:eastAsia="zh-CN" w:bidi="ar-SA"/>
              </w:rPr>
            </w:pPr>
            <w:r>
              <w:rPr>
                <w:rFonts w:hint="default" w:ascii="宋体" w:hAnsi="宋体" w:eastAsia="宋体"/>
                <w:b/>
                <w:color w:val="auto"/>
                <w:sz w:val="24"/>
                <w:szCs w:val="20"/>
                <w:highlight w:val="none"/>
                <w:lang w:val="en-US" w:eastAsia="zh-CN"/>
              </w:rPr>
              <w:t>2</w:t>
            </w:r>
            <w:r>
              <w:rPr>
                <w:rFonts w:hint="eastAsia" w:ascii="宋体" w:hAnsi="宋体"/>
                <w:b/>
                <w:color w:val="auto"/>
                <w:sz w:val="24"/>
                <w:szCs w:val="20"/>
                <w:highlight w:val="none"/>
                <w:lang w:val="en-US" w:eastAsia="zh-CN"/>
              </w:rPr>
              <w:t>3</w:t>
            </w:r>
          </w:p>
        </w:tc>
        <w:tc>
          <w:tcPr>
            <w:tcW w:w="1774" w:type="dxa"/>
            <w:noWrap w:val="0"/>
            <w:vAlign w:val="center"/>
          </w:tcPr>
          <w:p w14:paraId="6F283ABC">
            <w:pPr>
              <w:keepNext w:val="0"/>
              <w:keepLines w:val="0"/>
              <w:suppressLineNumbers w:val="0"/>
              <w:overflowPunct w:val="0"/>
              <w:spacing w:before="0" w:beforeAutospacing="0" w:after="0" w:afterAutospacing="0" w:line="276" w:lineRule="auto"/>
              <w:ind w:left="0" w:right="0"/>
              <w:jc w:val="center"/>
              <w:rPr>
                <w:rFonts w:hint="default" w:ascii="Times New Roman" w:hAnsi="Times New Roman" w:cs="Times New Roman"/>
                <w:b/>
                <w:color w:val="auto"/>
                <w:sz w:val="24"/>
                <w:szCs w:val="24"/>
                <w:highlight w:val="none"/>
              </w:rPr>
            </w:pPr>
            <w:r>
              <w:rPr>
                <w:rFonts w:hint="default" w:ascii="Times New Roman" w:hAnsi="Times New Roman" w:cs="Times New Roman"/>
                <w:b/>
                <w:bCs/>
                <w:color w:val="auto"/>
                <w:sz w:val="24"/>
                <w:szCs w:val="20"/>
                <w:highlight w:val="none"/>
                <w:lang w:eastAsia="zh-CN"/>
              </w:rPr>
              <w:t>投标文件</w:t>
            </w:r>
            <w:r>
              <w:rPr>
                <w:rFonts w:hint="default" w:ascii="Times New Roman" w:hAnsi="Times New Roman" w:cs="Times New Roman"/>
                <w:b/>
                <w:bCs/>
                <w:color w:val="auto"/>
                <w:sz w:val="24"/>
                <w:szCs w:val="20"/>
                <w:highlight w:val="none"/>
              </w:rPr>
              <w:t>份数</w:t>
            </w:r>
          </w:p>
        </w:tc>
        <w:tc>
          <w:tcPr>
            <w:tcW w:w="7572" w:type="dxa"/>
            <w:noWrap w:val="0"/>
            <w:vAlign w:val="center"/>
          </w:tcPr>
          <w:p w14:paraId="5D861183">
            <w:pPr>
              <w:keepNext w:val="0"/>
              <w:keepLines w:val="0"/>
              <w:suppressLineNumbers w:val="0"/>
              <w:overflowPunct w:val="0"/>
              <w:spacing w:before="0" w:beforeAutospacing="0" w:after="0" w:afterAutospacing="0" w:line="276" w:lineRule="auto"/>
              <w:ind w:left="0" w:right="0"/>
              <w:rPr>
                <w:rFonts w:hint="default" w:ascii="Times New Roman" w:hAnsi="Times New Roman" w:cs="Times New Roman"/>
                <w:color w:val="auto"/>
                <w:sz w:val="24"/>
                <w:szCs w:val="24"/>
                <w:highlight w:val="none"/>
                <w:lang w:val="en-US" w:eastAsia="zh-CN"/>
              </w:rPr>
            </w:pPr>
            <w:r>
              <w:rPr>
                <w:rStyle w:val="156"/>
                <w:rFonts w:hint="default" w:ascii="Times New Roman" w:hAnsi="Times New Roman" w:cs="Times New Roman"/>
                <w:color w:val="auto"/>
                <w:sz w:val="24"/>
                <w:szCs w:val="20"/>
                <w:highlight w:val="none"/>
              </w:rPr>
              <w:t>供应商可通过账号密码或CA登录政采云客户端进行</w:t>
            </w:r>
            <w:r>
              <w:rPr>
                <w:rStyle w:val="156"/>
                <w:rFonts w:hint="default" w:ascii="Times New Roman" w:hAnsi="Times New Roman" w:cs="Times New Roman"/>
                <w:color w:val="auto"/>
                <w:sz w:val="24"/>
                <w:szCs w:val="20"/>
                <w:highlight w:val="none"/>
                <w:lang w:eastAsia="zh-CN"/>
              </w:rPr>
              <w:t>投标文件</w:t>
            </w:r>
            <w:r>
              <w:rPr>
                <w:rStyle w:val="156"/>
                <w:rFonts w:hint="default" w:ascii="Times New Roman" w:hAnsi="Times New Roman" w:cs="Times New Roman"/>
                <w:color w:val="auto"/>
                <w:sz w:val="24"/>
                <w:szCs w:val="20"/>
                <w:highlight w:val="none"/>
              </w:rPr>
              <w:t>的制作，本项目采用电子版</w:t>
            </w:r>
            <w:r>
              <w:rPr>
                <w:rStyle w:val="156"/>
                <w:rFonts w:hint="default" w:ascii="Times New Roman" w:hAnsi="Times New Roman" w:cs="Times New Roman"/>
                <w:color w:val="auto"/>
                <w:sz w:val="24"/>
                <w:szCs w:val="20"/>
                <w:highlight w:val="none"/>
                <w:lang w:eastAsia="zh-CN"/>
              </w:rPr>
              <w:t>投标文件</w:t>
            </w:r>
            <w:r>
              <w:rPr>
                <w:rStyle w:val="156"/>
                <w:rFonts w:hint="default" w:ascii="Times New Roman" w:hAnsi="Times New Roman" w:cs="Times New Roman"/>
                <w:color w:val="auto"/>
                <w:sz w:val="24"/>
                <w:szCs w:val="20"/>
                <w:highlight w:val="none"/>
              </w:rPr>
              <w:t>。</w:t>
            </w:r>
          </w:p>
        </w:tc>
      </w:tr>
      <w:tr w14:paraId="4855D8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shd w:val="clear" w:color="auto" w:fill="auto"/>
            <w:noWrap w:val="0"/>
            <w:vAlign w:val="center"/>
          </w:tcPr>
          <w:p w14:paraId="59B48A86">
            <w:pPr>
              <w:keepNext w:val="0"/>
              <w:keepLines w:val="0"/>
              <w:suppressLineNumbers w:val="0"/>
              <w:overflowPunct w:val="0"/>
              <w:spacing w:before="0" w:beforeAutospacing="0" w:after="0" w:afterAutospacing="0" w:line="276" w:lineRule="auto"/>
              <w:ind w:left="0" w:leftChars="0" w:right="0" w:rightChars="0"/>
              <w:jc w:val="center"/>
              <w:rPr>
                <w:rFonts w:hint="default" w:ascii="Times New Roman" w:hAnsi="Times New Roman" w:eastAsia="宋体" w:cs="Times New Roman"/>
                <w:b/>
                <w:color w:val="auto"/>
                <w:kern w:val="2"/>
                <w:sz w:val="24"/>
                <w:szCs w:val="20"/>
                <w:highlight w:val="none"/>
                <w:lang w:val="en-US" w:eastAsia="zh-CN" w:bidi="ar-SA"/>
              </w:rPr>
            </w:pPr>
            <w:r>
              <w:rPr>
                <w:rFonts w:hint="default" w:ascii="宋体" w:hAnsi="宋体" w:eastAsia="宋体"/>
                <w:b/>
                <w:color w:val="auto"/>
                <w:sz w:val="24"/>
                <w:szCs w:val="20"/>
                <w:highlight w:val="none"/>
                <w:lang w:val="en-US" w:eastAsia="zh-CN"/>
              </w:rPr>
              <w:t>2</w:t>
            </w:r>
            <w:r>
              <w:rPr>
                <w:rFonts w:hint="eastAsia" w:ascii="宋体" w:hAnsi="宋体"/>
                <w:b/>
                <w:color w:val="auto"/>
                <w:sz w:val="24"/>
                <w:szCs w:val="20"/>
                <w:highlight w:val="none"/>
                <w:lang w:val="en-US" w:eastAsia="zh-CN"/>
              </w:rPr>
              <w:t>4</w:t>
            </w:r>
          </w:p>
        </w:tc>
        <w:tc>
          <w:tcPr>
            <w:tcW w:w="1774" w:type="dxa"/>
            <w:tcBorders>
              <w:top w:val="single" w:color="auto" w:sz="4" w:space="0"/>
              <w:bottom w:val="single" w:color="auto" w:sz="4" w:space="0"/>
            </w:tcBorders>
            <w:noWrap w:val="0"/>
            <w:vAlign w:val="center"/>
          </w:tcPr>
          <w:p w14:paraId="07E07817">
            <w:pPr>
              <w:keepNext w:val="0"/>
              <w:keepLines w:val="0"/>
              <w:suppressLineNumbers w:val="0"/>
              <w:overflowPunct w:val="0"/>
              <w:spacing w:before="0" w:beforeAutospacing="0" w:after="0" w:afterAutospacing="0" w:line="276" w:lineRule="auto"/>
              <w:ind w:left="0" w:right="0"/>
              <w:jc w:val="center"/>
              <w:rPr>
                <w:rFonts w:hint="default" w:ascii="Times New Roman" w:hAnsi="Times New Roman" w:cs="Times New Roman"/>
                <w:b/>
                <w:color w:val="auto"/>
                <w:sz w:val="24"/>
                <w:szCs w:val="24"/>
                <w:highlight w:val="none"/>
              </w:rPr>
            </w:pPr>
            <w:r>
              <w:rPr>
                <w:rFonts w:hint="default" w:ascii="Times New Roman" w:hAnsi="Times New Roman" w:cs="Times New Roman"/>
                <w:b/>
                <w:bCs/>
                <w:color w:val="auto"/>
                <w:sz w:val="24"/>
                <w:szCs w:val="20"/>
                <w:highlight w:val="none"/>
              </w:rPr>
              <w:t>签字或盖章要求</w:t>
            </w:r>
          </w:p>
        </w:tc>
        <w:tc>
          <w:tcPr>
            <w:tcW w:w="7572" w:type="dxa"/>
            <w:tcBorders>
              <w:top w:val="single" w:color="auto" w:sz="4" w:space="0"/>
              <w:bottom w:val="single" w:color="auto" w:sz="4" w:space="0"/>
            </w:tcBorders>
            <w:noWrap w:val="0"/>
            <w:vAlign w:val="top"/>
          </w:tcPr>
          <w:p w14:paraId="345F80D4">
            <w:pPr>
              <w:pStyle w:val="69"/>
              <w:keepNext w:val="0"/>
              <w:keepLines w:val="0"/>
              <w:widowControl/>
              <w:suppressLineNumbers w:val="0"/>
              <w:snapToGrid w:val="0"/>
              <w:spacing w:before="0" w:beforeAutospacing="0" w:after="0" w:afterAutospacing="0" w:line="360" w:lineRule="auto"/>
              <w:ind w:left="0" w:right="0"/>
              <w:rPr>
                <w:rStyle w:val="156"/>
                <w:rFonts w:hint="default" w:ascii="Times New Roman" w:hAnsi="Times New Roman" w:cs="Times New Roman"/>
                <w:color w:val="auto"/>
                <w:sz w:val="24"/>
                <w:highlight w:val="none"/>
              </w:rPr>
            </w:pPr>
            <w:r>
              <w:rPr>
                <w:rStyle w:val="156"/>
                <w:rFonts w:hint="default" w:ascii="Times New Roman" w:hAnsi="Times New Roman" w:eastAsia="宋体" w:cs="Times New Roman"/>
                <w:color w:val="auto"/>
                <w:sz w:val="24"/>
                <w:highlight w:val="none"/>
                <w:lang w:val="en-US" w:eastAsia="zh-CN"/>
              </w:rPr>
              <w:t>1.</w:t>
            </w:r>
            <w:r>
              <w:rPr>
                <w:rStyle w:val="156"/>
                <w:rFonts w:hint="default" w:ascii="Times New Roman" w:hAnsi="Times New Roman" w:cs="Times New Roman"/>
                <w:color w:val="auto"/>
                <w:sz w:val="24"/>
                <w:highlight w:val="none"/>
                <w:lang w:eastAsia="zh-CN"/>
              </w:rPr>
              <w:t>投标文件</w:t>
            </w:r>
            <w:r>
              <w:rPr>
                <w:rStyle w:val="156"/>
                <w:rFonts w:hint="default" w:ascii="Times New Roman" w:hAnsi="Times New Roman" w:cs="Times New Roman"/>
                <w:color w:val="auto"/>
                <w:sz w:val="24"/>
                <w:highlight w:val="none"/>
              </w:rPr>
              <w:t>格式文件要求盖单位章和（或）签字的地方，</w:t>
            </w:r>
            <w:r>
              <w:rPr>
                <w:rStyle w:val="156"/>
                <w:rFonts w:hint="default" w:ascii="Times New Roman" w:hAnsi="Times New Roman" w:cs="Times New Roman"/>
                <w:color w:val="auto"/>
                <w:sz w:val="24"/>
                <w:highlight w:val="none"/>
                <w:lang w:eastAsia="zh-CN"/>
              </w:rPr>
              <w:t>投标供应商</w:t>
            </w:r>
            <w:r>
              <w:rPr>
                <w:rStyle w:val="156"/>
                <w:rFonts w:hint="default" w:ascii="Times New Roman" w:hAnsi="Times New Roman" w:cs="Times New Roman"/>
                <w:color w:val="auto"/>
                <w:sz w:val="24"/>
                <w:highlight w:val="none"/>
              </w:rPr>
              <w:t>均应使用CA数字证书加盖</w:t>
            </w:r>
            <w:r>
              <w:rPr>
                <w:rStyle w:val="156"/>
                <w:rFonts w:hint="default" w:ascii="Times New Roman" w:hAnsi="Times New Roman" w:cs="Times New Roman"/>
                <w:color w:val="auto"/>
                <w:sz w:val="24"/>
                <w:highlight w:val="none"/>
                <w:lang w:eastAsia="zh-CN"/>
              </w:rPr>
              <w:t>投标供应商</w:t>
            </w:r>
            <w:r>
              <w:rPr>
                <w:rStyle w:val="156"/>
                <w:rFonts w:hint="default" w:ascii="Times New Roman" w:hAnsi="Times New Roman" w:cs="Times New Roman"/>
                <w:color w:val="auto"/>
                <w:sz w:val="24"/>
                <w:highlight w:val="none"/>
              </w:rPr>
              <w:t>的单位电子签章和（或）法定代表人的个人电子签名</w:t>
            </w:r>
            <w:r>
              <w:rPr>
                <w:rFonts w:hint="default" w:ascii="Times New Roman" w:hAnsi="Times New Roman" w:cs="Times New Roman"/>
                <w:color w:val="auto"/>
                <w:sz w:val="24"/>
                <w:szCs w:val="24"/>
                <w:highlight w:val="none"/>
              </w:rPr>
              <w:t>；</w:t>
            </w:r>
          </w:p>
          <w:p w14:paraId="75A1F400">
            <w:pPr>
              <w:pStyle w:val="70"/>
              <w:keepNext w:val="0"/>
              <w:keepLines w:val="0"/>
              <w:suppressLineNumbers w:val="0"/>
              <w:snapToGrid w:val="0"/>
              <w:spacing w:before="0" w:beforeAutospacing="0" w:after="0" w:afterAutospacing="0" w:line="360" w:lineRule="auto"/>
              <w:ind w:left="0" w:right="0"/>
              <w:rPr>
                <w:rFonts w:hint="default" w:ascii="Times New Roman" w:hAnsi="Times New Roman" w:eastAsia="宋体" w:cs="Times New Roman"/>
                <w:color w:val="auto"/>
                <w:szCs w:val="21"/>
                <w:highlight w:val="none"/>
                <w:lang w:eastAsia="zh-CN"/>
              </w:rPr>
            </w:pPr>
            <w:r>
              <w:rPr>
                <w:rStyle w:val="156"/>
                <w:rFonts w:hint="default" w:ascii="Times New Roman" w:hAnsi="Times New Roman" w:eastAsia="宋体" w:cs="Times New Roman"/>
                <w:color w:val="auto"/>
                <w:kern w:val="2"/>
                <w:sz w:val="24"/>
                <w:szCs w:val="24"/>
                <w:highlight w:val="none"/>
                <w:lang w:val="en-US" w:eastAsia="zh-CN" w:bidi="ar-SA"/>
              </w:rPr>
              <w:t>2</w:t>
            </w:r>
            <w:r>
              <w:rPr>
                <w:rStyle w:val="156"/>
                <w:rFonts w:hint="default" w:ascii="Times New Roman" w:hAnsi="Times New Roman" w:cs="Times New Roman"/>
                <w:color w:val="auto"/>
                <w:sz w:val="24"/>
                <w:highlight w:val="none"/>
                <w:lang w:val="en-US" w:eastAsia="zh-CN"/>
              </w:rPr>
              <w:t>.</w:t>
            </w:r>
            <w:r>
              <w:rPr>
                <w:rStyle w:val="156"/>
                <w:rFonts w:hint="default" w:ascii="Times New Roman" w:hAnsi="Times New Roman" w:cs="Times New Roman"/>
                <w:color w:val="auto"/>
                <w:sz w:val="24"/>
                <w:highlight w:val="none"/>
              </w:rPr>
              <w:t>本文件中要求提交网上查询的证明资料的，以及本款中未明确要求盖章或签字的，不需盖章或签字</w:t>
            </w:r>
            <w:r>
              <w:rPr>
                <w:rStyle w:val="156"/>
                <w:rFonts w:hint="default" w:ascii="Times New Roman" w:hAnsi="Times New Roman" w:cs="Times New Roman"/>
                <w:color w:val="auto"/>
                <w:sz w:val="24"/>
                <w:highlight w:val="none"/>
                <w:lang w:eastAsia="zh-CN"/>
              </w:rPr>
              <w:t>。</w:t>
            </w:r>
          </w:p>
        </w:tc>
      </w:tr>
      <w:tr w14:paraId="55E78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7" w:hRule="atLeast"/>
          <w:jc w:val="center"/>
        </w:trPr>
        <w:tc>
          <w:tcPr>
            <w:tcW w:w="979" w:type="dxa"/>
            <w:tcBorders>
              <w:top w:val="single" w:color="auto" w:sz="4" w:space="0"/>
              <w:bottom w:val="single" w:color="auto" w:sz="4" w:space="0"/>
            </w:tcBorders>
            <w:shd w:val="clear" w:color="auto" w:fill="auto"/>
            <w:noWrap w:val="0"/>
            <w:vAlign w:val="center"/>
          </w:tcPr>
          <w:p w14:paraId="53C11867">
            <w:pPr>
              <w:keepNext w:val="0"/>
              <w:keepLines w:val="0"/>
              <w:suppressLineNumbers w:val="0"/>
              <w:overflowPunct w:val="0"/>
              <w:spacing w:before="0" w:beforeAutospacing="0" w:after="0" w:afterAutospacing="0" w:line="276" w:lineRule="auto"/>
              <w:ind w:left="0" w:leftChars="0" w:right="0" w:rightChars="0"/>
              <w:jc w:val="center"/>
              <w:rPr>
                <w:rFonts w:hint="default" w:ascii="Times New Roman" w:hAnsi="Times New Roman" w:eastAsia="宋体" w:cs="Times New Roman"/>
                <w:b/>
                <w:color w:val="auto"/>
                <w:kern w:val="2"/>
                <w:sz w:val="24"/>
                <w:szCs w:val="20"/>
                <w:highlight w:val="none"/>
                <w:lang w:val="en-US" w:eastAsia="zh-CN" w:bidi="ar-SA"/>
              </w:rPr>
            </w:pPr>
            <w:r>
              <w:rPr>
                <w:rFonts w:hint="default" w:ascii="宋体" w:hAnsi="宋体" w:eastAsia="宋体"/>
                <w:b/>
                <w:color w:val="auto"/>
                <w:sz w:val="24"/>
                <w:szCs w:val="20"/>
                <w:highlight w:val="none"/>
                <w:lang w:val="en-US" w:eastAsia="zh-CN"/>
              </w:rPr>
              <w:t>2</w:t>
            </w:r>
            <w:r>
              <w:rPr>
                <w:rFonts w:hint="eastAsia" w:ascii="宋体" w:hAnsi="宋体"/>
                <w:b/>
                <w:color w:val="auto"/>
                <w:sz w:val="24"/>
                <w:szCs w:val="20"/>
                <w:highlight w:val="none"/>
                <w:lang w:val="en-US" w:eastAsia="zh-CN"/>
              </w:rPr>
              <w:t>5</w:t>
            </w:r>
          </w:p>
        </w:tc>
        <w:tc>
          <w:tcPr>
            <w:tcW w:w="1774" w:type="dxa"/>
            <w:tcBorders>
              <w:top w:val="single" w:color="auto" w:sz="4" w:space="0"/>
              <w:bottom w:val="single" w:color="auto" w:sz="4" w:space="0"/>
            </w:tcBorders>
            <w:noWrap w:val="0"/>
            <w:vAlign w:val="center"/>
          </w:tcPr>
          <w:p w14:paraId="07879055">
            <w:pPr>
              <w:keepNext w:val="0"/>
              <w:keepLines w:val="0"/>
              <w:suppressLineNumbers w:val="0"/>
              <w:overflowPunct w:val="0"/>
              <w:spacing w:before="0" w:beforeAutospacing="0" w:after="0" w:afterAutospacing="0" w:line="276" w:lineRule="auto"/>
              <w:ind w:left="0" w:right="0"/>
              <w:jc w:val="center"/>
              <w:rPr>
                <w:rFonts w:hint="default" w:ascii="Times New Roman" w:hAnsi="Times New Roman" w:cs="Times New Roman"/>
                <w:b/>
                <w:color w:val="auto"/>
                <w:sz w:val="24"/>
                <w:szCs w:val="20"/>
                <w:highlight w:val="none"/>
              </w:rPr>
            </w:pPr>
            <w:r>
              <w:rPr>
                <w:rFonts w:hint="default" w:ascii="Times New Roman" w:hAnsi="Times New Roman" w:cs="Times New Roman"/>
                <w:b/>
                <w:color w:val="auto"/>
                <w:sz w:val="24"/>
                <w:szCs w:val="20"/>
                <w:highlight w:val="none"/>
              </w:rPr>
              <w:t>付款方式及币种</w:t>
            </w:r>
          </w:p>
        </w:tc>
        <w:tc>
          <w:tcPr>
            <w:tcW w:w="7572" w:type="dxa"/>
            <w:tcBorders>
              <w:top w:val="single" w:color="auto" w:sz="4" w:space="0"/>
            </w:tcBorders>
            <w:noWrap w:val="0"/>
            <w:vAlign w:val="center"/>
          </w:tcPr>
          <w:p w14:paraId="4381D4B3">
            <w:pPr>
              <w:keepNext w:val="0"/>
              <w:keepLines w:val="0"/>
              <w:suppressLineNumbers w:val="0"/>
              <w:overflowPunct w:val="0"/>
              <w:spacing w:before="0" w:beforeAutospacing="0" w:after="0" w:afterAutospacing="0" w:line="276" w:lineRule="auto"/>
              <w:ind w:left="0" w:right="0"/>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lang w:val="en-US" w:eastAsia="zh-CN"/>
              </w:rPr>
              <w:t>1.</w:t>
            </w:r>
            <w:r>
              <w:rPr>
                <w:rFonts w:hint="default" w:ascii="Times New Roman" w:hAnsi="Times New Roman" w:cs="Times New Roman"/>
                <w:color w:val="auto"/>
                <w:sz w:val="24"/>
                <w:szCs w:val="20"/>
                <w:highlight w:val="none"/>
              </w:rPr>
              <w:t>付款币种</w:t>
            </w:r>
            <w:r>
              <w:rPr>
                <w:rFonts w:hint="default" w:ascii="Times New Roman" w:hAnsi="Times New Roman" w:cs="Times New Roman"/>
                <w:color w:val="auto"/>
                <w:sz w:val="24"/>
                <w:szCs w:val="20"/>
                <w:highlight w:val="none"/>
                <w:lang w:eastAsia="zh-CN"/>
              </w:rPr>
              <w:t>：</w:t>
            </w:r>
            <w:r>
              <w:rPr>
                <w:rFonts w:hint="default" w:ascii="Times New Roman" w:hAnsi="Times New Roman" w:cs="Times New Roman"/>
                <w:color w:val="auto"/>
                <w:sz w:val="24"/>
                <w:szCs w:val="20"/>
                <w:highlight w:val="none"/>
              </w:rPr>
              <w:t>本次招标所述的项目资金均以人民币支付</w:t>
            </w:r>
            <w:r>
              <w:rPr>
                <w:rFonts w:hint="default" w:ascii="Times New Roman" w:hAnsi="Times New Roman" w:cs="Times New Roman"/>
                <w:color w:val="auto"/>
                <w:sz w:val="24"/>
                <w:szCs w:val="24"/>
                <w:highlight w:val="none"/>
              </w:rPr>
              <w:t>；</w:t>
            </w:r>
          </w:p>
          <w:p w14:paraId="72FE5F2D">
            <w:pPr>
              <w:keepNext w:val="0"/>
              <w:keepLines w:val="0"/>
              <w:suppressLineNumbers w:val="0"/>
              <w:spacing w:before="0" w:beforeAutospacing="0" w:after="0" w:afterAutospacing="0" w:line="276" w:lineRule="auto"/>
              <w:ind w:left="0" w:right="0"/>
              <w:jc w:val="left"/>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lang w:val="en-US" w:eastAsia="zh-CN"/>
              </w:rPr>
              <w:t>2.</w:t>
            </w:r>
            <w:r>
              <w:rPr>
                <w:rFonts w:hint="default" w:ascii="Times New Roman" w:hAnsi="Times New Roman" w:cs="Times New Roman"/>
                <w:color w:val="auto"/>
                <w:sz w:val="24"/>
                <w:szCs w:val="20"/>
                <w:highlight w:val="none"/>
              </w:rPr>
              <w:t>付款方式：以合同签订时约定为准。</w:t>
            </w:r>
          </w:p>
        </w:tc>
      </w:tr>
      <w:tr w14:paraId="49710A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979" w:type="dxa"/>
            <w:tcBorders>
              <w:top w:val="single" w:color="auto" w:sz="4" w:space="0"/>
            </w:tcBorders>
            <w:shd w:val="clear" w:color="auto" w:fill="auto"/>
            <w:noWrap w:val="0"/>
            <w:vAlign w:val="center"/>
          </w:tcPr>
          <w:p w14:paraId="13238984">
            <w:pPr>
              <w:keepNext w:val="0"/>
              <w:keepLines w:val="0"/>
              <w:suppressLineNumbers w:val="0"/>
              <w:overflowPunct w:val="0"/>
              <w:spacing w:before="0" w:beforeAutospacing="0" w:after="0" w:afterAutospacing="0" w:line="276" w:lineRule="auto"/>
              <w:ind w:left="0" w:leftChars="0" w:right="0" w:rightChars="0"/>
              <w:jc w:val="center"/>
              <w:rPr>
                <w:rFonts w:hint="default" w:ascii="宋体" w:hAnsi="宋体" w:eastAsia="宋体"/>
                <w:b/>
                <w:color w:val="auto"/>
                <w:sz w:val="24"/>
                <w:szCs w:val="20"/>
                <w:highlight w:val="none"/>
                <w:lang w:val="en-US" w:eastAsia="zh-CN"/>
              </w:rPr>
            </w:pPr>
            <w:r>
              <w:rPr>
                <w:rFonts w:hint="default" w:ascii="宋体" w:hAnsi="宋体" w:eastAsia="宋体"/>
                <w:b/>
                <w:color w:val="auto"/>
                <w:sz w:val="24"/>
                <w:szCs w:val="20"/>
                <w:highlight w:val="none"/>
                <w:lang w:val="en-US" w:eastAsia="zh-CN"/>
              </w:rPr>
              <w:t>2</w:t>
            </w:r>
            <w:r>
              <w:rPr>
                <w:rFonts w:hint="eastAsia" w:ascii="宋体" w:hAnsi="宋体"/>
                <w:b/>
                <w:color w:val="auto"/>
                <w:sz w:val="24"/>
                <w:szCs w:val="20"/>
                <w:highlight w:val="none"/>
                <w:lang w:val="en-US" w:eastAsia="zh-CN"/>
              </w:rPr>
              <w:t>6</w:t>
            </w:r>
          </w:p>
        </w:tc>
        <w:tc>
          <w:tcPr>
            <w:tcW w:w="1774" w:type="dxa"/>
            <w:tcBorders>
              <w:top w:val="single" w:color="auto" w:sz="4" w:space="0"/>
            </w:tcBorders>
            <w:noWrap w:val="0"/>
            <w:vAlign w:val="center"/>
          </w:tcPr>
          <w:p w14:paraId="2A67FFE4">
            <w:pPr>
              <w:keepNext w:val="0"/>
              <w:keepLines w:val="0"/>
              <w:suppressLineNumbers w:val="0"/>
              <w:overflowPunct w:val="0"/>
              <w:spacing w:before="0" w:beforeAutospacing="0" w:after="0" w:afterAutospacing="0" w:line="276" w:lineRule="auto"/>
              <w:ind w:left="0" w:right="0"/>
              <w:jc w:val="center"/>
              <w:rPr>
                <w:rFonts w:hint="default" w:ascii="Times New Roman" w:hAnsi="Times New Roman" w:cs="Times New Roman"/>
                <w:b/>
                <w:color w:val="auto"/>
                <w:sz w:val="24"/>
                <w:szCs w:val="20"/>
                <w:highlight w:val="none"/>
              </w:rPr>
            </w:pPr>
            <w:r>
              <w:rPr>
                <w:rFonts w:hint="default" w:ascii="Times New Roman" w:hAnsi="Times New Roman" w:cs="Times New Roman"/>
                <w:b/>
                <w:color w:val="auto"/>
                <w:sz w:val="24"/>
                <w:szCs w:val="20"/>
                <w:highlight w:val="none"/>
              </w:rPr>
              <w:t>投标费用</w:t>
            </w:r>
          </w:p>
        </w:tc>
        <w:tc>
          <w:tcPr>
            <w:tcW w:w="7572" w:type="dxa"/>
            <w:noWrap w:val="0"/>
            <w:vAlign w:val="center"/>
          </w:tcPr>
          <w:p w14:paraId="1927789E">
            <w:pPr>
              <w:keepNext w:val="0"/>
              <w:keepLines w:val="0"/>
              <w:suppressLineNumbers w:val="0"/>
              <w:spacing w:before="0" w:beforeAutospacing="0" w:after="0" w:afterAutospacing="0" w:line="276" w:lineRule="auto"/>
              <w:ind w:left="0" w:right="0"/>
              <w:rPr>
                <w:rFonts w:hint="default" w:ascii="Times New Roman" w:hAnsi="Times New Roman" w:cs="Times New Roman"/>
                <w:b/>
                <w:color w:val="auto"/>
                <w:sz w:val="24"/>
                <w:szCs w:val="20"/>
                <w:highlight w:val="none"/>
              </w:rPr>
            </w:pPr>
            <w:r>
              <w:rPr>
                <w:rFonts w:hint="default" w:ascii="Times New Roman" w:hAnsi="Times New Roman" w:cs="Times New Roman"/>
                <w:color w:val="auto"/>
                <w:sz w:val="24"/>
                <w:szCs w:val="20"/>
                <w:highlight w:val="none"/>
              </w:rPr>
              <w:t>不论投标的结果如何，</w:t>
            </w:r>
            <w:r>
              <w:rPr>
                <w:rFonts w:hint="default" w:ascii="Times New Roman" w:hAnsi="Times New Roman" w:cs="Times New Roman"/>
                <w:color w:val="auto"/>
                <w:sz w:val="24"/>
                <w:szCs w:val="20"/>
                <w:highlight w:val="none"/>
                <w:lang w:eastAsia="zh-CN"/>
              </w:rPr>
              <w:t>投标供应商</w:t>
            </w:r>
            <w:r>
              <w:rPr>
                <w:rFonts w:hint="default" w:ascii="Times New Roman" w:hAnsi="Times New Roman" w:cs="Times New Roman"/>
                <w:color w:val="auto"/>
                <w:sz w:val="24"/>
                <w:szCs w:val="20"/>
                <w:highlight w:val="none"/>
              </w:rPr>
              <w:t>均应自行承担所有与参加投标有关的全部费用。</w:t>
            </w:r>
          </w:p>
        </w:tc>
      </w:tr>
      <w:tr w14:paraId="1DEFC0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shd w:val="clear" w:color="auto" w:fill="auto"/>
            <w:noWrap w:val="0"/>
            <w:vAlign w:val="center"/>
          </w:tcPr>
          <w:p w14:paraId="32032190">
            <w:pPr>
              <w:keepNext w:val="0"/>
              <w:keepLines w:val="0"/>
              <w:suppressLineNumbers w:val="0"/>
              <w:overflowPunct w:val="0"/>
              <w:spacing w:before="0" w:beforeAutospacing="0" w:after="0" w:afterAutospacing="0" w:line="276" w:lineRule="auto"/>
              <w:ind w:left="0" w:leftChars="0" w:right="0" w:rightChars="0"/>
              <w:jc w:val="center"/>
              <w:rPr>
                <w:rFonts w:hint="default" w:ascii="宋体" w:hAnsi="宋体" w:eastAsia="宋体"/>
                <w:b/>
                <w:color w:val="auto"/>
                <w:sz w:val="24"/>
                <w:szCs w:val="20"/>
                <w:highlight w:val="none"/>
                <w:lang w:val="en-US" w:eastAsia="zh-CN"/>
              </w:rPr>
            </w:pPr>
            <w:r>
              <w:rPr>
                <w:rFonts w:hint="default" w:ascii="宋体" w:hAnsi="宋体" w:eastAsia="宋体"/>
                <w:b/>
                <w:color w:val="auto"/>
                <w:sz w:val="24"/>
                <w:szCs w:val="20"/>
                <w:highlight w:val="none"/>
                <w:lang w:val="en-US" w:eastAsia="zh-CN"/>
              </w:rPr>
              <w:t>2</w:t>
            </w:r>
            <w:r>
              <w:rPr>
                <w:rFonts w:hint="eastAsia" w:ascii="宋体" w:hAnsi="宋体"/>
                <w:b/>
                <w:color w:val="auto"/>
                <w:sz w:val="24"/>
                <w:szCs w:val="20"/>
                <w:highlight w:val="none"/>
                <w:lang w:val="en-US" w:eastAsia="zh-CN"/>
              </w:rPr>
              <w:t>7</w:t>
            </w:r>
          </w:p>
        </w:tc>
        <w:tc>
          <w:tcPr>
            <w:tcW w:w="1774" w:type="dxa"/>
            <w:noWrap w:val="0"/>
            <w:vAlign w:val="center"/>
          </w:tcPr>
          <w:p w14:paraId="0B27C62F">
            <w:pPr>
              <w:keepNext w:val="0"/>
              <w:keepLines w:val="0"/>
              <w:suppressLineNumbers w:val="0"/>
              <w:overflowPunct w:val="0"/>
              <w:spacing w:before="0" w:beforeAutospacing="0" w:after="0" w:afterAutospacing="0" w:line="276" w:lineRule="auto"/>
              <w:ind w:left="0" w:right="0"/>
              <w:jc w:val="center"/>
              <w:rPr>
                <w:rFonts w:hint="default" w:ascii="Times New Roman" w:hAnsi="Times New Roman" w:cs="Times New Roman"/>
                <w:b/>
                <w:color w:val="auto"/>
                <w:sz w:val="24"/>
                <w:szCs w:val="20"/>
                <w:highlight w:val="none"/>
              </w:rPr>
            </w:pPr>
            <w:r>
              <w:rPr>
                <w:rFonts w:hint="default" w:ascii="Times New Roman" w:hAnsi="Times New Roman" w:cs="Times New Roman"/>
                <w:b/>
                <w:color w:val="auto"/>
                <w:kern w:val="0"/>
                <w:sz w:val="24"/>
                <w:szCs w:val="20"/>
                <w:highlight w:val="none"/>
              </w:rPr>
              <w:t>招标代理服务费</w:t>
            </w:r>
          </w:p>
        </w:tc>
        <w:tc>
          <w:tcPr>
            <w:tcW w:w="7572" w:type="dxa"/>
            <w:noWrap w:val="0"/>
            <w:vAlign w:val="center"/>
          </w:tcPr>
          <w:p w14:paraId="3A06C740">
            <w:pPr>
              <w:keepNext w:val="0"/>
              <w:keepLines w:val="0"/>
              <w:suppressLineNumbers w:val="0"/>
              <w:tabs>
                <w:tab w:val="left" w:pos="5760"/>
              </w:tabs>
              <w:spacing w:before="0" w:beforeAutospacing="0" w:after="0" w:afterAutospacing="0" w:line="276" w:lineRule="auto"/>
              <w:ind w:left="0" w:right="0"/>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lang w:val="en-US" w:eastAsia="zh-CN"/>
              </w:rPr>
              <w:t>1.</w:t>
            </w:r>
            <w:r>
              <w:rPr>
                <w:rFonts w:hint="default" w:ascii="Times New Roman" w:hAnsi="Times New Roman" w:cs="Times New Roman"/>
                <w:color w:val="auto"/>
                <w:sz w:val="24"/>
                <w:szCs w:val="20"/>
                <w:highlight w:val="none"/>
              </w:rPr>
              <w:t>代理报酬的计算方法：</w:t>
            </w:r>
            <w:r>
              <w:rPr>
                <w:rFonts w:hint="default" w:ascii="Times New Roman" w:hAnsi="Times New Roman" w:cs="Times New Roman"/>
                <w:color w:val="auto"/>
                <w:sz w:val="24"/>
                <w:szCs w:val="20"/>
                <w:highlight w:val="none"/>
                <w:u w:val="single"/>
              </w:rPr>
              <w:t>参照原国家计委计价格</w:t>
            </w:r>
            <w:r>
              <w:rPr>
                <w:rFonts w:hint="default" w:ascii="Times New Roman" w:hAnsi="Times New Roman" w:cs="Times New Roman"/>
                <w:color w:val="auto"/>
                <w:sz w:val="24"/>
                <w:szCs w:val="20"/>
                <w:highlight w:val="none"/>
                <w:u w:val="single"/>
                <w:lang w:eastAsia="zh-CN"/>
              </w:rPr>
              <w:t>〔2002〕1980号</w:t>
            </w:r>
            <w:r>
              <w:rPr>
                <w:rFonts w:hint="default" w:ascii="Times New Roman" w:hAnsi="Times New Roman" w:cs="Times New Roman"/>
                <w:color w:val="auto"/>
                <w:sz w:val="24"/>
                <w:szCs w:val="20"/>
                <w:highlight w:val="none"/>
                <w:u w:val="single"/>
              </w:rPr>
              <w:t>文和</w:t>
            </w:r>
            <w:r>
              <w:rPr>
                <w:rFonts w:hint="default" w:ascii="Times New Roman" w:hAnsi="Times New Roman" w:cs="Times New Roman"/>
                <w:color w:val="auto"/>
                <w:sz w:val="24"/>
                <w:szCs w:val="20"/>
                <w:highlight w:val="none"/>
                <w:u w:val="single"/>
                <w:lang w:eastAsia="zh-CN"/>
              </w:rPr>
              <w:t>国家发展改革委</w:t>
            </w:r>
            <w:r>
              <w:rPr>
                <w:rFonts w:hint="default" w:ascii="Times New Roman" w:hAnsi="Times New Roman" w:cs="Times New Roman"/>
                <w:color w:val="auto"/>
                <w:sz w:val="24"/>
                <w:szCs w:val="20"/>
                <w:highlight w:val="none"/>
                <w:u w:val="single"/>
              </w:rPr>
              <w:t>发改办价格</w:t>
            </w:r>
            <w:r>
              <w:rPr>
                <w:rFonts w:hint="default" w:ascii="Times New Roman" w:hAnsi="Times New Roman" w:cs="Times New Roman"/>
                <w:color w:val="auto"/>
                <w:sz w:val="24"/>
                <w:szCs w:val="20"/>
                <w:highlight w:val="none"/>
                <w:u w:val="single"/>
                <w:lang w:eastAsia="zh-CN"/>
              </w:rPr>
              <w:t>〔2003〕857号</w:t>
            </w:r>
            <w:r>
              <w:rPr>
                <w:rFonts w:hint="default" w:ascii="Times New Roman" w:hAnsi="Times New Roman" w:cs="Times New Roman"/>
                <w:color w:val="auto"/>
                <w:sz w:val="24"/>
                <w:szCs w:val="20"/>
                <w:highlight w:val="none"/>
                <w:u w:val="single"/>
              </w:rPr>
              <w:t>文的计算方法下浮30%收取。不足三千元按照三千元收取</w:t>
            </w:r>
            <w:r>
              <w:rPr>
                <w:rFonts w:hint="default" w:ascii="Times New Roman" w:hAnsi="Times New Roman" w:cs="Times New Roman"/>
                <w:color w:val="auto"/>
                <w:sz w:val="24"/>
                <w:szCs w:val="24"/>
                <w:highlight w:val="none"/>
              </w:rPr>
              <w:t>；</w:t>
            </w:r>
          </w:p>
          <w:p w14:paraId="5B96A4B0">
            <w:pPr>
              <w:keepNext w:val="0"/>
              <w:keepLines w:val="0"/>
              <w:suppressLineNumbers w:val="0"/>
              <w:tabs>
                <w:tab w:val="left" w:pos="5760"/>
              </w:tabs>
              <w:spacing w:before="0" w:beforeAutospacing="0" w:after="0" w:afterAutospacing="0" w:line="276" w:lineRule="auto"/>
              <w:ind w:left="0" w:right="0"/>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lang w:val="en-US" w:eastAsia="zh-CN"/>
              </w:rPr>
              <w:t>2.</w:t>
            </w:r>
            <w:r>
              <w:rPr>
                <w:rFonts w:hint="default" w:ascii="Times New Roman" w:hAnsi="Times New Roman" w:cs="Times New Roman"/>
                <w:color w:val="auto"/>
                <w:sz w:val="24"/>
                <w:szCs w:val="20"/>
                <w:highlight w:val="none"/>
              </w:rPr>
              <w:t>代理报酬支付方式：</w:t>
            </w:r>
            <w:r>
              <w:rPr>
                <w:rFonts w:hint="default" w:ascii="Times New Roman" w:hAnsi="Times New Roman" w:cs="Times New Roman"/>
                <w:color w:val="auto"/>
                <w:sz w:val="24"/>
                <w:szCs w:val="20"/>
                <w:highlight w:val="none"/>
                <w:u w:val="single"/>
              </w:rPr>
              <w:t>由</w:t>
            </w:r>
            <w:r>
              <w:rPr>
                <w:rFonts w:hint="default" w:ascii="Times New Roman" w:hAnsi="Times New Roman" w:cs="Times New Roman"/>
                <w:color w:val="auto"/>
                <w:sz w:val="24"/>
                <w:szCs w:val="20"/>
                <w:highlight w:val="none"/>
                <w:u w:val="single"/>
                <w:lang w:eastAsia="zh-CN"/>
              </w:rPr>
              <w:t>中标</w:t>
            </w:r>
            <w:r>
              <w:rPr>
                <w:rFonts w:hint="eastAsia" w:cs="Times New Roman"/>
                <w:color w:val="auto"/>
                <w:sz w:val="24"/>
                <w:szCs w:val="20"/>
                <w:highlight w:val="none"/>
                <w:u w:val="single"/>
                <w:lang w:eastAsia="zh-CN"/>
              </w:rPr>
              <w:t>供应商</w:t>
            </w:r>
            <w:r>
              <w:rPr>
                <w:rFonts w:hint="default" w:ascii="Times New Roman" w:hAnsi="Times New Roman" w:cs="Times New Roman"/>
                <w:color w:val="auto"/>
                <w:sz w:val="24"/>
                <w:szCs w:val="20"/>
                <w:highlight w:val="none"/>
                <w:u w:val="single"/>
              </w:rPr>
              <w:t>支付</w:t>
            </w:r>
            <w:r>
              <w:rPr>
                <w:rFonts w:hint="default" w:ascii="Times New Roman" w:hAnsi="Times New Roman" w:cs="Times New Roman"/>
                <w:color w:val="auto"/>
                <w:sz w:val="24"/>
                <w:szCs w:val="24"/>
                <w:highlight w:val="none"/>
              </w:rPr>
              <w:t>；</w:t>
            </w:r>
          </w:p>
          <w:p w14:paraId="0A5FC20E">
            <w:pPr>
              <w:keepNext w:val="0"/>
              <w:keepLines w:val="0"/>
              <w:suppressLineNumbers w:val="0"/>
              <w:tabs>
                <w:tab w:val="left" w:pos="5760"/>
              </w:tabs>
              <w:spacing w:before="0" w:beforeAutospacing="0" w:after="0" w:afterAutospacing="0" w:line="276" w:lineRule="auto"/>
              <w:ind w:left="0" w:right="0"/>
              <w:rPr>
                <w:rFonts w:hint="default" w:ascii="Times New Roman" w:hAnsi="Times New Roman" w:eastAsia="宋体" w:cs="Times New Roman"/>
                <w:color w:val="auto"/>
                <w:sz w:val="24"/>
                <w:szCs w:val="20"/>
                <w:highlight w:val="none"/>
                <w:lang w:eastAsia="zh-CN"/>
              </w:rPr>
            </w:pPr>
            <w:r>
              <w:rPr>
                <w:rFonts w:hint="default" w:ascii="Times New Roman" w:hAnsi="Times New Roman" w:cs="Times New Roman"/>
                <w:color w:val="auto"/>
                <w:sz w:val="24"/>
                <w:szCs w:val="20"/>
                <w:highlight w:val="none"/>
                <w:lang w:val="en-US" w:eastAsia="zh-CN"/>
              </w:rPr>
              <w:t>3.</w:t>
            </w:r>
            <w:r>
              <w:rPr>
                <w:rFonts w:hint="default" w:ascii="Times New Roman" w:hAnsi="Times New Roman" w:cs="Times New Roman"/>
                <w:color w:val="auto"/>
                <w:sz w:val="24"/>
                <w:szCs w:val="20"/>
                <w:highlight w:val="none"/>
              </w:rPr>
              <w:t>代理报酬的支付时间：</w:t>
            </w:r>
            <w:r>
              <w:rPr>
                <w:rFonts w:hint="default" w:ascii="Times New Roman" w:hAnsi="Times New Roman" w:cs="Times New Roman"/>
                <w:color w:val="auto"/>
                <w:sz w:val="24"/>
                <w:szCs w:val="20"/>
                <w:highlight w:val="none"/>
                <w:u w:val="single"/>
              </w:rPr>
              <w:t>由</w:t>
            </w:r>
            <w:r>
              <w:rPr>
                <w:rFonts w:hint="default" w:ascii="Times New Roman" w:hAnsi="Times New Roman" w:cs="Times New Roman"/>
                <w:color w:val="auto"/>
                <w:sz w:val="24"/>
                <w:szCs w:val="20"/>
                <w:highlight w:val="none"/>
                <w:u w:val="single"/>
                <w:lang w:eastAsia="zh-CN"/>
              </w:rPr>
              <w:t>中标</w:t>
            </w:r>
            <w:r>
              <w:rPr>
                <w:rFonts w:hint="eastAsia" w:cs="Times New Roman"/>
                <w:color w:val="auto"/>
                <w:sz w:val="24"/>
                <w:szCs w:val="20"/>
                <w:highlight w:val="none"/>
                <w:u w:val="single"/>
                <w:lang w:eastAsia="zh-CN"/>
              </w:rPr>
              <w:t>供应商</w:t>
            </w:r>
            <w:r>
              <w:rPr>
                <w:rFonts w:hint="default" w:ascii="Times New Roman" w:hAnsi="Times New Roman" w:cs="Times New Roman"/>
                <w:color w:val="auto"/>
                <w:sz w:val="24"/>
                <w:szCs w:val="20"/>
                <w:highlight w:val="none"/>
                <w:u w:val="single"/>
              </w:rPr>
              <w:t>领取</w:t>
            </w:r>
            <w:r>
              <w:rPr>
                <w:rFonts w:hint="default" w:ascii="Times New Roman" w:hAnsi="Times New Roman" w:cs="Times New Roman"/>
                <w:color w:val="auto"/>
                <w:sz w:val="24"/>
                <w:szCs w:val="20"/>
                <w:highlight w:val="none"/>
                <w:u w:val="single"/>
                <w:lang w:eastAsia="zh-CN"/>
              </w:rPr>
              <w:t>中标通知书</w:t>
            </w:r>
            <w:r>
              <w:rPr>
                <w:rFonts w:hint="default" w:ascii="Times New Roman" w:hAnsi="Times New Roman" w:cs="Times New Roman"/>
                <w:color w:val="auto"/>
                <w:sz w:val="24"/>
                <w:szCs w:val="20"/>
                <w:highlight w:val="none"/>
                <w:u w:val="single"/>
              </w:rPr>
              <w:t>前支付</w:t>
            </w:r>
            <w:r>
              <w:rPr>
                <w:rFonts w:hint="default" w:ascii="Times New Roman" w:hAnsi="Times New Roman" w:cs="Times New Roman"/>
                <w:color w:val="auto"/>
                <w:sz w:val="24"/>
                <w:szCs w:val="20"/>
                <w:highlight w:val="none"/>
                <w:u w:val="none"/>
                <w:lang w:eastAsia="zh-CN"/>
              </w:rPr>
              <w:t>。</w:t>
            </w:r>
          </w:p>
        </w:tc>
      </w:tr>
      <w:tr w14:paraId="46CFE1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shd w:val="clear" w:color="auto" w:fill="auto"/>
            <w:noWrap w:val="0"/>
            <w:vAlign w:val="center"/>
          </w:tcPr>
          <w:p w14:paraId="6CE99BA7">
            <w:pPr>
              <w:keepNext w:val="0"/>
              <w:keepLines w:val="0"/>
              <w:suppressLineNumbers w:val="0"/>
              <w:overflowPunct w:val="0"/>
              <w:spacing w:before="0" w:beforeAutospacing="0" w:after="0" w:afterAutospacing="0" w:line="276" w:lineRule="auto"/>
              <w:ind w:left="0" w:leftChars="0" w:right="0" w:rightChars="0"/>
              <w:jc w:val="center"/>
              <w:rPr>
                <w:rFonts w:hint="default" w:ascii="宋体" w:hAnsi="宋体" w:eastAsia="宋体"/>
                <w:b/>
                <w:color w:val="auto"/>
                <w:sz w:val="24"/>
                <w:szCs w:val="20"/>
                <w:highlight w:val="none"/>
                <w:lang w:val="en-US" w:eastAsia="zh-CN"/>
              </w:rPr>
            </w:pPr>
            <w:r>
              <w:rPr>
                <w:rFonts w:hint="default" w:ascii="宋体" w:hAnsi="宋体" w:eastAsia="宋体"/>
                <w:b/>
                <w:color w:val="auto"/>
                <w:sz w:val="24"/>
                <w:szCs w:val="20"/>
                <w:highlight w:val="none"/>
                <w:lang w:val="en-US" w:eastAsia="zh-CN"/>
              </w:rPr>
              <w:t>2</w:t>
            </w:r>
            <w:r>
              <w:rPr>
                <w:rFonts w:hint="eastAsia" w:ascii="宋体" w:hAnsi="宋体"/>
                <w:b/>
                <w:color w:val="auto"/>
                <w:sz w:val="24"/>
                <w:szCs w:val="20"/>
                <w:highlight w:val="none"/>
                <w:lang w:val="en-US" w:eastAsia="zh-CN"/>
              </w:rPr>
              <w:t>8</w:t>
            </w:r>
          </w:p>
        </w:tc>
        <w:tc>
          <w:tcPr>
            <w:tcW w:w="1774" w:type="dxa"/>
            <w:noWrap w:val="0"/>
            <w:vAlign w:val="center"/>
          </w:tcPr>
          <w:p w14:paraId="6448E1AF">
            <w:pPr>
              <w:keepNext w:val="0"/>
              <w:keepLines w:val="0"/>
              <w:suppressLineNumbers w:val="0"/>
              <w:overflowPunct w:val="0"/>
              <w:spacing w:before="0" w:beforeAutospacing="0" w:after="0" w:afterAutospacing="0" w:line="276" w:lineRule="auto"/>
              <w:ind w:left="0" w:right="0"/>
              <w:jc w:val="center"/>
              <w:rPr>
                <w:rFonts w:hint="default" w:ascii="Times New Roman" w:hAnsi="Times New Roman" w:cs="Times New Roman"/>
                <w:b/>
                <w:color w:val="auto"/>
                <w:kern w:val="0"/>
                <w:sz w:val="24"/>
                <w:szCs w:val="20"/>
                <w:highlight w:val="none"/>
              </w:rPr>
            </w:pPr>
            <w:r>
              <w:rPr>
                <w:rFonts w:hint="default" w:ascii="Times New Roman" w:hAnsi="Times New Roman" w:cs="Times New Roman"/>
                <w:b/>
                <w:color w:val="auto"/>
                <w:sz w:val="24"/>
                <w:szCs w:val="20"/>
                <w:highlight w:val="none"/>
              </w:rPr>
              <w:t>低于成本价不正当竞争预防措施</w:t>
            </w:r>
          </w:p>
        </w:tc>
        <w:tc>
          <w:tcPr>
            <w:tcW w:w="7572" w:type="dxa"/>
            <w:noWrap w:val="0"/>
            <w:vAlign w:val="center"/>
          </w:tcPr>
          <w:p w14:paraId="600E9AFC">
            <w:pPr>
              <w:keepNext w:val="0"/>
              <w:keepLines w:val="0"/>
              <w:suppressLineNumbers w:val="0"/>
              <w:spacing w:before="0" w:beforeAutospacing="0" w:after="0" w:afterAutospacing="0" w:line="276" w:lineRule="auto"/>
              <w:ind w:left="0" w:right="0"/>
              <w:jc w:val="left"/>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0"/>
                <w:highlight w:val="none"/>
              </w:rPr>
              <w:t>在评标过程中，</w:t>
            </w:r>
            <w:r>
              <w:rPr>
                <w:rFonts w:hint="default" w:ascii="Times New Roman" w:hAnsi="Times New Roman" w:cs="Times New Roman"/>
                <w:color w:val="auto"/>
                <w:sz w:val="24"/>
                <w:szCs w:val="20"/>
                <w:highlight w:val="none"/>
                <w:lang w:eastAsia="zh-CN"/>
              </w:rPr>
              <w:t>评标委员会</w:t>
            </w:r>
            <w:r>
              <w:rPr>
                <w:rFonts w:hint="default" w:ascii="Times New Roman" w:hAnsi="Times New Roman" w:cs="Times New Roman"/>
                <w:color w:val="auto"/>
                <w:sz w:val="24"/>
                <w:szCs w:val="20"/>
                <w:highlight w:val="none"/>
              </w:rPr>
              <w:t>认为</w:t>
            </w:r>
            <w:r>
              <w:rPr>
                <w:rFonts w:hint="default" w:ascii="Times New Roman" w:hAnsi="Times New Roman" w:cs="Times New Roman"/>
                <w:color w:val="auto"/>
                <w:sz w:val="24"/>
                <w:szCs w:val="20"/>
                <w:highlight w:val="none"/>
                <w:lang w:eastAsia="zh-CN"/>
              </w:rPr>
              <w:t>投标供应商</w:t>
            </w:r>
            <w:r>
              <w:rPr>
                <w:rFonts w:hint="default" w:ascii="Times New Roman" w:hAnsi="Times New Roman" w:cs="Times New Roman"/>
                <w:color w:val="auto"/>
                <w:sz w:val="24"/>
                <w:szCs w:val="20"/>
                <w:highlight w:val="none"/>
              </w:rPr>
              <w:t>的报价明显低于其他通过符合性审查</w:t>
            </w:r>
            <w:r>
              <w:rPr>
                <w:rFonts w:hint="default" w:ascii="Times New Roman" w:hAnsi="Times New Roman" w:cs="Times New Roman"/>
                <w:color w:val="auto"/>
                <w:sz w:val="24"/>
                <w:szCs w:val="20"/>
                <w:highlight w:val="none"/>
                <w:lang w:eastAsia="zh-CN"/>
              </w:rPr>
              <w:t>投标供应商</w:t>
            </w:r>
            <w:r>
              <w:rPr>
                <w:rFonts w:hint="default" w:ascii="Times New Roman" w:hAnsi="Times New Roman" w:cs="Times New Roman"/>
                <w:color w:val="auto"/>
                <w:sz w:val="24"/>
                <w:szCs w:val="20"/>
                <w:highlight w:val="none"/>
              </w:rPr>
              <w:t>的报价，有可能影响产品质量或者不能诚信履约的，应当要求其在评标现场合理的时间内提供书面说明，必要时提交相关证明材料；</w:t>
            </w:r>
            <w:r>
              <w:rPr>
                <w:rFonts w:hint="default" w:ascii="Times New Roman" w:hAnsi="Times New Roman" w:cs="Times New Roman"/>
                <w:color w:val="auto"/>
                <w:sz w:val="24"/>
                <w:szCs w:val="20"/>
                <w:highlight w:val="none"/>
                <w:lang w:eastAsia="zh-CN"/>
              </w:rPr>
              <w:t>投标供应商</w:t>
            </w:r>
            <w:r>
              <w:rPr>
                <w:rFonts w:hint="default" w:ascii="Times New Roman" w:hAnsi="Times New Roman" w:cs="Times New Roman"/>
                <w:color w:val="auto"/>
                <w:sz w:val="24"/>
                <w:szCs w:val="20"/>
                <w:highlight w:val="none"/>
              </w:rPr>
              <w:t>不能证明其报价合理性的，</w:t>
            </w:r>
            <w:r>
              <w:rPr>
                <w:rFonts w:hint="default" w:ascii="Times New Roman" w:hAnsi="Times New Roman" w:cs="Times New Roman"/>
                <w:color w:val="auto"/>
                <w:sz w:val="24"/>
                <w:szCs w:val="20"/>
                <w:highlight w:val="none"/>
                <w:lang w:eastAsia="zh-CN"/>
              </w:rPr>
              <w:t>评标委员会</w:t>
            </w:r>
            <w:r>
              <w:rPr>
                <w:rFonts w:hint="default" w:ascii="Times New Roman" w:hAnsi="Times New Roman" w:cs="Times New Roman"/>
                <w:color w:val="auto"/>
                <w:sz w:val="24"/>
                <w:szCs w:val="20"/>
                <w:highlight w:val="none"/>
              </w:rPr>
              <w:t>应当将其作为无效投标处理。</w:t>
            </w:r>
          </w:p>
        </w:tc>
      </w:tr>
      <w:tr w14:paraId="09D321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shd w:val="clear" w:color="auto" w:fill="auto"/>
            <w:noWrap w:val="0"/>
            <w:vAlign w:val="center"/>
          </w:tcPr>
          <w:p w14:paraId="0DA3DE8F">
            <w:pPr>
              <w:keepNext w:val="0"/>
              <w:keepLines w:val="0"/>
              <w:suppressLineNumbers w:val="0"/>
              <w:overflowPunct w:val="0"/>
              <w:spacing w:before="0" w:beforeAutospacing="0" w:after="0" w:afterAutospacing="0" w:line="276" w:lineRule="auto"/>
              <w:ind w:left="0" w:leftChars="0" w:right="0" w:rightChars="0"/>
              <w:jc w:val="center"/>
              <w:rPr>
                <w:rFonts w:hint="default" w:ascii="宋体" w:hAnsi="宋体" w:eastAsia="宋体"/>
                <w:b/>
                <w:color w:val="auto"/>
                <w:sz w:val="24"/>
                <w:szCs w:val="20"/>
                <w:highlight w:val="none"/>
                <w:lang w:val="en-US" w:eastAsia="zh-CN"/>
              </w:rPr>
            </w:pPr>
            <w:r>
              <w:rPr>
                <w:rFonts w:hint="default" w:ascii="宋体" w:hAnsi="宋体" w:eastAsia="宋体"/>
                <w:b/>
                <w:color w:val="auto"/>
                <w:sz w:val="24"/>
                <w:szCs w:val="20"/>
                <w:highlight w:val="none"/>
                <w:lang w:val="en-US" w:eastAsia="zh-CN"/>
              </w:rPr>
              <w:t>2</w:t>
            </w:r>
            <w:r>
              <w:rPr>
                <w:rFonts w:hint="eastAsia" w:ascii="宋体" w:hAnsi="宋体"/>
                <w:b/>
                <w:color w:val="auto"/>
                <w:sz w:val="24"/>
                <w:szCs w:val="20"/>
                <w:highlight w:val="none"/>
                <w:lang w:val="en-US" w:eastAsia="zh-CN"/>
              </w:rPr>
              <w:t>9</w:t>
            </w:r>
          </w:p>
        </w:tc>
        <w:tc>
          <w:tcPr>
            <w:tcW w:w="1774" w:type="dxa"/>
            <w:noWrap w:val="0"/>
            <w:vAlign w:val="center"/>
          </w:tcPr>
          <w:p w14:paraId="072D3EDE">
            <w:pPr>
              <w:keepNext w:val="0"/>
              <w:keepLines w:val="0"/>
              <w:suppressLineNumbers w:val="0"/>
              <w:spacing w:before="0" w:beforeAutospacing="0" w:after="0" w:afterAutospacing="0" w:line="276" w:lineRule="auto"/>
              <w:ind w:left="0" w:right="0"/>
              <w:jc w:val="center"/>
              <w:rPr>
                <w:rFonts w:hint="default" w:ascii="Times New Roman" w:hAnsi="Times New Roman" w:cs="Times New Roman"/>
                <w:b/>
                <w:color w:val="auto"/>
                <w:sz w:val="24"/>
                <w:szCs w:val="20"/>
                <w:highlight w:val="none"/>
              </w:rPr>
            </w:pPr>
            <w:r>
              <w:rPr>
                <w:rFonts w:hint="default" w:ascii="Times New Roman" w:hAnsi="Times New Roman" w:cs="Times New Roman"/>
                <w:b/>
                <w:color w:val="auto"/>
                <w:sz w:val="24"/>
                <w:szCs w:val="24"/>
                <w:highlight w:val="none"/>
              </w:rPr>
              <w:t>政府采购政策支持</w:t>
            </w:r>
          </w:p>
        </w:tc>
        <w:tc>
          <w:tcPr>
            <w:tcW w:w="7572" w:type="dxa"/>
            <w:noWrap w:val="0"/>
            <w:vAlign w:val="top"/>
          </w:tcPr>
          <w:p w14:paraId="0821A55E">
            <w:pPr>
              <w:keepNext w:val="0"/>
              <w:keepLines w:val="0"/>
              <w:suppressLineNumbers w:val="0"/>
              <w:spacing w:before="0" w:beforeAutospacing="0" w:after="0" w:afterAutospacing="0" w:line="276" w:lineRule="auto"/>
              <w:ind w:left="0" w:right="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1.</w:t>
            </w:r>
            <w:r>
              <w:rPr>
                <w:rFonts w:hint="default" w:ascii="Times New Roman" w:hAnsi="Times New Roman" w:cs="Times New Roman"/>
                <w:color w:val="auto"/>
                <w:sz w:val="24"/>
                <w:szCs w:val="24"/>
                <w:highlight w:val="none"/>
              </w:rPr>
              <w:t>中小企业，是指在中华人民共和国境内依法设立，依据国务院批准的中小企业划分标准确定的中型企业、小型企业和微型企业，以上企业，不属于大企业的分支机构，不存在控股股东为大企业的情形，也不存在与大企业的负责人为同一人的情形；</w:t>
            </w:r>
          </w:p>
          <w:p w14:paraId="3883308C">
            <w:pPr>
              <w:keepNext w:val="0"/>
              <w:keepLines w:val="0"/>
              <w:suppressLineNumbers w:val="0"/>
              <w:spacing w:before="0" w:beforeAutospacing="0" w:after="0" w:afterAutospacing="0" w:line="276" w:lineRule="auto"/>
              <w:ind w:left="0" w:right="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2.</w:t>
            </w:r>
            <w:r>
              <w:rPr>
                <w:rFonts w:hint="default" w:ascii="Times New Roman" w:hAnsi="Times New Roman" w:cs="Times New Roman"/>
                <w:color w:val="auto"/>
                <w:sz w:val="24"/>
                <w:szCs w:val="24"/>
                <w:highlight w:val="none"/>
              </w:rPr>
              <w:t>在政府采购活动中，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p>
          <w:p w14:paraId="4DAAF32D">
            <w:pPr>
              <w:keepNext w:val="0"/>
              <w:keepLines w:val="0"/>
              <w:suppressLineNumbers w:val="0"/>
              <w:spacing w:before="0" w:beforeAutospacing="0" w:after="0" w:afterAutospacing="0" w:line="276" w:lineRule="auto"/>
              <w:ind w:left="0" w:right="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3.</w:t>
            </w:r>
            <w:r>
              <w:rPr>
                <w:rFonts w:hint="default" w:ascii="Times New Roman" w:hAnsi="Times New Roman" w:cs="Times New Roman"/>
                <w:color w:val="auto"/>
                <w:sz w:val="24"/>
                <w:szCs w:val="24"/>
                <w:highlight w:val="none"/>
              </w:rPr>
              <w:t>在货物采购项目中，供应商提供的货物既有中小企业制造货物，也有大型企业制造货物的，不享受本办法规定的中小企业扶持政策；</w:t>
            </w:r>
          </w:p>
          <w:p w14:paraId="71186084">
            <w:pPr>
              <w:keepNext w:val="0"/>
              <w:keepLines w:val="0"/>
              <w:suppressLineNumbers w:val="0"/>
              <w:spacing w:before="0" w:beforeAutospacing="0" w:after="0" w:afterAutospacing="0" w:line="276" w:lineRule="auto"/>
              <w:ind w:left="0" w:right="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4.</w:t>
            </w:r>
            <w:r>
              <w:rPr>
                <w:rFonts w:hint="default" w:ascii="Times New Roman" w:hAnsi="Times New Roman" w:cs="Times New Roman"/>
                <w:color w:val="auto"/>
                <w:sz w:val="24"/>
                <w:szCs w:val="24"/>
                <w:highlight w:val="none"/>
              </w:rPr>
              <w:t>以联合体形式参加政府采购活动，联合体各方均为中小企业的，联合体视同中小企业。其中，联合体各方均为小微企业的，联合体视同小微企业；</w:t>
            </w:r>
          </w:p>
          <w:p w14:paraId="14C6DACF">
            <w:pPr>
              <w:keepNext w:val="0"/>
              <w:keepLines w:val="0"/>
              <w:suppressLineNumbers w:val="0"/>
              <w:spacing w:before="0" w:beforeAutospacing="0" w:after="0" w:afterAutospacing="0" w:line="276" w:lineRule="auto"/>
              <w:ind w:left="0" w:right="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5.</w:t>
            </w:r>
            <w:r>
              <w:rPr>
                <w:rFonts w:hint="default" w:ascii="Times New Roman" w:hAnsi="Times New Roman" w:cs="Times New Roman"/>
                <w:color w:val="auto"/>
                <w:sz w:val="24"/>
                <w:szCs w:val="24"/>
                <w:highlight w:val="none"/>
              </w:rPr>
              <w:t>供应商经享受扶持政策获得政府采购合同的，小微企业不得将合同分包给大中型企业，中型企业不得将合同分包给大型企业；</w:t>
            </w:r>
          </w:p>
          <w:p w14:paraId="55952A7A">
            <w:pPr>
              <w:keepNext w:val="0"/>
              <w:keepLines w:val="0"/>
              <w:suppressLineNumbers w:val="0"/>
              <w:spacing w:before="0" w:beforeAutospacing="0" w:after="0" w:afterAutospacing="0" w:line="276" w:lineRule="auto"/>
              <w:ind w:left="0" w:right="0"/>
              <w:rPr>
                <w:rFonts w:hint="default" w:ascii="Times New Roman" w:hAnsi="Times New Roman" w:eastAsia="宋体" w:cs="Times New Roman"/>
                <w:b/>
                <w:bCs/>
                <w:color w:val="auto"/>
                <w:sz w:val="24"/>
                <w:szCs w:val="24"/>
                <w:highlight w:val="none"/>
                <w:lang w:eastAsia="zh-CN"/>
              </w:rPr>
            </w:pPr>
            <w:r>
              <w:rPr>
                <w:rFonts w:hint="default" w:ascii="Times New Roman" w:hAnsi="Times New Roman" w:cs="Times New Roman"/>
                <w:b/>
                <w:bCs/>
                <w:color w:val="auto"/>
                <w:sz w:val="24"/>
                <w:szCs w:val="24"/>
                <w:highlight w:val="none"/>
                <w:lang w:val="en-US" w:eastAsia="zh-CN"/>
              </w:rPr>
              <w:t>6.</w:t>
            </w:r>
            <w:r>
              <w:rPr>
                <w:rFonts w:hint="default" w:ascii="Times New Roman" w:hAnsi="Times New Roman" w:cs="Times New Roman"/>
                <w:b/>
                <w:bCs/>
                <w:color w:val="auto"/>
                <w:sz w:val="24"/>
                <w:szCs w:val="24"/>
                <w:highlight w:val="none"/>
              </w:rPr>
              <w:t>本项目中小企业扶持政策：本项目为专门面向小微企业（含小型、微型企业）采购项目，根据《政府采购促进中小企业发展管理办法》（财库</w:t>
            </w:r>
            <w:r>
              <w:rPr>
                <w:rFonts w:hint="default" w:ascii="Times New Roman" w:hAnsi="Times New Roman" w:cs="Times New Roman"/>
                <w:b/>
                <w:bCs/>
                <w:color w:val="auto"/>
                <w:sz w:val="24"/>
                <w:szCs w:val="24"/>
                <w:highlight w:val="none"/>
                <w:lang w:eastAsia="zh-CN"/>
              </w:rPr>
              <w:t>〔2020〕46号</w:t>
            </w:r>
            <w:r>
              <w:rPr>
                <w:rFonts w:hint="default" w:ascii="Times New Roman" w:hAnsi="Times New Roman" w:cs="Times New Roman"/>
                <w:b/>
                <w:bCs/>
                <w:color w:val="auto"/>
                <w:sz w:val="24"/>
                <w:szCs w:val="24"/>
                <w:highlight w:val="none"/>
              </w:rPr>
              <w:t>）的规定，不再执行价格评审优惠的扶持政策，必须提供中小企业声明函</w:t>
            </w:r>
            <w:r>
              <w:rPr>
                <w:rFonts w:hint="default" w:ascii="Times New Roman" w:hAnsi="Times New Roman" w:cs="Times New Roman"/>
                <w:color w:val="auto"/>
                <w:sz w:val="24"/>
                <w:szCs w:val="24"/>
                <w:highlight w:val="none"/>
              </w:rPr>
              <w:t>；</w:t>
            </w:r>
          </w:p>
          <w:p w14:paraId="04994A84">
            <w:pPr>
              <w:keepNext w:val="0"/>
              <w:keepLines w:val="0"/>
              <w:suppressLineNumbers w:val="0"/>
              <w:spacing w:before="0" w:beforeAutospacing="0" w:after="0" w:afterAutospacing="0" w:line="276" w:lineRule="auto"/>
              <w:ind w:left="0" w:right="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7.</w:t>
            </w:r>
            <w:r>
              <w:rPr>
                <w:rFonts w:hint="default" w:ascii="Times New Roman" w:hAnsi="Times New Roman" w:cs="Times New Roman"/>
                <w:color w:val="auto"/>
                <w:sz w:val="24"/>
                <w:szCs w:val="24"/>
                <w:highlight w:val="none"/>
              </w:rPr>
              <w:t>根据“关于印发中小企业划型标准规定的通知（工信部联企业〔2011〕300号）”等有关规定，本项目标的所属行业为</w:t>
            </w:r>
            <w:r>
              <w:rPr>
                <w:rFonts w:hint="default" w:ascii="Times New Roman" w:hAnsi="Times New Roman" w:cs="Times New Roman"/>
                <w:b/>
                <w:bCs/>
                <w:color w:val="auto"/>
                <w:sz w:val="24"/>
                <w:szCs w:val="24"/>
                <w:highlight w:val="none"/>
                <w:lang w:val="en-US" w:eastAsia="zh-CN"/>
              </w:rPr>
              <w:t>餐饮业</w:t>
            </w:r>
            <w:r>
              <w:rPr>
                <w:rFonts w:hint="default" w:ascii="Times New Roman" w:hAnsi="Times New Roman" w:cs="Times New Roman"/>
                <w:color w:val="auto"/>
                <w:sz w:val="24"/>
                <w:szCs w:val="24"/>
                <w:highlight w:val="none"/>
              </w:rPr>
              <w:t>；</w:t>
            </w:r>
          </w:p>
          <w:p w14:paraId="655644D9">
            <w:pPr>
              <w:keepNext w:val="0"/>
              <w:keepLines w:val="0"/>
              <w:suppressLineNumbers w:val="0"/>
              <w:spacing w:before="0" w:beforeAutospacing="0" w:after="0" w:afterAutospacing="0" w:line="276" w:lineRule="auto"/>
              <w:ind w:left="0" w:right="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8.</w:t>
            </w:r>
            <w:r>
              <w:rPr>
                <w:rFonts w:hint="default" w:ascii="Times New Roman" w:hAnsi="Times New Roman" w:cs="Times New Roman"/>
                <w:color w:val="auto"/>
                <w:sz w:val="24"/>
                <w:szCs w:val="24"/>
                <w:highlight w:val="none"/>
              </w:rPr>
              <w:t>根据财政部、工业和信息化部关于印发《政府采购促进中小企业发展管理办法》的通知</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财库</w:t>
            </w:r>
            <w:r>
              <w:rPr>
                <w:rFonts w:hint="default" w:ascii="Times New Roman" w:hAnsi="Times New Roman" w:cs="Times New Roman"/>
                <w:color w:val="auto"/>
                <w:sz w:val="24"/>
                <w:szCs w:val="24"/>
                <w:highlight w:val="none"/>
                <w:lang w:eastAsia="zh-CN"/>
              </w:rPr>
              <w:t>〔2020〕46号）</w:t>
            </w: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所投产品的制造商属于《工业和信息化部、国家统计局、国家发展和改革委员会、财政部关于印发中小企业划型标准规定的通知》（工信部联企业</w:t>
            </w:r>
            <w:r>
              <w:rPr>
                <w:rFonts w:hint="default" w:ascii="Times New Roman" w:hAnsi="Times New Roman" w:cs="Times New Roman"/>
                <w:color w:val="auto"/>
                <w:sz w:val="24"/>
                <w:szCs w:val="24"/>
                <w:highlight w:val="none"/>
                <w:lang w:eastAsia="zh-CN"/>
              </w:rPr>
              <w:t>〔2011〕300号</w:t>
            </w:r>
            <w:r>
              <w:rPr>
                <w:rFonts w:hint="default" w:ascii="Times New Roman" w:hAnsi="Times New Roman" w:cs="Times New Roman"/>
                <w:color w:val="auto"/>
                <w:sz w:val="24"/>
                <w:szCs w:val="24"/>
                <w:highlight w:val="none"/>
              </w:rPr>
              <w:t>）中规定的中型、小型、微型企业标准的，按文件格式提供《中小企业声明函》；</w:t>
            </w:r>
          </w:p>
          <w:p w14:paraId="762A0367">
            <w:pPr>
              <w:keepNext w:val="0"/>
              <w:keepLines w:val="0"/>
              <w:suppressLineNumbers w:val="0"/>
              <w:spacing w:before="0" w:beforeAutospacing="0" w:after="0" w:afterAutospacing="0" w:line="276" w:lineRule="auto"/>
              <w:ind w:left="0" w:right="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9.</w:t>
            </w:r>
            <w:r>
              <w:rPr>
                <w:rFonts w:hint="default" w:ascii="Times New Roman" w:hAnsi="Times New Roman" w:cs="Times New Roman"/>
                <w:color w:val="auto"/>
                <w:sz w:val="24"/>
                <w:szCs w:val="24"/>
                <w:highlight w:val="none"/>
              </w:rPr>
              <w:t>根据财政部、司令部《关于政府采购支持监狱企业发展有关问题》的通知财库</w:t>
            </w:r>
            <w:r>
              <w:rPr>
                <w:rFonts w:hint="default" w:ascii="Times New Roman" w:hAnsi="Times New Roman" w:cs="Times New Roman"/>
                <w:color w:val="auto"/>
                <w:sz w:val="24"/>
                <w:szCs w:val="24"/>
                <w:highlight w:val="none"/>
                <w:lang w:eastAsia="zh-CN"/>
              </w:rPr>
              <w:t>〔2014〕68号</w:t>
            </w:r>
            <w:r>
              <w:rPr>
                <w:rFonts w:hint="default" w:ascii="Times New Roman" w:hAnsi="Times New Roman" w:cs="Times New Roman"/>
                <w:color w:val="auto"/>
                <w:sz w:val="24"/>
                <w:szCs w:val="24"/>
                <w:highlight w:val="none"/>
              </w:rPr>
              <w:t>，监狱企业参加本项目投标时，应当提供由省级以上监狱管理局、戒毒管理局（新疆生产建设兵团）出具的属于监狱企业的证明文件。监狱企业视同中型、小型、微型企业；</w:t>
            </w:r>
          </w:p>
          <w:p w14:paraId="1FDE9A9E">
            <w:pPr>
              <w:keepNext w:val="0"/>
              <w:keepLines w:val="0"/>
              <w:suppressLineNumbers w:val="0"/>
              <w:spacing w:before="0" w:beforeAutospacing="0" w:after="0" w:afterAutospacing="0" w:line="276" w:lineRule="auto"/>
              <w:ind w:left="0" w:right="0"/>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4"/>
                <w:highlight w:val="none"/>
                <w:lang w:val="en-US" w:eastAsia="zh-CN"/>
              </w:rPr>
              <w:t>10.</w:t>
            </w:r>
            <w:r>
              <w:rPr>
                <w:rFonts w:hint="default" w:ascii="Times New Roman" w:hAnsi="Times New Roman" w:cs="Times New Roman"/>
                <w:color w:val="auto"/>
                <w:sz w:val="24"/>
                <w:szCs w:val="24"/>
                <w:highlight w:val="none"/>
              </w:rPr>
              <w:t>根据财政部、民政部、中国残疾人联合会《关于促进残疾人就业政府采购政策的通知》（财库</w:t>
            </w:r>
            <w:r>
              <w:rPr>
                <w:rFonts w:hint="default" w:ascii="Times New Roman" w:hAnsi="Times New Roman" w:cs="Times New Roman"/>
                <w:color w:val="auto"/>
                <w:sz w:val="24"/>
                <w:szCs w:val="24"/>
                <w:highlight w:val="none"/>
                <w:lang w:eastAsia="zh-CN"/>
              </w:rPr>
              <w:t>〔2017〕141号</w:t>
            </w:r>
            <w:r>
              <w:rPr>
                <w:rFonts w:hint="default" w:ascii="Times New Roman" w:hAnsi="Times New Roman" w:cs="Times New Roman"/>
                <w:color w:val="auto"/>
                <w:sz w:val="24"/>
                <w:szCs w:val="24"/>
                <w:highlight w:val="none"/>
              </w:rPr>
              <w:t>），在政府采购活动中，残疾人福利性单位视同中型、小型、微型企业。</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属于残疾人福利性单位的，按照文件格式提供残疾人福利性单位声明函。</w:t>
            </w:r>
          </w:p>
        </w:tc>
      </w:tr>
      <w:tr w14:paraId="31B89B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01" w:hRule="atLeast"/>
          <w:jc w:val="center"/>
        </w:trPr>
        <w:tc>
          <w:tcPr>
            <w:tcW w:w="979" w:type="dxa"/>
            <w:shd w:val="clear" w:color="auto" w:fill="auto"/>
            <w:noWrap w:val="0"/>
            <w:vAlign w:val="center"/>
          </w:tcPr>
          <w:p w14:paraId="7ED012C5">
            <w:pPr>
              <w:keepNext w:val="0"/>
              <w:keepLines w:val="0"/>
              <w:suppressLineNumbers w:val="0"/>
              <w:overflowPunct w:val="0"/>
              <w:spacing w:before="0" w:beforeAutospacing="0" w:after="0" w:afterAutospacing="0" w:line="276" w:lineRule="auto"/>
              <w:ind w:left="0" w:leftChars="0" w:right="0" w:rightChars="0"/>
              <w:jc w:val="center"/>
              <w:rPr>
                <w:rFonts w:hint="default" w:ascii="宋体" w:hAnsi="宋体" w:eastAsia="宋体"/>
                <w:b/>
                <w:color w:val="auto"/>
                <w:sz w:val="24"/>
                <w:szCs w:val="20"/>
                <w:highlight w:val="none"/>
                <w:lang w:val="en-US" w:eastAsia="zh-CN"/>
              </w:rPr>
            </w:pPr>
            <w:r>
              <w:rPr>
                <w:rFonts w:hint="eastAsia" w:ascii="宋体" w:hAnsi="宋体"/>
                <w:b/>
                <w:color w:val="auto"/>
                <w:sz w:val="24"/>
                <w:szCs w:val="20"/>
                <w:highlight w:val="none"/>
                <w:lang w:val="en-US" w:eastAsia="zh-CN"/>
              </w:rPr>
              <w:t>30</w:t>
            </w:r>
          </w:p>
        </w:tc>
        <w:tc>
          <w:tcPr>
            <w:tcW w:w="1774" w:type="dxa"/>
            <w:noWrap w:val="0"/>
            <w:vAlign w:val="center"/>
          </w:tcPr>
          <w:p w14:paraId="3EC4C863">
            <w:pPr>
              <w:pStyle w:val="42"/>
              <w:keepNext w:val="0"/>
              <w:keepLines w:val="0"/>
              <w:suppressLineNumbers w:val="0"/>
              <w:spacing w:before="0" w:beforeAutospacing="0" w:after="0" w:afterAutospacing="0" w:line="276" w:lineRule="auto"/>
              <w:ind w:left="0" w:right="0"/>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kern w:val="2"/>
                <w:highlight w:val="none"/>
              </w:rPr>
              <w:t>质疑须知</w:t>
            </w:r>
          </w:p>
        </w:tc>
        <w:tc>
          <w:tcPr>
            <w:tcW w:w="7572" w:type="dxa"/>
            <w:noWrap w:val="0"/>
            <w:vAlign w:val="center"/>
          </w:tcPr>
          <w:p w14:paraId="3EDA5CA3">
            <w:pPr>
              <w:pStyle w:val="42"/>
              <w:keepNext w:val="0"/>
              <w:keepLines w:val="0"/>
              <w:suppressLineNumbers w:val="0"/>
              <w:spacing w:before="0" w:beforeAutospacing="0" w:after="0" w:afterAutospacing="0" w:line="276" w:lineRule="auto"/>
              <w:ind w:left="0" w:right="0"/>
              <w:jc w:val="both"/>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递交方式：现场递交纸质版质疑函（加盖公章）及Word格式电子版质疑文件至</w:t>
            </w:r>
            <w:r>
              <w:rPr>
                <w:rFonts w:hint="default" w:ascii="Times New Roman" w:hAnsi="Times New Roman" w:cs="Times New Roman"/>
                <w:color w:val="auto"/>
                <w:sz w:val="24"/>
                <w:szCs w:val="24"/>
                <w:highlight w:val="none"/>
                <w:lang w:eastAsia="zh-CN"/>
              </w:rPr>
              <w:t>接收单位</w:t>
            </w:r>
            <w:r>
              <w:rPr>
                <w:rFonts w:hint="default" w:ascii="Times New Roman" w:hAnsi="Times New Roman" w:cs="Times New Roman"/>
                <w:color w:val="auto"/>
                <w:sz w:val="24"/>
                <w:szCs w:val="24"/>
                <w:highlight w:val="none"/>
              </w:rPr>
              <w:t>，如法定代表人前来递交需携带法定代表人身份证原件，如被委托人前来递交需携带法定代表人授权委托书及被委托人身份证原件。</w:t>
            </w:r>
          </w:p>
          <w:p w14:paraId="42482DA9">
            <w:pPr>
              <w:pStyle w:val="42"/>
              <w:keepNext w:val="0"/>
              <w:keepLines w:val="0"/>
              <w:suppressLineNumbers w:val="0"/>
              <w:spacing w:before="0" w:beforeAutospacing="0" w:after="0" w:afterAutospacing="0" w:line="276" w:lineRule="auto"/>
              <w:ind w:left="0" w:right="0"/>
              <w:jc w:val="both"/>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接收部门：新疆守正项目管理咨询有限公司</w:t>
            </w:r>
          </w:p>
          <w:p w14:paraId="5C3D236B">
            <w:pPr>
              <w:pStyle w:val="42"/>
              <w:keepNext w:val="0"/>
              <w:keepLines w:val="0"/>
              <w:suppressLineNumbers w:val="0"/>
              <w:spacing w:before="0" w:beforeAutospacing="0" w:after="0" w:afterAutospacing="0" w:line="276" w:lineRule="auto"/>
              <w:ind w:left="0" w:right="0"/>
              <w:jc w:val="both"/>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联系电话：</w:t>
            </w:r>
            <w:r>
              <w:rPr>
                <w:rFonts w:hint="eastAsia" w:ascii="Times New Roman" w:hAnsi="Times New Roman" w:cs="Times New Roman"/>
                <w:color w:val="auto"/>
                <w:sz w:val="24"/>
                <w:szCs w:val="24"/>
                <w:highlight w:val="none"/>
                <w:lang w:eastAsia="zh-CN"/>
              </w:rPr>
              <w:t>18599788578/18599788582</w:t>
            </w:r>
          </w:p>
          <w:p w14:paraId="34798846">
            <w:pPr>
              <w:pStyle w:val="42"/>
              <w:keepNext w:val="0"/>
              <w:keepLines w:val="0"/>
              <w:suppressLineNumbers w:val="0"/>
              <w:spacing w:before="0" w:beforeAutospacing="0" w:after="0" w:afterAutospacing="0" w:line="276" w:lineRule="auto"/>
              <w:ind w:left="0" w:right="0"/>
              <w:jc w:val="both"/>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通讯地址：新疆乌鲁木齐高新区长春南路528号天康企业大厦</w:t>
            </w:r>
          </w:p>
        </w:tc>
      </w:tr>
      <w:tr w14:paraId="309AB8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04" w:hRule="atLeast"/>
          <w:jc w:val="center"/>
        </w:trPr>
        <w:tc>
          <w:tcPr>
            <w:tcW w:w="979" w:type="dxa"/>
            <w:shd w:val="clear" w:color="auto" w:fill="auto"/>
            <w:noWrap w:val="0"/>
            <w:vAlign w:val="center"/>
          </w:tcPr>
          <w:p w14:paraId="00826D85">
            <w:pPr>
              <w:keepNext w:val="0"/>
              <w:keepLines w:val="0"/>
              <w:suppressLineNumbers w:val="0"/>
              <w:overflowPunct w:val="0"/>
              <w:spacing w:before="0" w:beforeAutospacing="0" w:after="0" w:afterAutospacing="0" w:line="276" w:lineRule="auto"/>
              <w:ind w:left="0" w:leftChars="0" w:right="0" w:rightChars="0"/>
              <w:jc w:val="center"/>
              <w:rPr>
                <w:rFonts w:hint="default" w:ascii="宋体" w:hAnsi="宋体" w:eastAsia="宋体"/>
                <w:b/>
                <w:color w:val="auto"/>
                <w:sz w:val="24"/>
                <w:szCs w:val="20"/>
                <w:highlight w:val="none"/>
                <w:lang w:val="en-US" w:eastAsia="zh-CN"/>
              </w:rPr>
            </w:pPr>
            <w:r>
              <w:rPr>
                <w:rFonts w:hint="eastAsia" w:ascii="宋体" w:hAnsi="宋体"/>
                <w:b/>
                <w:color w:val="auto"/>
                <w:sz w:val="24"/>
                <w:szCs w:val="20"/>
                <w:highlight w:val="none"/>
                <w:lang w:val="en-US" w:eastAsia="zh-CN"/>
              </w:rPr>
              <w:t>31</w:t>
            </w:r>
          </w:p>
        </w:tc>
        <w:tc>
          <w:tcPr>
            <w:tcW w:w="1774" w:type="dxa"/>
            <w:noWrap w:val="0"/>
            <w:vAlign w:val="center"/>
          </w:tcPr>
          <w:p w14:paraId="7E61FBD6">
            <w:pPr>
              <w:pStyle w:val="42"/>
              <w:keepNext w:val="0"/>
              <w:keepLines w:val="0"/>
              <w:suppressLineNumbers w:val="0"/>
              <w:spacing w:before="0" w:beforeAutospacing="0" w:after="0" w:afterAutospacing="0" w:line="276" w:lineRule="auto"/>
              <w:ind w:left="0" w:right="0"/>
              <w:jc w:val="center"/>
              <w:rPr>
                <w:rFonts w:hint="default" w:ascii="Times New Roman" w:hAnsi="Times New Roman" w:cs="Times New Roman"/>
                <w:b/>
                <w:color w:val="auto"/>
                <w:kern w:val="2"/>
                <w:highlight w:val="none"/>
              </w:rPr>
            </w:pPr>
            <w:r>
              <w:rPr>
                <w:rFonts w:hint="default" w:ascii="Times New Roman" w:hAnsi="Times New Roman" w:cs="Times New Roman"/>
                <w:b/>
                <w:color w:val="auto"/>
                <w:kern w:val="2"/>
                <w:highlight w:val="none"/>
              </w:rPr>
              <w:t>公告发布媒体</w:t>
            </w:r>
          </w:p>
        </w:tc>
        <w:tc>
          <w:tcPr>
            <w:tcW w:w="7572" w:type="dxa"/>
            <w:noWrap w:val="0"/>
            <w:vAlign w:val="center"/>
          </w:tcPr>
          <w:p w14:paraId="226076AF">
            <w:pPr>
              <w:keepNext w:val="0"/>
              <w:keepLines w:val="0"/>
              <w:widowControl/>
              <w:suppressLineNumbers w:val="0"/>
              <w:spacing w:before="0" w:beforeAutospacing="0" w:after="0" w:afterAutospacing="0" w:line="276" w:lineRule="auto"/>
              <w:ind w:left="0" w:right="0"/>
              <w:jc w:val="left"/>
              <w:rPr>
                <w:rFonts w:hint="default" w:ascii="Times New Roman" w:hAnsi="Times New Roman" w:cs="Times New Roman"/>
                <w:color w:val="auto"/>
                <w:kern w:val="2"/>
                <w:szCs w:val="20"/>
                <w:highlight w:val="none"/>
              </w:rPr>
            </w:pPr>
            <w:r>
              <w:rPr>
                <w:rFonts w:hint="default" w:ascii="Times New Roman" w:hAnsi="Times New Roman" w:cs="Times New Roman"/>
                <w:color w:val="auto"/>
                <w:kern w:val="0"/>
                <w:sz w:val="24"/>
                <w:szCs w:val="24"/>
                <w:highlight w:val="none"/>
              </w:rPr>
              <w:t>新疆政府采购网</w:t>
            </w:r>
            <w:r>
              <w:rPr>
                <w:rFonts w:hint="default" w:ascii="Times New Roman" w:hAnsi="Times New Roman" w:cs="Times New Roman"/>
                <w:color w:val="auto"/>
                <w:kern w:val="0"/>
                <w:sz w:val="24"/>
                <w:szCs w:val="24"/>
                <w:highlight w:val="none"/>
              </w:rPr>
              <w:drawing>
                <wp:inline distT="0" distB="0" distL="114300" distR="114300">
                  <wp:extent cx="189230" cy="142875"/>
                  <wp:effectExtent l="0" t="0" r="8890" b="9525"/>
                  <wp:docPr id="8" name="Picture 1" descr="%W@GJ$ACOF(TYDYECOKVDY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W@GJ$ACOF(TYDYECOKVDYB"/>
                          <pic:cNvPicPr>
                            <a:picLocks noChangeAspect="1"/>
                          </pic:cNvPicPr>
                        </pic:nvPicPr>
                        <pic:blipFill>
                          <a:blip r:embed="rId14"/>
                          <a:stretch>
                            <a:fillRect/>
                          </a:stretch>
                        </pic:blipFill>
                        <pic:spPr>
                          <a:xfrm>
                            <a:off x="0" y="0"/>
                            <a:ext cx="189230" cy="142875"/>
                          </a:xfrm>
                          <a:prstGeom prst="rect">
                            <a:avLst/>
                          </a:prstGeom>
                          <a:noFill/>
                          <a:ln>
                            <a:noFill/>
                          </a:ln>
                        </pic:spPr>
                      </pic:pic>
                    </a:graphicData>
                  </a:graphic>
                </wp:inline>
              </w:drawing>
            </w:r>
            <w:r>
              <w:rPr>
                <w:rFonts w:hint="default" w:ascii="Times New Roman" w:hAnsi="Times New Roman" w:cs="Times New Roman"/>
                <w:color w:val="auto"/>
                <w:kern w:val="0"/>
                <w:sz w:val="24"/>
                <w:szCs w:val="24"/>
                <w:highlight w:val="none"/>
              </w:rPr>
              <w:t>http://www.ccgp-xinjiang.gov.cn/home.html</w:t>
            </w:r>
          </w:p>
        </w:tc>
      </w:tr>
      <w:tr w14:paraId="1A08DC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04" w:hRule="atLeast"/>
          <w:jc w:val="center"/>
        </w:trPr>
        <w:tc>
          <w:tcPr>
            <w:tcW w:w="979" w:type="dxa"/>
            <w:shd w:val="clear" w:color="auto" w:fill="auto"/>
            <w:noWrap w:val="0"/>
            <w:vAlign w:val="center"/>
          </w:tcPr>
          <w:p w14:paraId="11421155">
            <w:pPr>
              <w:keepNext w:val="0"/>
              <w:keepLines w:val="0"/>
              <w:suppressLineNumbers w:val="0"/>
              <w:overflowPunct w:val="0"/>
              <w:spacing w:before="0" w:beforeAutospacing="0" w:after="0" w:afterAutospacing="0" w:line="276" w:lineRule="auto"/>
              <w:ind w:left="0" w:leftChars="0" w:right="0" w:rightChars="0"/>
              <w:jc w:val="center"/>
              <w:rPr>
                <w:rFonts w:hint="default" w:ascii="宋体" w:hAnsi="宋体"/>
                <w:b/>
                <w:color w:val="auto"/>
                <w:sz w:val="24"/>
                <w:szCs w:val="20"/>
                <w:highlight w:val="none"/>
                <w:lang w:val="en-US" w:eastAsia="zh-CN"/>
              </w:rPr>
            </w:pPr>
            <w:r>
              <w:rPr>
                <w:rFonts w:hint="eastAsia" w:ascii="宋体" w:hAnsi="宋体"/>
                <w:b/>
                <w:color w:val="auto"/>
                <w:sz w:val="24"/>
                <w:szCs w:val="20"/>
                <w:highlight w:val="none"/>
                <w:lang w:val="en-US" w:eastAsia="zh-CN"/>
              </w:rPr>
              <w:t>32</w:t>
            </w:r>
          </w:p>
        </w:tc>
        <w:tc>
          <w:tcPr>
            <w:tcW w:w="1774" w:type="dxa"/>
            <w:noWrap w:val="0"/>
            <w:vAlign w:val="center"/>
          </w:tcPr>
          <w:p w14:paraId="4D3EBA00">
            <w:pPr>
              <w:pStyle w:val="42"/>
              <w:keepNext w:val="0"/>
              <w:keepLines w:val="0"/>
              <w:suppressLineNumbers w:val="0"/>
              <w:spacing w:before="0" w:beforeAutospacing="0" w:after="0" w:afterAutospacing="0" w:line="276" w:lineRule="auto"/>
              <w:ind w:left="0" w:right="0"/>
              <w:jc w:val="center"/>
              <w:rPr>
                <w:rFonts w:hint="default" w:ascii="Times New Roman" w:hAnsi="Times New Roman" w:cs="Times New Roman"/>
                <w:b/>
                <w:color w:val="auto"/>
                <w:kern w:val="2"/>
                <w:highlight w:val="none"/>
              </w:rPr>
            </w:pPr>
            <w:r>
              <w:rPr>
                <w:rFonts w:hint="eastAsia" w:ascii="宋体" w:hAnsi="宋体" w:cs="宋体"/>
                <w:b/>
                <w:bCs/>
                <w:color w:val="auto"/>
                <w:sz w:val="24"/>
                <w:szCs w:val="24"/>
                <w:highlight w:val="none"/>
              </w:rPr>
              <w:t>政府采购异常低价</w:t>
            </w:r>
          </w:p>
        </w:tc>
        <w:tc>
          <w:tcPr>
            <w:tcW w:w="7572" w:type="dxa"/>
            <w:noWrap w:val="0"/>
            <w:vAlign w:val="center"/>
          </w:tcPr>
          <w:p w14:paraId="67CA3670">
            <w:pPr>
              <w:pStyle w:val="170"/>
              <w:keepNext w:val="0"/>
              <w:keepLines w:val="0"/>
              <w:suppressLineNumbers w:val="0"/>
              <w:spacing w:before="0" w:beforeAutospacing="0" w:after="0" w:afterAutospacing="0" w:line="460" w:lineRule="exact"/>
              <w:ind w:left="0" w:right="0"/>
              <w:rPr>
                <w:rFonts w:hint="default" w:cs="宋体"/>
                <w:snapToGrid w:val="0"/>
                <w:color w:val="auto"/>
                <w:highlight w:val="none"/>
              </w:rPr>
            </w:pPr>
            <w:r>
              <w:rPr>
                <w:rFonts w:hint="eastAsia" w:cs="宋体"/>
                <w:snapToGrid w:val="0"/>
                <w:color w:val="auto"/>
                <w:highlight w:val="none"/>
              </w:rPr>
              <w:t>关于政府采购异常低价问题：</w:t>
            </w:r>
          </w:p>
          <w:p w14:paraId="75CC132F">
            <w:pPr>
              <w:pStyle w:val="170"/>
              <w:keepNext w:val="0"/>
              <w:keepLines w:val="0"/>
              <w:suppressLineNumbers w:val="0"/>
              <w:spacing w:before="0" w:beforeAutospacing="0" w:after="0" w:afterAutospacing="0" w:line="460" w:lineRule="exact"/>
              <w:ind w:left="0" w:right="0" w:firstLine="480" w:firstLineChars="200"/>
              <w:rPr>
                <w:rFonts w:hint="default" w:cs="宋体"/>
                <w:snapToGrid w:val="0"/>
                <w:color w:val="auto"/>
                <w:highlight w:val="none"/>
              </w:rPr>
            </w:pPr>
            <w:r>
              <w:rPr>
                <w:rFonts w:hint="eastAsia" w:cs="宋体"/>
                <w:snapToGrid w:val="0"/>
                <w:color w:val="auto"/>
                <w:highlight w:val="none"/>
              </w:rPr>
              <w:t>1. “恶意低价中标”指报价明显低于成本，且无法通过审查证明合理性的情形，一经认定，取消投标资格。</w:t>
            </w:r>
          </w:p>
          <w:p w14:paraId="1E2704A1">
            <w:pPr>
              <w:pStyle w:val="170"/>
              <w:keepNext w:val="0"/>
              <w:keepLines w:val="0"/>
              <w:suppressLineNumbers w:val="0"/>
              <w:spacing w:before="0" w:beforeAutospacing="0" w:after="0" w:afterAutospacing="0" w:line="460" w:lineRule="exact"/>
              <w:ind w:left="0" w:right="0" w:firstLine="480" w:firstLineChars="200"/>
              <w:rPr>
                <w:rFonts w:hint="default" w:cs="宋体"/>
                <w:snapToGrid w:val="0"/>
                <w:color w:val="auto"/>
                <w:highlight w:val="none"/>
              </w:rPr>
            </w:pPr>
            <w:r>
              <w:rPr>
                <w:rFonts w:hint="eastAsia" w:cs="宋体"/>
                <w:snapToGrid w:val="0"/>
                <w:color w:val="auto"/>
                <w:highlight w:val="none"/>
              </w:rPr>
              <w:t>2. 异常低价审查规则（依据《关于推动解决政府采购异常低价问题的通知》财库〔2026〕2号）：</w:t>
            </w:r>
          </w:p>
          <w:p w14:paraId="7686D783">
            <w:pPr>
              <w:pStyle w:val="170"/>
              <w:keepNext w:val="0"/>
              <w:keepLines w:val="0"/>
              <w:suppressLineNumbers w:val="0"/>
              <w:spacing w:before="0" w:beforeAutospacing="0" w:after="0" w:afterAutospacing="0" w:line="460" w:lineRule="exact"/>
              <w:ind w:left="0" w:right="0" w:firstLine="480" w:firstLineChars="200"/>
              <w:rPr>
                <w:rFonts w:hint="default" w:cs="宋体"/>
                <w:snapToGrid w:val="0"/>
                <w:color w:val="auto"/>
                <w:highlight w:val="none"/>
              </w:rPr>
            </w:pPr>
            <w:r>
              <w:rPr>
                <w:rFonts w:hint="eastAsia" w:cs="宋体"/>
                <w:snapToGrid w:val="0"/>
                <w:color w:val="auto"/>
                <w:highlight w:val="none"/>
              </w:rPr>
              <w:t>①启动审查情形（满足任一即启动）：</w:t>
            </w:r>
          </w:p>
          <w:p w14:paraId="2424B513">
            <w:pPr>
              <w:pStyle w:val="170"/>
              <w:keepNext w:val="0"/>
              <w:keepLines w:val="0"/>
              <w:suppressLineNumbers w:val="0"/>
              <w:spacing w:before="0" w:beforeAutospacing="0" w:after="0" w:afterAutospacing="0" w:line="460" w:lineRule="exact"/>
              <w:ind w:left="0" w:right="0"/>
              <w:rPr>
                <w:rFonts w:hint="default" w:cs="宋体"/>
                <w:snapToGrid w:val="0"/>
                <w:color w:val="auto"/>
                <w:highlight w:val="none"/>
              </w:rPr>
            </w:pPr>
            <w:r>
              <w:rPr>
                <w:rFonts w:hint="eastAsia" w:cs="宋体"/>
                <w:snapToGrid w:val="0"/>
                <w:color w:val="auto"/>
                <w:highlight w:val="none"/>
              </w:rPr>
              <w:t>报价＜全部通过符合性审查供应商报价平均值×50%；</w:t>
            </w:r>
          </w:p>
          <w:p w14:paraId="02D87AF9">
            <w:pPr>
              <w:pStyle w:val="170"/>
              <w:keepNext w:val="0"/>
              <w:keepLines w:val="0"/>
              <w:suppressLineNumbers w:val="0"/>
              <w:spacing w:before="0" w:beforeAutospacing="0" w:after="0" w:afterAutospacing="0" w:line="460" w:lineRule="exact"/>
              <w:ind w:left="0" w:right="0"/>
              <w:rPr>
                <w:rFonts w:hint="default" w:cs="宋体"/>
                <w:snapToGrid w:val="0"/>
                <w:color w:val="auto"/>
                <w:highlight w:val="none"/>
              </w:rPr>
            </w:pPr>
            <w:r>
              <w:rPr>
                <w:rFonts w:hint="eastAsia" w:cs="宋体"/>
                <w:snapToGrid w:val="0"/>
                <w:color w:val="auto"/>
                <w:highlight w:val="none"/>
              </w:rPr>
              <w:t>报价＜通过符合性审查的次低报价 ×50%；</w:t>
            </w:r>
          </w:p>
          <w:p w14:paraId="0F852678">
            <w:pPr>
              <w:pStyle w:val="170"/>
              <w:keepNext w:val="0"/>
              <w:keepLines w:val="0"/>
              <w:suppressLineNumbers w:val="0"/>
              <w:spacing w:before="0" w:beforeAutospacing="0" w:after="0" w:afterAutospacing="0" w:line="460" w:lineRule="exact"/>
              <w:ind w:left="0" w:right="0"/>
              <w:rPr>
                <w:rFonts w:hint="default" w:cs="宋体"/>
                <w:snapToGrid w:val="0"/>
                <w:color w:val="auto"/>
                <w:highlight w:val="none"/>
              </w:rPr>
            </w:pPr>
            <w:r>
              <w:rPr>
                <w:rFonts w:hint="eastAsia" w:cs="宋体"/>
                <w:snapToGrid w:val="0"/>
                <w:color w:val="auto"/>
                <w:highlight w:val="none"/>
              </w:rPr>
              <w:t>报价＜本项目最高限价×45%；</w:t>
            </w:r>
          </w:p>
          <w:p w14:paraId="7E155364">
            <w:pPr>
              <w:pStyle w:val="170"/>
              <w:keepNext w:val="0"/>
              <w:keepLines w:val="0"/>
              <w:suppressLineNumbers w:val="0"/>
              <w:spacing w:before="0" w:beforeAutospacing="0" w:after="0" w:afterAutospacing="0" w:line="460" w:lineRule="exact"/>
              <w:ind w:left="0" w:right="0"/>
              <w:rPr>
                <w:rFonts w:hint="default" w:cs="宋体"/>
                <w:snapToGrid w:val="0"/>
                <w:color w:val="auto"/>
                <w:highlight w:val="none"/>
              </w:rPr>
            </w:pPr>
            <w:r>
              <w:rPr>
                <w:rFonts w:hint="eastAsia" w:cs="宋体"/>
                <w:snapToGrid w:val="0"/>
                <w:color w:val="auto"/>
                <w:highlight w:val="none"/>
              </w:rPr>
              <w:t>评审委员会基于专业判断，认为报价过低可能影响产品质量或诚信履约的；</w:t>
            </w:r>
          </w:p>
          <w:p w14:paraId="1ECBFE06">
            <w:pPr>
              <w:pStyle w:val="170"/>
              <w:keepNext w:val="0"/>
              <w:keepLines w:val="0"/>
              <w:suppressLineNumbers w:val="0"/>
              <w:spacing w:before="0" w:beforeAutospacing="0" w:after="0" w:afterAutospacing="0" w:line="460" w:lineRule="exact"/>
              <w:ind w:left="0" w:right="0" w:firstLine="480" w:firstLineChars="200"/>
              <w:rPr>
                <w:rFonts w:hint="default" w:cs="宋体"/>
                <w:snapToGrid w:val="0"/>
                <w:color w:val="auto"/>
                <w:highlight w:val="none"/>
              </w:rPr>
            </w:pPr>
            <w:r>
              <w:rPr>
                <w:rFonts w:hint="eastAsia" w:cs="宋体"/>
                <w:snapToGrid w:val="0"/>
                <w:color w:val="auto"/>
                <w:highlight w:val="none"/>
              </w:rPr>
              <w:t>②审查流程：评审委员会启动审查后，通知相关供应商在 30 分钟内提交“成本测算说明（含原材料、人工、制造/运输费用等）+ 证明材料（如同类产品市场报价、成本清单等）”；专家参考“同类项目中标价、主要电商平台价格、行业平均成本”判断报价合理性；</w:t>
            </w:r>
          </w:p>
          <w:p w14:paraId="3A065500">
            <w:pPr>
              <w:keepNext w:val="0"/>
              <w:keepLines w:val="0"/>
              <w:widowControl/>
              <w:suppressLineNumbers w:val="0"/>
              <w:spacing w:before="0" w:beforeAutospacing="0" w:after="0" w:afterAutospacing="0" w:line="276" w:lineRule="auto"/>
              <w:ind w:left="0" w:right="0"/>
              <w:jc w:val="left"/>
              <w:rPr>
                <w:rFonts w:hint="default" w:ascii="Times New Roman" w:hAnsi="Times New Roman" w:cs="Times New Roman"/>
                <w:color w:val="auto"/>
                <w:kern w:val="0"/>
                <w:sz w:val="24"/>
                <w:szCs w:val="24"/>
                <w:highlight w:val="none"/>
              </w:rPr>
            </w:pPr>
            <w:r>
              <w:rPr>
                <w:rFonts w:hint="eastAsia" w:cs="宋体"/>
                <w:snapToGrid w:val="0"/>
                <w:color w:val="auto"/>
                <w:szCs w:val="20"/>
                <w:highlight w:val="none"/>
              </w:rPr>
              <w:t>③结果处理：供应商未提供说明/材料，或材料无法证明报价合理性的，按“无效投标”处理；审查过程（启动原因、专家意见、供应商材料）需随评审报告归档，互联网查询记录需留存；</w:t>
            </w:r>
          </w:p>
        </w:tc>
      </w:tr>
      <w:tr w14:paraId="3B14AB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720" w:hRule="atLeast"/>
          <w:jc w:val="center"/>
        </w:trPr>
        <w:tc>
          <w:tcPr>
            <w:tcW w:w="979" w:type="dxa"/>
            <w:shd w:val="clear" w:color="auto" w:fill="auto"/>
            <w:noWrap w:val="0"/>
            <w:vAlign w:val="center"/>
          </w:tcPr>
          <w:p w14:paraId="4CCAB081">
            <w:pPr>
              <w:keepNext w:val="0"/>
              <w:keepLines w:val="0"/>
              <w:suppressLineNumbers w:val="0"/>
              <w:overflowPunct w:val="0"/>
              <w:spacing w:before="0" w:beforeAutospacing="0" w:after="0" w:afterAutospacing="0" w:line="276" w:lineRule="auto"/>
              <w:ind w:left="0" w:leftChars="0" w:right="0" w:rightChars="0"/>
              <w:jc w:val="center"/>
              <w:rPr>
                <w:rFonts w:hint="default" w:ascii="宋体" w:hAnsi="宋体" w:eastAsia="宋体"/>
                <w:b/>
                <w:color w:val="auto"/>
                <w:sz w:val="24"/>
                <w:szCs w:val="20"/>
                <w:highlight w:val="none"/>
                <w:lang w:val="en-US" w:eastAsia="zh-CN"/>
              </w:rPr>
            </w:pPr>
            <w:r>
              <w:rPr>
                <w:rFonts w:hint="eastAsia" w:ascii="宋体" w:hAnsi="宋体"/>
                <w:b/>
                <w:color w:val="auto"/>
                <w:sz w:val="24"/>
                <w:szCs w:val="20"/>
                <w:highlight w:val="none"/>
                <w:lang w:val="en-US" w:eastAsia="zh-CN"/>
              </w:rPr>
              <w:t>33</w:t>
            </w:r>
          </w:p>
        </w:tc>
        <w:tc>
          <w:tcPr>
            <w:tcW w:w="1774" w:type="dxa"/>
            <w:noWrap w:val="0"/>
            <w:vAlign w:val="center"/>
          </w:tcPr>
          <w:p w14:paraId="465C49E4">
            <w:pPr>
              <w:pStyle w:val="42"/>
              <w:keepNext w:val="0"/>
              <w:keepLines w:val="0"/>
              <w:suppressLineNumbers w:val="0"/>
              <w:spacing w:before="0" w:beforeAutospacing="0" w:after="0" w:afterAutospacing="0" w:line="276" w:lineRule="auto"/>
              <w:ind w:left="0" w:right="0"/>
              <w:jc w:val="center"/>
              <w:rPr>
                <w:rFonts w:hint="default" w:ascii="Times New Roman" w:hAnsi="Times New Roman" w:eastAsia="宋体" w:cs="Times New Roman"/>
                <w:b/>
                <w:color w:val="auto"/>
                <w:kern w:val="2"/>
                <w:highlight w:val="none"/>
                <w:lang w:val="en-US" w:eastAsia="zh-CN"/>
              </w:rPr>
            </w:pPr>
            <w:r>
              <w:rPr>
                <w:rFonts w:hint="default" w:ascii="Times New Roman" w:hAnsi="Times New Roman" w:cs="Times New Roman"/>
                <w:b/>
                <w:color w:val="auto"/>
                <w:kern w:val="2"/>
                <w:highlight w:val="none"/>
                <w:lang w:val="en-US" w:eastAsia="zh-CN"/>
              </w:rPr>
              <w:t>履约保证金</w:t>
            </w:r>
          </w:p>
        </w:tc>
        <w:tc>
          <w:tcPr>
            <w:tcW w:w="7572" w:type="dxa"/>
            <w:shd w:val="clear" w:color="auto" w:fill="auto"/>
            <w:noWrap w:val="0"/>
            <w:vAlign w:val="top"/>
          </w:tcPr>
          <w:p w14:paraId="429190A4">
            <w:pPr>
              <w:keepNext w:val="0"/>
              <w:keepLines w:val="0"/>
              <w:suppressLineNumbers w:val="0"/>
              <w:shd w:val="clear"/>
              <w:spacing w:before="0" w:beforeAutospacing="0" w:after="0" w:afterAutospacing="0" w:line="300" w:lineRule="exact"/>
              <w:ind w:left="0" w:right="0"/>
              <w:jc w:val="both"/>
              <w:rPr>
                <w:rFonts w:hint="default" w:ascii="Times New Roman" w:hAnsi="Times New Roman" w:cs="Times New Roman" w:eastAsiaTheme="minorEastAsia"/>
                <w:color w:val="auto"/>
                <w:kern w:val="2"/>
                <w:sz w:val="24"/>
                <w:szCs w:val="24"/>
                <w:highlight w:val="none"/>
                <w:lang w:val="en-US" w:eastAsia="zh-CN" w:bidi="ar"/>
              </w:rPr>
            </w:pPr>
            <w:r>
              <w:rPr>
                <w:rFonts w:hint="default" w:ascii="Times New Roman" w:hAnsi="Times New Roman" w:cs="Times New Roman" w:eastAsiaTheme="minorEastAsia"/>
                <w:color w:val="auto"/>
                <w:kern w:val="2"/>
                <w:sz w:val="24"/>
                <w:szCs w:val="24"/>
                <w:highlight w:val="none"/>
                <w:lang w:bidi="ar"/>
              </w:rPr>
              <w:t>1.履约保证金：</w:t>
            </w:r>
            <w:r>
              <w:rPr>
                <w:rFonts w:hint="eastAsia" w:cs="Times New Roman" w:eastAsiaTheme="minorEastAsia"/>
                <w:color w:val="auto"/>
                <w:kern w:val="2"/>
                <w:sz w:val="24"/>
                <w:szCs w:val="24"/>
                <w:highlight w:val="none"/>
                <w:lang w:val="en-US" w:eastAsia="zh-CN" w:bidi="ar"/>
              </w:rPr>
              <w:t>中标</w:t>
            </w:r>
            <w:r>
              <w:rPr>
                <w:rFonts w:hint="default" w:ascii="Times New Roman" w:hAnsi="Times New Roman" w:cs="Times New Roman" w:eastAsiaTheme="minorEastAsia"/>
                <w:color w:val="auto"/>
                <w:kern w:val="2"/>
                <w:sz w:val="24"/>
                <w:szCs w:val="24"/>
                <w:highlight w:val="none"/>
                <w:lang w:eastAsia="zh-CN" w:bidi="ar"/>
              </w:rPr>
              <w:t>金额的</w:t>
            </w:r>
            <w:r>
              <w:rPr>
                <w:rFonts w:hint="default" w:ascii="Times New Roman" w:hAnsi="Times New Roman" w:cs="Times New Roman" w:eastAsiaTheme="minorEastAsia"/>
                <w:color w:val="auto"/>
                <w:kern w:val="2"/>
                <w:sz w:val="24"/>
                <w:szCs w:val="24"/>
                <w:highlight w:val="none"/>
                <w:lang w:val="en-US" w:eastAsia="zh-CN" w:bidi="ar"/>
              </w:rPr>
              <w:t>10%</w:t>
            </w:r>
            <w:r>
              <w:rPr>
                <w:rFonts w:hint="default" w:ascii="Times New Roman" w:hAnsi="Times New Roman" w:cs="Times New Roman"/>
                <w:color w:val="auto"/>
                <w:sz w:val="24"/>
                <w:szCs w:val="24"/>
                <w:highlight w:val="none"/>
              </w:rPr>
              <w:t>；</w:t>
            </w:r>
          </w:p>
          <w:p w14:paraId="62391BC1">
            <w:pPr>
              <w:keepNext w:val="0"/>
              <w:keepLines w:val="0"/>
              <w:suppressLineNumbers w:val="0"/>
              <w:shd w:val="clear"/>
              <w:spacing w:before="0" w:beforeAutospacing="0" w:after="0" w:afterAutospacing="0" w:line="300" w:lineRule="exact"/>
              <w:ind w:left="0" w:right="0"/>
              <w:jc w:val="both"/>
              <w:rPr>
                <w:rFonts w:hint="default" w:ascii="Times New Roman" w:hAnsi="Times New Roman" w:cs="Times New Roman" w:eastAsiaTheme="minorEastAsia"/>
                <w:color w:val="auto"/>
                <w:kern w:val="2"/>
                <w:sz w:val="24"/>
                <w:szCs w:val="24"/>
                <w:highlight w:val="none"/>
                <w:lang w:val="en-US" w:eastAsia="zh-CN" w:bidi="ar"/>
              </w:rPr>
            </w:pPr>
            <w:r>
              <w:rPr>
                <w:rFonts w:hint="default" w:ascii="Times New Roman" w:hAnsi="Times New Roman" w:cs="Times New Roman" w:eastAsiaTheme="minorEastAsia"/>
                <w:color w:val="auto"/>
                <w:kern w:val="2"/>
                <w:sz w:val="24"/>
                <w:szCs w:val="24"/>
                <w:highlight w:val="none"/>
                <w:lang w:val="en-US" w:eastAsia="zh-CN" w:bidi="ar"/>
              </w:rPr>
              <w:t>2.缴纳方式：银行转账或保函等</w:t>
            </w:r>
            <w:r>
              <w:rPr>
                <w:rFonts w:hint="default" w:ascii="Times New Roman" w:hAnsi="Times New Roman" w:cs="Times New Roman"/>
                <w:color w:val="auto"/>
                <w:sz w:val="24"/>
                <w:szCs w:val="24"/>
                <w:highlight w:val="none"/>
              </w:rPr>
              <w:t>；</w:t>
            </w:r>
          </w:p>
          <w:p w14:paraId="3A6B7617">
            <w:pPr>
              <w:keepNext w:val="0"/>
              <w:keepLines w:val="0"/>
              <w:suppressLineNumbers w:val="0"/>
              <w:shd w:val="clear"/>
              <w:spacing w:before="0" w:beforeAutospacing="0" w:after="0" w:afterAutospacing="0" w:line="300" w:lineRule="exact"/>
              <w:ind w:left="0" w:right="0"/>
              <w:jc w:val="both"/>
              <w:rPr>
                <w:rFonts w:hint="default" w:ascii="Times New Roman" w:hAnsi="Times New Roman" w:cs="Times New Roman" w:eastAsiaTheme="minorEastAsia"/>
                <w:color w:val="auto"/>
                <w:kern w:val="2"/>
                <w:sz w:val="24"/>
                <w:szCs w:val="24"/>
                <w:highlight w:val="none"/>
                <w:lang w:val="en-US" w:eastAsia="zh-CN" w:bidi="ar"/>
              </w:rPr>
            </w:pPr>
            <w:r>
              <w:rPr>
                <w:rFonts w:hint="default" w:ascii="Times New Roman" w:hAnsi="Times New Roman" w:cs="Times New Roman" w:eastAsiaTheme="minorEastAsia"/>
                <w:color w:val="auto"/>
                <w:kern w:val="2"/>
                <w:sz w:val="24"/>
                <w:szCs w:val="24"/>
                <w:highlight w:val="none"/>
                <w:lang w:val="en-US" w:eastAsia="zh-CN" w:bidi="ar"/>
              </w:rPr>
              <w:t>3.缴纳时间：</w:t>
            </w:r>
            <w:r>
              <w:rPr>
                <w:rFonts w:hint="default" w:ascii="Times New Roman" w:hAnsi="Times New Roman" w:cs="Times New Roman" w:eastAsiaTheme="minorEastAsia"/>
                <w:color w:val="auto"/>
                <w:kern w:val="2"/>
                <w:sz w:val="24"/>
                <w:szCs w:val="24"/>
                <w:highlight w:val="none"/>
                <w:lang w:bidi="ar"/>
              </w:rPr>
              <w:t>中标</w:t>
            </w:r>
            <w:r>
              <w:rPr>
                <w:rFonts w:hint="eastAsia" w:cs="Times New Roman" w:eastAsiaTheme="minorEastAsia"/>
                <w:color w:val="auto"/>
                <w:kern w:val="2"/>
                <w:sz w:val="24"/>
                <w:szCs w:val="24"/>
                <w:highlight w:val="none"/>
                <w:lang w:eastAsia="zh-CN" w:bidi="ar"/>
              </w:rPr>
              <w:t>供应商</w:t>
            </w:r>
            <w:r>
              <w:rPr>
                <w:rFonts w:hint="default" w:ascii="Times New Roman" w:hAnsi="Times New Roman" w:cs="Times New Roman" w:eastAsiaTheme="minorEastAsia"/>
                <w:color w:val="auto"/>
                <w:kern w:val="2"/>
                <w:sz w:val="24"/>
                <w:szCs w:val="24"/>
                <w:highlight w:val="none"/>
                <w:lang w:bidi="ar"/>
              </w:rPr>
              <w:t>在中标公示后</w:t>
            </w:r>
            <w:r>
              <w:rPr>
                <w:rFonts w:hint="default" w:ascii="Times New Roman" w:hAnsi="Times New Roman" w:cs="Times New Roman" w:eastAsiaTheme="minorEastAsia"/>
                <w:color w:val="auto"/>
                <w:kern w:val="2"/>
                <w:sz w:val="24"/>
                <w:szCs w:val="24"/>
                <w:highlight w:val="none"/>
                <w:lang w:val="en-US" w:eastAsia="zh-CN" w:bidi="ar"/>
              </w:rPr>
              <w:t>合同签订之前</w:t>
            </w:r>
            <w:r>
              <w:rPr>
                <w:rFonts w:hint="default" w:ascii="Times New Roman" w:hAnsi="Times New Roman" w:cs="Times New Roman" w:eastAsiaTheme="minorEastAsia"/>
                <w:color w:val="auto"/>
                <w:kern w:val="2"/>
                <w:sz w:val="24"/>
                <w:szCs w:val="24"/>
                <w:highlight w:val="none"/>
                <w:lang w:bidi="ar"/>
              </w:rPr>
              <w:t>，</w:t>
            </w:r>
            <w:r>
              <w:rPr>
                <w:rFonts w:hint="default" w:ascii="Times New Roman" w:hAnsi="Times New Roman" w:cs="Times New Roman" w:eastAsiaTheme="minorEastAsia"/>
                <w:color w:val="auto"/>
                <w:kern w:val="2"/>
                <w:sz w:val="24"/>
                <w:szCs w:val="24"/>
                <w:highlight w:val="none"/>
                <w:lang w:val="en-US" w:eastAsia="zh-CN" w:bidi="ar"/>
              </w:rPr>
              <w:t>如采用银行转账方式缴纳履约担保，</w:t>
            </w:r>
            <w:r>
              <w:rPr>
                <w:rFonts w:hint="default" w:ascii="Times New Roman" w:hAnsi="Times New Roman" w:cs="Times New Roman" w:eastAsiaTheme="minorEastAsia"/>
                <w:color w:val="auto"/>
                <w:kern w:val="2"/>
                <w:sz w:val="24"/>
                <w:szCs w:val="24"/>
                <w:highlight w:val="none"/>
                <w:lang w:bidi="ar"/>
              </w:rPr>
              <w:t>需一次性向甲方指定账户缴纳</w:t>
            </w:r>
            <w:r>
              <w:rPr>
                <w:rFonts w:hint="eastAsia" w:cs="Times New Roman" w:eastAsiaTheme="minorEastAsia"/>
                <w:color w:val="auto"/>
                <w:kern w:val="2"/>
                <w:sz w:val="24"/>
                <w:szCs w:val="24"/>
                <w:highlight w:val="none"/>
                <w:lang w:val="en-US" w:eastAsia="zh-CN" w:bidi="ar"/>
              </w:rPr>
              <w:t>中标</w:t>
            </w:r>
            <w:r>
              <w:rPr>
                <w:rFonts w:hint="default" w:ascii="Times New Roman" w:hAnsi="Times New Roman" w:cs="Times New Roman" w:eastAsiaTheme="minorEastAsia"/>
                <w:color w:val="auto"/>
                <w:kern w:val="2"/>
                <w:sz w:val="24"/>
                <w:szCs w:val="24"/>
                <w:highlight w:val="none"/>
                <w:lang w:val="en-US" w:eastAsia="zh-CN" w:bidi="ar"/>
              </w:rPr>
              <w:t>金额的10%作为</w:t>
            </w:r>
            <w:r>
              <w:rPr>
                <w:rFonts w:hint="default" w:ascii="Times New Roman" w:hAnsi="Times New Roman" w:cs="Times New Roman" w:eastAsiaTheme="minorEastAsia"/>
                <w:color w:val="auto"/>
                <w:kern w:val="2"/>
                <w:sz w:val="24"/>
                <w:szCs w:val="24"/>
                <w:highlight w:val="none"/>
                <w:lang w:bidi="ar"/>
              </w:rPr>
              <w:t>履约保证金</w:t>
            </w:r>
            <w:r>
              <w:rPr>
                <w:rFonts w:hint="default" w:ascii="Times New Roman" w:hAnsi="Times New Roman" w:cs="Times New Roman" w:eastAsiaTheme="minorEastAsia"/>
                <w:color w:val="auto"/>
                <w:kern w:val="2"/>
                <w:sz w:val="24"/>
                <w:szCs w:val="24"/>
                <w:highlight w:val="none"/>
                <w:lang w:eastAsia="zh-CN" w:bidi="ar"/>
              </w:rPr>
              <w:t>；</w:t>
            </w:r>
            <w:r>
              <w:rPr>
                <w:rFonts w:hint="default" w:ascii="Times New Roman" w:hAnsi="Times New Roman" w:cs="Times New Roman" w:eastAsiaTheme="minorEastAsia"/>
                <w:color w:val="auto"/>
                <w:kern w:val="2"/>
                <w:sz w:val="24"/>
                <w:szCs w:val="24"/>
                <w:highlight w:val="none"/>
                <w:lang w:val="en-US" w:eastAsia="zh-CN" w:bidi="ar"/>
              </w:rPr>
              <w:t>如采用保函等非现金形式缴纳履约担保的，</w:t>
            </w:r>
            <w:r>
              <w:rPr>
                <w:rFonts w:hint="default" w:ascii="Times New Roman" w:hAnsi="Times New Roman" w:cs="Times New Roman" w:eastAsiaTheme="minorEastAsia"/>
                <w:color w:val="auto"/>
                <w:kern w:val="2"/>
                <w:sz w:val="24"/>
                <w:szCs w:val="24"/>
                <w:highlight w:val="none"/>
                <w:lang w:bidi="ar"/>
              </w:rPr>
              <w:t>出具的担保函、保证保险承担责任的方式均须满足无条件见索即付条件</w:t>
            </w:r>
            <w:r>
              <w:rPr>
                <w:rFonts w:hint="default" w:ascii="Times New Roman" w:hAnsi="Times New Roman" w:cs="Times New Roman" w:eastAsiaTheme="minorEastAsia"/>
                <w:color w:val="auto"/>
                <w:kern w:val="2"/>
                <w:sz w:val="24"/>
                <w:szCs w:val="24"/>
                <w:highlight w:val="none"/>
                <w:lang w:eastAsia="zh-CN" w:bidi="ar"/>
              </w:rPr>
              <w:t>，</w:t>
            </w:r>
            <w:r>
              <w:rPr>
                <w:rFonts w:hint="default" w:ascii="Times New Roman" w:hAnsi="Times New Roman" w:cs="Times New Roman" w:eastAsiaTheme="minorEastAsia"/>
                <w:color w:val="auto"/>
                <w:kern w:val="2"/>
                <w:sz w:val="24"/>
                <w:szCs w:val="24"/>
                <w:highlight w:val="none"/>
                <w:lang w:val="en-US" w:eastAsia="zh-CN" w:bidi="ar"/>
              </w:rPr>
              <w:t>且</w:t>
            </w:r>
            <w:r>
              <w:rPr>
                <w:rFonts w:hint="default" w:ascii="Times New Roman" w:hAnsi="Times New Roman" w:cs="Times New Roman" w:eastAsiaTheme="minorEastAsia"/>
                <w:color w:val="auto"/>
                <w:kern w:val="2"/>
                <w:sz w:val="24"/>
                <w:szCs w:val="24"/>
                <w:highlight w:val="none"/>
                <w:lang w:bidi="ar"/>
              </w:rPr>
              <w:t>受益人和收取单位须为采购人</w:t>
            </w:r>
            <w:r>
              <w:rPr>
                <w:rFonts w:hint="default" w:ascii="Times New Roman" w:hAnsi="Times New Roman" w:cs="Times New Roman" w:eastAsiaTheme="minorEastAsia"/>
                <w:color w:val="auto"/>
                <w:kern w:val="2"/>
                <w:sz w:val="24"/>
                <w:szCs w:val="24"/>
                <w:highlight w:val="none"/>
                <w:lang w:eastAsia="zh-CN" w:bidi="ar"/>
              </w:rPr>
              <w:t>（</w:t>
            </w:r>
            <w:r>
              <w:rPr>
                <w:rFonts w:hint="default" w:ascii="Times New Roman" w:hAnsi="Times New Roman" w:cs="Times New Roman" w:eastAsiaTheme="minorEastAsia"/>
                <w:color w:val="auto"/>
                <w:kern w:val="2"/>
                <w:sz w:val="24"/>
                <w:szCs w:val="24"/>
                <w:highlight w:val="none"/>
                <w:lang w:val="en-US" w:eastAsia="zh-CN" w:bidi="ar"/>
              </w:rPr>
              <w:t>即新疆农业大学</w:t>
            </w:r>
            <w:r>
              <w:rPr>
                <w:rFonts w:hint="default" w:ascii="Times New Roman" w:hAnsi="Times New Roman" w:cs="Times New Roman" w:eastAsiaTheme="minorEastAsia"/>
                <w:color w:val="auto"/>
                <w:kern w:val="2"/>
                <w:sz w:val="24"/>
                <w:szCs w:val="24"/>
                <w:highlight w:val="none"/>
                <w:lang w:eastAsia="zh-CN" w:bidi="ar"/>
              </w:rPr>
              <w:t>）</w:t>
            </w:r>
            <w:r>
              <w:rPr>
                <w:rFonts w:hint="default" w:ascii="Times New Roman" w:hAnsi="Times New Roman" w:cs="Times New Roman"/>
                <w:color w:val="auto"/>
                <w:sz w:val="24"/>
                <w:szCs w:val="24"/>
                <w:highlight w:val="none"/>
              </w:rPr>
              <w:t>；</w:t>
            </w:r>
          </w:p>
          <w:p w14:paraId="0481ADC3">
            <w:pPr>
              <w:keepNext w:val="0"/>
              <w:keepLines w:val="0"/>
              <w:suppressLineNumbers w:val="0"/>
              <w:shd w:val="clear"/>
              <w:spacing w:before="0" w:beforeAutospacing="0" w:after="0" w:afterAutospacing="0" w:line="300" w:lineRule="exact"/>
              <w:ind w:left="0" w:leftChars="0" w:right="0" w:rightChars="0"/>
              <w:jc w:val="both"/>
              <w:rPr>
                <w:rFonts w:hint="default" w:ascii="Times New Roman" w:hAnsi="Times New Roman" w:cs="Times New Roman" w:eastAsiaTheme="minorEastAsia"/>
                <w:color w:val="auto"/>
                <w:kern w:val="2"/>
                <w:sz w:val="21"/>
                <w:szCs w:val="21"/>
                <w:highlight w:val="none"/>
                <w:lang w:val="en-US" w:eastAsia="zh-CN" w:bidi="ar"/>
              </w:rPr>
            </w:pPr>
            <w:r>
              <w:rPr>
                <w:rFonts w:hint="default" w:ascii="Times New Roman" w:hAnsi="Times New Roman" w:cs="Times New Roman" w:eastAsiaTheme="minorEastAsia"/>
                <w:color w:val="auto"/>
                <w:kern w:val="2"/>
                <w:sz w:val="24"/>
                <w:szCs w:val="24"/>
                <w:highlight w:val="none"/>
                <w:lang w:val="en-US" w:eastAsia="zh-CN" w:bidi="ar"/>
              </w:rPr>
              <w:t>4.履约保证金的退还：</w:t>
            </w:r>
            <w:r>
              <w:rPr>
                <w:rFonts w:hint="default" w:ascii="Times New Roman" w:hAnsi="Times New Roman" w:cs="Times New Roman" w:eastAsiaTheme="minorEastAsia"/>
                <w:color w:val="auto"/>
                <w:kern w:val="2"/>
                <w:sz w:val="24"/>
                <w:szCs w:val="24"/>
                <w:highlight w:val="none"/>
                <w:lang w:bidi="ar"/>
              </w:rPr>
              <w:t>餐厅后堂设备设施以及基本建设功能</w:t>
            </w:r>
            <w:r>
              <w:rPr>
                <w:rFonts w:hint="default" w:ascii="Times New Roman" w:hAnsi="Times New Roman" w:cs="Times New Roman" w:eastAsiaTheme="minorEastAsia"/>
                <w:color w:val="auto"/>
                <w:kern w:val="2"/>
                <w:sz w:val="24"/>
                <w:szCs w:val="24"/>
                <w:highlight w:val="none"/>
                <w:lang w:val="en-US" w:eastAsia="zh-CN" w:bidi="ar"/>
              </w:rPr>
              <w:t>未</w:t>
            </w:r>
            <w:r>
              <w:rPr>
                <w:rFonts w:hint="default" w:ascii="Times New Roman" w:hAnsi="Times New Roman" w:cs="Times New Roman" w:eastAsiaTheme="minorEastAsia"/>
                <w:color w:val="auto"/>
                <w:kern w:val="2"/>
                <w:sz w:val="24"/>
                <w:szCs w:val="24"/>
                <w:highlight w:val="none"/>
                <w:lang w:bidi="ar"/>
              </w:rPr>
              <w:t>按时完成</w:t>
            </w:r>
            <w:r>
              <w:rPr>
                <w:rFonts w:hint="default" w:ascii="Times New Roman" w:hAnsi="Times New Roman" w:cs="Times New Roman" w:eastAsiaTheme="minorEastAsia"/>
                <w:color w:val="auto"/>
                <w:kern w:val="2"/>
                <w:sz w:val="24"/>
                <w:szCs w:val="24"/>
                <w:highlight w:val="none"/>
                <w:lang w:val="en-US" w:eastAsia="zh-CN" w:bidi="ar"/>
              </w:rPr>
              <w:t>不能</w:t>
            </w:r>
            <w:r>
              <w:rPr>
                <w:rFonts w:hint="default" w:ascii="Times New Roman" w:hAnsi="Times New Roman" w:cs="Times New Roman" w:eastAsiaTheme="minorEastAsia"/>
                <w:color w:val="auto"/>
                <w:kern w:val="2"/>
                <w:sz w:val="24"/>
                <w:szCs w:val="24"/>
                <w:highlight w:val="none"/>
                <w:lang w:bidi="ar"/>
              </w:rPr>
              <w:t>如期营业的，发生延误按照每三天扣除</w:t>
            </w:r>
            <w:r>
              <w:rPr>
                <w:rFonts w:hint="default" w:ascii="Times New Roman" w:hAnsi="Times New Roman" w:cs="Times New Roman" w:eastAsiaTheme="minorEastAsia"/>
                <w:color w:val="auto"/>
                <w:kern w:val="2"/>
                <w:sz w:val="24"/>
                <w:szCs w:val="24"/>
                <w:highlight w:val="none"/>
                <w:lang w:val="en-US" w:eastAsia="zh-CN" w:bidi="ar"/>
              </w:rPr>
              <w:t>一万元</w:t>
            </w:r>
            <w:r>
              <w:rPr>
                <w:rFonts w:hint="default" w:ascii="Times New Roman" w:hAnsi="Times New Roman" w:cs="Times New Roman" w:eastAsiaTheme="minorEastAsia"/>
                <w:color w:val="auto"/>
                <w:kern w:val="2"/>
                <w:sz w:val="24"/>
                <w:szCs w:val="24"/>
                <w:highlight w:val="none"/>
                <w:lang w:bidi="ar"/>
              </w:rPr>
              <w:t>计算延期损失，扣完为止。扣完仍未符合营业，按合同相应条款执行。</w:t>
            </w:r>
            <w:r>
              <w:rPr>
                <w:rFonts w:hint="default" w:ascii="Times New Roman" w:hAnsi="Times New Roman" w:cs="Times New Roman" w:eastAsiaTheme="minorEastAsia"/>
                <w:color w:val="auto"/>
                <w:kern w:val="2"/>
                <w:sz w:val="24"/>
                <w:szCs w:val="24"/>
                <w:highlight w:val="none"/>
                <w:lang w:val="en-US" w:eastAsia="zh-CN" w:bidi="ar"/>
              </w:rPr>
              <w:t>经营期间</w:t>
            </w:r>
            <w:r>
              <w:rPr>
                <w:rFonts w:hint="default" w:ascii="Times New Roman" w:hAnsi="Times New Roman" w:cs="Times New Roman" w:eastAsiaTheme="minorEastAsia"/>
                <w:color w:val="auto"/>
                <w:kern w:val="2"/>
                <w:sz w:val="24"/>
                <w:szCs w:val="24"/>
                <w:highlight w:val="none"/>
                <w:lang w:bidi="ar"/>
              </w:rPr>
              <w:t>若发生违约行为，按照合同相应条款执行，当履约保证金不足以支付违约处罚时，甲方可提出解约。合同到期，保证金无息退还。</w:t>
            </w:r>
          </w:p>
        </w:tc>
      </w:tr>
      <w:tr w14:paraId="6CA3F7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979" w:type="dxa"/>
            <w:noWrap w:val="0"/>
            <w:vAlign w:val="center"/>
          </w:tcPr>
          <w:p w14:paraId="1D07C75F">
            <w:pPr>
              <w:keepNext w:val="0"/>
              <w:keepLines w:val="0"/>
              <w:suppressLineNumbers w:val="0"/>
              <w:overflowPunct w:val="0"/>
              <w:spacing w:before="0" w:beforeAutospacing="0" w:after="0" w:afterAutospacing="0" w:line="276" w:lineRule="auto"/>
              <w:ind w:left="0" w:leftChars="0" w:right="0" w:rightChars="0"/>
              <w:jc w:val="center"/>
              <w:rPr>
                <w:rFonts w:hint="default" w:ascii="宋体" w:hAnsi="宋体" w:eastAsia="宋体"/>
                <w:b/>
                <w:color w:val="auto"/>
                <w:sz w:val="24"/>
                <w:szCs w:val="20"/>
                <w:highlight w:val="none"/>
                <w:lang w:val="en-US" w:eastAsia="zh-CN"/>
              </w:rPr>
            </w:pPr>
            <w:r>
              <w:rPr>
                <w:rFonts w:hint="eastAsia" w:ascii="宋体" w:hAnsi="宋体"/>
                <w:b/>
                <w:color w:val="auto"/>
                <w:sz w:val="24"/>
                <w:szCs w:val="20"/>
                <w:highlight w:val="none"/>
                <w:lang w:val="en-US" w:eastAsia="zh-CN"/>
              </w:rPr>
              <w:t>34</w:t>
            </w:r>
          </w:p>
        </w:tc>
        <w:tc>
          <w:tcPr>
            <w:tcW w:w="9346" w:type="dxa"/>
            <w:gridSpan w:val="2"/>
            <w:noWrap w:val="0"/>
            <w:vAlign w:val="center"/>
          </w:tcPr>
          <w:p w14:paraId="77D6D1A5">
            <w:pPr>
              <w:keepNext w:val="0"/>
              <w:keepLines w:val="0"/>
              <w:suppressLineNumbers w:val="0"/>
              <w:spacing w:before="0" w:beforeAutospacing="0" w:after="0" w:afterAutospacing="0"/>
              <w:ind w:left="0" w:right="0" w:firstLine="472" w:firstLineChars="196"/>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1.</w:t>
            </w:r>
            <w:r>
              <w:rPr>
                <w:rFonts w:hint="default" w:ascii="Times New Roman" w:hAnsi="Times New Roman" w:cs="Times New Roman"/>
                <w:b/>
                <w:color w:val="auto"/>
                <w:sz w:val="24"/>
                <w:szCs w:val="24"/>
                <w:highlight w:val="none"/>
                <w:lang w:eastAsia="zh-CN"/>
              </w:rPr>
              <w:t>公开招标文件</w:t>
            </w:r>
            <w:r>
              <w:rPr>
                <w:rFonts w:hint="default" w:ascii="Times New Roman" w:hAnsi="Times New Roman" w:cs="Times New Roman"/>
                <w:b/>
                <w:color w:val="auto"/>
                <w:sz w:val="24"/>
                <w:szCs w:val="24"/>
                <w:highlight w:val="none"/>
              </w:rPr>
              <w:t>中部分加“</w:t>
            </w:r>
            <w:r>
              <w:rPr>
                <w:rFonts w:hint="default" w:ascii="Times New Roman" w:hAnsi="Times New Roman" w:cs="Times New Roman"/>
                <w:color w:val="auto"/>
                <w:sz w:val="24"/>
                <w:szCs w:val="24"/>
                <w:highlight w:val="none"/>
              </w:rPr>
              <w:t>★</w:t>
            </w:r>
            <w:r>
              <w:rPr>
                <w:rFonts w:hint="default" w:ascii="Times New Roman" w:hAnsi="Times New Roman" w:cs="Times New Roman"/>
                <w:b/>
                <w:color w:val="auto"/>
                <w:sz w:val="24"/>
                <w:szCs w:val="24"/>
                <w:highlight w:val="none"/>
              </w:rPr>
              <w:t>”、加粗、加下划线、废标、无效标、投标被拒绝字样的条款，为招标的实质性要求和条件，着重提醒各</w:t>
            </w:r>
            <w:r>
              <w:rPr>
                <w:rFonts w:hint="default" w:ascii="Times New Roman" w:hAnsi="Times New Roman" w:cs="Times New Roman"/>
                <w:b/>
                <w:color w:val="auto"/>
                <w:sz w:val="24"/>
                <w:szCs w:val="24"/>
                <w:highlight w:val="none"/>
                <w:lang w:eastAsia="zh-CN"/>
              </w:rPr>
              <w:t>投标供应商</w:t>
            </w:r>
            <w:r>
              <w:rPr>
                <w:rFonts w:hint="default" w:ascii="Times New Roman" w:hAnsi="Times New Roman" w:cs="Times New Roman"/>
                <w:b/>
                <w:color w:val="auto"/>
                <w:sz w:val="24"/>
                <w:szCs w:val="24"/>
                <w:highlight w:val="none"/>
              </w:rPr>
              <w:t>注意，并认真查看</w:t>
            </w:r>
            <w:r>
              <w:rPr>
                <w:rFonts w:hint="default" w:ascii="Times New Roman" w:hAnsi="Times New Roman" w:cs="Times New Roman"/>
                <w:b/>
                <w:color w:val="auto"/>
                <w:sz w:val="24"/>
                <w:szCs w:val="24"/>
                <w:highlight w:val="none"/>
                <w:lang w:eastAsia="zh-CN"/>
              </w:rPr>
              <w:t>公开招标文件</w:t>
            </w:r>
            <w:r>
              <w:rPr>
                <w:rFonts w:hint="default" w:ascii="Times New Roman" w:hAnsi="Times New Roman" w:cs="Times New Roman"/>
                <w:b/>
                <w:color w:val="auto"/>
                <w:sz w:val="24"/>
                <w:szCs w:val="24"/>
                <w:highlight w:val="none"/>
              </w:rPr>
              <w:t>中的每一个条款及要求，因误读</w:t>
            </w:r>
            <w:r>
              <w:rPr>
                <w:rFonts w:hint="default" w:ascii="Times New Roman" w:hAnsi="Times New Roman" w:cs="Times New Roman"/>
                <w:b/>
                <w:color w:val="auto"/>
                <w:sz w:val="24"/>
                <w:szCs w:val="24"/>
                <w:highlight w:val="none"/>
                <w:lang w:eastAsia="zh-CN"/>
              </w:rPr>
              <w:t>公开招标文件</w:t>
            </w:r>
            <w:r>
              <w:rPr>
                <w:rFonts w:hint="default" w:ascii="Times New Roman" w:hAnsi="Times New Roman" w:cs="Times New Roman"/>
                <w:b/>
                <w:color w:val="auto"/>
                <w:sz w:val="24"/>
                <w:szCs w:val="24"/>
                <w:highlight w:val="none"/>
              </w:rPr>
              <w:t>而造成的后果，</w:t>
            </w:r>
            <w:r>
              <w:rPr>
                <w:rFonts w:hint="default" w:ascii="Times New Roman" w:hAnsi="Times New Roman" w:cs="Times New Roman"/>
                <w:b/>
                <w:color w:val="auto"/>
                <w:sz w:val="24"/>
                <w:szCs w:val="24"/>
                <w:highlight w:val="none"/>
                <w:lang w:eastAsia="zh-CN"/>
              </w:rPr>
              <w:t>采购人</w:t>
            </w:r>
            <w:r>
              <w:rPr>
                <w:rFonts w:hint="default" w:ascii="Times New Roman" w:hAnsi="Times New Roman" w:cs="Times New Roman"/>
                <w:b/>
                <w:color w:val="auto"/>
                <w:sz w:val="24"/>
                <w:szCs w:val="24"/>
                <w:highlight w:val="none"/>
              </w:rPr>
              <w:t>概不负责。</w:t>
            </w:r>
          </w:p>
          <w:p w14:paraId="657EE225">
            <w:pPr>
              <w:keepNext w:val="0"/>
              <w:keepLines w:val="0"/>
              <w:suppressLineNumbers w:val="0"/>
              <w:spacing w:before="0" w:beforeAutospacing="0" w:after="0" w:afterAutospacing="0"/>
              <w:ind w:left="0" w:right="0" w:firstLine="472" w:firstLineChars="196"/>
              <w:rPr>
                <w:rFonts w:hint="default" w:ascii="Times New Roman" w:hAnsi="Times New Roman" w:cs="Times New Roman"/>
                <w:bCs/>
                <w:color w:val="auto"/>
                <w:kern w:val="0"/>
                <w:sz w:val="24"/>
                <w:szCs w:val="24"/>
                <w:highlight w:val="none"/>
              </w:rPr>
            </w:pPr>
            <w:r>
              <w:rPr>
                <w:rFonts w:hint="default" w:ascii="Times New Roman" w:hAnsi="Times New Roman" w:cs="Times New Roman"/>
                <w:b/>
                <w:color w:val="auto"/>
                <w:sz w:val="24"/>
                <w:szCs w:val="24"/>
                <w:highlight w:val="none"/>
                <w:lang w:val="en-US" w:eastAsia="zh-CN"/>
              </w:rPr>
              <w:t>2.</w:t>
            </w:r>
            <w:r>
              <w:rPr>
                <w:rFonts w:hint="default" w:ascii="Times New Roman" w:hAnsi="Times New Roman" w:cs="Times New Roman"/>
                <w:b/>
                <w:color w:val="auto"/>
                <w:sz w:val="24"/>
                <w:szCs w:val="24"/>
                <w:highlight w:val="none"/>
                <w:lang w:eastAsia="zh-CN"/>
              </w:rPr>
              <w:t>投标文件</w:t>
            </w:r>
            <w:r>
              <w:rPr>
                <w:rFonts w:hint="default" w:ascii="Times New Roman" w:hAnsi="Times New Roman" w:cs="Times New Roman"/>
                <w:b/>
                <w:color w:val="auto"/>
                <w:sz w:val="24"/>
                <w:szCs w:val="24"/>
                <w:highlight w:val="none"/>
              </w:rPr>
              <w:t>中有弄虚作假的内容，其</w:t>
            </w:r>
            <w:r>
              <w:rPr>
                <w:rFonts w:hint="default" w:ascii="Times New Roman" w:hAnsi="Times New Roman" w:cs="Times New Roman"/>
                <w:b/>
                <w:color w:val="auto"/>
                <w:sz w:val="24"/>
                <w:szCs w:val="24"/>
                <w:highlight w:val="none"/>
                <w:lang w:eastAsia="zh-CN"/>
              </w:rPr>
              <w:t>投标文件</w:t>
            </w:r>
            <w:r>
              <w:rPr>
                <w:rFonts w:hint="default" w:ascii="Times New Roman" w:hAnsi="Times New Roman" w:cs="Times New Roman"/>
                <w:b/>
                <w:color w:val="auto"/>
                <w:sz w:val="24"/>
                <w:szCs w:val="24"/>
                <w:highlight w:val="none"/>
              </w:rPr>
              <w:t>作废。（如假证书、假业绩、隐瞒不良行为记录、夸大荣誉、使用非本单位在职员工的相关证件及不符合</w:t>
            </w:r>
            <w:r>
              <w:rPr>
                <w:rFonts w:hint="default" w:ascii="Times New Roman" w:hAnsi="Times New Roman" w:cs="Times New Roman"/>
                <w:b/>
                <w:color w:val="auto"/>
                <w:sz w:val="24"/>
                <w:szCs w:val="24"/>
                <w:highlight w:val="none"/>
                <w:lang w:eastAsia="zh-CN"/>
              </w:rPr>
              <w:t>公开招标文件</w:t>
            </w:r>
            <w:r>
              <w:rPr>
                <w:rFonts w:hint="default" w:ascii="Times New Roman" w:hAnsi="Times New Roman" w:cs="Times New Roman"/>
                <w:b/>
                <w:color w:val="auto"/>
                <w:sz w:val="24"/>
                <w:szCs w:val="24"/>
                <w:highlight w:val="none"/>
              </w:rPr>
              <w:t>规定的条款等）；在签订合同之前，</w:t>
            </w:r>
            <w:r>
              <w:rPr>
                <w:rFonts w:hint="default" w:ascii="Times New Roman" w:hAnsi="Times New Roman" w:cs="Times New Roman"/>
                <w:b/>
                <w:color w:val="auto"/>
                <w:sz w:val="24"/>
                <w:szCs w:val="24"/>
                <w:highlight w:val="none"/>
                <w:lang w:eastAsia="zh-CN"/>
              </w:rPr>
              <w:t>投标供应商</w:t>
            </w:r>
            <w:r>
              <w:rPr>
                <w:rFonts w:hint="default" w:ascii="Times New Roman" w:hAnsi="Times New Roman" w:cs="Times New Roman"/>
                <w:b/>
                <w:color w:val="auto"/>
                <w:sz w:val="24"/>
                <w:szCs w:val="24"/>
                <w:highlight w:val="none"/>
              </w:rPr>
              <w:t>如发现</w:t>
            </w:r>
            <w:r>
              <w:rPr>
                <w:rFonts w:hint="default" w:ascii="Times New Roman" w:hAnsi="Times New Roman" w:cs="Times New Roman"/>
                <w:b/>
                <w:color w:val="auto"/>
                <w:sz w:val="24"/>
                <w:szCs w:val="24"/>
                <w:highlight w:val="none"/>
                <w:lang w:eastAsia="zh-CN"/>
              </w:rPr>
              <w:t>投标供应商</w:t>
            </w:r>
            <w:r>
              <w:rPr>
                <w:rFonts w:hint="default" w:ascii="Times New Roman" w:hAnsi="Times New Roman" w:cs="Times New Roman"/>
                <w:b/>
                <w:color w:val="auto"/>
                <w:sz w:val="24"/>
                <w:szCs w:val="24"/>
                <w:highlight w:val="none"/>
              </w:rPr>
              <w:t>的</w:t>
            </w:r>
            <w:r>
              <w:rPr>
                <w:rFonts w:hint="default" w:ascii="Times New Roman" w:hAnsi="Times New Roman" w:cs="Times New Roman"/>
                <w:b/>
                <w:color w:val="auto"/>
                <w:sz w:val="24"/>
                <w:szCs w:val="24"/>
                <w:highlight w:val="none"/>
                <w:lang w:eastAsia="zh-CN"/>
              </w:rPr>
              <w:t>投标文件</w:t>
            </w:r>
            <w:r>
              <w:rPr>
                <w:rFonts w:hint="default" w:ascii="Times New Roman" w:hAnsi="Times New Roman" w:cs="Times New Roman"/>
                <w:b/>
                <w:color w:val="auto"/>
                <w:sz w:val="24"/>
                <w:szCs w:val="24"/>
                <w:highlight w:val="none"/>
              </w:rPr>
              <w:t>有弄虚作假内容，</w:t>
            </w:r>
            <w:r>
              <w:rPr>
                <w:rFonts w:hint="default" w:ascii="Times New Roman" w:hAnsi="Times New Roman" w:cs="Times New Roman"/>
                <w:b/>
                <w:color w:val="auto"/>
                <w:sz w:val="24"/>
                <w:szCs w:val="24"/>
                <w:highlight w:val="none"/>
                <w:lang w:eastAsia="zh-CN"/>
              </w:rPr>
              <w:t>采购人</w:t>
            </w:r>
            <w:r>
              <w:rPr>
                <w:rFonts w:hint="default" w:ascii="Times New Roman" w:hAnsi="Times New Roman" w:cs="Times New Roman"/>
                <w:b/>
                <w:color w:val="auto"/>
                <w:sz w:val="24"/>
                <w:szCs w:val="24"/>
                <w:highlight w:val="none"/>
              </w:rPr>
              <w:t>可拒绝与其签订合同。并将其列入政府采购黑名单库。</w:t>
            </w:r>
          </w:p>
        </w:tc>
      </w:tr>
      <w:tr w14:paraId="6DE136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noWrap w:val="0"/>
            <w:vAlign w:val="center"/>
          </w:tcPr>
          <w:p w14:paraId="1255405D">
            <w:pPr>
              <w:keepNext w:val="0"/>
              <w:keepLines w:val="0"/>
              <w:suppressLineNumbers w:val="0"/>
              <w:overflowPunct w:val="0"/>
              <w:spacing w:before="0" w:beforeAutospacing="0" w:after="0" w:afterAutospacing="0"/>
              <w:ind w:left="0" w:right="0"/>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备注</w:t>
            </w:r>
          </w:p>
        </w:tc>
        <w:tc>
          <w:tcPr>
            <w:tcW w:w="9346" w:type="dxa"/>
            <w:gridSpan w:val="2"/>
            <w:noWrap w:val="0"/>
            <w:vAlign w:val="center"/>
          </w:tcPr>
          <w:p w14:paraId="392FD8A6">
            <w:pPr>
              <w:keepNext w:val="0"/>
              <w:keepLines w:val="0"/>
              <w:suppressLineNumbers w:val="0"/>
              <w:spacing w:before="0" w:beforeAutospacing="0" w:after="0" w:afterAutospacing="0"/>
              <w:ind w:left="0" w:right="0" w:firstLine="472" w:firstLineChars="196"/>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eastAsia="zh-CN"/>
              </w:rPr>
              <w:t>投标供应商</w:t>
            </w:r>
            <w:r>
              <w:rPr>
                <w:rFonts w:hint="default" w:ascii="Times New Roman" w:hAnsi="Times New Roman" w:cs="Times New Roman"/>
                <w:b/>
                <w:color w:val="auto"/>
                <w:sz w:val="24"/>
                <w:szCs w:val="24"/>
                <w:highlight w:val="none"/>
              </w:rPr>
              <w:t>应保证在本项目使用的任何产品和服务（包括部分使用）时，不会产生因第三方提出侵犯其专利权、商标权或</w:t>
            </w:r>
            <w:r>
              <w:rPr>
                <w:rFonts w:hint="default" w:ascii="Times New Roman" w:hAnsi="Times New Roman" w:cs="Times New Roman"/>
                <w:b/>
                <w:color w:val="auto"/>
                <w:sz w:val="24"/>
                <w:szCs w:val="24"/>
                <w:highlight w:val="none"/>
                <w:lang w:eastAsia="zh-CN"/>
              </w:rPr>
              <w:t>其他</w:t>
            </w:r>
            <w:r>
              <w:rPr>
                <w:rFonts w:hint="default" w:ascii="Times New Roman" w:hAnsi="Times New Roman" w:cs="Times New Roman"/>
                <w:b/>
                <w:color w:val="auto"/>
                <w:sz w:val="24"/>
                <w:szCs w:val="24"/>
                <w:highlight w:val="none"/>
              </w:rPr>
              <w:t>知识产权而引起的法律和经济纠纷，如因专利权、商标权或</w:t>
            </w:r>
            <w:r>
              <w:rPr>
                <w:rFonts w:hint="default" w:ascii="Times New Roman" w:hAnsi="Times New Roman" w:cs="Times New Roman"/>
                <w:b/>
                <w:color w:val="auto"/>
                <w:sz w:val="24"/>
                <w:szCs w:val="24"/>
                <w:highlight w:val="none"/>
                <w:lang w:eastAsia="zh-CN"/>
              </w:rPr>
              <w:t>其他</w:t>
            </w:r>
            <w:r>
              <w:rPr>
                <w:rFonts w:hint="default" w:ascii="Times New Roman" w:hAnsi="Times New Roman" w:cs="Times New Roman"/>
                <w:b/>
                <w:color w:val="auto"/>
                <w:sz w:val="24"/>
                <w:szCs w:val="24"/>
                <w:highlight w:val="none"/>
              </w:rPr>
              <w:t>知识产权而引起法律和经济纠纷，由</w:t>
            </w:r>
            <w:r>
              <w:rPr>
                <w:rFonts w:hint="default" w:ascii="Times New Roman" w:hAnsi="Times New Roman" w:cs="Times New Roman"/>
                <w:b/>
                <w:color w:val="auto"/>
                <w:sz w:val="24"/>
                <w:szCs w:val="24"/>
                <w:highlight w:val="none"/>
                <w:lang w:eastAsia="zh-CN"/>
              </w:rPr>
              <w:t>投标供应商</w:t>
            </w:r>
            <w:r>
              <w:rPr>
                <w:rFonts w:hint="default" w:ascii="Times New Roman" w:hAnsi="Times New Roman" w:cs="Times New Roman"/>
                <w:b/>
                <w:color w:val="auto"/>
                <w:sz w:val="24"/>
                <w:szCs w:val="24"/>
                <w:highlight w:val="none"/>
              </w:rPr>
              <w:t>承担所有相关责任的同时不得耽误本项目</w:t>
            </w:r>
            <w:r>
              <w:rPr>
                <w:rFonts w:hint="default" w:ascii="Times New Roman" w:hAnsi="Times New Roman" w:cs="Times New Roman"/>
                <w:b/>
                <w:color w:val="auto"/>
                <w:sz w:val="24"/>
                <w:szCs w:val="24"/>
                <w:highlight w:val="none"/>
                <w:lang w:val="en-US" w:eastAsia="zh-CN"/>
              </w:rPr>
              <w:t>服务</w:t>
            </w:r>
            <w:r>
              <w:rPr>
                <w:rFonts w:hint="default" w:ascii="Times New Roman" w:hAnsi="Times New Roman" w:cs="Times New Roman"/>
                <w:b/>
                <w:color w:val="auto"/>
                <w:sz w:val="24"/>
                <w:szCs w:val="24"/>
                <w:highlight w:val="none"/>
              </w:rPr>
              <w:t>。</w:t>
            </w:r>
          </w:p>
        </w:tc>
      </w:tr>
    </w:tbl>
    <w:p w14:paraId="00B0C9FA">
      <w:pPr>
        <w:pStyle w:val="49"/>
        <w:spacing w:line="440" w:lineRule="exact"/>
        <w:jc w:val="center"/>
        <w:outlineLvl w:val="0"/>
        <w:rPr>
          <w:rFonts w:ascii="宋体" w:hAnsi="宋体"/>
          <w:b/>
          <w:color w:val="auto"/>
          <w:kern w:val="2"/>
          <w:sz w:val="36"/>
          <w:szCs w:val="20"/>
          <w:highlight w:val="none"/>
        </w:rPr>
      </w:pPr>
      <w:r>
        <w:rPr>
          <w:rFonts w:hint="default" w:ascii="Times New Roman" w:hAnsi="Times New Roman" w:cs="Times New Roman"/>
          <w:b/>
          <w:color w:val="auto"/>
          <w:kern w:val="2"/>
          <w:sz w:val="36"/>
          <w:szCs w:val="20"/>
          <w:highlight w:val="none"/>
        </w:rPr>
        <w:br w:type="page"/>
      </w:r>
      <w:bookmarkStart w:id="6" w:name="_Toc89792126"/>
      <w:bookmarkStart w:id="7" w:name="_Toc2745"/>
      <w:bookmarkStart w:id="8" w:name="_Toc6528"/>
      <w:r>
        <w:rPr>
          <w:rFonts w:hint="eastAsia" w:ascii="宋体" w:hAnsi="宋体"/>
          <w:b/>
          <w:color w:val="auto"/>
          <w:kern w:val="2"/>
          <w:sz w:val="32"/>
          <w:szCs w:val="20"/>
          <w:highlight w:val="none"/>
        </w:rPr>
        <w:t>第二部分招标说明</w:t>
      </w:r>
      <w:bookmarkEnd w:id="6"/>
      <w:bookmarkEnd w:id="7"/>
      <w:bookmarkEnd w:id="8"/>
    </w:p>
    <w:p w14:paraId="3CA0DF05">
      <w:pPr>
        <w:pStyle w:val="49"/>
        <w:spacing w:line="440" w:lineRule="exact"/>
        <w:jc w:val="center"/>
        <w:rPr>
          <w:rFonts w:hint="eastAsia" w:ascii="宋体" w:hAnsi="宋体"/>
          <w:b/>
          <w:color w:val="auto"/>
          <w:kern w:val="2"/>
          <w:sz w:val="32"/>
          <w:szCs w:val="32"/>
          <w:highlight w:val="none"/>
        </w:rPr>
      </w:pPr>
    </w:p>
    <w:p w14:paraId="77E6B83E">
      <w:pPr>
        <w:pStyle w:val="49"/>
        <w:keepNext w:val="0"/>
        <w:keepLines w:val="0"/>
        <w:pageBreakBefore w:val="0"/>
        <w:widowControl w:val="0"/>
        <w:kinsoku/>
        <w:wordWrap/>
        <w:overflowPunct/>
        <w:topLinePunct w:val="0"/>
        <w:autoSpaceDE w:val="0"/>
        <w:autoSpaceDN w:val="0"/>
        <w:bidi w:val="0"/>
        <w:adjustRightInd w:val="0"/>
        <w:snapToGrid/>
        <w:spacing w:line="440" w:lineRule="exact"/>
        <w:jc w:val="center"/>
        <w:textAlignment w:val="auto"/>
        <w:outlineLvl w:val="1"/>
        <w:rPr>
          <w:rFonts w:hint="default" w:ascii="Times New Roman" w:hAnsi="Times New Roman" w:cs="Times New Roman"/>
          <w:b/>
          <w:color w:val="auto"/>
          <w:kern w:val="2"/>
          <w:sz w:val="28"/>
          <w:szCs w:val="28"/>
          <w:highlight w:val="none"/>
        </w:rPr>
      </w:pPr>
      <w:bookmarkStart w:id="9" w:name="_Toc89792127"/>
      <w:bookmarkStart w:id="10" w:name="_Toc3971"/>
      <w:bookmarkStart w:id="11" w:name="_Toc26747"/>
      <w:r>
        <w:rPr>
          <w:rFonts w:hint="default" w:ascii="Times New Roman" w:hAnsi="Times New Roman" w:cs="Times New Roman"/>
          <w:b/>
          <w:color w:val="auto"/>
          <w:kern w:val="2"/>
          <w:sz w:val="28"/>
          <w:szCs w:val="28"/>
          <w:highlight w:val="none"/>
        </w:rPr>
        <w:t>第一章总则</w:t>
      </w:r>
      <w:bookmarkEnd w:id="9"/>
      <w:bookmarkEnd w:id="10"/>
      <w:bookmarkEnd w:id="11"/>
    </w:p>
    <w:p w14:paraId="6D9C068C">
      <w:pPr>
        <w:spacing w:line="440" w:lineRule="exact"/>
        <w:ind w:firstLine="472" w:firstLineChars="196"/>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1.适用范围</w:t>
      </w:r>
    </w:p>
    <w:p w14:paraId="434BA6BE">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1.1</w:t>
      </w:r>
      <w:r>
        <w:rPr>
          <w:rFonts w:hint="eastAsia" w:cs="Times New Roman"/>
          <w:color w:val="auto"/>
          <w:sz w:val="24"/>
          <w:highlight w:val="none"/>
          <w:lang w:val="en-US" w:eastAsia="zh-CN"/>
        </w:rPr>
        <w:t xml:space="preserve">  </w:t>
      </w:r>
      <w:r>
        <w:rPr>
          <w:rFonts w:hint="default" w:ascii="Times New Roman" w:hAnsi="Times New Roman" w:cs="Times New Roman"/>
          <w:color w:val="auto"/>
          <w:sz w:val="24"/>
          <w:highlight w:val="none"/>
        </w:rPr>
        <w:t>本</w:t>
      </w:r>
      <w:r>
        <w:rPr>
          <w:rFonts w:hint="default" w:ascii="Times New Roman" w:hAnsi="Times New Roman" w:cs="Times New Roman"/>
          <w:color w:val="auto"/>
          <w:sz w:val="24"/>
          <w:highlight w:val="none"/>
          <w:lang w:eastAsia="zh-CN"/>
        </w:rPr>
        <w:t>公开招标文件</w:t>
      </w:r>
      <w:r>
        <w:rPr>
          <w:rFonts w:hint="default" w:ascii="Times New Roman" w:hAnsi="Times New Roman" w:cs="Times New Roman"/>
          <w:color w:val="auto"/>
          <w:sz w:val="24"/>
          <w:highlight w:val="none"/>
        </w:rPr>
        <w:t>仅适用于</w:t>
      </w:r>
      <w:r>
        <w:rPr>
          <w:rFonts w:hint="default" w:ascii="Times New Roman" w:hAnsi="Times New Roman" w:cs="Times New Roman"/>
          <w:color w:val="auto"/>
          <w:sz w:val="24"/>
          <w:szCs w:val="24"/>
          <w:highlight w:val="none"/>
        </w:rPr>
        <w:t>本招标公告中所述项目的货物及相关服务的采购</w:t>
      </w:r>
      <w:r>
        <w:rPr>
          <w:rFonts w:hint="default" w:ascii="Times New Roman" w:hAnsi="Times New Roman" w:cs="Times New Roman"/>
          <w:color w:val="auto"/>
          <w:sz w:val="24"/>
          <w:highlight w:val="none"/>
        </w:rPr>
        <w:t>。</w:t>
      </w:r>
    </w:p>
    <w:p w14:paraId="4B5F122D">
      <w:pPr>
        <w:tabs>
          <w:tab w:val="left" w:pos="1185"/>
        </w:tabs>
        <w:spacing w:line="440" w:lineRule="exact"/>
        <w:ind w:firstLine="482" w:firstLineChars="200"/>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2.投标资格</w:t>
      </w:r>
    </w:p>
    <w:p w14:paraId="3A5E7E08">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2.1</w:t>
      </w:r>
      <w:r>
        <w:rPr>
          <w:rFonts w:hint="eastAsia" w:cs="Times New Roman"/>
          <w:color w:val="auto"/>
          <w:sz w:val="24"/>
          <w:highlight w:val="none"/>
          <w:lang w:val="en-US" w:eastAsia="zh-CN"/>
        </w:rPr>
        <w:t xml:space="preserve">  </w:t>
      </w:r>
      <w:r>
        <w:rPr>
          <w:rFonts w:hint="default" w:ascii="Times New Roman" w:hAnsi="Times New Roman" w:cs="Times New Roman"/>
          <w:color w:val="auto"/>
          <w:sz w:val="24"/>
          <w:highlight w:val="none"/>
        </w:rPr>
        <w:t>满足《中华人民共和国政府采购法》第二十二条规定；</w:t>
      </w:r>
    </w:p>
    <w:p w14:paraId="664E25CE">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2.2</w:t>
      </w:r>
      <w:r>
        <w:rPr>
          <w:rFonts w:hint="eastAsia" w:cs="Times New Roman"/>
          <w:color w:val="auto"/>
          <w:sz w:val="24"/>
          <w:highlight w:val="none"/>
          <w:lang w:val="en-US" w:eastAsia="zh-CN"/>
        </w:rPr>
        <w:t xml:space="preserve">  </w:t>
      </w:r>
      <w:r>
        <w:rPr>
          <w:rFonts w:hint="default" w:ascii="Times New Roman" w:hAnsi="Times New Roman" w:cs="Times New Roman"/>
          <w:color w:val="auto"/>
          <w:sz w:val="24"/>
          <w:highlight w:val="none"/>
        </w:rPr>
        <w:t>落实政府采购政策需满足的资格要求：见投标须知前附表</w:t>
      </w:r>
    </w:p>
    <w:p w14:paraId="144CD5AF">
      <w:pPr>
        <w:spacing w:line="440" w:lineRule="exact"/>
        <w:ind w:firstLine="480" w:firstLineChars="200"/>
        <w:rPr>
          <w:rFonts w:hint="eastAsia" w:ascii="Times New Roman" w:hAnsi="Times New Roman" w:eastAsia="宋体" w:cs="Times New Roman"/>
          <w:color w:val="auto"/>
          <w:sz w:val="24"/>
          <w:highlight w:val="none"/>
          <w:lang w:eastAsia="zh-CN"/>
        </w:rPr>
      </w:pPr>
      <w:r>
        <w:rPr>
          <w:rFonts w:hint="default" w:ascii="Times New Roman" w:hAnsi="Times New Roman" w:cs="Times New Roman"/>
          <w:color w:val="auto"/>
          <w:sz w:val="24"/>
          <w:highlight w:val="none"/>
        </w:rPr>
        <w:t>2.3</w:t>
      </w:r>
      <w:r>
        <w:rPr>
          <w:rFonts w:hint="eastAsia" w:cs="Times New Roman"/>
          <w:color w:val="auto"/>
          <w:sz w:val="24"/>
          <w:highlight w:val="none"/>
          <w:lang w:val="en-US" w:eastAsia="zh-CN"/>
        </w:rPr>
        <w:t xml:space="preserve">  </w:t>
      </w:r>
      <w:r>
        <w:rPr>
          <w:rFonts w:hint="default" w:ascii="Times New Roman" w:hAnsi="Times New Roman" w:cs="Times New Roman"/>
          <w:color w:val="auto"/>
          <w:sz w:val="24"/>
          <w:highlight w:val="none"/>
        </w:rPr>
        <w:t>本项目的特定资格要求：见投标须知前附表</w:t>
      </w:r>
    </w:p>
    <w:p w14:paraId="70E27223">
      <w:pPr>
        <w:spacing w:line="440" w:lineRule="exact"/>
        <w:ind w:firstLine="482" w:firstLineChars="200"/>
        <w:rPr>
          <w:rFonts w:hint="default" w:ascii="Times New Roman" w:hAnsi="Times New Roman" w:cs="Times New Roman"/>
          <w:color w:val="auto"/>
          <w:sz w:val="24"/>
          <w:highlight w:val="none"/>
        </w:rPr>
      </w:pPr>
      <w:r>
        <w:rPr>
          <w:rFonts w:hint="default" w:ascii="Times New Roman" w:hAnsi="Times New Roman" w:cs="Times New Roman"/>
          <w:b/>
          <w:bCs/>
          <w:color w:val="auto"/>
          <w:sz w:val="24"/>
          <w:highlight w:val="none"/>
        </w:rPr>
        <w:t>3.</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存在下列情形之一的，拒绝其参加本次投标（已投标的按无效标处理）：</w:t>
      </w:r>
    </w:p>
    <w:p w14:paraId="4678C8A7">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（1）为</w:t>
      </w:r>
      <w:r>
        <w:rPr>
          <w:rFonts w:hint="default" w:ascii="Times New Roman" w:hAnsi="Times New Roman" w:cs="Times New Roman"/>
          <w:color w:val="auto"/>
          <w:sz w:val="24"/>
          <w:highlight w:val="none"/>
          <w:lang w:eastAsia="zh-CN"/>
        </w:rPr>
        <w:t>采购人</w:t>
      </w:r>
      <w:r>
        <w:rPr>
          <w:rFonts w:hint="default" w:ascii="Times New Roman" w:hAnsi="Times New Roman" w:cs="Times New Roman"/>
          <w:color w:val="auto"/>
          <w:sz w:val="24"/>
          <w:highlight w:val="none"/>
        </w:rPr>
        <w:t>不具有独立法人资格的附属机构（单位）；</w:t>
      </w:r>
    </w:p>
    <w:p w14:paraId="08D5C359">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（2）为本标段前期准备提供设计或咨询服务的；</w:t>
      </w:r>
    </w:p>
    <w:p w14:paraId="736B070C">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（3）为本标段提供招标代理服务的；</w:t>
      </w:r>
    </w:p>
    <w:p w14:paraId="00E34AE7">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（4）法定代表人为同一人的两个及两个以上法人，母公司、全资子公司及其控股公司，在同一货物采购招标中同时投标的；</w:t>
      </w:r>
    </w:p>
    <w:p w14:paraId="093B9B14">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（5）单位负责人为同一人或者存在直接控股、管理关系的不同供应商（服务商），不得参加同一合同项下的政府采购活动；</w:t>
      </w:r>
    </w:p>
    <w:p w14:paraId="175CA1CE">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（6）被责令停业的；</w:t>
      </w:r>
    </w:p>
    <w:p w14:paraId="48D6DF93">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（7）被暂停或取消投标资格的；</w:t>
      </w:r>
    </w:p>
    <w:p w14:paraId="62EC3DD7">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（8）财产被接管或冻结的；</w:t>
      </w:r>
    </w:p>
    <w:p w14:paraId="0B966498">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（9）在最近三年内有骗取中标或严重违约或重大质量问题的，受到行政处罚的。</w:t>
      </w:r>
    </w:p>
    <w:p w14:paraId="1FC10A8D">
      <w:pPr>
        <w:spacing w:line="440" w:lineRule="exact"/>
        <w:ind w:firstLine="482" w:firstLineChars="200"/>
        <w:rPr>
          <w:rFonts w:hint="default" w:ascii="Times New Roman" w:hAnsi="Times New Roman" w:cs="Times New Roman"/>
          <w:color w:val="auto"/>
          <w:sz w:val="24"/>
          <w:highlight w:val="none"/>
        </w:rPr>
      </w:pPr>
      <w:r>
        <w:rPr>
          <w:rFonts w:hint="default" w:ascii="Times New Roman" w:hAnsi="Times New Roman" w:cs="Times New Roman"/>
          <w:b/>
          <w:bCs/>
          <w:color w:val="auto"/>
          <w:sz w:val="24"/>
          <w:highlight w:val="none"/>
        </w:rPr>
        <w:t>4.</w:t>
      </w:r>
      <w:r>
        <w:rPr>
          <w:rFonts w:hint="default" w:ascii="Times New Roman" w:hAnsi="Times New Roman" w:cs="Times New Roman"/>
          <w:color w:val="auto"/>
          <w:sz w:val="24"/>
          <w:highlight w:val="none"/>
        </w:rPr>
        <w:t>有下列情形之一的，视为</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串通投标，其投标无效：</w:t>
      </w:r>
    </w:p>
    <w:p w14:paraId="0CBB1575">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（1）不同</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的</w:t>
      </w:r>
      <w:r>
        <w:rPr>
          <w:rFonts w:hint="default" w:ascii="Times New Roman" w:hAnsi="Times New Roman" w:cs="Times New Roman"/>
          <w:color w:val="auto"/>
          <w:sz w:val="24"/>
          <w:highlight w:val="none"/>
          <w:lang w:eastAsia="zh-CN"/>
        </w:rPr>
        <w:t>投标文件</w:t>
      </w:r>
      <w:r>
        <w:rPr>
          <w:rFonts w:hint="default" w:ascii="Times New Roman" w:hAnsi="Times New Roman" w:cs="Times New Roman"/>
          <w:color w:val="auto"/>
          <w:sz w:val="24"/>
          <w:highlight w:val="none"/>
        </w:rPr>
        <w:t>由同一单位或者个人编制。</w:t>
      </w:r>
    </w:p>
    <w:p w14:paraId="0B5E6B24">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（2）不同</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委托同一单位或者个人办理投标事宜。</w:t>
      </w:r>
    </w:p>
    <w:p w14:paraId="4E1F38BB">
      <w:pPr>
        <w:spacing w:line="440" w:lineRule="exact"/>
        <w:ind w:firstLine="456" w:firstLineChars="200"/>
        <w:rPr>
          <w:rFonts w:hint="default" w:ascii="Times New Roman" w:hAnsi="Times New Roman" w:cs="Times New Roman"/>
          <w:color w:val="auto"/>
          <w:spacing w:val="-6"/>
          <w:sz w:val="24"/>
          <w:highlight w:val="none"/>
        </w:rPr>
      </w:pPr>
      <w:r>
        <w:rPr>
          <w:rFonts w:hint="default" w:ascii="Times New Roman" w:hAnsi="Times New Roman" w:cs="Times New Roman"/>
          <w:color w:val="auto"/>
          <w:spacing w:val="-6"/>
          <w:sz w:val="24"/>
          <w:highlight w:val="none"/>
        </w:rPr>
        <w:t>（3）不同</w:t>
      </w:r>
      <w:r>
        <w:rPr>
          <w:rFonts w:hint="default" w:ascii="Times New Roman" w:hAnsi="Times New Roman" w:cs="Times New Roman"/>
          <w:color w:val="auto"/>
          <w:spacing w:val="-6"/>
          <w:sz w:val="24"/>
          <w:highlight w:val="none"/>
          <w:lang w:eastAsia="zh-CN"/>
        </w:rPr>
        <w:t>投标供应商</w:t>
      </w:r>
      <w:r>
        <w:rPr>
          <w:rFonts w:hint="default" w:ascii="Times New Roman" w:hAnsi="Times New Roman" w:cs="Times New Roman"/>
          <w:color w:val="auto"/>
          <w:spacing w:val="-6"/>
          <w:sz w:val="24"/>
          <w:highlight w:val="none"/>
        </w:rPr>
        <w:t>的</w:t>
      </w:r>
      <w:r>
        <w:rPr>
          <w:rFonts w:hint="default" w:ascii="Times New Roman" w:hAnsi="Times New Roman" w:cs="Times New Roman"/>
          <w:color w:val="auto"/>
          <w:spacing w:val="-6"/>
          <w:sz w:val="24"/>
          <w:highlight w:val="none"/>
          <w:lang w:eastAsia="zh-CN"/>
        </w:rPr>
        <w:t>投标文件</w:t>
      </w:r>
      <w:r>
        <w:rPr>
          <w:rFonts w:hint="default" w:ascii="Times New Roman" w:hAnsi="Times New Roman" w:cs="Times New Roman"/>
          <w:color w:val="auto"/>
          <w:spacing w:val="-6"/>
          <w:sz w:val="24"/>
          <w:highlight w:val="none"/>
        </w:rPr>
        <w:t>载明的项目管理成员或者联系人员为同一人。</w:t>
      </w:r>
    </w:p>
    <w:p w14:paraId="444C919D">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（4）不同</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的</w:t>
      </w:r>
      <w:r>
        <w:rPr>
          <w:rFonts w:hint="default" w:ascii="Times New Roman" w:hAnsi="Times New Roman" w:cs="Times New Roman"/>
          <w:color w:val="auto"/>
          <w:sz w:val="24"/>
          <w:highlight w:val="none"/>
          <w:lang w:eastAsia="zh-CN"/>
        </w:rPr>
        <w:t>投标文件</w:t>
      </w:r>
      <w:r>
        <w:rPr>
          <w:rFonts w:hint="default" w:ascii="Times New Roman" w:hAnsi="Times New Roman" w:cs="Times New Roman"/>
          <w:color w:val="auto"/>
          <w:sz w:val="24"/>
          <w:highlight w:val="none"/>
        </w:rPr>
        <w:t>异常一致或者投标报价呈规律性差异。</w:t>
      </w:r>
    </w:p>
    <w:p w14:paraId="3291A27C">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（5）不同</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的</w:t>
      </w:r>
      <w:r>
        <w:rPr>
          <w:rFonts w:hint="default" w:ascii="Times New Roman" w:hAnsi="Times New Roman" w:cs="Times New Roman"/>
          <w:color w:val="auto"/>
          <w:sz w:val="24"/>
          <w:highlight w:val="none"/>
          <w:lang w:eastAsia="zh-CN"/>
        </w:rPr>
        <w:t>投标文件</w:t>
      </w:r>
      <w:r>
        <w:rPr>
          <w:rFonts w:hint="default" w:ascii="Times New Roman" w:hAnsi="Times New Roman" w:cs="Times New Roman"/>
          <w:color w:val="auto"/>
          <w:sz w:val="24"/>
          <w:highlight w:val="none"/>
        </w:rPr>
        <w:t>相互混装。</w:t>
      </w:r>
    </w:p>
    <w:p w14:paraId="2D9135F7">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（6）不同</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的投标保证金从同一单位或者个人的账户转出。</w:t>
      </w:r>
    </w:p>
    <w:p w14:paraId="352384DA">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（7）</w:t>
      </w:r>
      <w:r>
        <w:rPr>
          <w:rFonts w:hint="default" w:ascii="Times New Roman" w:hAnsi="Times New Roman" w:cs="Times New Roman"/>
          <w:color w:val="auto"/>
          <w:sz w:val="24"/>
          <w:highlight w:val="none"/>
          <w:lang w:eastAsia="zh-CN"/>
        </w:rPr>
        <w:t>投标文件</w:t>
      </w:r>
      <w:r>
        <w:rPr>
          <w:rFonts w:hint="default" w:ascii="Times New Roman" w:hAnsi="Times New Roman" w:cs="Times New Roman"/>
          <w:color w:val="auto"/>
          <w:sz w:val="24"/>
          <w:highlight w:val="none"/>
        </w:rPr>
        <w:t>技术规格中的响应与事实不符或虚假投标的；</w:t>
      </w:r>
    </w:p>
    <w:p w14:paraId="0045E057">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（8）</w:t>
      </w:r>
      <w:r>
        <w:rPr>
          <w:rFonts w:hint="default" w:ascii="Times New Roman" w:hAnsi="Times New Roman" w:cs="Times New Roman"/>
          <w:color w:val="auto"/>
          <w:sz w:val="24"/>
          <w:highlight w:val="none"/>
          <w:lang w:eastAsia="zh-CN"/>
        </w:rPr>
        <w:t>投标文件</w:t>
      </w:r>
      <w:r>
        <w:rPr>
          <w:rFonts w:hint="default" w:ascii="Times New Roman" w:hAnsi="Times New Roman" w:cs="Times New Roman"/>
          <w:color w:val="auto"/>
          <w:sz w:val="24"/>
          <w:highlight w:val="none"/>
        </w:rPr>
        <w:t>符合</w:t>
      </w:r>
      <w:r>
        <w:rPr>
          <w:rFonts w:hint="default" w:ascii="Times New Roman" w:hAnsi="Times New Roman" w:cs="Times New Roman"/>
          <w:color w:val="auto"/>
          <w:sz w:val="24"/>
          <w:highlight w:val="none"/>
          <w:lang w:eastAsia="zh-CN"/>
        </w:rPr>
        <w:t>公开招标文件</w:t>
      </w:r>
      <w:r>
        <w:rPr>
          <w:rFonts w:hint="default" w:ascii="Times New Roman" w:hAnsi="Times New Roman" w:cs="Times New Roman"/>
          <w:color w:val="auto"/>
          <w:sz w:val="24"/>
          <w:highlight w:val="none"/>
        </w:rPr>
        <w:t>中规定废标的</w:t>
      </w:r>
      <w:r>
        <w:rPr>
          <w:rFonts w:hint="default" w:ascii="Times New Roman" w:hAnsi="Times New Roman" w:cs="Times New Roman"/>
          <w:color w:val="auto"/>
          <w:sz w:val="24"/>
          <w:highlight w:val="none"/>
          <w:lang w:eastAsia="zh-CN"/>
        </w:rPr>
        <w:t>其他</w:t>
      </w:r>
      <w:r>
        <w:rPr>
          <w:rFonts w:hint="default" w:ascii="Times New Roman" w:hAnsi="Times New Roman" w:cs="Times New Roman"/>
          <w:color w:val="auto"/>
          <w:sz w:val="24"/>
          <w:highlight w:val="none"/>
        </w:rPr>
        <w:t>技术条款；</w:t>
      </w:r>
    </w:p>
    <w:p w14:paraId="01C52D97">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（9）</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拒绝修正错误的；</w:t>
      </w:r>
    </w:p>
    <w:p w14:paraId="0593DB2B">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（10）其他违反相关法律法规规定的行为的；</w:t>
      </w:r>
    </w:p>
    <w:p w14:paraId="0D6E3B67">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（11）</w:t>
      </w:r>
      <w:r>
        <w:rPr>
          <w:rFonts w:hint="default" w:ascii="Times New Roman" w:hAnsi="Times New Roman" w:cs="Times New Roman"/>
          <w:color w:val="auto"/>
          <w:sz w:val="24"/>
          <w:highlight w:val="none"/>
          <w:lang w:eastAsia="zh-CN"/>
        </w:rPr>
        <w:t>评标委员会</w:t>
      </w:r>
      <w:r>
        <w:rPr>
          <w:rFonts w:hint="default" w:ascii="Times New Roman" w:hAnsi="Times New Roman" w:cs="Times New Roman"/>
          <w:color w:val="auto"/>
          <w:sz w:val="24"/>
          <w:highlight w:val="none"/>
        </w:rPr>
        <w:t>认为是其他应当否决的投标。</w:t>
      </w:r>
    </w:p>
    <w:p w14:paraId="0B917C65">
      <w:pPr>
        <w:spacing w:line="440" w:lineRule="exact"/>
        <w:ind w:firstLine="482" w:firstLineChars="200"/>
        <w:rPr>
          <w:rFonts w:hint="default" w:ascii="Times New Roman" w:hAnsi="Times New Roman" w:cs="Times New Roman"/>
          <w:color w:val="auto"/>
          <w:sz w:val="24"/>
          <w:highlight w:val="none"/>
        </w:rPr>
      </w:pPr>
      <w:r>
        <w:rPr>
          <w:rFonts w:hint="default" w:ascii="Times New Roman" w:hAnsi="Times New Roman" w:cs="Times New Roman"/>
          <w:b/>
          <w:bCs/>
          <w:color w:val="auto"/>
          <w:sz w:val="24"/>
          <w:highlight w:val="none"/>
        </w:rPr>
        <w:t>5.</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在本次招标活动中，必须遵守《中华人民共和国政府采购法》及相关法律法规的规定。</w:t>
      </w:r>
    </w:p>
    <w:p w14:paraId="786EF7F5">
      <w:pPr>
        <w:spacing w:line="440" w:lineRule="exact"/>
        <w:ind w:firstLine="482" w:firstLineChars="200"/>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6.定义</w:t>
      </w:r>
    </w:p>
    <w:p w14:paraId="0F7B4B8E">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下列术语和缩写的定义为：</w:t>
      </w:r>
    </w:p>
    <w:p w14:paraId="626BF1E6">
      <w:pPr>
        <w:spacing w:line="440" w:lineRule="exact"/>
        <w:ind w:firstLine="480" w:firstLineChars="200"/>
        <w:rPr>
          <w:rFonts w:hint="default" w:ascii="Times New Roman" w:hAnsi="Times New Roman" w:eastAsia="宋体" w:cs="Times New Roman"/>
          <w:color w:val="auto"/>
          <w:sz w:val="24"/>
          <w:highlight w:val="none"/>
        </w:rPr>
      </w:pPr>
      <w:r>
        <w:rPr>
          <w:rFonts w:hint="default" w:ascii="Times New Roman" w:hAnsi="Times New Roman" w:cs="Times New Roman"/>
          <w:color w:val="auto"/>
          <w:sz w:val="24"/>
          <w:highlight w:val="none"/>
        </w:rPr>
        <w:t>6.1</w:t>
      </w:r>
      <w:r>
        <w:rPr>
          <w:rFonts w:hint="eastAsia" w:cs="Times New Roman"/>
          <w:color w:val="auto"/>
          <w:sz w:val="24"/>
          <w:highlight w:val="none"/>
          <w:lang w:val="en-US" w:eastAsia="zh-CN"/>
        </w:rPr>
        <w:t xml:space="preserve">  </w:t>
      </w:r>
      <w:r>
        <w:rPr>
          <w:rFonts w:hint="default" w:ascii="Times New Roman" w:hAnsi="Times New Roman" w:cs="Times New Roman"/>
          <w:color w:val="auto"/>
          <w:sz w:val="24"/>
          <w:highlight w:val="none"/>
        </w:rPr>
        <w:t>“采购人”</w:t>
      </w:r>
      <w:r>
        <w:rPr>
          <w:rFonts w:hint="default" w:ascii="Times New Roman" w:hAnsi="Times New Roman" w:eastAsia="宋体" w:cs="Times New Roman"/>
          <w:color w:val="auto"/>
          <w:sz w:val="24"/>
          <w:highlight w:val="none"/>
        </w:rPr>
        <w:t>是指新疆农业大学（属于依法开展政府采购的事业单位）。</w:t>
      </w:r>
    </w:p>
    <w:p w14:paraId="00051C0A">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6.2</w:t>
      </w:r>
      <w:r>
        <w:rPr>
          <w:rFonts w:hint="eastAsia" w:cs="Times New Roman"/>
          <w:color w:val="auto"/>
          <w:sz w:val="24"/>
          <w:highlight w:val="none"/>
          <w:lang w:val="en-US" w:eastAsia="zh-CN"/>
        </w:rPr>
        <w:t xml:space="preserve">  </w:t>
      </w:r>
      <w:r>
        <w:rPr>
          <w:rFonts w:hint="default" w:ascii="Times New Roman" w:hAnsi="Times New Roman" w:cs="Times New Roman"/>
          <w:color w:val="auto"/>
          <w:sz w:val="24"/>
          <w:highlight w:val="none"/>
        </w:rPr>
        <w:t>“</w:t>
      </w:r>
      <w:r>
        <w:rPr>
          <w:rFonts w:hint="default" w:ascii="Times New Roman" w:hAnsi="Times New Roman" w:cs="Times New Roman"/>
          <w:color w:val="auto"/>
          <w:sz w:val="24"/>
          <w:highlight w:val="none"/>
          <w:lang w:eastAsia="zh-CN"/>
        </w:rPr>
        <w:t>采购代理机构</w:t>
      </w:r>
      <w:r>
        <w:rPr>
          <w:rFonts w:hint="default" w:ascii="Times New Roman" w:hAnsi="Times New Roman" w:cs="Times New Roman"/>
          <w:color w:val="auto"/>
          <w:sz w:val="24"/>
          <w:highlight w:val="none"/>
        </w:rPr>
        <w:t>”系指新疆守正项目管理咨询有限公司。</w:t>
      </w:r>
    </w:p>
    <w:p w14:paraId="5DCAC382">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6.</w:t>
      </w:r>
      <w:r>
        <w:rPr>
          <w:rFonts w:hint="eastAsia" w:cs="Times New Roman"/>
          <w:color w:val="auto"/>
          <w:sz w:val="24"/>
          <w:highlight w:val="none"/>
          <w:lang w:val="en-US" w:eastAsia="zh-CN"/>
        </w:rPr>
        <w:t xml:space="preserve">3  </w:t>
      </w:r>
      <w:r>
        <w:rPr>
          <w:rFonts w:hint="default" w:ascii="Times New Roman" w:hAnsi="Times New Roman" w:cs="Times New Roman"/>
          <w:color w:val="auto"/>
          <w:sz w:val="24"/>
          <w:highlight w:val="none"/>
        </w:rPr>
        <w:t>“</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”是响应</w:t>
      </w:r>
      <w:r>
        <w:rPr>
          <w:rFonts w:hint="default" w:ascii="Times New Roman" w:hAnsi="Times New Roman" w:cs="Times New Roman"/>
          <w:color w:val="auto"/>
          <w:sz w:val="24"/>
          <w:highlight w:val="none"/>
          <w:lang w:eastAsia="zh-CN"/>
        </w:rPr>
        <w:t>公开招标文件</w:t>
      </w:r>
      <w:r>
        <w:rPr>
          <w:rFonts w:hint="default" w:ascii="Times New Roman" w:hAnsi="Times New Roman" w:cs="Times New Roman"/>
          <w:color w:val="auto"/>
          <w:sz w:val="24"/>
          <w:highlight w:val="none"/>
        </w:rPr>
        <w:t>并且符合</w:t>
      </w:r>
      <w:r>
        <w:rPr>
          <w:rFonts w:hint="default" w:ascii="Times New Roman" w:hAnsi="Times New Roman" w:cs="Times New Roman"/>
          <w:color w:val="auto"/>
          <w:sz w:val="24"/>
          <w:highlight w:val="none"/>
          <w:lang w:eastAsia="zh-CN"/>
        </w:rPr>
        <w:t>公开招标文件</w:t>
      </w:r>
      <w:r>
        <w:rPr>
          <w:rFonts w:hint="default" w:ascii="Times New Roman" w:hAnsi="Times New Roman" w:cs="Times New Roman"/>
          <w:color w:val="auto"/>
          <w:sz w:val="24"/>
          <w:highlight w:val="none"/>
        </w:rPr>
        <w:t>规定资格条件和参加投标竞争的法人、其他组织或者自然人。</w:t>
      </w:r>
    </w:p>
    <w:p w14:paraId="455FE975">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6.</w:t>
      </w:r>
      <w:r>
        <w:rPr>
          <w:rFonts w:hint="eastAsia" w:cs="Times New Roman"/>
          <w:color w:val="auto"/>
          <w:sz w:val="24"/>
          <w:highlight w:val="none"/>
          <w:lang w:val="en-US" w:eastAsia="zh-CN"/>
        </w:rPr>
        <w:t xml:space="preserve">4  </w:t>
      </w:r>
      <w:r>
        <w:rPr>
          <w:rFonts w:hint="default" w:ascii="Times New Roman" w:hAnsi="Times New Roman" w:cs="Times New Roman"/>
          <w:color w:val="auto"/>
          <w:sz w:val="24"/>
          <w:highlight w:val="none"/>
        </w:rPr>
        <w:t>“供应商”是指向采购人提供货物、工程或者服务的法人、其他组织或者自然人。</w:t>
      </w:r>
    </w:p>
    <w:p w14:paraId="38BE51B7">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6.</w:t>
      </w:r>
      <w:r>
        <w:rPr>
          <w:rFonts w:hint="eastAsia" w:cs="Times New Roman"/>
          <w:color w:val="auto"/>
          <w:sz w:val="24"/>
          <w:highlight w:val="none"/>
          <w:lang w:val="en-US" w:eastAsia="zh-CN"/>
        </w:rPr>
        <w:t xml:space="preserve">5  </w:t>
      </w:r>
      <w:r>
        <w:rPr>
          <w:rFonts w:hint="default" w:ascii="Times New Roman" w:hAnsi="Times New Roman" w:cs="Times New Roman"/>
          <w:color w:val="auto"/>
          <w:sz w:val="24"/>
          <w:highlight w:val="none"/>
        </w:rPr>
        <w:t>“</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代表”是指</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法定代表人，或法定代表人指定的某一代表自己参与和处理与投标项目有关事宜的自然人。</w:t>
      </w:r>
    </w:p>
    <w:p w14:paraId="1A24A188">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6.</w:t>
      </w:r>
      <w:r>
        <w:rPr>
          <w:rFonts w:hint="eastAsia" w:cs="Times New Roman"/>
          <w:color w:val="auto"/>
          <w:sz w:val="24"/>
          <w:highlight w:val="none"/>
          <w:lang w:val="en-US" w:eastAsia="zh-CN"/>
        </w:rPr>
        <w:t xml:space="preserve">6  </w:t>
      </w:r>
      <w:r>
        <w:rPr>
          <w:rFonts w:hint="default" w:ascii="Times New Roman" w:hAnsi="Times New Roman" w:cs="Times New Roman"/>
          <w:color w:val="auto"/>
          <w:sz w:val="24"/>
          <w:highlight w:val="none"/>
        </w:rPr>
        <w:t>“</w:t>
      </w:r>
      <w:r>
        <w:rPr>
          <w:rFonts w:hint="default" w:ascii="Times New Roman" w:hAnsi="Times New Roman" w:cs="Times New Roman"/>
          <w:color w:val="auto"/>
          <w:sz w:val="24"/>
          <w:highlight w:val="none"/>
          <w:lang w:eastAsia="zh-CN"/>
        </w:rPr>
        <w:t>中标</w:t>
      </w:r>
      <w:r>
        <w:rPr>
          <w:rFonts w:hint="eastAsia" w:cs="Times New Roman"/>
          <w:color w:val="auto"/>
          <w:sz w:val="24"/>
          <w:highlight w:val="none"/>
          <w:lang w:eastAsia="zh-CN"/>
        </w:rPr>
        <w:t>供应商</w:t>
      </w:r>
      <w:r>
        <w:rPr>
          <w:rFonts w:hint="default" w:ascii="Times New Roman" w:hAnsi="Times New Roman" w:cs="Times New Roman"/>
          <w:color w:val="auto"/>
          <w:sz w:val="24"/>
          <w:highlight w:val="none"/>
        </w:rPr>
        <w:t>”系指经评标委</w:t>
      </w:r>
      <w:r>
        <w:rPr>
          <w:rFonts w:hint="default" w:ascii="Times New Roman" w:hAnsi="Times New Roman" w:cs="Times New Roman"/>
          <w:color w:val="auto"/>
          <w:sz w:val="24"/>
          <w:highlight w:val="none"/>
          <w:lang w:eastAsia="zh-CN"/>
        </w:rPr>
        <w:t>员会</w:t>
      </w:r>
      <w:r>
        <w:rPr>
          <w:rFonts w:hint="default" w:ascii="Times New Roman" w:hAnsi="Times New Roman" w:cs="Times New Roman"/>
          <w:color w:val="auto"/>
          <w:sz w:val="24"/>
          <w:highlight w:val="none"/>
        </w:rPr>
        <w:t>、会评定后由</w:t>
      </w:r>
      <w:r>
        <w:rPr>
          <w:rFonts w:hint="default" w:ascii="Times New Roman" w:hAnsi="Times New Roman" w:cs="Times New Roman"/>
          <w:color w:val="auto"/>
          <w:sz w:val="24"/>
          <w:highlight w:val="none"/>
          <w:lang w:eastAsia="zh-CN"/>
        </w:rPr>
        <w:t>评标委员会</w:t>
      </w:r>
      <w:r>
        <w:rPr>
          <w:rFonts w:hint="default" w:ascii="Times New Roman" w:hAnsi="Times New Roman" w:cs="Times New Roman"/>
          <w:color w:val="auto"/>
          <w:sz w:val="24"/>
          <w:highlight w:val="none"/>
        </w:rPr>
        <w:t>推荐并由采购人确定的</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w:t>
      </w:r>
    </w:p>
    <w:p w14:paraId="47CD022E">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6.</w:t>
      </w:r>
      <w:r>
        <w:rPr>
          <w:rFonts w:hint="eastAsia" w:cs="Times New Roman"/>
          <w:color w:val="auto"/>
          <w:sz w:val="24"/>
          <w:highlight w:val="none"/>
          <w:lang w:val="en-US" w:eastAsia="zh-CN"/>
        </w:rPr>
        <w:t xml:space="preserve">7  </w:t>
      </w:r>
      <w:r>
        <w:rPr>
          <w:rFonts w:hint="default" w:ascii="Times New Roman" w:hAnsi="Times New Roman" w:cs="Times New Roman"/>
          <w:color w:val="auto"/>
          <w:sz w:val="24"/>
          <w:highlight w:val="none"/>
        </w:rPr>
        <w:t>“货物</w:t>
      </w:r>
      <w:r>
        <w:rPr>
          <w:rFonts w:hint="default" w:ascii="Times New Roman" w:hAnsi="Times New Roman" w:cs="Times New Roman"/>
          <w:color w:val="auto"/>
          <w:sz w:val="24"/>
          <w:highlight w:val="none"/>
          <w:lang w:eastAsia="zh-CN"/>
        </w:rPr>
        <w:t>”“</w:t>
      </w:r>
      <w:r>
        <w:rPr>
          <w:rFonts w:hint="default" w:ascii="Times New Roman" w:hAnsi="Times New Roman" w:cs="Times New Roman"/>
          <w:color w:val="auto"/>
          <w:sz w:val="24"/>
          <w:highlight w:val="none"/>
        </w:rPr>
        <w:t>产品”指本</w:t>
      </w:r>
      <w:r>
        <w:rPr>
          <w:rFonts w:hint="default" w:ascii="Times New Roman" w:hAnsi="Times New Roman" w:cs="Times New Roman"/>
          <w:color w:val="auto"/>
          <w:sz w:val="24"/>
          <w:highlight w:val="none"/>
          <w:lang w:eastAsia="zh-CN"/>
        </w:rPr>
        <w:t>公开招标文件</w:t>
      </w:r>
      <w:r>
        <w:rPr>
          <w:rFonts w:hint="default" w:ascii="Times New Roman" w:hAnsi="Times New Roman" w:cs="Times New Roman"/>
          <w:color w:val="auto"/>
          <w:sz w:val="24"/>
          <w:highlight w:val="none"/>
        </w:rPr>
        <w:t>中第四部分《采购需求》及《政府采购品目分类目录》</w:t>
      </w:r>
      <w:r>
        <w:rPr>
          <w:rFonts w:hint="default" w:ascii="Times New Roman" w:hAnsi="Times New Roman" w:cs="Times New Roman"/>
          <w:color w:val="auto"/>
          <w:sz w:val="24"/>
          <w:highlight w:val="none"/>
          <w:lang w:eastAsia="zh-CN"/>
        </w:rPr>
        <w:t>（</w:t>
      </w:r>
      <w:r>
        <w:rPr>
          <w:rFonts w:hint="default" w:ascii="Times New Roman" w:hAnsi="Times New Roman" w:cs="Times New Roman"/>
          <w:color w:val="auto"/>
          <w:sz w:val="24"/>
          <w:highlight w:val="none"/>
        </w:rPr>
        <w:t>财库</w:t>
      </w:r>
      <w:r>
        <w:rPr>
          <w:rFonts w:hint="default" w:ascii="Times New Roman" w:hAnsi="Times New Roman" w:cs="Times New Roman"/>
          <w:color w:val="auto"/>
          <w:sz w:val="24"/>
          <w:highlight w:val="none"/>
          <w:lang w:eastAsia="zh-CN"/>
        </w:rPr>
        <w:t>〔2013〕189号）</w:t>
      </w:r>
      <w:r>
        <w:rPr>
          <w:rFonts w:hint="default" w:ascii="Times New Roman" w:hAnsi="Times New Roman" w:cs="Times New Roman"/>
          <w:color w:val="auto"/>
          <w:sz w:val="24"/>
          <w:highlight w:val="none"/>
        </w:rPr>
        <w:t>所述所有货物及相关服务。</w:t>
      </w:r>
    </w:p>
    <w:p w14:paraId="55035FA9">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6.</w:t>
      </w:r>
      <w:r>
        <w:rPr>
          <w:rFonts w:hint="eastAsia" w:cs="Times New Roman"/>
          <w:color w:val="auto"/>
          <w:sz w:val="24"/>
          <w:highlight w:val="none"/>
          <w:lang w:val="en-US" w:eastAsia="zh-CN"/>
        </w:rPr>
        <w:t xml:space="preserve">8  </w:t>
      </w:r>
      <w:r>
        <w:rPr>
          <w:rFonts w:hint="default" w:ascii="Times New Roman" w:hAnsi="Times New Roman" w:cs="Times New Roman"/>
          <w:color w:val="auto"/>
          <w:sz w:val="24"/>
          <w:highlight w:val="none"/>
        </w:rPr>
        <w:t>采购信息安全产品的，应当采购经国家认证的信息安全产品；供应货物中的相关产品，供应商应提供由中国信息安全认证中心按国家标准认证颁发的有效认证证书。</w:t>
      </w:r>
    </w:p>
    <w:p w14:paraId="6BA62C72">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6.</w:t>
      </w:r>
      <w:r>
        <w:rPr>
          <w:rFonts w:hint="eastAsia" w:cs="Times New Roman"/>
          <w:color w:val="auto"/>
          <w:sz w:val="24"/>
          <w:highlight w:val="none"/>
          <w:lang w:val="en-US" w:eastAsia="zh-CN"/>
        </w:rPr>
        <w:t xml:space="preserve">9  </w:t>
      </w:r>
      <w:r>
        <w:rPr>
          <w:rFonts w:hint="default" w:ascii="Times New Roman" w:hAnsi="Times New Roman" w:cs="Times New Roman"/>
          <w:color w:val="auto"/>
          <w:sz w:val="24"/>
          <w:highlight w:val="none"/>
        </w:rPr>
        <w:t>“节能产品”或者“环保产品”是指财政部发布的《节能产品政府采购品目清单》内并获得认证的产品及《环境标志产品政府采购品目清单》内并获得认证的产品。</w:t>
      </w:r>
    </w:p>
    <w:p w14:paraId="6321BDD4">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6.1</w:t>
      </w:r>
      <w:r>
        <w:rPr>
          <w:rFonts w:hint="eastAsia" w:cs="Times New Roman"/>
          <w:color w:val="auto"/>
          <w:sz w:val="24"/>
          <w:highlight w:val="none"/>
          <w:lang w:val="en-US" w:eastAsia="zh-CN"/>
        </w:rPr>
        <w:t xml:space="preserve">0  </w:t>
      </w:r>
      <w:r>
        <w:rPr>
          <w:rFonts w:hint="default" w:ascii="Times New Roman" w:hAnsi="Times New Roman" w:cs="Times New Roman"/>
          <w:color w:val="auto"/>
          <w:sz w:val="24"/>
          <w:highlight w:val="none"/>
        </w:rPr>
        <w:t>“进口产品”是指通过中国海关报关验放进入中国境内且产自关境外的产品，详见《关于政府采购进口产品管理有关问题的通知》</w:t>
      </w:r>
      <w:r>
        <w:rPr>
          <w:rFonts w:hint="default" w:ascii="Times New Roman" w:hAnsi="Times New Roman" w:cs="Times New Roman"/>
          <w:color w:val="auto"/>
          <w:sz w:val="24"/>
          <w:highlight w:val="none"/>
          <w:lang w:eastAsia="zh-CN"/>
        </w:rPr>
        <w:t>（</w:t>
      </w:r>
      <w:r>
        <w:rPr>
          <w:rFonts w:hint="default" w:ascii="Times New Roman" w:hAnsi="Times New Roman" w:cs="Times New Roman"/>
          <w:color w:val="auto"/>
          <w:sz w:val="24"/>
          <w:highlight w:val="none"/>
        </w:rPr>
        <w:t>财库</w:t>
      </w:r>
      <w:r>
        <w:rPr>
          <w:rFonts w:hint="default" w:ascii="Times New Roman" w:hAnsi="Times New Roman" w:cs="Times New Roman"/>
          <w:color w:val="auto"/>
          <w:sz w:val="24"/>
          <w:highlight w:val="none"/>
          <w:lang w:eastAsia="zh-CN"/>
        </w:rPr>
        <w:t>〔2007〕119号）</w:t>
      </w:r>
      <w:r>
        <w:rPr>
          <w:rFonts w:hint="default" w:ascii="Times New Roman" w:hAnsi="Times New Roman" w:cs="Times New Roman"/>
          <w:color w:val="auto"/>
          <w:sz w:val="24"/>
          <w:highlight w:val="none"/>
        </w:rPr>
        <w:t>。</w:t>
      </w:r>
    </w:p>
    <w:p w14:paraId="4341545B">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6.1</w:t>
      </w:r>
      <w:r>
        <w:rPr>
          <w:rFonts w:hint="eastAsia" w:cs="Times New Roman"/>
          <w:color w:val="auto"/>
          <w:sz w:val="24"/>
          <w:highlight w:val="none"/>
          <w:lang w:val="en-US" w:eastAsia="zh-CN"/>
        </w:rPr>
        <w:t xml:space="preserve">1  </w:t>
      </w:r>
      <w:r>
        <w:rPr>
          <w:rFonts w:hint="default" w:ascii="Times New Roman" w:hAnsi="Times New Roman" w:cs="Times New Roman"/>
          <w:color w:val="auto"/>
          <w:sz w:val="24"/>
          <w:highlight w:val="none"/>
        </w:rPr>
        <w:t>“服务”系指</w:t>
      </w:r>
      <w:r>
        <w:rPr>
          <w:rFonts w:hint="default" w:ascii="Times New Roman" w:hAnsi="Times New Roman" w:cs="Times New Roman"/>
          <w:color w:val="auto"/>
          <w:sz w:val="24"/>
          <w:highlight w:val="none"/>
          <w:lang w:eastAsia="zh-CN"/>
        </w:rPr>
        <w:t>公开招标文件</w:t>
      </w:r>
      <w:r>
        <w:rPr>
          <w:rFonts w:hint="default" w:ascii="Times New Roman" w:hAnsi="Times New Roman" w:cs="Times New Roman"/>
          <w:color w:val="auto"/>
          <w:sz w:val="24"/>
          <w:highlight w:val="none"/>
        </w:rPr>
        <w:t>中规定</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须承担的质保、技术协助、培训及其他类似的责任。</w:t>
      </w:r>
    </w:p>
    <w:p w14:paraId="481A7545">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6.1</w:t>
      </w:r>
      <w:r>
        <w:rPr>
          <w:rFonts w:hint="eastAsia" w:cs="Times New Roman"/>
          <w:color w:val="auto"/>
          <w:sz w:val="24"/>
          <w:highlight w:val="none"/>
          <w:lang w:val="en-US" w:eastAsia="zh-CN"/>
        </w:rPr>
        <w:t xml:space="preserve">2  </w:t>
      </w:r>
      <w:r>
        <w:rPr>
          <w:rFonts w:hint="default" w:ascii="Times New Roman" w:hAnsi="Times New Roman" w:cs="Times New Roman"/>
          <w:color w:val="auto"/>
          <w:sz w:val="24"/>
          <w:highlight w:val="none"/>
        </w:rPr>
        <w:t>“响应”系指</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根据</w:t>
      </w:r>
      <w:r>
        <w:rPr>
          <w:rFonts w:hint="default" w:ascii="Times New Roman" w:hAnsi="Times New Roman" w:cs="Times New Roman"/>
          <w:color w:val="auto"/>
          <w:sz w:val="24"/>
          <w:highlight w:val="none"/>
          <w:lang w:eastAsia="zh-CN"/>
        </w:rPr>
        <w:t>采购代理机构</w:t>
      </w:r>
      <w:r>
        <w:rPr>
          <w:rFonts w:hint="default" w:ascii="Times New Roman" w:hAnsi="Times New Roman" w:cs="Times New Roman"/>
          <w:color w:val="auto"/>
          <w:sz w:val="24"/>
          <w:highlight w:val="none"/>
        </w:rPr>
        <w:t>发布的</w:t>
      </w:r>
      <w:r>
        <w:rPr>
          <w:rFonts w:hint="default" w:ascii="Times New Roman" w:hAnsi="Times New Roman" w:cs="Times New Roman"/>
          <w:color w:val="auto"/>
          <w:sz w:val="24"/>
          <w:highlight w:val="none"/>
          <w:lang w:eastAsia="zh-CN"/>
        </w:rPr>
        <w:t>公开招标文件</w:t>
      </w:r>
      <w:r>
        <w:rPr>
          <w:rFonts w:hint="default" w:ascii="Times New Roman" w:hAnsi="Times New Roman" w:cs="Times New Roman"/>
          <w:color w:val="auto"/>
          <w:sz w:val="24"/>
          <w:highlight w:val="none"/>
        </w:rPr>
        <w:t>，编制</w:t>
      </w:r>
      <w:r>
        <w:rPr>
          <w:rFonts w:hint="default" w:ascii="Times New Roman" w:hAnsi="Times New Roman" w:cs="Times New Roman"/>
          <w:color w:val="auto"/>
          <w:sz w:val="24"/>
          <w:highlight w:val="none"/>
          <w:lang w:eastAsia="zh-CN"/>
        </w:rPr>
        <w:t>投标文件</w:t>
      </w:r>
      <w:r>
        <w:rPr>
          <w:rFonts w:hint="default" w:ascii="Times New Roman" w:hAnsi="Times New Roman" w:cs="Times New Roman"/>
          <w:color w:val="auto"/>
          <w:sz w:val="24"/>
          <w:highlight w:val="none"/>
        </w:rPr>
        <w:t>并按规定投标的行为。</w:t>
      </w:r>
    </w:p>
    <w:p w14:paraId="42521BD5">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6.1</w:t>
      </w:r>
      <w:r>
        <w:rPr>
          <w:rFonts w:hint="eastAsia" w:cs="Times New Roman"/>
          <w:color w:val="auto"/>
          <w:sz w:val="24"/>
          <w:highlight w:val="none"/>
          <w:lang w:val="en-US" w:eastAsia="zh-CN"/>
        </w:rPr>
        <w:t xml:space="preserve">3  </w:t>
      </w:r>
      <w:r>
        <w:rPr>
          <w:rFonts w:hint="default" w:ascii="Times New Roman" w:hAnsi="Times New Roman" w:cs="Times New Roman"/>
          <w:color w:val="auto"/>
          <w:sz w:val="24"/>
          <w:highlight w:val="none"/>
        </w:rPr>
        <w:t>“标段/标项（包）”系指一个完整独立的投标项目。</w:t>
      </w:r>
    </w:p>
    <w:p w14:paraId="692CC9B1">
      <w:pPr>
        <w:spacing w:line="440" w:lineRule="exact"/>
        <w:ind w:firstLine="482" w:firstLineChars="200"/>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7.投标费用</w:t>
      </w:r>
    </w:p>
    <w:p w14:paraId="67138DCF">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7.1</w:t>
      </w:r>
      <w:r>
        <w:rPr>
          <w:rFonts w:hint="eastAsia" w:cs="Times New Roman"/>
          <w:color w:val="auto"/>
          <w:sz w:val="24"/>
          <w:highlight w:val="none"/>
          <w:lang w:val="en-US" w:eastAsia="zh-CN"/>
        </w:rPr>
        <w:t xml:space="preserve">  </w:t>
      </w:r>
      <w:r>
        <w:rPr>
          <w:rFonts w:hint="default" w:ascii="Times New Roman" w:hAnsi="Times New Roman" w:cs="Times New Roman"/>
          <w:color w:val="auto"/>
          <w:sz w:val="24"/>
          <w:highlight w:val="none"/>
        </w:rPr>
        <w:t>无论投标结果如何，凡参与招标、投标活动有关的所有费用将由</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自行承担。</w:t>
      </w:r>
    </w:p>
    <w:p w14:paraId="12A320D1">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7.2</w:t>
      </w:r>
      <w:r>
        <w:rPr>
          <w:rFonts w:hint="eastAsia" w:cs="Times New Roman"/>
          <w:color w:val="auto"/>
          <w:sz w:val="24"/>
          <w:highlight w:val="none"/>
          <w:lang w:val="en-US" w:eastAsia="zh-CN"/>
        </w:rPr>
        <w:t xml:space="preserve">  </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被视为熟悉本招标项目的各种情况以及与履行合同有关的一切情况。</w:t>
      </w:r>
    </w:p>
    <w:p w14:paraId="05184024">
      <w:pPr>
        <w:pStyle w:val="49"/>
        <w:spacing w:line="440" w:lineRule="exact"/>
        <w:jc w:val="center"/>
        <w:outlineLvl w:val="1"/>
        <w:rPr>
          <w:rFonts w:hint="default" w:ascii="Times New Roman" w:hAnsi="Times New Roman" w:eastAsia="宋体" w:cs="Times New Roman"/>
          <w:b/>
          <w:color w:val="auto"/>
          <w:kern w:val="2"/>
          <w:sz w:val="28"/>
          <w:szCs w:val="32"/>
          <w:highlight w:val="none"/>
          <w:lang w:eastAsia="zh-CN"/>
        </w:rPr>
      </w:pPr>
      <w:bookmarkStart w:id="12" w:name="_Toc89792128"/>
      <w:bookmarkStart w:id="13" w:name="_Toc9377"/>
      <w:bookmarkStart w:id="14" w:name="_Toc31009"/>
      <w:r>
        <w:rPr>
          <w:rFonts w:hint="default" w:ascii="Times New Roman" w:hAnsi="Times New Roman" w:cs="Times New Roman"/>
          <w:b/>
          <w:color w:val="auto"/>
          <w:kern w:val="2"/>
          <w:sz w:val="28"/>
          <w:szCs w:val="32"/>
          <w:highlight w:val="none"/>
        </w:rPr>
        <w:t>第二章</w:t>
      </w:r>
      <w:bookmarkEnd w:id="12"/>
      <w:r>
        <w:rPr>
          <w:rFonts w:hint="default" w:ascii="Times New Roman" w:hAnsi="Times New Roman" w:cs="Times New Roman"/>
          <w:b/>
          <w:color w:val="auto"/>
          <w:kern w:val="2"/>
          <w:sz w:val="28"/>
          <w:szCs w:val="32"/>
          <w:highlight w:val="none"/>
          <w:lang w:eastAsia="zh-CN"/>
        </w:rPr>
        <w:t>公开招标文件</w:t>
      </w:r>
      <w:bookmarkEnd w:id="13"/>
      <w:bookmarkEnd w:id="14"/>
    </w:p>
    <w:p w14:paraId="42CE1BB6">
      <w:pPr>
        <w:spacing w:line="440" w:lineRule="exact"/>
        <w:ind w:firstLine="482" w:firstLineChars="200"/>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8.</w:t>
      </w:r>
      <w:r>
        <w:rPr>
          <w:rFonts w:hint="default" w:ascii="Times New Roman" w:hAnsi="Times New Roman" w:cs="Times New Roman"/>
          <w:b/>
          <w:color w:val="auto"/>
          <w:sz w:val="24"/>
          <w:highlight w:val="none"/>
          <w:lang w:eastAsia="zh-CN"/>
        </w:rPr>
        <w:t>公开招标文件</w:t>
      </w:r>
      <w:r>
        <w:rPr>
          <w:rFonts w:hint="default" w:ascii="Times New Roman" w:hAnsi="Times New Roman" w:cs="Times New Roman"/>
          <w:b/>
          <w:color w:val="auto"/>
          <w:sz w:val="24"/>
          <w:highlight w:val="none"/>
        </w:rPr>
        <w:t>说明</w:t>
      </w:r>
    </w:p>
    <w:p w14:paraId="4D657F2A">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8.1</w:t>
      </w:r>
      <w:r>
        <w:rPr>
          <w:rFonts w:hint="eastAsia" w:cs="Times New Roman"/>
          <w:color w:val="auto"/>
          <w:sz w:val="24"/>
          <w:highlight w:val="none"/>
          <w:lang w:val="en-US" w:eastAsia="zh-CN"/>
        </w:rPr>
        <w:t xml:space="preserve">  </w:t>
      </w:r>
      <w:r>
        <w:rPr>
          <w:rFonts w:hint="default" w:ascii="Times New Roman" w:hAnsi="Times New Roman" w:cs="Times New Roman"/>
          <w:color w:val="auto"/>
          <w:sz w:val="24"/>
          <w:highlight w:val="none"/>
          <w:lang w:eastAsia="zh-CN"/>
        </w:rPr>
        <w:t>公开招标文件</w:t>
      </w:r>
      <w:r>
        <w:rPr>
          <w:rFonts w:hint="default" w:ascii="Times New Roman" w:hAnsi="Times New Roman" w:cs="Times New Roman"/>
          <w:color w:val="auto"/>
          <w:sz w:val="24"/>
          <w:highlight w:val="none"/>
        </w:rPr>
        <w:t>组成如下：</w:t>
      </w:r>
    </w:p>
    <w:p w14:paraId="4C6D9D2F">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投标邀请</w:t>
      </w:r>
    </w:p>
    <w:p w14:paraId="6B08E152">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第一部分投标须知</w:t>
      </w:r>
    </w:p>
    <w:p w14:paraId="751F6BD8">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第二部分招标说明</w:t>
      </w:r>
    </w:p>
    <w:p w14:paraId="4E4D8134">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第三部分投标说明</w:t>
      </w:r>
    </w:p>
    <w:p w14:paraId="42DBA9C6">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第四部分采购需求</w:t>
      </w:r>
    </w:p>
    <w:p w14:paraId="7564A347">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第五部分合同部分</w:t>
      </w:r>
    </w:p>
    <w:p w14:paraId="2E27FBC0">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第六部分</w:t>
      </w:r>
      <w:r>
        <w:rPr>
          <w:rFonts w:hint="default" w:ascii="Times New Roman" w:hAnsi="Times New Roman" w:cs="Times New Roman"/>
          <w:color w:val="auto"/>
          <w:sz w:val="24"/>
          <w:highlight w:val="none"/>
          <w:lang w:eastAsia="zh-CN"/>
        </w:rPr>
        <w:t>投标文件</w:t>
      </w:r>
      <w:r>
        <w:rPr>
          <w:rFonts w:hint="default" w:ascii="Times New Roman" w:hAnsi="Times New Roman" w:cs="Times New Roman"/>
          <w:color w:val="auto"/>
          <w:sz w:val="24"/>
          <w:highlight w:val="none"/>
        </w:rPr>
        <w:t>格式（范本格式）</w:t>
      </w:r>
    </w:p>
    <w:p w14:paraId="76FCC923">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8.2</w:t>
      </w:r>
      <w:r>
        <w:rPr>
          <w:rFonts w:hint="eastAsia" w:cs="Times New Roman"/>
          <w:color w:val="auto"/>
          <w:sz w:val="24"/>
          <w:highlight w:val="none"/>
          <w:lang w:val="en-US" w:eastAsia="zh-CN"/>
        </w:rPr>
        <w:t xml:space="preserve">  </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应详细阅读</w:t>
      </w:r>
      <w:r>
        <w:rPr>
          <w:rFonts w:hint="default" w:ascii="Times New Roman" w:hAnsi="Times New Roman" w:cs="Times New Roman"/>
          <w:color w:val="auto"/>
          <w:sz w:val="24"/>
          <w:highlight w:val="none"/>
          <w:lang w:eastAsia="zh-CN"/>
        </w:rPr>
        <w:t>公开招标文件</w:t>
      </w:r>
      <w:r>
        <w:rPr>
          <w:rFonts w:hint="default" w:ascii="Times New Roman" w:hAnsi="Times New Roman" w:cs="Times New Roman"/>
          <w:color w:val="auto"/>
          <w:sz w:val="24"/>
          <w:highlight w:val="none"/>
        </w:rPr>
        <w:t>的全部内容。如果</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未按照</w:t>
      </w:r>
      <w:r>
        <w:rPr>
          <w:rFonts w:hint="default" w:ascii="Times New Roman" w:hAnsi="Times New Roman" w:cs="Times New Roman"/>
          <w:color w:val="auto"/>
          <w:sz w:val="24"/>
          <w:highlight w:val="none"/>
          <w:lang w:eastAsia="zh-CN"/>
        </w:rPr>
        <w:t>公开招标文件</w:t>
      </w:r>
      <w:r>
        <w:rPr>
          <w:rFonts w:hint="default" w:ascii="Times New Roman" w:hAnsi="Times New Roman" w:cs="Times New Roman"/>
          <w:color w:val="auto"/>
          <w:sz w:val="24"/>
          <w:highlight w:val="none"/>
        </w:rPr>
        <w:t>要求提交全部资料或者</w:t>
      </w:r>
      <w:r>
        <w:rPr>
          <w:rFonts w:hint="default" w:ascii="Times New Roman" w:hAnsi="Times New Roman" w:cs="Times New Roman"/>
          <w:color w:val="auto"/>
          <w:sz w:val="24"/>
          <w:highlight w:val="none"/>
          <w:lang w:eastAsia="zh-CN"/>
        </w:rPr>
        <w:t>投标文件</w:t>
      </w:r>
      <w:r>
        <w:rPr>
          <w:rFonts w:hint="default" w:ascii="Times New Roman" w:hAnsi="Times New Roman" w:cs="Times New Roman"/>
          <w:color w:val="auto"/>
          <w:sz w:val="24"/>
          <w:highlight w:val="none"/>
        </w:rPr>
        <w:t>没有对</w:t>
      </w:r>
      <w:r>
        <w:rPr>
          <w:rFonts w:hint="default" w:ascii="Times New Roman" w:hAnsi="Times New Roman" w:cs="Times New Roman"/>
          <w:color w:val="auto"/>
          <w:sz w:val="24"/>
          <w:highlight w:val="none"/>
          <w:lang w:eastAsia="zh-CN"/>
        </w:rPr>
        <w:t>公开招标文件</w:t>
      </w:r>
      <w:r>
        <w:rPr>
          <w:rFonts w:hint="default" w:ascii="Times New Roman" w:hAnsi="Times New Roman" w:cs="Times New Roman"/>
          <w:color w:val="auto"/>
          <w:sz w:val="24"/>
          <w:highlight w:val="none"/>
        </w:rPr>
        <w:t>在各方面的要求做出实质性响应，将导致其投标被拒绝。</w:t>
      </w:r>
    </w:p>
    <w:p w14:paraId="25C1C693">
      <w:pPr>
        <w:spacing w:line="440" w:lineRule="exact"/>
        <w:ind w:left="359" w:leftChars="171" w:firstLine="120" w:firstLineChars="50"/>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9.</w:t>
      </w:r>
      <w:r>
        <w:rPr>
          <w:rFonts w:hint="default" w:ascii="Times New Roman" w:hAnsi="Times New Roman" w:cs="Times New Roman"/>
          <w:b/>
          <w:color w:val="auto"/>
          <w:sz w:val="24"/>
          <w:highlight w:val="none"/>
          <w:lang w:eastAsia="zh-CN"/>
        </w:rPr>
        <w:t>公开招标文件</w:t>
      </w:r>
      <w:r>
        <w:rPr>
          <w:rFonts w:hint="default" w:ascii="Times New Roman" w:hAnsi="Times New Roman" w:cs="Times New Roman"/>
          <w:b/>
          <w:color w:val="auto"/>
          <w:sz w:val="24"/>
          <w:highlight w:val="none"/>
        </w:rPr>
        <w:t>的修改或补充</w:t>
      </w:r>
    </w:p>
    <w:p w14:paraId="49D9B7A6">
      <w:pPr>
        <w:spacing w:line="440" w:lineRule="exact"/>
        <w:ind w:left="359" w:leftChars="171" w:firstLine="120" w:firstLineChars="5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9.1　澄清或者修改的内容可能影响</w:t>
      </w:r>
      <w:r>
        <w:rPr>
          <w:rFonts w:hint="default" w:ascii="Times New Roman" w:hAnsi="Times New Roman" w:cs="Times New Roman"/>
          <w:color w:val="auto"/>
          <w:sz w:val="24"/>
          <w:highlight w:val="none"/>
          <w:lang w:eastAsia="zh-CN"/>
        </w:rPr>
        <w:t>投标文件</w:t>
      </w:r>
      <w:r>
        <w:rPr>
          <w:rFonts w:hint="default" w:ascii="Times New Roman" w:hAnsi="Times New Roman" w:cs="Times New Roman"/>
          <w:color w:val="auto"/>
          <w:sz w:val="24"/>
          <w:highlight w:val="none"/>
        </w:rPr>
        <w:t>编制的，在投标截止期十五日前的任何时间，</w:t>
      </w:r>
      <w:r>
        <w:rPr>
          <w:rFonts w:hint="eastAsia" w:cs="Times New Roman"/>
          <w:color w:val="auto"/>
          <w:sz w:val="24"/>
          <w:highlight w:val="none"/>
          <w:lang w:eastAsia="zh-CN"/>
        </w:rPr>
        <w:t>采购人或者采购代理机构</w:t>
      </w:r>
      <w:r>
        <w:rPr>
          <w:rFonts w:hint="default" w:ascii="Times New Roman" w:hAnsi="Times New Roman" w:cs="Times New Roman"/>
          <w:color w:val="auto"/>
          <w:sz w:val="24"/>
          <w:highlight w:val="none"/>
        </w:rPr>
        <w:t>可主动或依据</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要求澄清的问题而修改或补充</w:t>
      </w:r>
      <w:r>
        <w:rPr>
          <w:rFonts w:hint="default" w:ascii="Times New Roman" w:hAnsi="Times New Roman" w:cs="Times New Roman"/>
          <w:color w:val="auto"/>
          <w:sz w:val="24"/>
          <w:highlight w:val="none"/>
          <w:lang w:eastAsia="zh-CN"/>
        </w:rPr>
        <w:t>公开招标文件</w:t>
      </w:r>
      <w:r>
        <w:rPr>
          <w:rFonts w:hint="default" w:ascii="Times New Roman" w:hAnsi="Times New Roman" w:cs="Times New Roman"/>
          <w:color w:val="auto"/>
          <w:sz w:val="24"/>
          <w:highlight w:val="none"/>
        </w:rPr>
        <w:t>，并以书面形式或网上公告通知所有</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在收到该通知后应立即以电报或传真的形式予以确认。</w:t>
      </w:r>
    </w:p>
    <w:p w14:paraId="03A2C81B">
      <w:pPr>
        <w:spacing w:line="440" w:lineRule="exact"/>
        <w:ind w:left="359" w:leftChars="171" w:firstLine="120" w:firstLineChars="5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9.2　为使</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在准备投标时有适当的时间考虑</w:t>
      </w:r>
      <w:r>
        <w:rPr>
          <w:rFonts w:hint="default" w:ascii="Times New Roman" w:hAnsi="Times New Roman" w:cs="Times New Roman"/>
          <w:color w:val="auto"/>
          <w:sz w:val="24"/>
          <w:highlight w:val="none"/>
          <w:lang w:eastAsia="zh-CN"/>
        </w:rPr>
        <w:t>投标文件</w:t>
      </w:r>
      <w:r>
        <w:rPr>
          <w:rFonts w:hint="default" w:ascii="Times New Roman" w:hAnsi="Times New Roman" w:cs="Times New Roman"/>
          <w:color w:val="auto"/>
          <w:sz w:val="24"/>
          <w:highlight w:val="none"/>
        </w:rPr>
        <w:t>的修改，</w:t>
      </w:r>
      <w:r>
        <w:rPr>
          <w:rFonts w:hint="eastAsia" w:cs="Times New Roman"/>
          <w:color w:val="auto"/>
          <w:sz w:val="24"/>
          <w:highlight w:val="none"/>
          <w:lang w:eastAsia="zh-CN"/>
        </w:rPr>
        <w:t>采购人或者采购代理机构</w:t>
      </w:r>
      <w:r>
        <w:rPr>
          <w:rFonts w:hint="default" w:ascii="Times New Roman" w:hAnsi="Times New Roman" w:cs="Times New Roman"/>
          <w:color w:val="auto"/>
          <w:sz w:val="24"/>
          <w:highlight w:val="none"/>
        </w:rPr>
        <w:t>有权决定推迟投标截止时间和开标时间，并将此变更通知所有的</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w:t>
      </w:r>
    </w:p>
    <w:p w14:paraId="5EDE8510">
      <w:pPr>
        <w:spacing w:line="440" w:lineRule="exact"/>
        <w:ind w:left="359" w:leftChars="171" w:firstLine="120" w:firstLineChars="5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9.3　</w:t>
      </w:r>
      <w:r>
        <w:rPr>
          <w:rFonts w:hint="default" w:ascii="Times New Roman" w:hAnsi="Times New Roman" w:cs="Times New Roman"/>
          <w:color w:val="auto"/>
          <w:sz w:val="24"/>
          <w:highlight w:val="none"/>
          <w:lang w:eastAsia="zh-CN"/>
        </w:rPr>
        <w:t>公开招标文件</w:t>
      </w:r>
      <w:r>
        <w:rPr>
          <w:rFonts w:hint="default" w:ascii="Times New Roman" w:hAnsi="Times New Roman" w:cs="Times New Roman"/>
          <w:color w:val="auto"/>
          <w:sz w:val="24"/>
          <w:highlight w:val="none"/>
        </w:rPr>
        <w:t>的修改和补充文件将构成</w:t>
      </w:r>
      <w:r>
        <w:rPr>
          <w:rFonts w:hint="default" w:ascii="Times New Roman" w:hAnsi="Times New Roman" w:cs="Times New Roman"/>
          <w:color w:val="auto"/>
          <w:sz w:val="24"/>
          <w:highlight w:val="none"/>
          <w:lang w:eastAsia="zh-CN"/>
        </w:rPr>
        <w:t>公开招标文件</w:t>
      </w:r>
      <w:r>
        <w:rPr>
          <w:rFonts w:hint="default" w:ascii="Times New Roman" w:hAnsi="Times New Roman" w:cs="Times New Roman"/>
          <w:color w:val="auto"/>
          <w:sz w:val="24"/>
          <w:highlight w:val="none"/>
        </w:rPr>
        <w:t>的一部分，并且对</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具有优先约束力。</w:t>
      </w:r>
    </w:p>
    <w:p w14:paraId="25820494">
      <w:pPr>
        <w:spacing w:line="440" w:lineRule="exact"/>
        <w:ind w:firstLine="482" w:firstLineChars="200"/>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10.质疑须知</w:t>
      </w:r>
    </w:p>
    <w:p w14:paraId="2C0FC970">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如需提出质疑的，应在法定质疑期内一次性提出针对同一采购程序环节的质疑。</w:t>
      </w:r>
    </w:p>
    <w:p w14:paraId="106AEDBB">
      <w:pPr>
        <w:pStyle w:val="49"/>
        <w:spacing w:line="440" w:lineRule="exact"/>
        <w:jc w:val="center"/>
        <w:outlineLvl w:val="1"/>
        <w:rPr>
          <w:rFonts w:hint="default" w:ascii="Times New Roman" w:hAnsi="Times New Roman" w:cs="Times New Roman"/>
          <w:b/>
          <w:color w:val="auto"/>
          <w:kern w:val="2"/>
          <w:sz w:val="28"/>
          <w:szCs w:val="32"/>
          <w:highlight w:val="none"/>
          <w:lang w:val="en-US" w:eastAsia="zh-CN"/>
        </w:rPr>
      </w:pPr>
    </w:p>
    <w:p w14:paraId="5AADD2AE">
      <w:pPr>
        <w:pStyle w:val="49"/>
        <w:spacing w:line="440" w:lineRule="exact"/>
        <w:jc w:val="center"/>
        <w:outlineLvl w:val="1"/>
        <w:rPr>
          <w:rFonts w:hint="default" w:ascii="Times New Roman" w:hAnsi="Times New Roman" w:cs="Times New Roman"/>
          <w:b/>
          <w:color w:val="auto"/>
          <w:kern w:val="2"/>
          <w:sz w:val="28"/>
          <w:szCs w:val="32"/>
          <w:highlight w:val="none"/>
          <w:lang w:val="en-US" w:eastAsia="zh-CN"/>
        </w:rPr>
      </w:pPr>
    </w:p>
    <w:p w14:paraId="185DB229">
      <w:pPr>
        <w:pStyle w:val="49"/>
        <w:spacing w:line="276" w:lineRule="auto"/>
        <w:jc w:val="center"/>
        <w:outlineLvl w:val="0"/>
        <w:rPr>
          <w:rFonts w:hint="default" w:ascii="Times New Roman" w:hAnsi="Times New Roman" w:cs="Times New Roman"/>
          <w:b/>
          <w:color w:val="auto"/>
          <w:kern w:val="2"/>
          <w:sz w:val="32"/>
          <w:szCs w:val="32"/>
          <w:highlight w:val="none"/>
        </w:rPr>
      </w:pPr>
      <w:bookmarkStart w:id="15" w:name="_Toc89792129"/>
      <w:bookmarkStart w:id="16" w:name="_Toc4291"/>
      <w:bookmarkStart w:id="17" w:name="_Toc30236"/>
      <w:r>
        <w:rPr>
          <w:rFonts w:hint="default" w:ascii="Times New Roman" w:hAnsi="Times New Roman" w:cs="Times New Roman"/>
          <w:b/>
          <w:color w:val="auto"/>
          <w:kern w:val="2"/>
          <w:sz w:val="32"/>
          <w:szCs w:val="32"/>
          <w:highlight w:val="none"/>
        </w:rPr>
        <w:t>第三部分投标说明</w:t>
      </w:r>
      <w:bookmarkEnd w:id="15"/>
      <w:bookmarkEnd w:id="16"/>
      <w:bookmarkEnd w:id="17"/>
    </w:p>
    <w:p w14:paraId="3E1E7EBF">
      <w:pPr>
        <w:spacing w:line="440" w:lineRule="exact"/>
        <w:jc w:val="center"/>
        <w:rPr>
          <w:rFonts w:hint="default" w:ascii="Times New Roman" w:hAnsi="Times New Roman" w:cs="Times New Roman"/>
          <w:b/>
          <w:color w:val="auto"/>
          <w:sz w:val="28"/>
          <w:highlight w:val="none"/>
        </w:rPr>
      </w:pPr>
    </w:p>
    <w:p w14:paraId="167ADD86">
      <w:pPr>
        <w:spacing w:line="440" w:lineRule="exact"/>
        <w:jc w:val="center"/>
        <w:outlineLvl w:val="1"/>
        <w:rPr>
          <w:rFonts w:hint="default" w:ascii="Times New Roman" w:hAnsi="Times New Roman" w:cs="Times New Roman"/>
          <w:b/>
          <w:color w:val="auto"/>
          <w:sz w:val="28"/>
          <w:highlight w:val="none"/>
        </w:rPr>
      </w:pPr>
      <w:bookmarkStart w:id="18" w:name="_Toc7510"/>
      <w:bookmarkStart w:id="19" w:name="_Toc89792130"/>
      <w:bookmarkStart w:id="20" w:name="_Toc26142"/>
      <w:r>
        <w:rPr>
          <w:rFonts w:hint="default" w:ascii="Times New Roman" w:hAnsi="Times New Roman" w:cs="Times New Roman"/>
          <w:b/>
          <w:color w:val="auto"/>
          <w:sz w:val="28"/>
          <w:highlight w:val="none"/>
        </w:rPr>
        <w:t>第一章对</w:t>
      </w:r>
      <w:r>
        <w:rPr>
          <w:rFonts w:hint="default" w:ascii="Times New Roman" w:hAnsi="Times New Roman" w:cs="Times New Roman"/>
          <w:b/>
          <w:color w:val="auto"/>
          <w:sz w:val="28"/>
          <w:highlight w:val="none"/>
          <w:lang w:eastAsia="zh-CN"/>
        </w:rPr>
        <w:t>投标供应商</w:t>
      </w:r>
      <w:r>
        <w:rPr>
          <w:rFonts w:hint="default" w:ascii="Times New Roman" w:hAnsi="Times New Roman" w:cs="Times New Roman"/>
          <w:b/>
          <w:color w:val="auto"/>
          <w:sz w:val="28"/>
          <w:highlight w:val="none"/>
        </w:rPr>
        <w:t>的资质要求</w:t>
      </w:r>
      <w:bookmarkEnd w:id="18"/>
      <w:bookmarkEnd w:id="19"/>
      <w:bookmarkEnd w:id="20"/>
    </w:p>
    <w:p w14:paraId="700F9FCC">
      <w:pPr>
        <w:spacing w:line="440" w:lineRule="exact"/>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1.</w:t>
      </w:r>
      <w:r>
        <w:rPr>
          <w:rFonts w:hint="default" w:ascii="Times New Roman" w:hAnsi="Times New Roman" w:cs="Times New Roman"/>
          <w:b/>
          <w:color w:val="auto"/>
          <w:sz w:val="24"/>
          <w:szCs w:val="24"/>
          <w:highlight w:val="none"/>
        </w:rPr>
        <w:t>开标会的资质要求、开标时间及地点</w:t>
      </w:r>
    </w:p>
    <w:p w14:paraId="356AC002">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本项目开标的时间、地点已在</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须知前附表列清。</w:t>
      </w:r>
    </w:p>
    <w:p w14:paraId="2AC1F6F3">
      <w:pPr>
        <w:spacing w:line="440" w:lineRule="exact"/>
        <w:ind w:firstLine="480" w:firstLineChars="200"/>
        <w:rPr>
          <w:rFonts w:hint="default" w:ascii="Times New Roman" w:hAnsi="Times New Roman" w:cs="Times New Roman"/>
          <w:color w:val="auto"/>
          <w:highlight w:val="none"/>
        </w:rPr>
      </w:pPr>
      <w:r>
        <w:rPr>
          <w:rFonts w:hint="default" w:ascii="Times New Roman" w:hAnsi="Times New Roman" w:cs="Times New Roman"/>
          <w:bCs/>
          <w:color w:val="auto"/>
          <w:sz w:val="24"/>
          <w:szCs w:val="24"/>
          <w:highlight w:val="none"/>
        </w:rPr>
        <w:t>1.2　所有资格证明文件必须满足</w:t>
      </w:r>
      <w:r>
        <w:rPr>
          <w:rFonts w:hint="default" w:ascii="Times New Roman" w:hAnsi="Times New Roman" w:cs="Times New Roman"/>
          <w:bCs/>
          <w:color w:val="auto"/>
          <w:sz w:val="24"/>
          <w:szCs w:val="24"/>
          <w:highlight w:val="none"/>
          <w:lang w:eastAsia="zh-CN"/>
        </w:rPr>
        <w:t>公开招标文件</w:t>
      </w:r>
      <w:r>
        <w:rPr>
          <w:rFonts w:hint="default" w:ascii="Times New Roman" w:hAnsi="Times New Roman" w:cs="Times New Roman"/>
          <w:bCs/>
          <w:color w:val="auto"/>
          <w:sz w:val="24"/>
          <w:szCs w:val="24"/>
          <w:highlight w:val="none"/>
        </w:rPr>
        <w:t>的要求，否则将导致废标。</w:t>
      </w:r>
    </w:p>
    <w:p w14:paraId="6520851F">
      <w:pPr>
        <w:spacing w:line="440" w:lineRule="exact"/>
        <w:jc w:val="center"/>
        <w:rPr>
          <w:rFonts w:hint="default" w:ascii="Times New Roman" w:hAnsi="Times New Roman" w:cs="Times New Roman"/>
          <w:b/>
          <w:color w:val="auto"/>
          <w:sz w:val="28"/>
          <w:szCs w:val="32"/>
          <w:highlight w:val="none"/>
        </w:rPr>
      </w:pPr>
      <w:bookmarkStart w:id="21" w:name="_Toc89792131"/>
    </w:p>
    <w:p w14:paraId="40773DE7">
      <w:pPr>
        <w:keepNext w:val="0"/>
        <w:keepLines w:val="0"/>
        <w:pageBreakBefore w:val="0"/>
        <w:kinsoku/>
        <w:wordWrap/>
        <w:overflowPunct/>
        <w:topLinePunct w:val="0"/>
        <w:autoSpaceDE/>
        <w:autoSpaceDN/>
        <w:bidi w:val="0"/>
        <w:adjustRightInd/>
        <w:snapToGrid/>
        <w:spacing w:line="440" w:lineRule="exact"/>
        <w:jc w:val="center"/>
        <w:textAlignment w:val="auto"/>
        <w:outlineLvl w:val="0"/>
        <w:rPr>
          <w:rFonts w:hint="default" w:ascii="Times New Roman" w:hAnsi="Times New Roman" w:cs="Times New Roman"/>
          <w:b/>
          <w:color w:val="auto"/>
          <w:sz w:val="32"/>
          <w:szCs w:val="32"/>
          <w:highlight w:val="none"/>
        </w:rPr>
      </w:pPr>
      <w:bookmarkStart w:id="22" w:name="_Toc3161"/>
      <w:bookmarkStart w:id="23" w:name="_Toc1085"/>
      <w:r>
        <w:rPr>
          <w:rFonts w:hint="default" w:ascii="Times New Roman" w:hAnsi="Times New Roman" w:cs="Times New Roman"/>
          <w:b/>
          <w:color w:val="auto"/>
          <w:sz w:val="28"/>
          <w:szCs w:val="32"/>
          <w:highlight w:val="none"/>
        </w:rPr>
        <w:t>第二章</w:t>
      </w:r>
      <w:r>
        <w:rPr>
          <w:rFonts w:hint="default" w:ascii="Times New Roman" w:hAnsi="Times New Roman" w:cs="Times New Roman"/>
          <w:b/>
          <w:color w:val="auto"/>
          <w:sz w:val="28"/>
          <w:szCs w:val="32"/>
          <w:highlight w:val="none"/>
          <w:lang w:eastAsia="zh-CN"/>
        </w:rPr>
        <w:t>投标文件</w:t>
      </w:r>
      <w:r>
        <w:rPr>
          <w:rFonts w:hint="default" w:ascii="Times New Roman" w:hAnsi="Times New Roman" w:cs="Times New Roman"/>
          <w:b/>
          <w:color w:val="auto"/>
          <w:sz w:val="28"/>
          <w:szCs w:val="32"/>
          <w:highlight w:val="none"/>
        </w:rPr>
        <w:t>的编写</w:t>
      </w:r>
      <w:bookmarkEnd w:id="21"/>
      <w:bookmarkEnd w:id="22"/>
      <w:bookmarkEnd w:id="23"/>
    </w:p>
    <w:p w14:paraId="39EF03FC">
      <w:pPr>
        <w:spacing w:line="440" w:lineRule="exact"/>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2.要求</w:t>
      </w:r>
    </w:p>
    <w:p w14:paraId="409A751E">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2.1</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应详细阅读</w:t>
      </w:r>
      <w:r>
        <w:rPr>
          <w:rFonts w:hint="default" w:ascii="Times New Roman" w:hAnsi="Times New Roman" w:cs="Times New Roman"/>
          <w:color w:val="auto"/>
          <w:sz w:val="24"/>
          <w:szCs w:val="24"/>
          <w:highlight w:val="none"/>
          <w:lang w:eastAsia="zh-CN"/>
        </w:rPr>
        <w:t>公开招标文件</w:t>
      </w:r>
      <w:r>
        <w:rPr>
          <w:rFonts w:hint="default" w:ascii="Times New Roman" w:hAnsi="Times New Roman" w:cs="Times New Roman"/>
          <w:color w:val="auto"/>
          <w:sz w:val="24"/>
          <w:szCs w:val="24"/>
          <w:highlight w:val="none"/>
        </w:rPr>
        <w:t>中的条款、规范、表示、条件和格式等所有内容，按</w:t>
      </w:r>
      <w:r>
        <w:rPr>
          <w:rFonts w:hint="default" w:ascii="Times New Roman" w:hAnsi="Times New Roman" w:cs="Times New Roman"/>
          <w:color w:val="auto"/>
          <w:sz w:val="24"/>
          <w:szCs w:val="24"/>
          <w:highlight w:val="none"/>
          <w:lang w:eastAsia="zh-CN"/>
        </w:rPr>
        <w:t>公开招标文件</w:t>
      </w:r>
      <w:r>
        <w:rPr>
          <w:rFonts w:hint="default" w:ascii="Times New Roman" w:hAnsi="Times New Roman" w:cs="Times New Roman"/>
          <w:color w:val="auto"/>
          <w:sz w:val="24"/>
          <w:szCs w:val="24"/>
          <w:highlight w:val="none"/>
        </w:rPr>
        <w:t>的要求份数提供</w:t>
      </w:r>
      <w:r>
        <w:rPr>
          <w:rFonts w:hint="default" w:ascii="Times New Roman" w:hAnsi="Times New Roman" w:cs="Times New Roman"/>
          <w:color w:val="auto"/>
          <w:sz w:val="24"/>
          <w:szCs w:val="24"/>
          <w:highlight w:val="none"/>
          <w:lang w:eastAsia="zh-CN"/>
        </w:rPr>
        <w:t>投标文件</w:t>
      </w:r>
      <w:r>
        <w:rPr>
          <w:rFonts w:hint="default" w:ascii="Times New Roman" w:hAnsi="Times New Roman" w:cs="Times New Roman"/>
          <w:color w:val="auto"/>
          <w:sz w:val="24"/>
          <w:szCs w:val="24"/>
          <w:highlight w:val="none"/>
        </w:rPr>
        <w:t>，并保证所提供全部材料的真实性，使其投标对</w:t>
      </w:r>
      <w:r>
        <w:rPr>
          <w:rFonts w:hint="default" w:ascii="Times New Roman" w:hAnsi="Times New Roman" w:cs="Times New Roman"/>
          <w:color w:val="auto"/>
          <w:sz w:val="24"/>
          <w:szCs w:val="24"/>
          <w:highlight w:val="none"/>
          <w:lang w:eastAsia="zh-CN"/>
        </w:rPr>
        <w:t>公开招标文件</w:t>
      </w:r>
      <w:r>
        <w:rPr>
          <w:rFonts w:hint="default" w:ascii="Times New Roman" w:hAnsi="Times New Roman" w:cs="Times New Roman"/>
          <w:color w:val="auto"/>
          <w:sz w:val="24"/>
          <w:szCs w:val="24"/>
          <w:highlight w:val="none"/>
        </w:rPr>
        <w:t>做出实质性响应。否则，其投标视为无效。</w:t>
      </w:r>
    </w:p>
    <w:p w14:paraId="5DC018B1">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2.2</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允许</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对本</w:t>
      </w:r>
      <w:r>
        <w:rPr>
          <w:rFonts w:hint="default" w:ascii="Times New Roman" w:hAnsi="Times New Roman" w:cs="Times New Roman"/>
          <w:color w:val="auto"/>
          <w:sz w:val="24"/>
          <w:szCs w:val="24"/>
          <w:highlight w:val="none"/>
          <w:lang w:eastAsia="zh-CN"/>
        </w:rPr>
        <w:t>公开招标文件</w:t>
      </w:r>
      <w:r>
        <w:rPr>
          <w:rFonts w:hint="default" w:ascii="Times New Roman" w:hAnsi="Times New Roman" w:cs="Times New Roman"/>
          <w:color w:val="auto"/>
          <w:sz w:val="24"/>
          <w:szCs w:val="24"/>
          <w:highlight w:val="none"/>
        </w:rPr>
        <w:t>中的所有包投标，也可根据本企业生产或代理产品的情况对部分包进行投标，但不允许</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对某一包中的一项或部分项进行投标。</w:t>
      </w:r>
      <w:r>
        <w:rPr>
          <w:rFonts w:hint="default" w:ascii="Times New Roman" w:hAnsi="Times New Roman" w:cs="Times New Roman"/>
          <w:color w:val="auto"/>
          <w:sz w:val="24"/>
          <w:szCs w:val="24"/>
          <w:highlight w:val="none"/>
          <w:lang w:eastAsia="zh-CN"/>
        </w:rPr>
        <w:t>采购人</w:t>
      </w:r>
      <w:r>
        <w:rPr>
          <w:rFonts w:hint="default" w:ascii="Times New Roman" w:hAnsi="Times New Roman" w:cs="Times New Roman"/>
          <w:color w:val="auto"/>
          <w:sz w:val="24"/>
          <w:szCs w:val="24"/>
          <w:highlight w:val="none"/>
        </w:rPr>
        <w:t>可选择一家投标单位为所有包的</w:t>
      </w:r>
      <w:r>
        <w:rPr>
          <w:rFonts w:hint="default" w:ascii="Times New Roman" w:hAnsi="Times New Roman" w:cs="Times New Roman"/>
          <w:color w:val="auto"/>
          <w:sz w:val="24"/>
          <w:szCs w:val="24"/>
          <w:highlight w:val="none"/>
          <w:lang w:eastAsia="zh-CN"/>
        </w:rPr>
        <w:t>中标</w:t>
      </w:r>
      <w:r>
        <w:rPr>
          <w:rFonts w:hint="eastAsia" w:cs="Times New Roman"/>
          <w:color w:val="auto"/>
          <w:sz w:val="24"/>
          <w:szCs w:val="24"/>
          <w:highlight w:val="none"/>
          <w:lang w:eastAsia="zh-CN"/>
        </w:rPr>
        <w:t>供应商</w:t>
      </w:r>
      <w:r>
        <w:rPr>
          <w:rFonts w:hint="default" w:ascii="Times New Roman" w:hAnsi="Times New Roman" w:cs="Times New Roman"/>
          <w:color w:val="auto"/>
          <w:sz w:val="24"/>
          <w:szCs w:val="24"/>
          <w:highlight w:val="none"/>
        </w:rPr>
        <w:t>，也可选择若干个投标单位分别中标。</w:t>
      </w:r>
    </w:p>
    <w:p w14:paraId="5B4B886A">
      <w:pPr>
        <w:spacing w:line="440" w:lineRule="exact"/>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3.</w:t>
      </w:r>
      <w:r>
        <w:rPr>
          <w:rFonts w:hint="default" w:ascii="Times New Roman" w:hAnsi="Times New Roman" w:cs="Times New Roman"/>
          <w:b/>
          <w:color w:val="auto"/>
          <w:sz w:val="24"/>
          <w:szCs w:val="24"/>
          <w:highlight w:val="none"/>
          <w:lang w:eastAsia="zh-CN"/>
        </w:rPr>
        <w:t>投标文件</w:t>
      </w:r>
      <w:r>
        <w:rPr>
          <w:rFonts w:hint="default" w:ascii="Times New Roman" w:hAnsi="Times New Roman" w:cs="Times New Roman"/>
          <w:b/>
          <w:color w:val="auto"/>
          <w:sz w:val="24"/>
          <w:szCs w:val="24"/>
          <w:highlight w:val="none"/>
        </w:rPr>
        <w:t>语言和度量单位</w:t>
      </w:r>
    </w:p>
    <w:p w14:paraId="650DE1EB">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3.1</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eastAsia="zh-CN"/>
        </w:rPr>
        <w:t>投标文件</w:t>
      </w:r>
      <w:r>
        <w:rPr>
          <w:rFonts w:hint="default" w:ascii="Times New Roman" w:hAnsi="Times New Roman" w:cs="Times New Roman"/>
          <w:color w:val="auto"/>
          <w:sz w:val="24"/>
          <w:szCs w:val="24"/>
          <w:highlight w:val="none"/>
        </w:rPr>
        <w:t>及</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和</w:t>
      </w:r>
      <w:r>
        <w:rPr>
          <w:rFonts w:hint="eastAsia" w:cs="Times New Roman"/>
          <w:color w:val="auto"/>
          <w:sz w:val="24"/>
          <w:szCs w:val="24"/>
          <w:highlight w:val="none"/>
          <w:lang w:eastAsia="zh-CN"/>
        </w:rPr>
        <w:t>采购人或者采购代理机构</w:t>
      </w:r>
      <w:r>
        <w:rPr>
          <w:rFonts w:hint="default" w:ascii="Times New Roman" w:hAnsi="Times New Roman" w:cs="Times New Roman"/>
          <w:color w:val="auto"/>
          <w:sz w:val="24"/>
          <w:szCs w:val="24"/>
          <w:highlight w:val="none"/>
        </w:rPr>
        <w:t>就招标、投标交换的文件和往来信件，须以中文书写。</w:t>
      </w:r>
    </w:p>
    <w:p w14:paraId="6724ACF6">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3.2</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除在</w:t>
      </w:r>
      <w:r>
        <w:rPr>
          <w:rFonts w:hint="default" w:ascii="Times New Roman" w:hAnsi="Times New Roman" w:cs="Times New Roman"/>
          <w:color w:val="auto"/>
          <w:sz w:val="24"/>
          <w:szCs w:val="24"/>
          <w:highlight w:val="none"/>
          <w:lang w:eastAsia="zh-CN"/>
        </w:rPr>
        <w:t>公开招标文件</w:t>
      </w:r>
      <w:r>
        <w:rPr>
          <w:rFonts w:hint="default" w:ascii="Times New Roman" w:hAnsi="Times New Roman" w:cs="Times New Roman"/>
          <w:color w:val="auto"/>
          <w:sz w:val="24"/>
          <w:szCs w:val="24"/>
          <w:highlight w:val="none"/>
        </w:rPr>
        <w:t>的技术规格中另有规定外，计量单位应使用中华人民共和国法定计量单位。</w:t>
      </w:r>
    </w:p>
    <w:p w14:paraId="0F3C294C">
      <w:pPr>
        <w:spacing w:line="440" w:lineRule="exact"/>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4.</w:t>
      </w:r>
      <w:r>
        <w:rPr>
          <w:rFonts w:hint="default" w:ascii="Times New Roman" w:hAnsi="Times New Roman" w:cs="Times New Roman"/>
          <w:b/>
          <w:color w:val="auto"/>
          <w:sz w:val="24"/>
          <w:szCs w:val="24"/>
          <w:highlight w:val="none"/>
          <w:lang w:eastAsia="zh-CN"/>
        </w:rPr>
        <w:t>投标文件</w:t>
      </w:r>
      <w:r>
        <w:rPr>
          <w:rFonts w:hint="default" w:ascii="Times New Roman" w:hAnsi="Times New Roman" w:cs="Times New Roman"/>
          <w:b/>
          <w:color w:val="auto"/>
          <w:sz w:val="24"/>
          <w:szCs w:val="24"/>
          <w:highlight w:val="none"/>
        </w:rPr>
        <w:t>的组成</w:t>
      </w:r>
    </w:p>
    <w:p w14:paraId="235FAF7E">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4.1　</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编写的</w:t>
      </w:r>
      <w:r>
        <w:rPr>
          <w:rFonts w:hint="default" w:ascii="Times New Roman" w:hAnsi="Times New Roman" w:cs="Times New Roman"/>
          <w:color w:val="auto"/>
          <w:sz w:val="24"/>
          <w:szCs w:val="24"/>
          <w:highlight w:val="none"/>
          <w:lang w:eastAsia="zh-CN"/>
        </w:rPr>
        <w:t>投标文件</w:t>
      </w:r>
      <w:r>
        <w:rPr>
          <w:rFonts w:hint="default" w:ascii="Times New Roman" w:hAnsi="Times New Roman" w:cs="Times New Roman"/>
          <w:color w:val="auto"/>
          <w:sz w:val="24"/>
          <w:szCs w:val="24"/>
          <w:highlight w:val="none"/>
        </w:rPr>
        <w:t>应包括但不限于下列内容：</w:t>
      </w:r>
    </w:p>
    <w:p w14:paraId="2709C63E">
      <w:pPr>
        <w:spacing w:line="440" w:lineRule="exact"/>
        <w:ind w:firstLine="1058" w:firstLineChars="441"/>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一、法人或者其他组织的营业执照副本复印件或自然人的身份证明复印件</w:t>
      </w:r>
    </w:p>
    <w:p w14:paraId="38FC98A9">
      <w:pPr>
        <w:spacing w:line="440" w:lineRule="exact"/>
        <w:ind w:firstLine="1058" w:firstLineChars="441"/>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二、</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代表身份证明</w:t>
      </w:r>
    </w:p>
    <w:p w14:paraId="35D811B4">
      <w:pPr>
        <w:spacing w:line="440" w:lineRule="exact"/>
        <w:ind w:firstLine="1058" w:firstLineChars="441"/>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1法定代表人身份证明复印件</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法定代表人参加投标</w:t>
      </w:r>
      <w:r>
        <w:rPr>
          <w:rFonts w:hint="default" w:ascii="Times New Roman" w:hAnsi="Times New Roman" w:cs="Times New Roman"/>
          <w:color w:val="auto"/>
          <w:sz w:val="24"/>
          <w:szCs w:val="24"/>
          <w:highlight w:val="none"/>
          <w:lang w:eastAsia="zh-CN"/>
        </w:rPr>
        <w:t>）</w:t>
      </w:r>
    </w:p>
    <w:p w14:paraId="47B168C0">
      <w:pPr>
        <w:spacing w:line="440" w:lineRule="exact"/>
        <w:ind w:firstLine="1058" w:firstLineChars="441"/>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2法定代表人授权委托书</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授权代表参加投标</w:t>
      </w:r>
      <w:r>
        <w:rPr>
          <w:rFonts w:hint="default" w:ascii="Times New Roman" w:hAnsi="Times New Roman" w:cs="Times New Roman"/>
          <w:color w:val="auto"/>
          <w:sz w:val="24"/>
          <w:szCs w:val="24"/>
          <w:highlight w:val="none"/>
          <w:lang w:eastAsia="zh-CN"/>
        </w:rPr>
        <w:t>）</w:t>
      </w:r>
    </w:p>
    <w:p w14:paraId="508086CD">
      <w:pPr>
        <w:spacing w:line="440" w:lineRule="exact"/>
        <w:ind w:firstLine="1058" w:firstLineChars="441"/>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三、提供符合政府采购政策的证明材料</w:t>
      </w:r>
    </w:p>
    <w:p w14:paraId="329D72E8">
      <w:pPr>
        <w:spacing w:line="440" w:lineRule="exact"/>
        <w:ind w:firstLine="1058" w:firstLineChars="441"/>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1中小企业声明函</w:t>
      </w:r>
    </w:p>
    <w:p w14:paraId="3183F6F3">
      <w:pPr>
        <w:spacing w:line="440" w:lineRule="exact"/>
        <w:ind w:firstLine="1058" w:firstLineChars="441"/>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2监狱企业证明文件</w:t>
      </w:r>
    </w:p>
    <w:p w14:paraId="11017671">
      <w:pPr>
        <w:spacing w:line="440" w:lineRule="exact"/>
        <w:ind w:firstLine="1058" w:firstLineChars="441"/>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3残疾人福利性单位声明函</w:t>
      </w:r>
    </w:p>
    <w:p w14:paraId="6CA5C703">
      <w:pPr>
        <w:spacing w:line="440" w:lineRule="exact"/>
        <w:ind w:firstLine="1058" w:firstLineChars="441"/>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4分包意向协议书</w:t>
      </w:r>
    </w:p>
    <w:p w14:paraId="2CF8B917">
      <w:pPr>
        <w:spacing w:line="440" w:lineRule="exact"/>
        <w:ind w:firstLine="1058" w:firstLineChars="441"/>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四、投标函</w:t>
      </w:r>
    </w:p>
    <w:p w14:paraId="172CBC89">
      <w:pPr>
        <w:spacing w:line="440" w:lineRule="exact"/>
        <w:ind w:firstLine="1058" w:firstLineChars="441"/>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五、反商业贿赂承诺书；</w:t>
      </w:r>
    </w:p>
    <w:p w14:paraId="7E61AE49">
      <w:pPr>
        <w:spacing w:line="440" w:lineRule="exact"/>
        <w:ind w:firstLine="1058" w:firstLineChars="441"/>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六、投标报价</w:t>
      </w:r>
    </w:p>
    <w:p w14:paraId="517ABC49">
      <w:pPr>
        <w:spacing w:line="440" w:lineRule="exact"/>
        <w:ind w:firstLine="1058" w:firstLineChars="441"/>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开标一览表</w:t>
      </w:r>
    </w:p>
    <w:p w14:paraId="5F724437">
      <w:pPr>
        <w:spacing w:line="440" w:lineRule="exact"/>
        <w:ind w:firstLine="1058" w:firstLineChars="441"/>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七、</w:t>
      </w:r>
      <w:r>
        <w:rPr>
          <w:rFonts w:hint="default" w:ascii="Times New Roman" w:hAnsi="Times New Roman" w:cs="Times New Roman"/>
          <w:color w:val="auto"/>
          <w:sz w:val="24"/>
          <w:szCs w:val="24"/>
          <w:highlight w:val="none"/>
          <w:lang w:eastAsia="zh-CN"/>
        </w:rPr>
        <w:t>采购需求</w:t>
      </w:r>
      <w:r>
        <w:rPr>
          <w:rFonts w:hint="default" w:ascii="Times New Roman" w:hAnsi="Times New Roman" w:cs="Times New Roman"/>
          <w:color w:val="auto"/>
          <w:sz w:val="24"/>
          <w:szCs w:val="24"/>
          <w:highlight w:val="none"/>
        </w:rPr>
        <w:t>偏离表</w:t>
      </w:r>
    </w:p>
    <w:p w14:paraId="0061ABF8">
      <w:pPr>
        <w:spacing w:line="440" w:lineRule="exact"/>
        <w:ind w:firstLine="1058" w:firstLineChars="441"/>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八</w:t>
      </w:r>
      <w:r>
        <w:rPr>
          <w:rFonts w:hint="default" w:ascii="Times New Roman" w:hAnsi="Times New Roman" w:cs="Times New Roman"/>
          <w:color w:val="auto"/>
          <w:sz w:val="24"/>
          <w:szCs w:val="24"/>
          <w:highlight w:val="none"/>
        </w:rPr>
        <w:t>、项目实施方案</w:t>
      </w:r>
    </w:p>
    <w:p w14:paraId="678182D8">
      <w:pPr>
        <w:spacing w:line="440" w:lineRule="exact"/>
        <w:ind w:firstLine="1058" w:firstLineChars="441"/>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九</w:t>
      </w:r>
      <w:r>
        <w:rPr>
          <w:rFonts w:hint="default" w:ascii="Times New Roman" w:hAnsi="Times New Roman" w:cs="Times New Roman"/>
          <w:color w:val="auto"/>
          <w:sz w:val="24"/>
          <w:szCs w:val="24"/>
          <w:highlight w:val="none"/>
        </w:rPr>
        <w:t>、业绩</w:t>
      </w:r>
    </w:p>
    <w:p w14:paraId="653CE2AB">
      <w:pPr>
        <w:spacing w:line="440" w:lineRule="exact"/>
        <w:ind w:firstLine="1058" w:firstLineChars="441"/>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十、资格审查文件</w:t>
      </w:r>
    </w:p>
    <w:p w14:paraId="336F2AB8">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4.2　在投标过程中，</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根据</w:t>
      </w:r>
      <w:r>
        <w:rPr>
          <w:rFonts w:hint="default" w:ascii="Times New Roman" w:hAnsi="Times New Roman" w:cs="Times New Roman"/>
          <w:color w:val="auto"/>
          <w:sz w:val="24"/>
          <w:szCs w:val="24"/>
          <w:highlight w:val="none"/>
          <w:lang w:eastAsia="zh-CN"/>
        </w:rPr>
        <w:t>评标委员会</w:t>
      </w:r>
      <w:r>
        <w:rPr>
          <w:rFonts w:hint="default" w:ascii="Times New Roman" w:hAnsi="Times New Roman" w:cs="Times New Roman"/>
          <w:color w:val="auto"/>
          <w:sz w:val="24"/>
          <w:szCs w:val="24"/>
          <w:highlight w:val="none"/>
        </w:rPr>
        <w:t>书面形式要求提供的澄清文件是</w:t>
      </w:r>
      <w:r>
        <w:rPr>
          <w:rFonts w:hint="default" w:ascii="Times New Roman" w:hAnsi="Times New Roman" w:cs="Times New Roman"/>
          <w:color w:val="auto"/>
          <w:sz w:val="24"/>
          <w:szCs w:val="24"/>
          <w:highlight w:val="none"/>
          <w:lang w:eastAsia="zh-CN"/>
        </w:rPr>
        <w:t>投标文件</w:t>
      </w:r>
      <w:r>
        <w:rPr>
          <w:rFonts w:hint="default" w:ascii="Times New Roman" w:hAnsi="Times New Roman" w:cs="Times New Roman"/>
          <w:color w:val="auto"/>
          <w:sz w:val="24"/>
          <w:szCs w:val="24"/>
          <w:highlight w:val="none"/>
        </w:rPr>
        <w:t>的有效组成部分。</w:t>
      </w:r>
    </w:p>
    <w:p w14:paraId="5577464F">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4.3　供应商无论中标与否，其</w:t>
      </w:r>
      <w:r>
        <w:rPr>
          <w:rFonts w:hint="default" w:ascii="Times New Roman" w:hAnsi="Times New Roman" w:cs="Times New Roman"/>
          <w:color w:val="auto"/>
          <w:sz w:val="24"/>
          <w:szCs w:val="24"/>
          <w:highlight w:val="none"/>
          <w:lang w:eastAsia="zh-CN"/>
        </w:rPr>
        <w:t>投标文件</w:t>
      </w:r>
      <w:r>
        <w:rPr>
          <w:rFonts w:hint="default" w:ascii="Times New Roman" w:hAnsi="Times New Roman" w:cs="Times New Roman"/>
          <w:color w:val="auto"/>
          <w:sz w:val="24"/>
          <w:szCs w:val="24"/>
          <w:highlight w:val="none"/>
        </w:rPr>
        <w:t>不予退还。</w:t>
      </w:r>
    </w:p>
    <w:p w14:paraId="6F03D066">
      <w:pPr>
        <w:spacing w:line="440" w:lineRule="exact"/>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5.</w:t>
      </w:r>
      <w:r>
        <w:rPr>
          <w:rFonts w:hint="default" w:ascii="Times New Roman" w:hAnsi="Times New Roman" w:cs="Times New Roman"/>
          <w:b/>
          <w:color w:val="auto"/>
          <w:sz w:val="24"/>
          <w:szCs w:val="24"/>
          <w:highlight w:val="none"/>
          <w:lang w:eastAsia="zh-CN"/>
        </w:rPr>
        <w:t>投标文件</w:t>
      </w:r>
      <w:r>
        <w:rPr>
          <w:rFonts w:hint="default" w:ascii="Times New Roman" w:hAnsi="Times New Roman" w:cs="Times New Roman"/>
          <w:b/>
          <w:color w:val="auto"/>
          <w:sz w:val="24"/>
          <w:szCs w:val="24"/>
          <w:highlight w:val="none"/>
        </w:rPr>
        <w:t>格式</w:t>
      </w:r>
    </w:p>
    <w:p w14:paraId="53542999">
      <w:pPr>
        <w:spacing w:line="440" w:lineRule="exact"/>
        <w:ind w:firstLine="480" w:firstLineChars="20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5.1</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pacing w:val="-6"/>
          <w:sz w:val="24"/>
          <w:szCs w:val="24"/>
          <w:highlight w:val="none"/>
          <w:lang w:eastAsia="zh-CN"/>
        </w:rPr>
        <w:t>投标文件</w:t>
      </w:r>
      <w:r>
        <w:rPr>
          <w:rFonts w:hint="default" w:ascii="Times New Roman" w:hAnsi="Times New Roman" w:cs="Times New Roman"/>
          <w:color w:val="auto"/>
          <w:kern w:val="0"/>
          <w:sz w:val="24"/>
          <w:szCs w:val="24"/>
          <w:highlight w:val="none"/>
        </w:rPr>
        <w:t>制作时，应按照</w:t>
      </w:r>
      <w:r>
        <w:rPr>
          <w:rFonts w:hint="default" w:ascii="Times New Roman" w:hAnsi="Times New Roman" w:cs="Times New Roman"/>
          <w:color w:val="auto"/>
          <w:kern w:val="0"/>
          <w:sz w:val="24"/>
          <w:szCs w:val="24"/>
          <w:highlight w:val="none"/>
          <w:lang w:eastAsia="zh-CN"/>
        </w:rPr>
        <w:t>公开招标文件</w:t>
      </w:r>
      <w:r>
        <w:rPr>
          <w:rFonts w:hint="default" w:ascii="Times New Roman" w:hAnsi="Times New Roman" w:cs="Times New Roman"/>
          <w:color w:val="auto"/>
          <w:kern w:val="0"/>
          <w:sz w:val="24"/>
          <w:szCs w:val="24"/>
          <w:highlight w:val="none"/>
        </w:rPr>
        <w:t>中明确的</w:t>
      </w:r>
      <w:r>
        <w:rPr>
          <w:rFonts w:hint="default" w:ascii="Times New Roman" w:hAnsi="Times New Roman" w:cs="Times New Roman"/>
          <w:color w:val="auto"/>
          <w:kern w:val="0"/>
          <w:sz w:val="24"/>
          <w:szCs w:val="24"/>
          <w:highlight w:val="none"/>
          <w:lang w:eastAsia="zh-CN"/>
        </w:rPr>
        <w:t>投标文件</w:t>
      </w:r>
      <w:r>
        <w:rPr>
          <w:rFonts w:hint="default" w:ascii="Times New Roman" w:hAnsi="Times New Roman" w:cs="Times New Roman"/>
          <w:color w:val="auto"/>
          <w:kern w:val="0"/>
          <w:sz w:val="24"/>
          <w:szCs w:val="24"/>
          <w:highlight w:val="none"/>
        </w:rPr>
        <w:t>目录和投标</w:t>
      </w:r>
      <w:r>
        <w:rPr>
          <w:rFonts w:hint="default" w:ascii="Times New Roman" w:hAnsi="Times New Roman" w:cs="Times New Roman"/>
          <w:color w:val="auto"/>
          <w:sz w:val="24"/>
          <w:szCs w:val="24"/>
          <w:highlight w:val="none"/>
        </w:rPr>
        <w:t>技术规格、参数及相关要求</w:t>
      </w:r>
      <w:r>
        <w:rPr>
          <w:rFonts w:hint="default" w:ascii="Times New Roman" w:hAnsi="Times New Roman" w:cs="Times New Roman"/>
          <w:color w:val="auto"/>
          <w:kern w:val="0"/>
          <w:sz w:val="24"/>
          <w:szCs w:val="24"/>
          <w:highlight w:val="none"/>
        </w:rPr>
        <w:t>格式进行编制，保证目录清晰、内容完整。</w:t>
      </w:r>
    </w:p>
    <w:p w14:paraId="31FC4F33">
      <w:pPr>
        <w:spacing w:line="440" w:lineRule="exact"/>
        <w:ind w:firstLine="480" w:firstLineChars="20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5.2</w:t>
      </w:r>
      <w:r>
        <w:rPr>
          <w:rFonts w:hint="eastAsia" w:cs="Times New Roman"/>
          <w:color w:val="auto"/>
          <w:kern w:val="0"/>
          <w:sz w:val="24"/>
          <w:szCs w:val="24"/>
          <w:highlight w:val="none"/>
          <w:lang w:val="en-US" w:eastAsia="zh-CN"/>
        </w:rPr>
        <w:t xml:space="preserve">  </w:t>
      </w:r>
      <w:r>
        <w:rPr>
          <w:rFonts w:hint="default" w:ascii="Times New Roman" w:hAnsi="Times New Roman" w:cs="Times New Roman"/>
          <w:color w:val="auto"/>
          <w:kern w:val="0"/>
          <w:sz w:val="24"/>
          <w:szCs w:val="24"/>
          <w:highlight w:val="none"/>
          <w:lang w:eastAsia="zh-CN"/>
        </w:rPr>
        <w:t>投标供应商</w:t>
      </w:r>
      <w:r>
        <w:rPr>
          <w:rFonts w:hint="default" w:ascii="Times New Roman" w:hAnsi="Times New Roman" w:cs="Times New Roman"/>
          <w:color w:val="auto"/>
          <w:kern w:val="0"/>
          <w:sz w:val="24"/>
          <w:szCs w:val="24"/>
          <w:highlight w:val="none"/>
        </w:rPr>
        <w:t>应按照投标须知前附表要求的份数编制</w:t>
      </w:r>
      <w:r>
        <w:rPr>
          <w:rFonts w:hint="default" w:ascii="Times New Roman" w:hAnsi="Times New Roman" w:cs="Times New Roman"/>
          <w:color w:val="auto"/>
          <w:kern w:val="0"/>
          <w:sz w:val="24"/>
          <w:szCs w:val="24"/>
          <w:highlight w:val="none"/>
          <w:lang w:eastAsia="zh-CN"/>
        </w:rPr>
        <w:t>投标文件</w:t>
      </w:r>
      <w:r>
        <w:rPr>
          <w:rFonts w:hint="default" w:ascii="Times New Roman" w:hAnsi="Times New Roman" w:cs="Times New Roman"/>
          <w:color w:val="auto"/>
          <w:kern w:val="0"/>
          <w:sz w:val="24"/>
          <w:szCs w:val="24"/>
          <w:highlight w:val="none"/>
        </w:rPr>
        <w:t>。</w:t>
      </w:r>
    </w:p>
    <w:p w14:paraId="095B40C9">
      <w:pPr>
        <w:spacing w:line="440" w:lineRule="exact"/>
        <w:ind w:firstLine="480" w:firstLineChars="20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5.3</w:t>
      </w:r>
      <w:r>
        <w:rPr>
          <w:rFonts w:hint="eastAsia" w:cs="Times New Roman"/>
          <w:color w:val="auto"/>
          <w:kern w:val="0"/>
          <w:sz w:val="24"/>
          <w:szCs w:val="24"/>
          <w:highlight w:val="none"/>
          <w:lang w:val="en-US" w:eastAsia="zh-CN"/>
        </w:rPr>
        <w:t xml:space="preserve">  </w:t>
      </w:r>
      <w:r>
        <w:rPr>
          <w:rFonts w:hint="default" w:ascii="Times New Roman" w:hAnsi="Times New Roman" w:cs="Times New Roman"/>
          <w:color w:val="auto"/>
          <w:kern w:val="0"/>
          <w:sz w:val="24"/>
          <w:szCs w:val="24"/>
          <w:highlight w:val="none"/>
        </w:rPr>
        <w:t>当副本和正本不一致时，以正本为准。</w:t>
      </w:r>
    </w:p>
    <w:p w14:paraId="50684A92">
      <w:pPr>
        <w:spacing w:line="440" w:lineRule="exact"/>
        <w:ind w:firstLine="480" w:firstLineChars="20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5.4</w:t>
      </w:r>
      <w:r>
        <w:rPr>
          <w:rFonts w:hint="eastAsia" w:cs="Times New Roman"/>
          <w:color w:val="auto"/>
          <w:kern w:val="0"/>
          <w:sz w:val="24"/>
          <w:szCs w:val="24"/>
          <w:highlight w:val="none"/>
          <w:lang w:val="en-US" w:eastAsia="zh-CN"/>
        </w:rPr>
        <w:t xml:space="preserve">  </w:t>
      </w:r>
      <w:r>
        <w:rPr>
          <w:rFonts w:hint="default" w:ascii="Times New Roman" w:hAnsi="Times New Roman" w:cs="Times New Roman"/>
          <w:color w:val="auto"/>
          <w:kern w:val="0"/>
          <w:sz w:val="24"/>
          <w:szCs w:val="24"/>
          <w:highlight w:val="none"/>
          <w:lang w:eastAsia="zh-CN"/>
        </w:rPr>
        <w:t>投标文件</w:t>
      </w:r>
      <w:r>
        <w:rPr>
          <w:rFonts w:hint="default" w:ascii="Times New Roman" w:hAnsi="Times New Roman" w:cs="Times New Roman"/>
          <w:color w:val="auto"/>
          <w:kern w:val="0"/>
          <w:sz w:val="24"/>
          <w:szCs w:val="24"/>
          <w:highlight w:val="none"/>
        </w:rPr>
        <w:t>具有法律效力</w:t>
      </w:r>
      <w:r>
        <w:rPr>
          <w:rFonts w:hint="default" w:ascii="Times New Roman" w:hAnsi="Times New Roman" w:cs="Times New Roman"/>
          <w:color w:val="auto"/>
          <w:kern w:val="0"/>
          <w:sz w:val="24"/>
          <w:szCs w:val="24"/>
          <w:highlight w:val="none"/>
          <w:lang w:eastAsia="zh-CN"/>
        </w:rPr>
        <w:t>，</w:t>
      </w:r>
      <w:r>
        <w:rPr>
          <w:rFonts w:hint="default" w:ascii="Times New Roman" w:hAnsi="Times New Roman" w:cs="Times New Roman"/>
          <w:color w:val="auto"/>
          <w:kern w:val="0"/>
          <w:sz w:val="24"/>
          <w:szCs w:val="24"/>
          <w:highlight w:val="none"/>
        </w:rPr>
        <w:t>与其他形式的</w:t>
      </w:r>
      <w:r>
        <w:rPr>
          <w:rFonts w:hint="default" w:ascii="Times New Roman" w:hAnsi="Times New Roman" w:cs="Times New Roman"/>
          <w:color w:val="auto"/>
          <w:kern w:val="0"/>
          <w:sz w:val="24"/>
          <w:szCs w:val="24"/>
          <w:highlight w:val="none"/>
          <w:lang w:eastAsia="zh-CN"/>
        </w:rPr>
        <w:t>投标文件</w:t>
      </w:r>
      <w:r>
        <w:rPr>
          <w:rFonts w:hint="default" w:ascii="Times New Roman" w:hAnsi="Times New Roman" w:cs="Times New Roman"/>
          <w:color w:val="auto"/>
          <w:kern w:val="0"/>
          <w:sz w:val="24"/>
          <w:szCs w:val="24"/>
          <w:highlight w:val="none"/>
        </w:rPr>
        <w:t>在内容和格式上等同，若</w:t>
      </w:r>
      <w:r>
        <w:rPr>
          <w:rFonts w:hint="default" w:ascii="Times New Roman" w:hAnsi="Times New Roman" w:cs="Times New Roman"/>
          <w:color w:val="auto"/>
          <w:kern w:val="0"/>
          <w:sz w:val="24"/>
          <w:szCs w:val="24"/>
          <w:highlight w:val="none"/>
          <w:lang w:eastAsia="zh-CN"/>
        </w:rPr>
        <w:t>投标文件</w:t>
      </w:r>
      <w:r>
        <w:rPr>
          <w:rFonts w:hint="default" w:ascii="Times New Roman" w:hAnsi="Times New Roman" w:cs="Times New Roman"/>
          <w:color w:val="auto"/>
          <w:kern w:val="0"/>
          <w:sz w:val="24"/>
          <w:szCs w:val="24"/>
          <w:highlight w:val="none"/>
        </w:rPr>
        <w:t>与</w:t>
      </w:r>
      <w:r>
        <w:rPr>
          <w:rFonts w:hint="default" w:ascii="Times New Roman" w:hAnsi="Times New Roman" w:cs="Times New Roman"/>
          <w:color w:val="auto"/>
          <w:kern w:val="0"/>
          <w:sz w:val="24"/>
          <w:szCs w:val="24"/>
          <w:highlight w:val="none"/>
          <w:lang w:eastAsia="zh-CN"/>
        </w:rPr>
        <w:t>公开招标文件</w:t>
      </w:r>
      <w:r>
        <w:rPr>
          <w:rFonts w:hint="default" w:ascii="Times New Roman" w:hAnsi="Times New Roman" w:cs="Times New Roman"/>
          <w:color w:val="auto"/>
          <w:kern w:val="0"/>
          <w:sz w:val="24"/>
          <w:szCs w:val="24"/>
          <w:highlight w:val="none"/>
        </w:rPr>
        <w:t>要求不一致，其内容影响成交结果时，责任由供应商自行承担。</w:t>
      </w:r>
    </w:p>
    <w:p w14:paraId="125A7CC3">
      <w:pPr>
        <w:spacing w:line="440" w:lineRule="exact"/>
        <w:ind w:firstLine="480" w:firstLineChars="200"/>
        <w:rPr>
          <w:rFonts w:hint="default" w:ascii="Times New Roman" w:hAnsi="Times New Roman" w:cs="Times New Roman"/>
          <w:b w:val="0"/>
          <w:bCs/>
          <w:color w:val="auto"/>
          <w:sz w:val="24"/>
          <w:szCs w:val="24"/>
          <w:highlight w:val="none"/>
          <w:lang w:eastAsia="zh-CN"/>
        </w:rPr>
      </w:pPr>
      <w:r>
        <w:rPr>
          <w:rFonts w:hint="default" w:ascii="Times New Roman" w:hAnsi="Times New Roman" w:cs="Times New Roman"/>
          <w:color w:val="auto"/>
          <w:kern w:val="0"/>
          <w:sz w:val="24"/>
          <w:szCs w:val="24"/>
          <w:highlight w:val="none"/>
        </w:rPr>
        <w:t>5.5</w:t>
      </w:r>
      <w:r>
        <w:rPr>
          <w:rFonts w:hint="eastAsia" w:cs="Times New Roman"/>
          <w:color w:val="auto"/>
          <w:kern w:val="0"/>
          <w:sz w:val="24"/>
          <w:szCs w:val="24"/>
          <w:highlight w:val="none"/>
          <w:lang w:val="en-US" w:eastAsia="zh-CN"/>
        </w:rPr>
        <w:t xml:space="preserve">  </w:t>
      </w:r>
      <w:r>
        <w:rPr>
          <w:rFonts w:hint="default" w:ascii="Times New Roman" w:hAnsi="Times New Roman" w:cs="Times New Roman"/>
          <w:color w:val="auto"/>
          <w:kern w:val="0"/>
          <w:sz w:val="24"/>
          <w:szCs w:val="24"/>
          <w:highlight w:val="none"/>
          <w:lang w:eastAsia="zh-CN"/>
        </w:rPr>
        <w:t>投标文件</w:t>
      </w:r>
      <w:r>
        <w:rPr>
          <w:rFonts w:hint="default" w:ascii="Times New Roman" w:hAnsi="Times New Roman" w:cs="Times New Roman"/>
          <w:color w:val="auto"/>
          <w:kern w:val="0"/>
          <w:sz w:val="24"/>
          <w:szCs w:val="24"/>
          <w:highlight w:val="none"/>
        </w:rPr>
        <w:t>应在规定区域加盖单位和法定代表人签章。</w:t>
      </w:r>
      <w:r>
        <w:rPr>
          <w:rFonts w:hint="default" w:ascii="Times New Roman" w:hAnsi="Times New Roman" w:cs="Times New Roman"/>
          <w:color w:val="auto"/>
          <w:kern w:val="0"/>
          <w:sz w:val="24"/>
          <w:szCs w:val="24"/>
          <w:highlight w:val="none"/>
          <w:lang w:eastAsia="zh-CN"/>
        </w:rPr>
        <w:t>投标文件</w:t>
      </w:r>
      <w:r>
        <w:rPr>
          <w:rFonts w:hint="default" w:ascii="Times New Roman" w:hAnsi="Times New Roman" w:cs="Times New Roman"/>
          <w:color w:val="auto"/>
          <w:kern w:val="0"/>
          <w:sz w:val="24"/>
          <w:szCs w:val="24"/>
          <w:highlight w:val="none"/>
        </w:rPr>
        <w:t>若无签章，</w:t>
      </w:r>
      <w:r>
        <w:rPr>
          <w:rFonts w:hint="default" w:ascii="Times New Roman" w:hAnsi="Times New Roman" w:cs="Times New Roman"/>
          <w:b w:val="0"/>
          <w:bCs/>
          <w:color w:val="auto"/>
          <w:sz w:val="24"/>
          <w:szCs w:val="24"/>
          <w:highlight w:val="none"/>
          <w:lang w:eastAsia="zh-CN"/>
        </w:rPr>
        <w:t>则视为无效文件。</w:t>
      </w:r>
    </w:p>
    <w:p w14:paraId="1FFE52F1">
      <w:pPr>
        <w:spacing w:line="440" w:lineRule="exact"/>
        <w:ind w:firstLine="480" w:firstLineChars="200"/>
        <w:rPr>
          <w:rFonts w:hint="default" w:ascii="Times New Roman" w:hAnsi="Times New Roman" w:cs="Times New Roman"/>
          <w:b w:val="0"/>
          <w:bCs/>
          <w:color w:val="auto"/>
          <w:sz w:val="24"/>
          <w:szCs w:val="24"/>
          <w:highlight w:val="none"/>
          <w:lang w:eastAsia="zh-CN"/>
        </w:rPr>
      </w:pPr>
      <w:r>
        <w:rPr>
          <w:rFonts w:hint="default" w:ascii="Times New Roman" w:hAnsi="Times New Roman" w:cs="Times New Roman"/>
          <w:b w:val="0"/>
          <w:bCs/>
          <w:color w:val="auto"/>
          <w:sz w:val="24"/>
          <w:szCs w:val="24"/>
          <w:highlight w:val="none"/>
          <w:lang w:eastAsia="zh-CN"/>
        </w:rPr>
        <w:t>5.6</w:t>
      </w:r>
      <w:r>
        <w:rPr>
          <w:rFonts w:hint="eastAsia" w:cs="Times New Roman"/>
          <w:b w:val="0"/>
          <w:bCs/>
          <w:color w:val="auto"/>
          <w:sz w:val="24"/>
          <w:szCs w:val="24"/>
          <w:highlight w:val="none"/>
          <w:lang w:val="en-US" w:eastAsia="zh-CN"/>
        </w:rPr>
        <w:t xml:space="preserve">  </w:t>
      </w:r>
      <w:r>
        <w:rPr>
          <w:rFonts w:hint="default" w:ascii="Times New Roman" w:hAnsi="Times New Roman" w:cs="Times New Roman"/>
          <w:b w:val="0"/>
          <w:bCs/>
          <w:color w:val="auto"/>
          <w:sz w:val="24"/>
          <w:szCs w:val="24"/>
          <w:highlight w:val="none"/>
          <w:lang w:eastAsia="zh-CN"/>
        </w:rPr>
        <w:t>投标供应商必须保证投标文件所提供的全部资料真实可靠，并接受采购单位对其中任何资料进一步核实的要求。</w:t>
      </w:r>
    </w:p>
    <w:p w14:paraId="62EDE5B6">
      <w:pPr>
        <w:spacing w:line="440" w:lineRule="exact"/>
        <w:ind w:firstLine="482" w:firstLineChars="200"/>
        <w:rPr>
          <w:rFonts w:hint="default" w:ascii="Times New Roman" w:hAnsi="Times New Roman" w:cs="Times New Roman"/>
          <w:b/>
          <w:bCs w:val="0"/>
          <w:color w:val="auto"/>
          <w:sz w:val="24"/>
          <w:szCs w:val="24"/>
          <w:highlight w:val="none"/>
          <w:lang w:eastAsia="zh-CN"/>
        </w:rPr>
      </w:pPr>
      <w:r>
        <w:rPr>
          <w:rFonts w:hint="default" w:ascii="Times New Roman" w:hAnsi="Times New Roman" w:cs="Times New Roman"/>
          <w:b/>
          <w:bCs w:val="0"/>
          <w:color w:val="auto"/>
          <w:sz w:val="24"/>
          <w:szCs w:val="24"/>
          <w:highlight w:val="none"/>
          <w:lang w:eastAsia="zh-CN"/>
        </w:rPr>
        <w:t>6.投标报价</w:t>
      </w:r>
    </w:p>
    <w:p w14:paraId="04EEE223">
      <w:pPr>
        <w:spacing w:line="440" w:lineRule="exact"/>
        <w:ind w:firstLine="480" w:firstLineChars="200"/>
        <w:rPr>
          <w:rFonts w:hint="default" w:ascii="Times New Roman" w:hAnsi="Times New Roman" w:cs="Times New Roman"/>
          <w:b w:val="0"/>
          <w:bCs/>
          <w:color w:val="auto"/>
          <w:sz w:val="24"/>
          <w:szCs w:val="24"/>
          <w:highlight w:val="none"/>
          <w:lang w:eastAsia="zh-CN"/>
        </w:rPr>
      </w:pPr>
      <w:r>
        <w:rPr>
          <w:rFonts w:hint="default" w:ascii="Times New Roman" w:hAnsi="Times New Roman" w:cs="Times New Roman"/>
          <w:b w:val="0"/>
          <w:bCs/>
          <w:color w:val="auto"/>
          <w:sz w:val="24"/>
          <w:szCs w:val="24"/>
          <w:highlight w:val="none"/>
          <w:lang w:eastAsia="zh-CN"/>
        </w:rPr>
        <w:t>6.1</w:t>
      </w:r>
      <w:r>
        <w:rPr>
          <w:rFonts w:hint="eastAsia" w:cs="Times New Roman"/>
          <w:b w:val="0"/>
          <w:bCs/>
          <w:color w:val="auto"/>
          <w:sz w:val="24"/>
          <w:szCs w:val="24"/>
          <w:highlight w:val="none"/>
          <w:lang w:val="en-US" w:eastAsia="zh-CN"/>
        </w:rPr>
        <w:t xml:space="preserve">  </w:t>
      </w:r>
      <w:r>
        <w:rPr>
          <w:rFonts w:hint="default" w:ascii="Times New Roman" w:hAnsi="Times New Roman" w:cs="Times New Roman"/>
          <w:b w:val="0"/>
          <w:bCs/>
          <w:color w:val="auto"/>
          <w:sz w:val="24"/>
          <w:szCs w:val="24"/>
          <w:highlight w:val="none"/>
          <w:lang w:eastAsia="zh-CN"/>
        </w:rPr>
        <w:t>投标</w:t>
      </w:r>
      <w:r>
        <w:rPr>
          <w:rFonts w:hint="eastAsia" w:cs="Times New Roman"/>
          <w:b w:val="0"/>
          <w:bCs/>
          <w:color w:val="auto"/>
          <w:sz w:val="24"/>
          <w:szCs w:val="24"/>
          <w:highlight w:val="none"/>
          <w:lang w:eastAsia="zh-CN"/>
        </w:rPr>
        <w:t>供应商</w:t>
      </w:r>
      <w:r>
        <w:rPr>
          <w:rFonts w:hint="default" w:ascii="Times New Roman" w:hAnsi="Times New Roman" w:cs="Times New Roman"/>
          <w:b w:val="0"/>
          <w:bCs/>
          <w:color w:val="auto"/>
          <w:sz w:val="24"/>
          <w:szCs w:val="24"/>
          <w:highlight w:val="none"/>
          <w:lang w:eastAsia="zh-CN"/>
        </w:rPr>
        <w:t>的报价均应以人民币进行报价。</w:t>
      </w:r>
    </w:p>
    <w:p w14:paraId="2D821B00">
      <w:pPr>
        <w:spacing w:line="440" w:lineRule="exact"/>
        <w:ind w:firstLine="480" w:firstLineChars="200"/>
        <w:rPr>
          <w:rFonts w:hint="default" w:ascii="Times New Roman" w:hAnsi="Times New Roman" w:cs="Times New Roman"/>
          <w:b w:val="0"/>
          <w:bCs/>
          <w:color w:val="auto"/>
          <w:sz w:val="24"/>
          <w:szCs w:val="24"/>
          <w:highlight w:val="none"/>
        </w:rPr>
      </w:pPr>
      <w:r>
        <w:rPr>
          <w:rFonts w:hint="default" w:ascii="Times New Roman" w:hAnsi="Times New Roman" w:cs="Times New Roman"/>
          <w:b w:val="0"/>
          <w:bCs/>
          <w:color w:val="auto"/>
          <w:sz w:val="24"/>
          <w:szCs w:val="24"/>
          <w:highlight w:val="none"/>
          <w:lang w:eastAsia="zh-CN"/>
        </w:rPr>
        <w:t>6</w:t>
      </w:r>
      <w:r>
        <w:rPr>
          <w:rFonts w:hint="default" w:ascii="Times New Roman" w:hAnsi="Times New Roman" w:cs="Times New Roman"/>
          <w:b w:val="0"/>
          <w:bCs/>
          <w:color w:val="auto"/>
          <w:sz w:val="24"/>
          <w:szCs w:val="24"/>
          <w:highlight w:val="none"/>
        </w:rPr>
        <w:t>.2</w:t>
      </w:r>
      <w:r>
        <w:rPr>
          <w:rFonts w:hint="eastAsia" w:cs="Times New Roman"/>
          <w:b w:val="0"/>
          <w:bCs/>
          <w:color w:val="auto"/>
          <w:sz w:val="24"/>
          <w:szCs w:val="24"/>
          <w:highlight w:val="none"/>
          <w:lang w:val="en-US" w:eastAsia="zh-CN"/>
        </w:rPr>
        <w:t xml:space="preserve">  </w:t>
      </w:r>
      <w:r>
        <w:rPr>
          <w:rFonts w:hint="default" w:ascii="Times New Roman" w:hAnsi="Times New Roman" w:cs="Times New Roman"/>
          <w:b w:val="0"/>
          <w:bCs/>
          <w:color w:val="auto"/>
          <w:sz w:val="24"/>
          <w:szCs w:val="24"/>
          <w:highlight w:val="none"/>
        </w:rPr>
        <w:t>投标</w:t>
      </w:r>
      <w:r>
        <w:rPr>
          <w:rFonts w:hint="eastAsia" w:cs="Times New Roman"/>
          <w:b w:val="0"/>
          <w:bCs/>
          <w:color w:val="auto"/>
          <w:sz w:val="24"/>
          <w:szCs w:val="24"/>
          <w:highlight w:val="none"/>
          <w:lang w:eastAsia="zh-CN"/>
        </w:rPr>
        <w:t>供应商</w:t>
      </w:r>
      <w:r>
        <w:rPr>
          <w:rFonts w:hint="default" w:ascii="Times New Roman" w:hAnsi="Times New Roman" w:cs="Times New Roman"/>
          <w:b w:val="0"/>
          <w:bCs/>
          <w:color w:val="auto"/>
          <w:sz w:val="24"/>
          <w:szCs w:val="24"/>
          <w:highlight w:val="none"/>
        </w:rPr>
        <w:t>应按照本招标文件规定的报价方式进行报价，投标报价中不得包含招标文件要求以外的内容，否则，在评标时不予核减。投标报价中也不得遗漏招标文件所要求的内容，否则其投标无效。</w:t>
      </w:r>
    </w:p>
    <w:p w14:paraId="55B6499D">
      <w:pPr>
        <w:spacing w:line="440" w:lineRule="exact"/>
        <w:ind w:firstLine="480" w:firstLineChars="200"/>
        <w:rPr>
          <w:rFonts w:hint="default" w:ascii="Times New Roman" w:hAnsi="Times New Roman" w:cs="Times New Roman"/>
          <w:b w:val="0"/>
          <w:bCs/>
          <w:color w:val="auto"/>
          <w:sz w:val="24"/>
          <w:szCs w:val="24"/>
          <w:highlight w:val="none"/>
        </w:rPr>
      </w:pPr>
      <w:r>
        <w:rPr>
          <w:rFonts w:hint="default" w:ascii="Times New Roman" w:hAnsi="Times New Roman" w:cs="Times New Roman"/>
          <w:b w:val="0"/>
          <w:bCs/>
          <w:color w:val="auto"/>
          <w:sz w:val="24"/>
          <w:szCs w:val="24"/>
          <w:highlight w:val="none"/>
          <w:lang w:eastAsia="zh-CN"/>
        </w:rPr>
        <w:t>6</w:t>
      </w:r>
      <w:r>
        <w:rPr>
          <w:rFonts w:hint="default" w:ascii="Times New Roman" w:hAnsi="Times New Roman" w:cs="Times New Roman"/>
          <w:b w:val="0"/>
          <w:bCs/>
          <w:color w:val="auto"/>
          <w:sz w:val="24"/>
          <w:szCs w:val="24"/>
          <w:highlight w:val="none"/>
        </w:rPr>
        <w:t>.3</w:t>
      </w:r>
      <w:r>
        <w:rPr>
          <w:rFonts w:hint="eastAsia" w:cs="Times New Roman"/>
          <w:b w:val="0"/>
          <w:bCs/>
          <w:color w:val="auto"/>
          <w:sz w:val="24"/>
          <w:szCs w:val="24"/>
          <w:highlight w:val="none"/>
          <w:lang w:val="en-US" w:eastAsia="zh-CN"/>
        </w:rPr>
        <w:t xml:space="preserve">  </w:t>
      </w:r>
      <w:r>
        <w:rPr>
          <w:rFonts w:hint="default" w:ascii="Times New Roman" w:hAnsi="Times New Roman" w:cs="Times New Roman"/>
          <w:b w:val="0"/>
          <w:bCs/>
          <w:color w:val="auto"/>
          <w:sz w:val="24"/>
          <w:szCs w:val="24"/>
          <w:highlight w:val="none"/>
        </w:rPr>
        <w:t>投标</w:t>
      </w:r>
      <w:r>
        <w:rPr>
          <w:rFonts w:hint="eastAsia" w:cs="Times New Roman"/>
          <w:b w:val="0"/>
          <w:bCs/>
          <w:color w:val="auto"/>
          <w:sz w:val="24"/>
          <w:szCs w:val="24"/>
          <w:highlight w:val="none"/>
          <w:lang w:eastAsia="zh-CN"/>
        </w:rPr>
        <w:t>供应商</w:t>
      </w:r>
      <w:r>
        <w:rPr>
          <w:rFonts w:hint="default" w:ascii="Times New Roman" w:hAnsi="Times New Roman" w:cs="Times New Roman"/>
          <w:b w:val="0"/>
          <w:bCs/>
          <w:color w:val="auto"/>
          <w:sz w:val="24"/>
          <w:szCs w:val="24"/>
          <w:highlight w:val="none"/>
        </w:rPr>
        <w:t>的报价应包括为完成本项目所发生的一切费用和税费，采购人将不再支付报价以外的任何费用。只要投报了一个确定数额的总价，无论分项价格是否全部填报了相应的金额或免费字样，报价应被视为已经包含了但并不限于本次招标全部采购需求所应提供的服务，以及伴随的货物和工程等的费用和所需缴纳的所有价格、税、费。在其他情况下，由于分项报价填报不完整、不清楚或存在其他任何失误，所导致的任何不利后果均应当由投标</w:t>
      </w:r>
      <w:r>
        <w:rPr>
          <w:rFonts w:hint="eastAsia" w:cs="Times New Roman"/>
          <w:b w:val="0"/>
          <w:bCs/>
          <w:color w:val="auto"/>
          <w:sz w:val="24"/>
          <w:szCs w:val="24"/>
          <w:highlight w:val="none"/>
          <w:lang w:eastAsia="zh-CN"/>
        </w:rPr>
        <w:t>供应商</w:t>
      </w:r>
      <w:r>
        <w:rPr>
          <w:rFonts w:hint="default" w:ascii="Times New Roman" w:hAnsi="Times New Roman" w:cs="Times New Roman"/>
          <w:b w:val="0"/>
          <w:bCs/>
          <w:color w:val="auto"/>
          <w:sz w:val="24"/>
          <w:szCs w:val="24"/>
          <w:highlight w:val="none"/>
        </w:rPr>
        <w:t>自行承担。</w:t>
      </w:r>
    </w:p>
    <w:p w14:paraId="7B13A975">
      <w:pPr>
        <w:spacing w:line="440" w:lineRule="exact"/>
        <w:ind w:firstLine="480" w:firstLineChars="200"/>
        <w:rPr>
          <w:rFonts w:hint="default" w:ascii="Times New Roman" w:hAnsi="Times New Roman" w:cs="Times New Roman"/>
          <w:b w:val="0"/>
          <w:bCs/>
          <w:color w:val="auto"/>
          <w:sz w:val="24"/>
          <w:szCs w:val="24"/>
          <w:highlight w:val="none"/>
        </w:rPr>
      </w:pPr>
      <w:r>
        <w:rPr>
          <w:rFonts w:hint="default" w:ascii="Times New Roman" w:hAnsi="Times New Roman" w:cs="Times New Roman"/>
          <w:b w:val="0"/>
          <w:bCs/>
          <w:color w:val="auto"/>
          <w:sz w:val="24"/>
          <w:szCs w:val="24"/>
          <w:highlight w:val="none"/>
          <w:lang w:eastAsia="zh-CN"/>
        </w:rPr>
        <w:t>6</w:t>
      </w:r>
      <w:r>
        <w:rPr>
          <w:rFonts w:hint="default" w:ascii="Times New Roman" w:hAnsi="Times New Roman" w:cs="Times New Roman"/>
          <w:b w:val="0"/>
          <w:bCs/>
          <w:color w:val="auto"/>
          <w:sz w:val="24"/>
          <w:szCs w:val="24"/>
          <w:highlight w:val="none"/>
        </w:rPr>
        <w:t>.4</w:t>
      </w:r>
      <w:r>
        <w:rPr>
          <w:rFonts w:hint="eastAsia" w:cs="Times New Roman"/>
          <w:b w:val="0"/>
          <w:bCs/>
          <w:color w:val="auto"/>
          <w:sz w:val="24"/>
          <w:szCs w:val="24"/>
          <w:highlight w:val="none"/>
          <w:lang w:val="en-US" w:eastAsia="zh-CN"/>
        </w:rPr>
        <w:t xml:space="preserve">  </w:t>
      </w:r>
      <w:r>
        <w:rPr>
          <w:rFonts w:hint="default" w:ascii="Times New Roman" w:hAnsi="Times New Roman" w:cs="Times New Roman"/>
          <w:b w:val="0"/>
          <w:bCs/>
          <w:color w:val="auto"/>
          <w:sz w:val="24"/>
          <w:szCs w:val="24"/>
          <w:highlight w:val="none"/>
        </w:rPr>
        <w:t>投标</w:t>
      </w:r>
      <w:r>
        <w:rPr>
          <w:rFonts w:hint="eastAsia" w:cs="Times New Roman"/>
          <w:b w:val="0"/>
          <w:bCs/>
          <w:color w:val="auto"/>
          <w:sz w:val="24"/>
          <w:szCs w:val="24"/>
          <w:highlight w:val="none"/>
          <w:lang w:eastAsia="zh-CN"/>
        </w:rPr>
        <w:t>供应商</w:t>
      </w:r>
      <w:r>
        <w:rPr>
          <w:rFonts w:hint="default" w:ascii="Times New Roman" w:hAnsi="Times New Roman" w:cs="Times New Roman"/>
          <w:b w:val="0"/>
          <w:bCs/>
          <w:color w:val="auto"/>
          <w:sz w:val="24"/>
          <w:szCs w:val="24"/>
          <w:highlight w:val="none"/>
        </w:rPr>
        <w:t>的报价应包括但不限于按照招标文件要求完成本项目的全部相关费用。</w:t>
      </w:r>
    </w:p>
    <w:p w14:paraId="764B4DFA">
      <w:pPr>
        <w:spacing w:line="440" w:lineRule="exact"/>
        <w:ind w:firstLine="480" w:firstLineChars="200"/>
        <w:rPr>
          <w:rFonts w:hint="default" w:ascii="Times New Roman" w:hAnsi="Times New Roman" w:cs="Times New Roman"/>
          <w:b w:val="0"/>
          <w:bCs/>
          <w:color w:val="auto"/>
          <w:sz w:val="24"/>
          <w:szCs w:val="24"/>
          <w:highlight w:val="none"/>
        </w:rPr>
      </w:pPr>
      <w:r>
        <w:rPr>
          <w:rFonts w:hint="default" w:ascii="Times New Roman" w:hAnsi="Times New Roman" w:cs="Times New Roman"/>
          <w:b w:val="0"/>
          <w:bCs/>
          <w:color w:val="auto"/>
          <w:sz w:val="24"/>
          <w:szCs w:val="24"/>
          <w:highlight w:val="none"/>
          <w:lang w:eastAsia="zh-CN"/>
        </w:rPr>
        <w:t>6</w:t>
      </w:r>
      <w:r>
        <w:rPr>
          <w:rFonts w:hint="default" w:ascii="Times New Roman" w:hAnsi="Times New Roman" w:cs="Times New Roman"/>
          <w:b w:val="0"/>
          <w:bCs/>
          <w:color w:val="auto"/>
          <w:sz w:val="24"/>
          <w:szCs w:val="24"/>
          <w:highlight w:val="none"/>
        </w:rPr>
        <w:t>.5</w:t>
      </w:r>
      <w:r>
        <w:rPr>
          <w:rFonts w:hint="eastAsia" w:cs="Times New Roman"/>
          <w:b w:val="0"/>
          <w:bCs/>
          <w:color w:val="auto"/>
          <w:sz w:val="24"/>
          <w:szCs w:val="24"/>
          <w:highlight w:val="none"/>
          <w:lang w:val="en-US" w:eastAsia="zh-CN"/>
        </w:rPr>
        <w:t xml:space="preserve">  </w:t>
      </w:r>
      <w:r>
        <w:rPr>
          <w:rFonts w:hint="default" w:ascii="Times New Roman" w:hAnsi="Times New Roman" w:cs="Times New Roman"/>
          <w:b w:val="0"/>
          <w:bCs/>
          <w:color w:val="auto"/>
          <w:sz w:val="24"/>
          <w:szCs w:val="24"/>
          <w:highlight w:val="none"/>
        </w:rPr>
        <w:t>投标</w:t>
      </w:r>
      <w:r>
        <w:rPr>
          <w:rFonts w:hint="eastAsia" w:cs="Times New Roman"/>
          <w:b w:val="0"/>
          <w:bCs/>
          <w:color w:val="auto"/>
          <w:sz w:val="24"/>
          <w:szCs w:val="24"/>
          <w:highlight w:val="none"/>
          <w:lang w:eastAsia="zh-CN"/>
        </w:rPr>
        <w:t>供应商</w:t>
      </w:r>
      <w:r>
        <w:rPr>
          <w:rFonts w:hint="default" w:ascii="Times New Roman" w:hAnsi="Times New Roman" w:cs="Times New Roman"/>
          <w:b w:val="0"/>
          <w:bCs/>
          <w:color w:val="auto"/>
          <w:sz w:val="24"/>
          <w:szCs w:val="24"/>
          <w:highlight w:val="none"/>
        </w:rPr>
        <w:t>须严格按照</w:t>
      </w:r>
      <w:r>
        <w:rPr>
          <w:rFonts w:hint="default" w:ascii="Times New Roman" w:hAnsi="Times New Roman" w:cs="Times New Roman"/>
          <w:b w:val="0"/>
          <w:bCs/>
          <w:color w:val="auto"/>
          <w:sz w:val="24"/>
          <w:szCs w:val="24"/>
          <w:highlight w:val="none"/>
          <w:lang w:eastAsia="zh-CN"/>
        </w:rPr>
        <w:t>开标一览表</w:t>
      </w:r>
      <w:r>
        <w:rPr>
          <w:rFonts w:hint="default" w:ascii="Times New Roman" w:hAnsi="Times New Roman" w:cs="Times New Roman"/>
          <w:b w:val="0"/>
          <w:bCs/>
          <w:color w:val="auto"/>
          <w:sz w:val="24"/>
          <w:szCs w:val="24"/>
          <w:highlight w:val="none"/>
        </w:rPr>
        <w:t>规定的内容填写服务单价以及其他事项。投标</w:t>
      </w:r>
      <w:r>
        <w:rPr>
          <w:rFonts w:hint="eastAsia" w:cs="Times New Roman"/>
          <w:b w:val="0"/>
          <w:bCs/>
          <w:color w:val="auto"/>
          <w:sz w:val="24"/>
          <w:szCs w:val="24"/>
          <w:highlight w:val="none"/>
          <w:lang w:eastAsia="zh-CN"/>
        </w:rPr>
        <w:t>供应商</w:t>
      </w:r>
      <w:r>
        <w:rPr>
          <w:rFonts w:hint="default" w:ascii="Times New Roman" w:hAnsi="Times New Roman" w:cs="Times New Roman"/>
          <w:b w:val="0"/>
          <w:bCs/>
          <w:color w:val="auto"/>
          <w:sz w:val="24"/>
          <w:szCs w:val="24"/>
          <w:highlight w:val="none"/>
        </w:rPr>
        <w:t>应根据本招标文件的规定和要求、市场价格水平及其走势、投标</w:t>
      </w:r>
      <w:r>
        <w:rPr>
          <w:rFonts w:hint="eastAsia" w:cs="Times New Roman"/>
          <w:b w:val="0"/>
          <w:bCs/>
          <w:color w:val="auto"/>
          <w:sz w:val="24"/>
          <w:szCs w:val="24"/>
          <w:highlight w:val="none"/>
          <w:lang w:eastAsia="zh-CN"/>
        </w:rPr>
        <w:t>供应商</w:t>
      </w:r>
      <w:r>
        <w:rPr>
          <w:rFonts w:hint="default" w:ascii="Times New Roman" w:hAnsi="Times New Roman" w:cs="Times New Roman"/>
          <w:b w:val="0"/>
          <w:bCs/>
          <w:color w:val="auto"/>
          <w:sz w:val="24"/>
          <w:szCs w:val="24"/>
          <w:highlight w:val="none"/>
        </w:rPr>
        <w:t>的管理水平、投标</w:t>
      </w:r>
      <w:r>
        <w:rPr>
          <w:rFonts w:hint="eastAsia" w:cs="Times New Roman"/>
          <w:b w:val="0"/>
          <w:bCs/>
          <w:color w:val="auto"/>
          <w:sz w:val="24"/>
          <w:szCs w:val="24"/>
          <w:highlight w:val="none"/>
          <w:lang w:eastAsia="zh-CN"/>
        </w:rPr>
        <w:t>供应商</w:t>
      </w:r>
      <w:r>
        <w:rPr>
          <w:rFonts w:hint="default" w:ascii="Times New Roman" w:hAnsi="Times New Roman" w:cs="Times New Roman"/>
          <w:b w:val="0"/>
          <w:bCs/>
          <w:color w:val="auto"/>
          <w:sz w:val="24"/>
          <w:szCs w:val="24"/>
          <w:highlight w:val="none"/>
        </w:rPr>
        <w:t>的方案和由这些因素决定的投标</w:t>
      </w:r>
      <w:r>
        <w:rPr>
          <w:rFonts w:hint="eastAsia" w:cs="Times New Roman"/>
          <w:b w:val="0"/>
          <w:bCs/>
          <w:color w:val="auto"/>
          <w:sz w:val="24"/>
          <w:szCs w:val="24"/>
          <w:highlight w:val="none"/>
          <w:lang w:eastAsia="zh-CN"/>
        </w:rPr>
        <w:t>供应商</w:t>
      </w:r>
      <w:r>
        <w:rPr>
          <w:rFonts w:hint="default" w:ascii="Times New Roman" w:hAnsi="Times New Roman" w:cs="Times New Roman"/>
          <w:b w:val="0"/>
          <w:bCs/>
          <w:color w:val="auto"/>
          <w:sz w:val="24"/>
          <w:szCs w:val="24"/>
          <w:highlight w:val="none"/>
        </w:rPr>
        <w:t>之于本项目的成本水平等提出自己的报价。报价应合理，并包含完成本招标文件采购需求全部内容的所有费用，所有根据本招标文件或</w:t>
      </w:r>
      <w:r>
        <w:rPr>
          <w:rFonts w:hint="default" w:ascii="Times New Roman" w:hAnsi="Times New Roman" w:cs="Times New Roman"/>
          <w:b w:val="0"/>
          <w:bCs/>
          <w:color w:val="auto"/>
          <w:sz w:val="24"/>
          <w:szCs w:val="24"/>
          <w:highlight w:val="none"/>
          <w:lang w:eastAsia="zh-CN"/>
        </w:rPr>
        <w:t>其他</w:t>
      </w:r>
      <w:r>
        <w:rPr>
          <w:rFonts w:hint="default" w:ascii="Times New Roman" w:hAnsi="Times New Roman" w:cs="Times New Roman"/>
          <w:b w:val="0"/>
          <w:bCs/>
          <w:color w:val="auto"/>
          <w:sz w:val="24"/>
          <w:szCs w:val="24"/>
          <w:highlight w:val="none"/>
        </w:rPr>
        <w:t>原因应由投标</w:t>
      </w:r>
      <w:r>
        <w:rPr>
          <w:rFonts w:hint="eastAsia" w:cs="Times New Roman"/>
          <w:b w:val="0"/>
          <w:bCs/>
          <w:color w:val="auto"/>
          <w:sz w:val="24"/>
          <w:szCs w:val="24"/>
          <w:highlight w:val="none"/>
          <w:lang w:eastAsia="zh-CN"/>
        </w:rPr>
        <w:t>供应商</w:t>
      </w:r>
      <w:r>
        <w:rPr>
          <w:rFonts w:hint="default" w:ascii="Times New Roman" w:hAnsi="Times New Roman" w:cs="Times New Roman"/>
          <w:b w:val="0"/>
          <w:bCs/>
          <w:color w:val="auto"/>
          <w:sz w:val="24"/>
          <w:szCs w:val="24"/>
          <w:highlight w:val="none"/>
        </w:rPr>
        <w:t>支付的税款和其他应交纳的费用都应包括在投标</w:t>
      </w:r>
      <w:r>
        <w:rPr>
          <w:rFonts w:hint="eastAsia" w:cs="Times New Roman"/>
          <w:b w:val="0"/>
          <w:bCs/>
          <w:color w:val="auto"/>
          <w:sz w:val="24"/>
          <w:szCs w:val="24"/>
          <w:highlight w:val="none"/>
          <w:lang w:eastAsia="zh-CN"/>
        </w:rPr>
        <w:t>供应商</w:t>
      </w:r>
      <w:r>
        <w:rPr>
          <w:rFonts w:hint="default" w:ascii="Times New Roman" w:hAnsi="Times New Roman" w:cs="Times New Roman"/>
          <w:b w:val="0"/>
          <w:bCs/>
          <w:color w:val="auto"/>
          <w:sz w:val="24"/>
          <w:szCs w:val="24"/>
          <w:highlight w:val="none"/>
        </w:rPr>
        <w:t>提交的投标报价中。</w:t>
      </w:r>
    </w:p>
    <w:p w14:paraId="27B888A9">
      <w:pPr>
        <w:spacing w:line="440" w:lineRule="exact"/>
        <w:ind w:firstLine="480" w:firstLineChars="200"/>
        <w:rPr>
          <w:rFonts w:hint="default" w:ascii="Times New Roman" w:hAnsi="Times New Roman" w:cs="Times New Roman"/>
          <w:b w:val="0"/>
          <w:bCs/>
          <w:color w:val="auto"/>
          <w:sz w:val="24"/>
          <w:szCs w:val="24"/>
          <w:highlight w:val="none"/>
        </w:rPr>
      </w:pPr>
      <w:r>
        <w:rPr>
          <w:rFonts w:hint="default" w:ascii="Times New Roman" w:hAnsi="Times New Roman" w:cs="Times New Roman"/>
          <w:b w:val="0"/>
          <w:bCs/>
          <w:color w:val="auto"/>
          <w:sz w:val="24"/>
          <w:szCs w:val="24"/>
          <w:highlight w:val="none"/>
          <w:lang w:eastAsia="zh-CN"/>
        </w:rPr>
        <w:t>6</w:t>
      </w:r>
      <w:r>
        <w:rPr>
          <w:rFonts w:hint="default" w:ascii="Times New Roman" w:hAnsi="Times New Roman" w:cs="Times New Roman"/>
          <w:b w:val="0"/>
          <w:bCs/>
          <w:color w:val="auto"/>
          <w:sz w:val="24"/>
          <w:szCs w:val="24"/>
          <w:highlight w:val="none"/>
        </w:rPr>
        <w:t>.6</w:t>
      </w:r>
      <w:r>
        <w:rPr>
          <w:rFonts w:hint="eastAsia" w:cs="Times New Roman"/>
          <w:b w:val="0"/>
          <w:bCs/>
          <w:color w:val="auto"/>
          <w:sz w:val="24"/>
          <w:szCs w:val="24"/>
          <w:highlight w:val="none"/>
          <w:lang w:val="en-US" w:eastAsia="zh-CN"/>
        </w:rPr>
        <w:t xml:space="preserve">  </w:t>
      </w:r>
      <w:r>
        <w:rPr>
          <w:rFonts w:hint="default" w:ascii="Times New Roman" w:hAnsi="Times New Roman" w:cs="Times New Roman"/>
          <w:b w:val="0"/>
          <w:bCs/>
          <w:color w:val="auto"/>
          <w:sz w:val="24"/>
          <w:szCs w:val="24"/>
          <w:highlight w:val="none"/>
        </w:rPr>
        <w:t>投标</w:t>
      </w:r>
      <w:r>
        <w:rPr>
          <w:rFonts w:hint="eastAsia" w:cs="Times New Roman"/>
          <w:b w:val="0"/>
          <w:bCs/>
          <w:color w:val="auto"/>
          <w:sz w:val="24"/>
          <w:szCs w:val="24"/>
          <w:highlight w:val="none"/>
          <w:lang w:eastAsia="zh-CN"/>
        </w:rPr>
        <w:t>供应商</w:t>
      </w:r>
      <w:r>
        <w:rPr>
          <w:rFonts w:hint="default" w:ascii="Times New Roman" w:hAnsi="Times New Roman" w:cs="Times New Roman"/>
          <w:b w:val="0"/>
          <w:bCs/>
          <w:color w:val="auto"/>
          <w:sz w:val="24"/>
          <w:szCs w:val="24"/>
          <w:highlight w:val="none"/>
        </w:rPr>
        <w:t>在投标文件中注明免费的项目将视为包含在投标报价中。</w:t>
      </w:r>
    </w:p>
    <w:p w14:paraId="46E1C9CF">
      <w:pPr>
        <w:spacing w:line="440" w:lineRule="exact"/>
        <w:ind w:firstLine="480" w:firstLineChars="200"/>
        <w:rPr>
          <w:rFonts w:hint="default" w:ascii="Times New Roman" w:hAnsi="Times New Roman" w:cs="Times New Roman"/>
          <w:b w:val="0"/>
          <w:bCs/>
          <w:color w:val="auto"/>
          <w:sz w:val="24"/>
          <w:szCs w:val="24"/>
          <w:highlight w:val="none"/>
        </w:rPr>
      </w:pPr>
      <w:r>
        <w:rPr>
          <w:rFonts w:hint="default" w:ascii="Times New Roman" w:hAnsi="Times New Roman" w:cs="Times New Roman"/>
          <w:b w:val="0"/>
          <w:bCs/>
          <w:color w:val="auto"/>
          <w:sz w:val="24"/>
          <w:szCs w:val="24"/>
          <w:highlight w:val="none"/>
          <w:lang w:eastAsia="zh-CN"/>
        </w:rPr>
        <w:t>6</w:t>
      </w:r>
      <w:r>
        <w:rPr>
          <w:rFonts w:hint="default" w:ascii="Times New Roman" w:hAnsi="Times New Roman" w:cs="Times New Roman"/>
          <w:b w:val="0"/>
          <w:bCs/>
          <w:color w:val="auto"/>
          <w:sz w:val="24"/>
          <w:szCs w:val="24"/>
          <w:highlight w:val="none"/>
        </w:rPr>
        <w:t>.7</w:t>
      </w:r>
      <w:r>
        <w:rPr>
          <w:rFonts w:hint="eastAsia" w:cs="Times New Roman"/>
          <w:b w:val="0"/>
          <w:bCs/>
          <w:color w:val="auto"/>
          <w:sz w:val="24"/>
          <w:szCs w:val="24"/>
          <w:highlight w:val="none"/>
          <w:lang w:val="en-US" w:eastAsia="zh-CN"/>
        </w:rPr>
        <w:t xml:space="preserve">  </w:t>
      </w:r>
      <w:r>
        <w:rPr>
          <w:rFonts w:hint="default" w:ascii="Times New Roman" w:hAnsi="Times New Roman" w:cs="Times New Roman"/>
          <w:b w:val="0"/>
          <w:bCs/>
          <w:color w:val="auto"/>
          <w:sz w:val="24"/>
          <w:szCs w:val="24"/>
          <w:highlight w:val="none"/>
        </w:rPr>
        <w:t>每一种采购内容只允许有一个报价，否则其投标无效。除非招标文件另有规定，不接受可选择或可调整的投标方案和报价，任何有选择的或可调整的投标方案和报价将被视为非实质性响应招标文件</w:t>
      </w:r>
      <w:r>
        <w:rPr>
          <w:rFonts w:hint="default" w:ascii="Times New Roman" w:hAnsi="Times New Roman" w:cs="Times New Roman"/>
          <w:b w:val="0"/>
          <w:bCs/>
          <w:color w:val="auto"/>
          <w:sz w:val="24"/>
          <w:szCs w:val="24"/>
          <w:highlight w:val="none"/>
          <w:lang w:eastAsia="zh-CN"/>
        </w:rPr>
        <w:t>，</w:t>
      </w:r>
      <w:r>
        <w:rPr>
          <w:rFonts w:hint="default" w:ascii="Times New Roman" w:hAnsi="Times New Roman" w:cs="Times New Roman"/>
          <w:b w:val="0"/>
          <w:bCs/>
          <w:color w:val="auto"/>
          <w:sz w:val="24"/>
          <w:szCs w:val="24"/>
          <w:highlight w:val="none"/>
        </w:rPr>
        <w:t>其投标无效。</w:t>
      </w:r>
    </w:p>
    <w:p w14:paraId="37E3D922">
      <w:pPr>
        <w:spacing w:line="440" w:lineRule="exact"/>
        <w:ind w:firstLine="480" w:firstLineChars="200"/>
        <w:rPr>
          <w:rFonts w:hint="default" w:ascii="Times New Roman" w:hAnsi="Times New Roman" w:cs="Times New Roman"/>
          <w:b w:val="0"/>
          <w:bCs/>
          <w:color w:val="auto"/>
          <w:sz w:val="24"/>
          <w:szCs w:val="24"/>
          <w:highlight w:val="none"/>
        </w:rPr>
      </w:pPr>
      <w:r>
        <w:rPr>
          <w:rFonts w:hint="default" w:ascii="Times New Roman" w:hAnsi="Times New Roman" w:cs="Times New Roman"/>
          <w:b w:val="0"/>
          <w:bCs/>
          <w:color w:val="auto"/>
          <w:sz w:val="24"/>
          <w:szCs w:val="24"/>
          <w:highlight w:val="none"/>
          <w:lang w:eastAsia="zh-CN"/>
        </w:rPr>
        <w:t>6</w:t>
      </w:r>
      <w:r>
        <w:rPr>
          <w:rFonts w:hint="default" w:ascii="Times New Roman" w:hAnsi="Times New Roman" w:cs="Times New Roman"/>
          <w:b w:val="0"/>
          <w:bCs/>
          <w:color w:val="auto"/>
          <w:sz w:val="24"/>
          <w:szCs w:val="24"/>
          <w:highlight w:val="none"/>
        </w:rPr>
        <w:t>.8</w:t>
      </w:r>
      <w:r>
        <w:rPr>
          <w:rFonts w:hint="eastAsia" w:cs="Times New Roman"/>
          <w:b w:val="0"/>
          <w:bCs/>
          <w:color w:val="auto"/>
          <w:sz w:val="24"/>
          <w:szCs w:val="24"/>
          <w:highlight w:val="none"/>
          <w:lang w:val="en-US" w:eastAsia="zh-CN"/>
        </w:rPr>
        <w:t xml:space="preserve">  </w:t>
      </w:r>
      <w:r>
        <w:rPr>
          <w:rFonts w:hint="default" w:ascii="Times New Roman" w:hAnsi="Times New Roman" w:cs="Times New Roman"/>
          <w:b w:val="0"/>
          <w:bCs/>
          <w:color w:val="auto"/>
          <w:sz w:val="24"/>
          <w:szCs w:val="24"/>
          <w:highlight w:val="none"/>
        </w:rPr>
        <w:t>投标报价不得超过“第一章招标公告”中规定的最高投标限价或者预算金额，否则评标委员会将对其作无效投标处理。</w:t>
      </w:r>
    </w:p>
    <w:p w14:paraId="2A6BEB3E">
      <w:pPr>
        <w:spacing w:line="440" w:lineRule="exact"/>
        <w:ind w:firstLine="480" w:firstLineChars="200"/>
        <w:rPr>
          <w:rFonts w:hint="default" w:ascii="Times New Roman" w:hAnsi="Times New Roman" w:cs="Times New Roman"/>
          <w:b w:val="0"/>
          <w:bCs/>
          <w:color w:val="auto"/>
          <w:sz w:val="24"/>
          <w:szCs w:val="24"/>
          <w:highlight w:val="none"/>
        </w:rPr>
      </w:pPr>
      <w:r>
        <w:rPr>
          <w:rFonts w:hint="default" w:ascii="Times New Roman" w:hAnsi="Times New Roman" w:cs="Times New Roman"/>
          <w:b w:val="0"/>
          <w:bCs/>
          <w:color w:val="auto"/>
          <w:sz w:val="24"/>
          <w:szCs w:val="24"/>
          <w:highlight w:val="none"/>
          <w:lang w:eastAsia="zh-CN"/>
        </w:rPr>
        <w:t>6</w:t>
      </w:r>
      <w:r>
        <w:rPr>
          <w:rFonts w:hint="default" w:ascii="Times New Roman" w:hAnsi="Times New Roman" w:cs="Times New Roman"/>
          <w:b w:val="0"/>
          <w:bCs/>
          <w:color w:val="auto"/>
          <w:sz w:val="24"/>
          <w:szCs w:val="24"/>
          <w:highlight w:val="none"/>
        </w:rPr>
        <w:t>.9</w:t>
      </w:r>
      <w:r>
        <w:rPr>
          <w:rFonts w:hint="eastAsia" w:cs="Times New Roman"/>
          <w:b w:val="0"/>
          <w:bCs/>
          <w:color w:val="auto"/>
          <w:sz w:val="24"/>
          <w:szCs w:val="24"/>
          <w:highlight w:val="none"/>
          <w:lang w:val="en-US" w:eastAsia="zh-CN"/>
        </w:rPr>
        <w:t xml:space="preserve">  </w:t>
      </w:r>
      <w:r>
        <w:rPr>
          <w:rFonts w:hint="default" w:ascii="Times New Roman" w:hAnsi="Times New Roman" w:cs="Times New Roman"/>
          <w:b w:val="0"/>
          <w:bCs/>
          <w:color w:val="auto"/>
          <w:sz w:val="24"/>
          <w:szCs w:val="24"/>
          <w:highlight w:val="none"/>
        </w:rPr>
        <w:t>投标</w:t>
      </w:r>
      <w:r>
        <w:rPr>
          <w:rFonts w:hint="eastAsia" w:cs="Times New Roman"/>
          <w:b w:val="0"/>
          <w:bCs/>
          <w:color w:val="auto"/>
          <w:sz w:val="24"/>
          <w:szCs w:val="24"/>
          <w:highlight w:val="none"/>
          <w:lang w:eastAsia="zh-CN"/>
        </w:rPr>
        <w:t>供应商</w:t>
      </w:r>
      <w:r>
        <w:rPr>
          <w:rFonts w:hint="default" w:ascii="Times New Roman" w:hAnsi="Times New Roman" w:cs="Times New Roman"/>
          <w:b w:val="0"/>
          <w:bCs/>
          <w:color w:val="auto"/>
          <w:sz w:val="24"/>
          <w:szCs w:val="24"/>
          <w:highlight w:val="none"/>
        </w:rPr>
        <w:t>对投标报价若有说明应在投标文件中显著处注明。</w:t>
      </w:r>
    </w:p>
    <w:p w14:paraId="67112A52">
      <w:pPr>
        <w:spacing w:line="440" w:lineRule="exact"/>
        <w:ind w:firstLine="480" w:firstLineChars="200"/>
        <w:rPr>
          <w:rFonts w:hint="default" w:ascii="Times New Roman" w:hAnsi="Times New Roman" w:cs="Times New Roman"/>
          <w:b w:val="0"/>
          <w:bCs/>
          <w:color w:val="auto"/>
          <w:sz w:val="24"/>
          <w:szCs w:val="24"/>
          <w:highlight w:val="none"/>
        </w:rPr>
      </w:pPr>
      <w:r>
        <w:rPr>
          <w:rFonts w:hint="default" w:ascii="Times New Roman" w:hAnsi="Times New Roman" w:cs="Times New Roman"/>
          <w:b w:val="0"/>
          <w:bCs/>
          <w:color w:val="auto"/>
          <w:sz w:val="24"/>
          <w:szCs w:val="24"/>
          <w:highlight w:val="none"/>
        </w:rPr>
        <w:t>除政策性文件规定以外，投标</w:t>
      </w:r>
      <w:r>
        <w:rPr>
          <w:rFonts w:hint="eastAsia" w:cs="Times New Roman"/>
          <w:b w:val="0"/>
          <w:bCs/>
          <w:color w:val="auto"/>
          <w:sz w:val="24"/>
          <w:szCs w:val="24"/>
          <w:highlight w:val="none"/>
          <w:lang w:eastAsia="zh-CN"/>
        </w:rPr>
        <w:t>供应商</w:t>
      </w:r>
      <w:r>
        <w:rPr>
          <w:rFonts w:hint="default" w:ascii="Times New Roman" w:hAnsi="Times New Roman" w:cs="Times New Roman"/>
          <w:b w:val="0"/>
          <w:bCs/>
          <w:color w:val="auto"/>
          <w:sz w:val="24"/>
          <w:szCs w:val="24"/>
          <w:highlight w:val="none"/>
        </w:rPr>
        <w:t>所报价格在合同实施期间不因市场变化因素而变动。</w:t>
      </w:r>
    </w:p>
    <w:p w14:paraId="6855995D">
      <w:pPr>
        <w:spacing w:line="440" w:lineRule="exact"/>
        <w:ind w:firstLine="480" w:firstLineChars="200"/>
        <w:rPr>
          <w:rFonts w:hint="default" w:ascii="Times New Roman" w:hAnsi="Times New Roman" w:cs="Times New Roman"/>
          <w:b w:val="0"/>
          <w:bCs/>
          <w:color w:val="auto"/>
          <w:sz w:val="24"/>
          <w:szCs w:val="24"/>
          <w:highlight w:val="none"/>
        </w:rPr>
      </w:pPr>
      <w:r>
        <w:rPr>
          <w:rFonts w:hint="default" w:ascii="Times New Roman" w:hAnsi="Times New Roman" w:cs="Times New Roman"/>
          <w:b w:val="0"/>
          <w:bCs/>
          <w:color w:val="auto"/>
          <w:sz w:val="24"/>
          <w:szCs w:val="24"/>
          <w:highlight w:val="none"/>
          <w:lang w:eastAsia="zh-CN"/>
        </w:rPr>
        <w:t>6</w:t>
      </w:r>
      <w:r>
        <w:rPr>
          <w:rFonts w:hint="default" w:ascii="Times New Roman" w:hAnsi="Times New Roman" w:cs="Times New Roman"/>
          <w:b w:val="0"/>
          <w:bCs/>
          <w:color w:val="auto"/>
          <w:sz w:val="24"/>
          <w:szCs w:val="24"/>
          <w:highlight w:val="none"/>
        </w:rPr>
        <w:t>.10</w:t>
      </w:r>
      <w:r>
        <w:rPr>
          <w:rFonts w:hint="eastAsia" w:cs="Times New Roman"/>
          <w:b w:val="0"/>
          <w:bCs/>
          <w:color w:val="auto"/>
          <w:sz w:val="24"/>
          <w:szCs w:val="24"/>
          <w:highlight w:val="none"/>
          <w:lang w:val="en-US" w:eastAsia="zh-CN"/>
        </w:rPr>
        <w:t xml:space="preserve">  </w:t>
      </w:r>
      <w:r>
        <w:rPr>
          <w:rFonts w:hint="default" w:ascii="Times New Roman" w:hAnsi="Times New Roman" w:cs="Times New Roman"/>
          <w:b w:val="0"/>
          <w:bCs/>
          <w:color w:val="auto"/>
          <w:sz w:val="24"/>
          <w:szCs w:val="24"/>
          <w:highlight w:val="none"/>
        </w:rPr>
        <w:t>最低报价不能作为中标的保证。</w:t>
      </w:r>
    </w:p>
    <w:p w14:paraId="29F420B5">
      <w:pPr>
        <w:spacing w:line="440" w:lineRule="exact"/>
        <w:ind w:firstLine="480" w:firstLineChars="200"/>
        <w:rPr>
          <w:rFonts w:hint="default" w:ascii="Times New Roman" w:hAnsi="Times New Roman" w:cs="Times New Roman"/>
          <w:b w:val="0"/>
          <w:bCs/>
          <w:color w:val="auto"/>
          <w:sz w:val="24"/>
          <w:szCs w:val="24"/>
          <w:highlight w:val="none"/>
        </w:rPr>
      </w:pPr>
      <w:r>
        <w:rPr>
          <w:rFonts w:hint="default" w:ascii="Times New Roman" w:hAnsi="Times New Roman" w:cs="Times New Roman"/>
          <w:b w:val="0"/>
          <w:bCs/>
          <w:color w:val="auto"/>
          <w:sz w:val="24"/>
          <w:szCs w:val="24"/>
          <w:highlight w:val="none"/>
          <w:lang w:eastAsia="zh-CN"/>
        </w:rPr>
        <w:t>6</w:t>
      </w:r>
      <w:r>
        <w:rPr>
          <w:rFonts w:hint="default" w:ascii="Times New Roman" w:hAnsi="Times New Roman" w:cs="Times New Roman"/>
          <w:b w:val="0"/>
          <w:bCs/>
          <w:color w:val="auto"/>
          <w:sz w:val="24"/>
          <w:szCs w:val="24"/>
          <w:highlight w:val="none"/>
        </w:rPr>
        <w:t>.11</w:t>
      </w:r>
      <w:r>
        <w:rPr>
          <w:rFonts w:hint="eastAsia" w:cs="Times New Roman"/>
          <w:b w:val="0"/>
          <w:bCs/>
          <w:color w:val="auto"/>
          <w:sz w:val="24"/>
          <w:szCs w:val="24"/>
          <w:highlight w:val="none"/>
          <w:lang w:val="en-US" w:eastAsia="zh-CN"/>
        </w:rPr>
        <w:t xml:space="preserve">  </w:t>
      </w:r>
      <w:r>
        <w:rPr>
          <w:rFonts w:hint="default" w:ascii="Times New Roman" w:hAnsi="Times New Roman" w:cs="Times New Roman"/>
          <w:b w:val="0"/>
          <w:bCs/>
          <w:color w:val="auto"/>
          <w:sz w:val="24"/>
          <w:szCs w:val="24"/>
          <w:highlight w:val="none"/>
        </w:rPr>
        <w:t>采购人不得向投标</w:t>
      </w:r>
      <w:r>
        <w:rPr>
          <w:rFonts w:hint="eastAsia" w:cs="Times New Roman"/>
          <w:b w:val="0"/>
          <w:bCs/>
          <w:color w:val="auto"/>
          <w:sz w:val="24"/>
          <w:szCs w:val="24"/>
          <w:highlight w:val="none"/>
          <w:lang w:eastAsia="zh-CN"/>
        </w:rPr>
        <w:t>供应商</w:t>
      </w:r>
      <w:r>
        <w:rPr>
          <w:rFonts w:hint="default" w:ascii="Times New Roman" w:hAnsi="Times New Roman" w:cs="Times New Roman"/>
          <w:b w:val="0"/>
          <w:bCs/>
          <w:color w:val="auto"/>
          <w:sz w:val="24"/>
          <w:szCs w:val="24"/>
          <w:highlight w:val="none"/>
        </w:rPr>
        <w:t>索要或者接受其给予的赠品、回扣或者与采购无关的其他商品、服务。</w:t>
      </w:r>
    </w:p>
    <w:p w14:paraId="560EC33F">
      <w:pPr>
        <w:spacing w:line="440" w:lineRule="exact"/>
        <w:ind w:firstLine="482" w:firstLineChars="200"/>
        <w:rPr>
          <w:rFonts w:hint="default" w:ascii="Times New Roman" w:hAnsi="Times New Roman" w:eastAsia="宋体" w:cs="Times New Roman"/>
          <w:b/>
          <w:color w:val="auto"/>
          <w:sz w:val="24"/>
          <w:szCs w:val="24"/>
          <w:highlight w:val="none"/>
          <w:lang w:eastAsia="zh-CN"/>
        </w:rPr>
      </w:pPr>
      <w:r>
        <w:rPr>
          <w:rFonts w:hint="default" w:ascii="Times New Roman" w:hAnsi="Times New Roman" w:cs="Times New Roman"/>
          <w:b/>
          <w:color w:val="auto"/>
          <w:sz w:val="24"/>
          <w:szCs w:val="24"/>
          <w:highlight w:val="none"/>
        </w:rPr>
        <w:t>7.证明货物的合格性和符合</w:t>
      </w:r>
      <w:r>
        <w:rPr>
          <w:rFonts w:hint="default" w:ascii="Times New Roman" w:hAnsi="Times New Roman" w:cs="Times New Roman"/>
          <w:b/>
          <w:color w:val="auto"/>
          <w:sz w:val="24"/>
          <w:szCs w:val="24"/>
          <w:highlight w:val="none"/>
          <w:lang w:eastAsia="zh-CN"/>
        </w:rPr>
        <w:t>公开招标文件</w:t>
      </w:r>
      <w:r>
        <w:rPr>
          <w:rFonts w:hint="default" w:ascii="Times New Roman" w:hAnsi="Times New Roman" w:cs="Times New Roman"/>
          <w:b/>
          <w:color w:val="auto"/>
          <w:sz w:val="24"/>
          <w:szCs w:val="24"/>
          <w:highlight w:val="none"/>
        </w:rPr>
        <w:t>规定的文件</w:t>
      </w:r>
      <w:r>
        <w:rPr>
          <w:rFonts w:hint="default" w:ascii="Times New Roman" w:hAnsi="Times New Roman" w:cs="Times New Roman"/>
          <w:b/>
          <w:color w:val="auto"/>
          <w:sz w:val="24"/>
          <w:szCs w:val="24"/>
          <w:highlight w:val="none"/>
          <w:lang w:eastAsia="zh-CN"/>
        </w:rPr>
        <w:t>（</w:t>
      </w:r>
      <w:r>
        <w:rPr>
          <w:rFonts w:hint="default" w:ascii="Times New Roman" w:hAnsi="Times New Roman" w:cs="Times New Roman"/>
          <w:b/>
          <w:color w:val="auto"/>
          <w:sz w:val="24"/>
          <w:szCs w:val="24"/>
          <w:highlight w:val="none"/>
          <w:lang w:val="en-US" w:eastAsia="zh-CN"/>
        </w:rPr>
        <w:t>如适用</w:t>
      </w:r>
      <w:r>
        <w:rPr>
          <w:rFonts w:hint="default" w:ascii="Times New Roman" w:hAnsi="Times New Roman" w:cs="Times New Roman"/>
          <w:b/>
          <w:color w:val="auto"/>
          <w:sz w:val="24"/>
          <w:szCs w:val="24"/>
          <w:highlight w:val="none"/>
          <w:lang w:eastAsia="zh-CN"/>
        </w:rPr>
        <w:t>）</w:t>
      </w:r>
    </w:p>
    <w:p w14:paraId="16D9AE4B">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7.1</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应提交证明文件证明其拟投标的货物的合格性符合</w:t>
      </w:r>
      <w:r>
        <w:rPr>
          <w:rFonts w:hint="default" w:ascii="Times New Roman" w:hAnsi="Times New Roman" w:cs="Times New Roman"/>
          <w:color w:val="auto"/>
          <w:sz w:val="24"/>
          <w:szCs w:val="24"/>
          <w:highlight w:val="none"/>
          <w:lang w:eastAsia="zh-CN"/>
        </w:rPr>
        <w:t>公开招标文件</w:t>
      </w:r>
      <w:r>
        <w:rPr>
          <w:rFonts w:hint="default" w:ascii="Times New Roman" w:hAnsi="Times New Roman" w:cs="Times New Roman"/>
          <w:color w:val="auto"/>
          <w:sz w:val="24"/>
          <w:szCs w:val="24"/>
          <w:highlight w:val="none"/>
        </w:rPr>
        <w:t>规定。该证明文件作为</w:t>
      </w:r>
      <w:r>
        <w:rPr>
          <w:rFonts w:hint="default" w:ascii="Times New Roman" w:hAnsi="Times New Roman" w:cs="Times New Roman"/>
          <w:color w:val="auto"/>
          <w:sz w:val="24"/>
          <w:szCs w:val="24"/>
          <w:highlight w:val="none"/>
          <w:lang w:eastAsia="zh-CN"/>
        </w:rPr>
        <w:t>投标文件</w:t>
      </w:r>
      <w:r>
        <w:rPr>
          <w:rFonts w:hint="default" w:ascii="Times New Roman" w:hAnsi="Times New Roman" w:cs="Times New Roman"/>
          <w:color w:val="auto"/>
          <w:sz w:val="24"/>
          <w:szCs w:val="24"/>
          <w:highlight w:val="none"/>
        </w:rPr>
        <w:t>的一部分。</w:t>
      </w:r>
    </w:p>
    <w:p w14:paraId="6ACD36AE">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7.2</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的服务承诺应按不低于</w:t>
      </w:r>
      <w:r>
        <w:rPr>
          <w:rFonts w:hint="default" w:ascii="Times New Roman" w:hAnsi="Times New Roman" w:cs="Times New Roman"/>
          <w:color w:val="auto"/>
          <w:sz w:val="24"/>
          <w:szCs w:val="24"/>
          <w:highlight w:val="none"/>
          <w:lang w:eastAsia="zh-CN"/>
        </w:rPr>
        <w:t>公开招标文件</w:t>
      </w:r>
      <w:r>
        <w:rPr>
          <w:rFonts w:hint="default" w:ascii="Times New Roman" w:hAnsi="Times New Roman" w:cs="Times New Roman"/>
          <w:color w:val="auto"/>
          <w:sz w:val="24"/>
          <w:szCs w:val="24"/>
          <w:highlight w:val="none"/>
        </w:rPr>
        <w:t>中要求的服务标准做出响应。</w:t>
      </w:r>
    </w:p>
    <w:p w14:paraId="61D4B1F6">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7.3</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上述文件可以是文字资料、图纸和数据等，并提供：</w:t>
      </w:r>
    </w:p>
    <w:p w14:paraId="2AB371A0">
      <w:pPr>
        <w:spacing w:line="440" w:lineRule="exact"/>
        <w:ind w:firstLine="480" w:firstLineChars="200"/>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（1）货物主要技术及性能特点的详细描述；</w:t>
      </w:r>
    </w:p>
    <w:p w14:paraId="7A9025F3">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（2）货物主要部件的详细资料，包括检验报告等；</w:t>
      </w:r>
    </w:p>
    <w:p w14:paraId="3285DE05">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（3）一份在技术规格中规定的保证服务正常和连续运转期间所需要的所有备件和专业工具的详细清单包括供货来源信息。</w:t>
      </w:r>
    </w:p>
    <w:p w14:paraId="29EFC7F5">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7.4</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没有按要求提供资料或提供资料不完全的或仅仅复制</w:t>
      </w:r>
      <w:r>
        <w:rPr>
          <w:rFonts w:hint="default" w:ascii="Times New Roman" w:hAnsi="Times New Roman" w:cs="Times New Roman"/>
          <w:color w:val="auto"/>
          <w:sz w:val="24"/>
          <w:szCs w:val="24"/>
          <w:highlight w:val="none"/>
          <w:lang w:eastAsia="zh-CN"/>
        </w:rPr>
        <w:t>公开招标文件</w:t>
      </w:r>
      <w:r>
        <w:rPr>
          <w:rFonts w:hint="default" w:ascii="Times New Roman" w:hAnsi="Times New Roman" w:cs="Times New Roman"/>
          <w:color w:val="auto"/>
          <w:sz w:val="24"/>
          <w:szCs w:val="24"/>
          <w:highlight w:val="none"/>
        </w:rPr>
        <w:t>提供的技术参数并与实际提供设备参数不符，将被视为对</w:t>
      </w:r>
      <w:r>
        <w:rPr>
          <w:rFonts w:hint="default" w:ascii="Times New Roman" w:hAnsi="Times New Roman" w:cs="Times New Roman"/>
          <w:color w:val="auto"/>
          <w:sz w:val="24"/>
          <w:szCs w:val="24"/>
          <w:highlight w:val="none"/>
          <w:lang w:eastAsia="zh-CN"/>
        </w:rPr>
        <w:t>公开招标文件</w:t>
      </w:r>
      <w:r>
        <w:rPr>
          <w:rFonts w:hint="default" w:ascii="Times New Roman" w:hAnsi="Times New Roman" w:cs="Times New Roman"/>
          <w:color w:val="auto"/>
          <w:sz w:val="24"/>
          <w:szCs w:val="24"/>
          <w:highlight w:val="none"/>
        </w:rPr>
        <w:t>没有做出实质性响应，其风险由</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自行承担。</w:t>
      </w:r>
    </w:p>
    <w:p w14:paraId="243CFADF">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7.5</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提供的设备必须是正规厂家生产的高质量产品，不能提供劣质</w:t>
      </w:r>
      <w:r>
        <w:rPr>
          <w:rFonts w:hint="default" w:ascii="Times New Roman" w:hAnsi="Times New Roman" w:cs="Times New Roman"/>
          <w:color w:val="auto"/>
          <w:sz w:val="24"/>
          <w:szCs w:val="24"/>
          <w:highlight w:val="none"/>
          <w:lang w:eastAsia="zh-CN"/>
        </w:rPr>
        <w:t>“三无”产品</w:t>
      </w:r>
      <w:r>
        <w:rPr>
          <w:rFonts w:hint="default" w:ascii="Times New Roman" w:hAnsi="Times New Roman" w:cs="Times New Roman"/>
          <w:color w:val="auto"/>
          <w:sz w:val="24"/>
          <w:szCs w:val="24"/>
          <w:highlight w:val="none"/>
        </w:rPr>
        <w:t>（无厂址</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无商标</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无合格证）。</w:t>
      </w:r>
    </w:p>
    <w:p w14:paraId="7E0CE82D">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7.6</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产品资料和检测报告所反映的技术参数和性能指标将作为验收产品实物的依据。</w:t>
      </w:r>
    </w:p>
    <w:p w14:paraId="013B709C">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7.7</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对照</w:t>
      </w:r>
      <w:r>
        <w:rPr>
          <w:rFonts w:hint="default" w:ascii="Times New Roman" w:hAnsi="Times New Roman" w:cs="Times New Roman"/>
          <w:color w:val="auto"/>
          <w:sz w:val="24"/>
          <w:szCs w:val="24"/>
          <w:highlight w:val="none"/>
          <w:lang w:eastAsia="zh-CN"/>
        </w:rPr>
        <w:t>公开招标文件</w:t>
      </w:r>
      <w:r>
        <w:rPr>
          <w:rFonts w:hint="default" w:ascii="Times New Roman" w:hAnsi="Times New Roman" w:cs="Times New Roman"/>
          <w:color w:val="auto"/>
          <w:sz w:val="24"/>
          <w:szCs w:val="24"/>
          <w:highlight w:val="none"/>
        </w:rPr>
        <w:t>技术规格、参数与要求，逐条说明所提供货物和服务已对</w:t>
      </w:r>
      <w:r>
        <w:rPr>
          <w:rFonts w:hint="default" w:ascii="Times New Roman" w:hAnsi="Times New Roman" w:cs="Times New Roman"/>
          <w:color w:val="auto"/>
          <w:sz w:val="24"/>
          <w:szCs w:val="24"/>
          <w:highlight w:val="none"/>
          <w:lang w:eastAsia="zh-CN"/>
        </w:rPr>
        <w:t>公开招标文件</w:t>
      </w:r>
      <w:r>
        <w:rPr>
          <w:rFonts w:hint="default" w:ascii="Times New Roman" w:hAnsi="Times New Roman" w:cs="Times New Roman"/>
          <w:color w:val="auto"/>
          <w:sz w:val="24"/>
          <w:szCs w:val="24"/>
          <w:highlight w:val="none"/>
        </w:rPr>
        <w:t>的技术规格、参数与要求做出了实质性的响应，或申明与技术规格、参数与要求条文的偏差和例外。特别对于有具体参数要求的指标，</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必须提供所投设备的具体参数值。</w:t>
      </w:r>
    </w:p>
    <w:p w14:paraId="69109376">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w:t>
      </w:r>
      <w:r>
        <w:rPr>
          <w:rFonts w:hint="eastAsia" w:cs="Times New Roman"/>
          <w:color w:val="auto"/>
          <w:sz w:val="24"/>
          <w:szCs w:val="24"/>
          <w:highlight w:val="none"/>
          <w:lang w:val="en-US" w:eastAsia="zh-CN"/>
        </w:rPr>
        <w:t xml:space="preserve">8  </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在阐述上述时应注意</w:t>
      </w:r>
      <w:r>
        <w:rPr>
          <w:rFonts w:hint="default" w:ascii="Times New Roman" w:hAnsi="Times New Roman" w:cs="Times New Roman"/>
          <w:color w:val="auto"/>
          <w:sz w:val="24"/>
          <w:szCs w:val="24"/>
          <w:highlight w:val="none"/>
          <w:lang w:eastAsia="zh-CN"/>
        </w:rPr>
        <w:t>公开招标文件</w:t>
      </w:r>
      <w:r>
        <w:rPr>
          <w:rFonts w:hint="default" w:ascii="Times New Roman" w:hAnsi="Times New Roman" w:cs="Times New Roman"/>
          <w:color w:val="auto"/>
          <w:sz w:val="24"/>
          <w:szCs w:val="24"/>
          <w:highlight w:val="none"/>
        </w:rPr>
        <w:t>“货物技术规格、参数与要求”中指出的工艺、材料和设备的标准以及参照的牌号或分类号仅起说明作用，并没有任何限制性。</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在响应中可以选用替代标准、牌号或分类号，但这些替代要实质上相当于技术规格的要求，并且使采购方满意。</w:t>
      </w:r>
    </w:p>
    <w:p w14:paraId="7F6FFBF2">
      <w:pPr>
        <w:spacing w:line="440" w:lineRule="exact"/>
        <w:ind w:firstLine="482" w:firstLineChars="200"/>
        <w:rPr>
          <w:rFonts w:hint="default" w:ascii="Times New Roman" w:hAnsi="Times New Roman" w:eastAsia="宋体" w:cs="Times New Roman"/>
          <w:b/>
          <w:color w:val="auto"/>
          <w:sz w:val="24"/>
          <w:szCs w:val="24"/>
          <w:highlight w:val="none"/>
          <w:lang w:eastAsia="zh-CN"/>
        </w:rPr>
      </w:pPr>
      <w:r>
        <w:rPr>
          <w:rFonts w:hint="default" w:ascii="Times New Roman" w:hAnsi="Times New Roman" w:cs="Times New Roman"/>
          <w:b/>
          <w:color w:val="auto"/>
          <w:sz w:val="24"/>
          <w:szCs w:val="24"/>
          <w:highlight w:val="none"/>
        </w:rPr>
        <w:t>8.</w:t>
      </w:r>
      <w:r>
        <w:rPr>
          <w:rFonts w:hint="default" w:ascii="Times New Roman" w:hAnsi="Times New Roman" w:cs="Times New Roman"/>
          <w:b/>
          <w:color w:val="auto"/>
          <w:sz w:val="24"/>
          <w:szCs w:val="24"/>
          <w:highlight w:val="none"/>
          <w:lang w:eastAsia="zh-CN"/>
        </w:rPr>
        <w:t>投标有效期</w:t>
      </w:r>
    </w:p>
    <w:p w14:paraId="5D1FB207">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8.1　</w:t>
      </w:r>
      <w:r>
        <w:rPr>
          <w:rFonts w:hint="default" w:ascii="Times New Roman" w:hAnsi="Times New Roman" w:cs="Times New Roman"/>
          <w:color w:val="auto"/>
          <w:sz w:val="24"/>
          <w:szCs w:val="24"/>
          <w:highlight w:val="none"/>
          <w:lang w:eastAsia="zh-CN"/>
        </w:rPr>
        <w:t>投标有效期</w:t>
      </w:r>
      <w:r>
        <w:rPr>
          <w:rFonts w:hint="default" w:ascii="Times New Roman" w:hAnsi="Times New Roman" w:cs="Times New Roman"/>
          <w:color w:val="auto"/>
          <w:sz w:val="24"/>
          <w:szCs w:val="24"/>
          <w:highlight w:val="none"/>
        </w:rPr>
        <w:t>见</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须知前附表，在此期间</w:t>
      </w:r>
      <w:r>
        <w:rPr>
          <w:rFonts w:hint="default" w:ascii="Times New Roman" w:hAnsi="Times New Roman" w:cs="Times New Roman"/>
          <w:color w:val="auto"/>
          <w:sz w:val="24"/>
          <w:szCs w:val="24"/>
          <w:highlight w:val="none"/>
          <w:lang w:eastAsia="zh-CN"/>
        </w:rPr>
        <w:t>投标文件</w:t>
      </w:r>
      <w:r>
        <w:rPr>
          <w:rFonts w:hint="default" w:ascii="Times New Roman" w:hAnsi="Times New Roman" w:cs="Times New Roman"/>
          <w:color w:val="auto"/>
          <w:sz w:val="24"/>
          <w:szCs w:val="24"/>
          <w:highlight w:val="none"/>
        </w:rPr>
        <w:t>对</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具有法律约束力，以保证采购人有足够的时间完成评标、定标以及签订合同。</w:t>
      </w:r>
      <w:r>
        <w:rPr>
          <w:rFonts w:hint="default" w:ascii="Times New Roman" w:hAnsi="Times New Roman" w:cs="Times New Roman"/>
          <w:color w:val="auto"/>
          <w:sz w:val="24"/>
          <w:szCs w:val="24"/>
          <w:highlight w:val="none"/>
          <w:lang w:eastAsia="zh-CN"/>
        </w:rPr>
        <w:t>投标有效期</w:t>
      </w:r>
      <w:r>
        <w:rPr>
          <w:rFonts w:hint="default" w:ascii="Times New Roman" w:hAnsi="Times New Roman" w:cs="Times New Roman"/>
          <w:color w:val="auto"/>
          <w:sz w:val="24"/>
          <w:szCs w:val="24"/>
          <w:highlight w:val="none"/>
        </w:rPr>
        <w:t>从</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须知前附表规定的投标截止之日起计算。</w:t>
      </w:r>
      <w:r>
        <w:rPr>
          <w:rFonts w:hint="default" w:ascii="Times New Roman" w:hAnsi="Times New Roman" w:cs="Times New Roman"/>
          <w:color w:val="auto"/>
          <w:sz w:val="24"/>
          <w:szCs w:val="24"/>
          <w:highlight w:val="none"/>
          <w:lang w:eastAsia="zh-CN"/>
        </w:rPr>
        <w:t>投标有效期</w:t>
      </w:r>
      <w:r>
        <w:rPr>
          <w:rFonts w:hint="default" w:ascii="Times New Roman" w:hAnsi="Times New Roman" w:cs="Times New Roman"/>
          <w:color w:val="auto"/>
          <w:sz w:val="24"/>
          <w:szCs w:val="24"/>
          <w:highlight w:val="none"/>
        </w:rPr>
        <w:t>不足的，在评标时将其视为无效投标。</w:t>
      </w:r>
    </w:p>
    <w:p w14:paraId="26063088">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8.2　特殊情况需延长</w:t>
      </w:r>
      <w:r>
        <w:rPr>
          <w:rFonts w:hint="default" w:ascii="Times New Roman" w:hAnsi="Times New Roman" w:cs="Times New Roman"/>
          <w:color w:val="auto"/>
          <w:sz w:val="24"/>
          <w:szCs w:val="24"/>
          <w:highlight w:val="none"/>
          <w:lang w:eastAsia="zh-CN"/>
        </w:rPr>
        <w:t>投标有效期</w:t>
      </w:r>
      <w:r>
        <w:rPr>
          <w:rFonts w:hint="default" w:ascii="Times New Roman" w:hAnsi="Times New Roman" w:cs="Times New Roman"/>
          <w:color w:val="auto"/>
          <w:sz w:val="24"/>
          <w:szCs w:val="24"/>
          <w:highlight w:val="none"/>
        </w:rPr>
        <w:t>的，采购人或采购代理机构可于</w:t>
      </w:r>
      <w:r>
        <w:rPr>
          <w:rFonts w:hint="default" w:ascii="Times New Roman" w:hAnsi="Times New Roman" w:cs="Times New Roman"/>
          <w:color w:val="auto"/>
          <w:sz w:val="24"/>
          <w:szCs w:val="24"/>
          <w:highlight w:val="none"/>
          <w:lang w:eastAsia="zh-CN"/>
        </w:rPr>
        <w:t>投标有效期</w:t>
      </w:r>
      <w:r>
        <w:rPr>
          <w:rFonts w:hint="default" w:ascii="Times New Roman" w:hAnsi="Times New Roman" w:cs="Times New Roman"/>
          <w:color w:val="auto"/>
          <w:sz w:val="24"/>
          <w:szCs w:val="24"/>
          <w:highlight w:val="none"/>
        </w:rPr>
        <w:t>届满之前，要求</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同意延长有效期，采购人或采购代理机构的要求与</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的答复均应为书面形式。</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拒绝延长的，其投标在原</w:t>
      </w:r>
      <w:r>
        <w:rPr>
          <w:rFonts w:hint="default" w:ascii="Times New Roman" w:hAnsi="Times New Roman" w:cs="Times New Roman"/>
          <w:color w:val="auto"/>
          <w:sz w:val="24"/>
          <w:szCs w:val="24"/>
          <w:highlight w:val="none"/>
          <w:lang w:eastAsia="zh-CN"/>
        </w:rPr>
        <w:t>投标有效期</w:t>
      </w:r>
      <w:r>
        <w:rPr>
          <w:rFonts w:hint="default" w:ascii="Times New Roman" w:hAnsi="Times New Roman" w:cs="Times New Roman"/>
          <w:color w:val="auto"/>
          <w:sz w:val="24"/>
          <w:szCs w:val="24"/>
          <w:highlight w:val="none"/>
        </w:rPr>
        <w:t>届满后将不再有效，但有权收回其投标保证金；</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同意延长的，应相应延长其投标保证金的有效期，但不允许修改或撤回</w:t>
      </w:r>
      <w:r>
        <w:rPr>
          <w:rFonts w:hint="default" w:ascii="Times New Roman" w:hAnsi="Times New Roman" w:cs="Times New Roman"/>
          <w:color w:val="auto"/>
          <w:sz w:val="24"/>
          <w:szCs w:val="24"/>
          <w:highlight w:val="none"/>
          <w:lang w:eastAsia="zh-CN"/>
        </w:rPr>
        <w:t>投标文件</w:t>
      </w:r>
      <w:r>
        <w:rPr>
          <w:rFonts w:hint="default" w:ascii="Times New Roman" w:hAnsi="Times New Roman" w:cs="Times New Roman"/>
          <w:color w:val="auto"/>
          <w:sz w:val="24"/>
          <w:szCs w:val="24"/>
          <w:highlight w:val="none"/>
        </w:rPr>
        <w:t>。</w:t>
      </w:r>
    </w:p>
    <w:p w14:paraId="2847E135">
      <w:pPr>
        <w:spacing w:line="440" w:lineRule="exact"/>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9.</w:t>
      </w:r>
      <w:r>
        <w:rPr>
          <w:rFonts w:hint="default" w:ascii="Times New Roman" w:hAnsi="Times New Roman" w:cs="Times New Roman"/>
          <w:b/>
          <w:color w:val="auto"/>
          <w:sz w:val="24"/>
          <w:szCs w:val="24"/>
          <w:highlight w:val="none"/>
          <w:lang w:eastAsia="zh-CN"/>
        </w:rPr>
        <w:t>投标文件</w:t>
      </w:r>
      <w:r>
        <w:rPr>
          <w:rFonts w:hint="default" w:ascii="Times New Roman" w:hAnsi="Times New Roman" w:cs="Times New Roman"/>
          <w:b/>
          <w:color w:val="auto"/>
          <w:sz w:val="24"/>
          <w:szCs w:val="24"/>
          <w:highlight w:val="none"/>
        </w:rPr>
        <w:t>的签署和规定</w:t>
      </w:r>
      <w:r>
        <w:rPr>
          <w:rFonts w:hint="default" w:ascii="Times New Roman" w:hAnsi="Times New Roman" w:cs="Times New Roman"/>
          <w:b/>
          <w:color w:val="auto"/>
          <w:sz w:val="24"/>
          <w:szCs w:val="24"/>
          <w:highlight w:val="none"/>
          <w:lang w:eastAsia="zh-CN"/>
        </w:rPr>
        <w:t>见</w:t>
      </w:r>
      <w:r>
        <w:rPr>
          <w:rFonts w:hint="default" w:ascii="Times New Roman" w:hAnsi="Times New Roman" w:cs="Times New Roman"/>
          <w:b/>
          <w:color w:val="auto"/>
          <w:sz w:val="24"/>
          <w:szCs w:val="24"/>
          <w:highlight w:val="none"/>
        </w:rPr>
        <w:t>投标须知前附表。</w:t>
      </w:r>
    </w:p>
    <w:p w14:paraId="5E1A4205">
      <w:pPr>
        <w:spacing w:line="440" w:lineRule="exact"/>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10.</w:t>
      </w:r>
      <w:r>
        <w:rPr>
          <w:rFonts w:hint="default" w:ascii="Times New Roman" w:hAnsi="Times New Roman" w:cs="Times New Roman"/>
          <w:b/>
          <w:color w:val="auto"/>
          <w:sz w:val="24"/>
          <w:szCs w:val="24"/>
          <w:highlight w:val="none"/>
          <w:lang w:eastAsia="zh-CN"/>
        </w:rPr>
        <w:t>投标文件</w:t>
      </w:r>
      <w:r>
        <w:rPr>
          <w:rFonts w:hint="default" w:ascii="Times New Roman" w:hAnsi="Times New Roman" w:cs="Times New Roman"/>
          <w:b/>
          <w:color w:val="auto"/>
          <w:sz w:val="24"/>
          <w:szCs w:val="24"/>
          <w:highlight w:val="none"/>
        </w:rPr>
        <w:t>的密封和标记</w:t>
      </w:r>
      <w:r>
        <w:rPr>
          <w:rFonts w:hint="default" w:ascii="Times New Roman" w:hAnsi="Times New Roman" w:cs="Times New Roman"/>
          <w:b/>
          <w:color w:val="auto"/>
          <w:sz w:val="24"/>
          <w:szCs w:val="24"/>
          <w:highlight w:val="none"/>
          <w:lang w:eastAsia="zh-CN"/>
        </w:rPr>
        <w:t>见</w:t>
      </w:r>
      <w:r>
        <w:rPr>
          <w:rFonts w:hint="default" w:ascii="Times New Roman" w:hAnsi="Times New Roman" w:cs="Times New Roman"/>
          <w:b/>
          <w:color w:val="auto"/>
          <w:sz w:val="24"/>
          <w:szCs w:val="24"/>
          <w:highlight w:val="none"/>
        </w:rPr>
        <w:t>投标须知前附表。</w:t>
      </w:r>
    </w:p>
    <w:p w14:paraId="7675980D">
      <w:pPr>
        <w:spacing w:line="440" w:lineRule="exact"/>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11.投标保证金</w:t>
      </w:r>
    </w:p>
    <w:p w14:paraId="3F7705E1">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11.1</w:t>
      </w:r>
      <w:r>
        <w:rPr>
          <w:rFonts w:hint="eastAsia" w:cs="Times New Roman"/>
          <w:color w:val="auto"/>
          <w:sz w:val="24"/>
          <w:szCs w:val="24"/>
          <w:highlight w:val="none"/>
          <w:lang w:val="en-US" w:eastAsia="zh-CN"/>
        </w:rPr>
        <w:t xml:space="preserve">  </w:t>
      </w:r>
      <w:r>
        <w:rPr>
          <w:rFonts w:hint="eastAsia" w:cs="Times New Roman"/>
          <w:color w:val="auto"/>
          <w:sz w:val="24"/>
          <w:szCs w:val="24"/>
          <w:highlight w:val="none"/>
          <w:lang w:eastAsia="zh-CN"/>
        </w:rPr>
        <w:t>采购人或者采购代理机构</w:t>
      </w:r>
      <w:r>
        <w:rPr>
          <w:rFonts w:hint="default" w:ascii="Times New Roman" w:hAnsi="Times New Roman" w:cs="Times New Roman"/>
          <w:color w:val="auto"/>
          <w:sz w:val="24"/>
          <w:szCs w:val="24"/>
          <w:highlight w:val="none"/>
        </w:rPr>
        <w:t>因</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的违规行为而受到损害时将不予退还</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的投标保证金</w:t>
      </w:r>
      <w:r>
        <w:rPr>
          <w:rFonts w:hint="default" w:ascii="Times New Roman" w:hAnsi="Times New Roman" w:cs="Times New Roman"/>
          <w:color w:val="auto"/>
          <w:sz w:val="24"/>
          <w:szCs w:val="24"/>
          <w:highlight w:val="none"/>
          <w:lang w:eastAsia="zh-CN"/>
        </w:rPr>
        <w:t>，并</w:t>
      </w:r>
      <w:r>
        <w:rPr>
          <w:rFonts w:hint="default" w:ascii="Times New Roman" w:hAnsi="Times New Roman" w:cs="Times New Roman"/>
          <w:color w:val="auto"/>
          <w:sz w:val="24"/>
          <w:szCs w:val="24"/>
          <w:highlight w:val="none"/>
        </w:rPr>
        <w:t>将其作为所受损害的补偿。</w:t>
      </w:r>
    </w:p>
    <w:p w14:paraId="47057E70">
      <w:pPr>
        <w:pStyle w:val="15"/>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11.2　投标保证金应当以支票、汇票、本票、保函等非现金形式提交，必须从</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基本账户转出，其有效期应不低于</w:t>
      </w:r>
      <w:r>
        <w:rPr>
          <w:rFonts w:hint="default" w:ascii="Times New Roman" w:hAnsi="Times New Roman" w:cs="Times New Roman"/>
          <w:color w:val="auto"/>
          <w:sz w:val="24"/>
          <w:highlight w:val="none"/>
          <w:lang w:eastAsia="zh-CN"/>
        </w:rPr>
        <w:t>投标有效期</w:t>
      </w:r>
      <w:r>
        <w:rPr>
          <w:rFonts w:hint="default" w:ascii="Times New Roman" w:hAnsi="Times New Roman" w:cs="Times New Roman"/>
          <w:color w:val="auto"/>
          <w:sz w:val="24"/>
          <w:highlight w:val="none"/>
        </w:rPr>
        <w:t>。</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未按照</w:t>
      </w:r>
      <w:r>
        <w:rPr>
          <w:rFonts w:hint="default" w:ascii="Times New Roman" w:hAnsi="Times New Roman" w:cs="Times New Roman"/>
          <w:color w:val="auto"/>
          <w:sz w:val="24"/>
          <w:highlight w:val="none"/>
          <w:lang w:eastAsia="zh-CN"/>
        </w:rPr>
        <w:t>公开招标文件</w:t>
      </w:r>
      <w:r>
        <w:rPr>
          <w:rFonts w:hint="default" w:ascii="Times New Roman" w:hAnsi="Times New Roman" w:cs="Times New Roman"/>
          <w:color w:val="auto"/>
          <w:sz w:val="24"/>
          <w:highlight w:val="none"/>
        </w:rPr>
        <w:t>要求提交投标保证金的，投标无效。</w:t>
      </w:r>
    </w:p>
    <w:p w14:paraId="41AD5FDC">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eastAsia="宋体" w:cs="Times New Roman"/>
          <w:color w:val="auto"/>
          <w:kern w:val="2"/>
          <w:sz w:val="24"/>
          <w:highlight w:val="none"/>
          <w:lang w:val="en-US" w:eastAsia="zh-CN" w:bidi="ar-SA"/>
        </w:rPr>
        <w:t>11.3</w:t>
      </w:r>
      <w:r>
        <w:rPr>
          <w:rFonts w:hint="eastAsia" w:cs="Times New Roman"/>
          <w:color w:val="auto"/>
          <w:kern w:val="2"/>
          <w:sz w:val="24"/>
          <w:highlight w:val="none"/>
          <w:lang w:val="en-US" w:eastAsia="zh-CN" w:bidi="ar-SA"/>
        </w:rPr>
        <w:t xml:space="preserve">  </w:t>
      </w:r>
      <w:r>
        <w:rPr>
          <w:rFonts w:hint="default" w:ascii="Times New Roman" w:hAnsi="Times New Roman" w:cs="Times New Roman"/>
          <w:color w:val="auto"/>
          <w:sz w:val="24"/>
          <w:highlight w:val="none"/>
        </w:rPr>
        <w:t>本项目保证金供应商自主选择以银行转账（仅支持平台电子保证金）、保函等非现金形式缴纳。以上方式投标</w:t>
      </w:r>
      <w:r>
        <w:rPr>
          <w:rFonts w:hint="eastAsia" w:cs="Times New Roman"/>
          <w:color w:val="auto"/>
          <w:sz w:val="24"/>
          <w:highlight w:val="none"/>
          <w:lang w:eastAsia="zh-CN"/>
        </w:rPr>
        <w:t>供应商</w:t>
      </w:r>
      <w:r>
        <w:rPr>
          <w:rFonts w:hint="default" w:ascii="Times New Roman" w:hAnsi="Times New Roman" w:cs="Times New Roman"/>
          <w:color w:val="auto"/>
          <w:sz w:val="24"/>
          <w:highlight w:val="none"/>
        </w:rPr>
        <w:t>仅需选择其中一种即可。具体缴纳方式如下：</w:t>
      </w:r>
    </w:p>
    <w:p w14:paraId="029A02B9">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一、电子保证金：</w:t>
      </w:r>
    </w:p>
    <w:p w14:paraId="09C5EB52">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按政采云平台系统自动生成的收款账号信息进行缴纳。具体操作在【保证金管理】页面，选择【电子保证金</w:t>
      </w:r>
      <w:r>
        <w:rPr>
          <w:rFonts w:hint="default" w:ascii="Times New Roman" w:hAnsi="Times New Roman" w:cs="Times New Roman"/>
          <w:color w:val="auto"/>
          <w:sz w:val="24"/>
          <w:highlight w:val="none"/>
          <w:lang w:eastAsia="zh-CN"/>
        </w:rPr>
        <w:t>（</w:t>
      </w:r>
      <w:r>
        <w:rPr>
          <w:rFonts w:hint="default" w:ascii="Times New Roman" w:hAnsi="Times New Roman" w:cs="Times New Roman"/>
          <w:color w:val="auto"/>
          <w:sz w:val="24"/>
          <w:highlight w:val="none"/>
        </w:rPr>
        <w:t>在线获取账号</w:t>
      </w:r>
      <w:r>
        <w:rPr>
          <w:rFonts w:hint="default" w:ascii="Times New Roman" w:hAnsi="Times New Roman" w:cs="Times New Roman"/>
          <w:color w:val="auto"/>
          <w:sz w:val="24"/>
          <w:highlight w:val="none"/>
          <w:lang w:eastAsia="zh-CN"/>
        </w:rPr>
        <w:t>）</w:t>
      </w:r>
      <w:r>
        <w:rPr>
          <w:rFonts w:hint="default" w:ascii="Times New Roman" w:hAnsi="Times New Roman" w:cs="Times New Roman"/>
          <w:color w:val="auto"/>
          <w:sz w:val="24"/>
          <w:highlight w:val="none"/>
        </w:rPr>
        <w:t>】，点击【新疆保证金平台】，自动从银行获取保证金的收款户名、收款账号、收款银行信息。供应商需将保证金转入获取到的收款账号。</w:t>
      </w:r>
    </w:p>
    <w:p w14:paraId="5E62A3FB">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二、保函（电子保函、纸质保函）</w:t>
      </w:r>
    </w:p>
    <w:p w14:paraId="1FD684E2">
      <w:pPr>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保函推荐使用政采云电子保函，投标</w:t>
      </w:r>
      <w:r>
        <w:rPr>
          <w:rFonts w:hint="eastAsia" w:cs="Times New Roman"/>
          <w:color w:val="auto"/>
          <w:sz w:val="24"/>
          <w:highlight w:val="none"/>
          <w:lang w:eastAsia="zh-CN"/>
        </w:rPr>
        <w:t>供应商</w:t>
      </w:r>
      <w:r>
        <w:rPr>
          <w:rFonts w:hint="default" w:ascii="Times New Roman" w:hAnsi="Times New Roman" w:cs="Times New Roman"/>
          <w:color w:val="auto"/>
          <w:sz w:val="24"/>
          <w:highlight w:val="none"/>
        </w:rPr>
        <w:t>通过政采云平台金融服务页面点击电子保函→立即申请，具体操作详见以下网址：</w:t>
      </w:r>
      <w:r>
        <w:rPr>
          <w:rFonts w:hint="default" w:ascii="Times New Roman" w:hAnsi="Times New Roman" w:cs="Times New Roman"/>
          <w:color w:val="auto"/>
          <w:sz w:val="24"/>
          <w:highlight w:val="none"/>
        </w:rPr>
        <w:fldChar w:fldCharType="begin"/>
      </w:r>
      <w:r>
        <w:rPr>
          <w:rFonts w:hint="default" w:ascii="Times New Roman" w:hAnsi="Times New Roman" w:cs="Times New Roman"/>
          <w:color w:val="auto"/>
          <w:sz w:val="24"/>
          <w:highlight w:val="none"/>
        </w:rPr>
        <w:instrText xml:space="preserve"> HYPERLINK "https://jinrong.zcygov.cn/luban/finance/letter/xinjiang?pageModelFlag=650000&amp;utm=luban.luban-PC-42055.959-pc-websitegroup-navBar-front.6.7e243ab01fd611eeaa409fcd72e2594c" </w:instrText>
      </w:r>
      <w:r>
        <w:rPr>
          <w:rFonts w:hint="default" w:ascii="Times New Roman" w:hAnsi="Times New Roman" w:cs="Times New Roman"/>
          <w:color w:val="auto"/>
          <w:sz w:val="24"/>
          <w:highlight w:val="none"/>
        </w:rPr>
        <w:fldChar w:fldCharType="separate"/>
      </w:r>
      <w:r>
        <w:rPr>
          <w:rStyle w:val="34"/>
          <w:rFonts w:hint="default" w:ascii="Times New Roman" w:hAnsi="Times New Roman" w:cs="Times New Roman"/>
          <w:color w:val="auto"/>
          <w:sz w:val="24"/>
          <w:highlight w:val="none"/>
        </w:rPr>
        <w:t>https://jinrong.zcygov.cn/luban/finance/letter/xinjiang?pageModelFlag=650000&amp;utm=luban.luban-PC-42055.959-pc-websitegroup-navBar-front.6.7e243ab01fd611eeaa409fcd72e2594c</w:t>
      </w:r>
      <w:r>
        <w:rPr>
          <w:rFonts w:hint="default" w:ascii="Times New Roman" w:hAnsi="Times New Roman" w:cs="Times New Roman"/>
          <w:color w:val="auto"/>
          <w:sz w:val="24"/>
          <w:highlight w:val="none"/>
        </w:rPr>
        <w:fldChar w:fldCharType="end"/>
      </w:r>
    </w:p>
    <w:p w14:paraId="5DBC6C02">
      <w:pPr>
        <w:spacing w:line="440" w:lineRule="exact"/>
        <w:ind w:firstLine="480" w:firstLineChars="200"/>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11.4　未中标的</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的投标保证金，将在</w:t>
      </w:r>
      <w:r>
        <w:rPr>
          <w:rFonts w:hint="default" w:ascii="Times New Roman" w:hAnsi="Times New Roman" w:cs="Times New Roman"/>
          <w:color w:val="auto"/>
          <w:sz w:val="24"/>
          <w:szCs w:val="24"/>
          <w:highlight w:val="none"/>
          <w:lang w:eastAsia="zh-CN"/>
        </w:rPr>
        <w:t>中标通知书</w:t>
      </w:r>
      <w:r>
        <w:rPr>
          <w:rFonts w:hint="default" w:ascii="Times New Roman" w:hAnsi="Times New Roman" w:cs="Times New Roman"/>
          <w:color w:val="auto"/>
          <w:sz w:val="24"/>
          <w:szCs w:val="24"/>
          <w:highlight w:val="none"/>
        </w:rPr>
        <w:t>发出后5个工作日内无息退还</w:t>
      </w:r>
      <w:r>
        <w:rPr>
          <w:rFonts w:hint="default" w:ascii="Times New Roman" w:hAnsi="Times New Roman" w:cs="Times New Roman"/>
          <w:color w:val="auto"/>
          <w:sz w:val="24"/>
          <w:szCs w:val="24"/>
          <w:highlight w:val="none"/>
          <w:lang w:eastAsia="zh-CN"/>
        </w:rPr>
        <w:t>。</w:t>
      </w:r>
    </w:p>
    <w:p w14:paraId="701A84C6">
      <w:pPr>
        <w:spacing w:line="460" w:lineRule="atLeas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szCs w:val="24"/>
          <w:highlight w:val="none"/>
        </w:rPr>
        <w:t>11.5</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eastAsia="zh-CN"/>
        </w:rPr>
        <w:t>中标</w:t>
      </w:r>
      <w:r>
        <w:rPr>
          <w:rFonts w:hint="eastAsia" w:cs="Times New Roman"/>
          <w:color w:val="auto"/>
          <w:sz w:val="24"/>
          <w:szCs w:val="24"/>
          <w:highlight w:val="none"/>
          <w:lang w:eastAsia="zh-CN"/>
        </w:rPr>
        <w:t>供应商</w:t>
      </w:r>
      <w:r>
        <w:rPr>
          <w:rFonts w:hint="default" w:ascii="Times New Roman" w:hAnsi="Times New Roman" w:cs="Times New Roman"/>
          <w:color w:val="auto"/>
          <w:sz w:val="24"/>
          <w:szCs w:val="24"/>
          <w:highlight w:val="none"/>
        </w:rPr>
        <w:t>的投标保证金，将在领取</w:t>
      </w:r>
      <w:r>
        <w:rPr>
          <w:rFonts w:hint="default" w:ascii="Times New Roman" w:hAnsi="Times New Roman" w:cs="Times New Roman"/>
          <w:color w:val="auto"/>
          <w:sz w:val="24"/>
          <w:szCs w:val="24"/>
          <w:highlight w:val="none"/>
          <w:lang w:eastAsia="zh-CN"/>
        </w:rPr>
        <w:t>中标通知书</w:t>
      </w:r>
      <w:r>
        <w:rPr>
          <w:rFonts w:hint="default" w:ascii="Times New Roman" w:hAnsi="Times New Roman" w:cs="Times New Roman"/>
          <w:color w:val="auto"/>
          <w:sz w:val="24"/>
          <w:szCs w:val="24"/>
          <w:highlight w:val="none"/>
        </w:rPr>
        <w:t>，缴纳履约保证金并签订合同后5个工作日内无息退还</w:t>
      </w:r>
      <w:r>
        <w:rPr>
          <w:rFonts w:hint="default" w:ascii="Times New Roman" w:hAnsi="Times New Roman" w:cs="Times New Roman"/>
          <w:color w:val="auto"/>
          <w:sz w:val="24"/>
          <w:szCs w:val="24"/>
          <w:highlight w:val="none"/>
          <w:lang w:eastAsia="zh-CN"/>
        </w:rPr>
        <w:t>。</w:t>
      </w:r>
    </w:p>
    <w:p w14:paraId="35E93A28">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11.6</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在评标过程中，如发现下列情况之一的，其投标将被拒绝；</w:t>
      </w:r>
    </w:p>
    <w:p w14:paraId="2D7508B7">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（1）未按规定提交投标保证金的投标；</w:t>
      </w:r>
    </w:p>
    <w:p w14:paraId="146BA580">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w:t>
      </w:r>
      <w:r>
        <w:rPr>
          <w:rFonts w:hint="default" w:ascii="Times New Roman" w:hAnsi="Times New Roman" w:cs="Times New Roman"/>
          <w:color w:val="auto"/>
          <w:sz w:val="24"/>
          <w:szCs w:val="24"/>
          <w:highlight w:val="none"/>
          <w:lang w:eastAsia="zh-CN"/>
        </w:rPr>
        <w:t>投标文件</w:t>
      </w:r>
      <w:r>
        <w:rPr>
          <w:rFonts w:hint="default" w:ascii="Times New Roman" w:hAnsi="Times New Roman" w:cs="Times New Roman"/>
          <w:color w:val="auto"/>
          <w:sz w:val="24"/>
          <w:szCs w:val="24"/>
          <w:highlight w:val="none"/>
        </w:rPr>
        <w:t>技术规格中的响应与事实不符或虚假投标的；</w:t>
      </w:r>
    </w:p>
    <w:p w14:paraId="27433ED2">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复制</w:t>
      </w:r>
      <w:r>
        <w:rPr>
          <w:rFonts w:hint="default" w:ascii="Times New Roman" w:hAnsi="Times New Roman" w:cs="Times New Roman"/>
          <w:color w:val="auto"/>
          <w:sz w:val="24"/>
          <w:szCs w:val="24"/>
          <w:highlight w:val="none"/>
          <w:lang w:eastAsia="zh-CN"/>
        </w:rPr>
        <w:t>公开招标文件</w:t>
      </w:r>
      <w:r>
        <w:rPr>
          <w:rFonts w:hint="default" w:ascii="Times New Roman" w:hAnsi="Times New Roman" w:cs="Times New Roman"/>
          <w:color w:val="auto"/>
          <w:sz w:val="24"/>
          <w:szCs w:val="24"/>
          <w:highlight w:val="none"/>
        </w:rPr>
        <w:t>的技术规格相关部分内容作为其</w:t>
      </w:r>
      <w:r>
        <w:rPr>
          <w:rFonts w:hint="default" w:ascii="Times New Roman" w:hAnsi="Times New Roman" w:cs="Times New Roman"/>
          <w:color w:val="auto"/>
          <w:sz w:val="24"/>
          <w:szCs w:val="24"/>
          <w:highlight w:val="none"/>
          <w:lang w:eastAsia="zh-CN"/>
        </w:rPr>
        <w:t>投标文件</w:t>
      </w:r>
      <w:r>
        <w:rPr>
          <w:rFonts w:hint="default" w:ascii="Times New Roman" w:hAnsi="Times New Roman" w:cs="Times New Roman"/>
          <w:color w:val="auto"/>
          <w:sz w:val="24"/>
          <w:szCs w:val="24"/>
          <w:highlight w:val="none"/>
        </w:rPr>
        <w:t>的一部分；</w:t>
      </w:r>
    </w:p>
    <w:p w14:paraId="71A5B2C3">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w:t>
      </w:r>
      <w:r>
        <w:rPr>
          <w:rFonts w:hint="default" w:ascii="Times New Roman" w:hAnsi="Times New Roman" w:cs="Times New Roman"/>
          <w:color w:val="auto"/>
          <w:sz w:val="24"/>
          <w:szCs w:val="24"/>
          <w:highlight w:val="none"/>
          <w:lang w:eastAsia="zh-CN"/>
        </w:rPr>
        <w:t>投标文件</w:t>
      </w:r>
      <w:r>
        <w:rPr>
          <w:rFonts w:hint="default" w:ascii="Times New Roman" w:hAnsi="Times New Roman" w:cs="Times New Roman"/>
          <w:color w:val="auto"/>
          <w:sz w:val="24"/>
          <w:szCs w:val="24"/>
          <w:highlight w:val="none"/>
        </w:rPr>
        <w:t>符合</w:t>
      </w:r>
      <w:r>
        <w:rPr>
          <w:rFonts w:hint="default" w:ascii="Times New Roman" w:hAnsi="Times New Roman" w:cs="Times New Roman"/>
          <w:color w:val="auto"/>
          <w:sz w:val="24"/>
          <w:szCs w:val="24"/>
          <w:highlight w:val="none"/>
          <w:lang w:eastAsia="zh-CN"/>
        </w:rPr>
        <w:t>公开招标文件</w:t>
      </w:r>
      <w:r>
        <w:rPr>
          <w:rFonts w:hint="default" w:ascii="Times New Roman" w:hAnsi="Times New Roman" w:cs="Times New Roman"/>
          <w:color w:val="auto"/>
          <w:sz w:val="24"/>
          <w:szCs w:val="24"/>
          <w:highlight w:val="none"/>
        </w:rPr>
        <w:t>中规定废标的</w:t>
      </w:r>
      <w:r>
        <w:rPr>
          <w:rFonts w:hint="default" w:ascii="Times New Roman" w:hAnsi="Times New Roman" w:cs="Times New Roman"/>
          <w:color w:val="auto"/>
          <w:sz w:val="24"/>
          <w:szCs w:val="24"/>
          <w:highlight w:val="none"/>
          <w:lang w:eastAsia="zh-CN"/>
        </w:rPr>
        <w:t>其他</w:t>
      </w:r>
      <w:r>
        <w:rPr>
          <w:rFonts w:hint="default" w:ascii="Times New Roman" w:hAnsi="Times New Roman" w:cs="Times New Roman"/>
          <w:color w:val="auto"/>
          <w:sz w:val="24"/>
          <w:szCs w:val="24"/>
          <w:highlight w:val="none"/>
        </w:rPr>
        <w:t>技术条款；</w:t>
      </w:r>
    </w:p>
    <w:p w14:paraId="0BA79E5B">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lang w:val="en-US" w:eastAsia="zh-CN"/>
        </w:rPr>
        <w:t>5</w:t>
      </w: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拒绝修正错误的；</w:t>
      </w:r>
    </w:p>
    <w:p w14:paraId="15B757CC">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lang w:val="en-US" w:eastAsia="zh-CN"/>
        </w:rPr>
        <w:t>6</w:t>
      </w: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lang w:eastAsia="zh-CN"/>
        </w:rPr>
        <w:t>投标文件</w:t>
      </w:r>
      <w:r>
        <w:rPr>
          <w:rFonts w:hint="default" w:ascii="Times New Roman" w:hAnsi="Times New Roman" w:cs="Times New Roman"/>
          <w:color w:val="auto"/>
          <w:sz w:val="24"/>
          <w:szCs w:val="24"/>
          <w:highlight w:val="none"/>
        </w:rPr>
        <w:t>的关键内容字迹模糊，无法辨认的；</w:t>
      </w:r>
    </w:p>
    <w:p w14:paraId="64A00CF8">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lang w:val="en-US" w:eastAsia="zh-CN"/>
        </w:rPr>
        <w:t>7</w:t>
      </w: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lang w:eastAsia="zh-CN"/>
        </w:rPr>
        <w:t>投标有效期</w:t>
      </w:r>
      <w:r>
        <w:rPr>
          <w:rFonts w:hint="default" w:ascii="Times New Roman" w:hAnsi="Times New Roman" w:cs="Times New Roman"/>
          <w:color w:val="auto"/>
          <w:sz w:val="24"/>
          <w:szCs w:val="24"/>
          <w:highlight w:val="none"/>
        </w:rPr>
        <w:t>不足的；</w:t>
      </w:r>
    </w:p>
    <w:p w14:paraId="15340616">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lang w:val="en-US" w:eastAsia="zh-CN"/>
        </w:rPr>
        <w:t>8</w:t>
      </w:r>
      <w:r>
        <w:rPr>
          <w:rFonts w:hint="default" w:ascii="Times New Roman" w:hAnsi="Times New Roman" w:cs="Times New Roman"/>
          <w:color w:val="auto"/>
          <w:sz w:val="24"/>
          <w:szCs w:val="24"/>
          <w:highlight w:val="none"/>
        </w:rPr>
        <w:t>）其他违反相关法律法规规定的行为的；</w:t>
      </w:r>
    </w:p>
    <w:p w14:paraId="32E93606">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lang w:val="en-US" w:eastAsia="zh-CN"/>
        </w:rPr>
        <w:t>9</w:t>
      </w: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lang w:eastAsia="zh-CN"/>
        </w:rPr>
        <w:t>评标委员会</w:t>
      </w:r>
      <w:r>
        <w:rPr>
          <w:rFonts w:hint="default" w:ascii="Times New Roman" w:hAnsi="Times New Roman" w:cs="Times New Roman"/>
          <w:color w:val="auto"/>
          <w:sz w:val="24"/>
          <w:szCs w:val="24"/>
          <w:highlight w:val="none"/>
        </w:rPr>
        <w:t>认为是其他应当否决的投标。</w:t>
      </w:r>
    </w:p>
    <w:p w14:paraId="3CFEFC00">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11.7</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下列任何情况发生时，投标保证金将不予退还，转为违约金：</w:t>
      </w:r>
    </w:p>
    <w:p w14:paraId="6AA87057">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（1）投标供应商</w:t>
      </w:r>
      <w:r>
        <w:rPr>
          <w:rFonts w:hint="default" w:ascii="Times New Roman" w:hAnsi="Times New Roman" w:cs="Times New Roman"/>
          <w:color w:val="auto"/>
          <w:sz w:val="24"/>
          <w:szCs w:val="24"/>
          <w:highlight w:val="none"/>
        </w:rPr>
        <w:t>在投标截止期后</w:t>
      </w:r>
      <w:r>
        <w:rPr>
          <w:rFonts w:hint="default" w:ascii="Times New Roman" w:hAnsi="Times New Roman" w:cs="Times New Roman"/>
          <w:color w:val="auto"/>
          <w:sz w:val="24"/>
          <w:szCs w:val="24"/>
          <w:highlight w:val="none"/>
          <w:lang w:eastAsia="zh-CN"/>
        </w:rPr>
        <w:t>，在投标有效期</w:t>
      </w:r>
      <w:r>
        <w:rPr>
          <w:rFonts w:hint="default" w:ascii="Times New Roman" w:hAnsi="Times New Roman" w:cs="Times New Roman"/>
          <w:color w:val="auto"/>
          <w:sz w:val="24"/>
          <w:szCs w:val="24"/>
          <w:highlight w:val="none"/>
        </w:rPr>
        <w:t>内撤回投标；</w:t>
      </w:r>
    </w:p>
    <w:p w14:paraId="3D688498">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（2）投标供应商</w:t>
      </w:r>
      <w:r>
        <w:rPr>
          <w:rFonts w:hint="default" w:ascii="Times New Roman" w:hAnsi="Times New Roman" w:cs="Times New Roman"/>
          <w:color w:val="auto"/>
          <w:sz w:val="24"/>
          <w:szCs w:val="24"/>
          <w:highlight w:val="none"/>
        </w:rPr>
        <w:t>在规定期限内未按规定向采购人缴纳履约保证金；</w:t>
      </w:r>
    </w:p>
    <w:p w14:paraId="07BD6D89">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（3）中标</w:t>
      </w:r>
      <w:r>
        <w:rPr>
          <w:rFonts w:hint="eastAsia" w:cs="Times New Roman"/>
          <w:color w:val="auto"/>
          <w:sz w:val="24"/>
          <w:szCs w:val="24"/>
          <w:highlight w:val="none"/>
          <w:lang w:eastAsia="zh-CN"/>
        </w:rPr>
        <w:t>供应商</w:t>
      </w:r>
      <w:r>
        <w:rPr>
          <w:rFonts w:hint="default" w:ascii="Times New Roman" w:hAnsi="Times New Roman" w:cs="Times New Roman"/>
          <w:color w:val="auto"/>
          <w:sz w:val="24"/>
          <w:szCs w:val="24"/>
          <w:highlight w:val="none"/>
        </w:rPr>
        <w:t>未按</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须知规定缴纳招标代理费；</w:t>
      </w:r>
    </w:p>
    <w:p w14:paraId="2A99249B">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（4）</w:t>
      </w:r>
      <w:r>
        <w:rPr>
          <w:rFonts w:hint="default" w:ascii="Times New Roman" w:hAnsi="Times New Roman" w:cs="Times New Roman"/>
          <w:color w:val="auto"/>
          <w:sz w:val="24"/>
          <w:szCs w:val="24"/>
          <w:highlight w:val="none"/>
        </w:rPr>
        <w:t>以他人名义投标或者以其他方式弄虚作假，骗取中标；</w:t>
      </w:r>
    </w:p>
    <w:p w14:paraId="6E6E6083">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（5）</w:t>
      </w:r>
      <w:r>
        <w:rPr>
          <w:rFonts w:hint="default" w:ascii="Times New Roman" w:hAnsi="Times New Roman" w:cs="Times New Roman"/>
          <w:color w:val="auto"/>
          <w:sz w:val="24"/>
          <w:szCs w:val="24"/>
          <w:highlight w:val="none"/>
        </w:rPr>
        <w:t>打架斗殴，扰乱会场秩序；</w:t>
      </w:r>
    </w:p>
    <w:p w14:paraId="62A83E3F">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（6）</w:t>
      </w:r>
      <w:r>
        <w:rPr>
          <w:rFonts w:hint="default" w:ascii="Times New Roman" w:hAnsi="Times New Roman" w:cs="Times New Roman"/>
          <w:color w:val="auto"/>
          <w:sz w:val="24"/>
          <w:szCs w:val="24"/>
          <w:highlight w:val="none"/>
        </w:rPr>
        <w:t>本</w:t>
      </w:r>
      <w:r>
        <w:rPr>
          <w:rFonts w:hint="default" w:ascii="Times New Roman" w:hAnsi="Times New Roman" w:cs="Times New Roman"/>
          <w:color w:val="auto"/>
          <w:sz w:val="24"/>
          <w:szCs w:val="24"/>
          <w:highlight w:val="none"/>
          <w:lang w:eastAsia="zh-CN"/>
        </w:rPr>
        <w:t>公开招标文件</w:t>
      </w:r>
      <w:r>
        <w:rPr>
          <w:rFonts w:hint="default" w:ascii="Times New Roman" w:hAnsi="Times New Roman" w:cs="Times New Roman"/>
          <w:color w:val="auto"/>
          <w:sz w:val="24"/>
          <w:szCs w:val="24"/>
          <w:highlight w:val="none"/>
        </w:rPr>
        <w:t>中或《政府采购货物和服务招标投标管理办法》第七十五条规定的其他不予退还投标保证金的情形。</w:t>
      </w:r>
    </w:p>
    <w:p w14:paraId="31969187">
      <w:pPr>
        <w:spacing w:line="440" w:lineRule="exact"/>
        <w:ind w:firstLine="840" w:firstLineChars="35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上述不予退还投标保证金的情况并给</w:t>
      </w:r>
      <w:r>
        <w:rPr>
          <w:rFonts w:hint="default" w:ascii="Times New Roman" w:hAnsi="Times New Roman" w:cs="Times New Roman"/>
          <w:color w:val="auto"/>
          <w:sz w:val="24"/>
          <w:szCs w:val="24"/>
          <w:highlight w:val="none"/>
          <w:lang w:eastAsia="zh-CN"/>
        </w:rPr>
        <w:t>采购代理机构</w:t>
      </w:r>
      <w:r>
        <w:rPr>
          <w:rFonts w:hint="default" w:ascii="Times New Roman" w:hAnsi="Times New Roman" w:cs="Times New Roman"/>
          <w:color w:val="auto"/>
          <w:sz w:val="24"/>
          <w:szCs w:val="24"/>
          <w:highlight w:val="none"/>
        </w:rPr>
        <w:t>造成损失的，还要承担赔偿责任。</w:t>
      </w:r>
    </w:p>
    <w:p w14:paraId="64A8C30A">
      <w:pPr>
        <w:spacing w:line="440" w:lineRule="exact"/>
        <w:rPr>
          <w:rFonts w:hint="default" w:ascii="Times New Roman" w:hAnsi="Times New Roman" w:cs="Times New Roman"/>
          <w:color w:val="auto"/>
          <w:sz w:val="24"/>
          <w:szCs w:val="24"/>
          <w:highlight w:val="none"/>
        </w:rPr>
      </w:pPr>
    </w:p>
    <w:p w14:paraId="0C1A642A">
      <w:pPr>
        <w:spacing w:line="440" w:lineRule="exact"/>
        <w:ind w:firstLine="482"/>
        <w:jc w:val="center"/>
        <w:outlineLvl w:val="1"/>
        <w:rPr>
          <w:rFonts w:hint="default" w:ascii="Times New Roman" w:hAnsi="Times New Roman" w:cs="Times New Roman"/>
          <w:b/>
          <w:color w:val="auto"/>
          <w:sz w:val="28"/>
          <w:szCs w:val="32"/>
          <w:highlight w:val="none"/>
        </w:rPr>
      </w:pPr>
      <w:bookmarkStart w:id="24" w:name="_Toc13950"/>
      <w:bookmarkStart w:id="25" w:name="_Toc10795"/>
      <w:bookmarkStart w:id="26" w:name="_Toc89792132"/>
      <w:r>
        <w:rPr>
          <w:rFonts w:hint="default" w:ascii="Times New Roman" w:hAnsi="Times New Roman" w:cs="Times New Roman"/>
          <w:b/>
          <w:color w:val="auto"/>
          <w:sz w:val="28"/>
          <w:szCs w:val="32"/>
          <w:highlight w:val="none"/>
        </w:rPr>
        <w:t>第三章</w:t>
      </w:r>
      <w:r>
        <w:rPr>
          <w:rFonts w:hint="default" w:ascii="Times New Roman" w:hAnsi="Times New Roman" w:cs="Times New Roman"/>
          <w:b/>
          <w:color w:val="auto"/>
          <w:sz w:val="28"/>
          <w:szCs w:val="32"/>
          <w:highlight w:val="none"/>
          <w:lang w:eastAsia="zh-CN"/>
        </w:rPr>
        <w:t>投标文件</w:t>
      </w:r>
      <w:r>
        <w:rPr>
          <w:rFonts w:hint="default" w:ascii="Times New Roman" w:hAnsi="Times New Roman" w:cs="Times New Roman"/>
          <w:b/>
          <w:color w:val="auto"/>
          <w:sz w:val="28"/>
          <w:szCs w:val="32"/>
          <w:highlight w:val="none"/>
        </w:rPr>
        <w:t>的递交</w:t>
      </w:r>
      <w:bookmarkEnd w:id="24"/>
      <w:bookmarkEnd w:id="25"/>
      <w:bookmarkEnd w:id="26"/>
    </w:p>
    <w:p w14:paraId="3FBFCE04">
      <w:pPr>
        <w:spacing w:line="440" w:lineRule="exact"/>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12.</w:t>
      </w:r>
      <w:r>
        <w:rPr>
          <w:rFonts w:hint="default" w:ascii="Times New Roman" w:hAnsi="Times New Roman" w:cs="Times New Roman"/>
          <w:b/>
          <w:color w:val="auto"/>
          <w:sz w:val="24"/>
          <w:szCs w:val="24"/>
          <w:highlight w:val="none"/>
          <w:lang w:eastAsia="zh-CN"/>
        </w:rPr>
        <w:t>投标文件</w:t>
      </w:r>
      <w:r>
        <w:rPr>
          <w:rFonts w:hint="default" w:ascii="Times New Roman" w:hAnsi="Times New Roman" w:cs="Times New Roman"/>
          <w:b/>
          <w:color w:val="auto"/>
          <w:sz w:val="24"/>
          <w:szCs w:val="24"/>
          <w:highlight w:val="none"/>
        </w:rPr>
        <w:t>的标记</w:t>
      </w:r>
    </w:p>
    <w:p w14:paraId="0FBDC57D">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12.1</w:t>
      </w:r>
      <w:r>
        <w:rPr>
          <w:rFonts w:hint="eastAsia" w:cs="Times New Roman"/>
          <w:color w:val="auto"/>
          <w:sz w:val="24"/>
          <w:szCs w:val="24"/>
          <w:highlight w:val="none"/>
          <w:lang w:val="en-US" w:eastAsia="zh-CN"/>
        </w:rPr>
        <w:t xml:space="preserve">  </w:t>
      </w:r>
      <w:r>
        <w:rPr>
          <w:rStyle w:val="156"/>
          <w:rFonts w:hint="default" w:ascii="Times New Roman" w:hAnsi="Times New Roman" w:cs="Times New Roman"/>
          <w:color w:val="auto"/>
          <w:sz w:val="24"/>
          <w:highlight w:val="none"/>
        </w:rPr>
        <w:t>本项目采用不见面电子标。</w:t>
      </w:r>
      <w:r>
        <w:rPr>
          <w:rFonts w:hint="default" w:ascii="Times New Roman" w:hAnsi="Times New Roman" w:cs="Times New Roman"/>
          <w:color w:val="auto"/>
          <w:sz w:val="24"/>
          <w:szCs w:val="24"/>
          <w:highlight w:val="none"/>
        </w:rPr>
        <w:t>　</w:t>
      </w:r>
    </w:p>
    <w:p w14:paraId="22CEF864">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12.2</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任何不完整或不满足</w:t>
      </w:r>
      <w:r>
        <w:rPr>
          <w:rFonts w:hint="default" w:ascii="Times New Roman" w:hAnsi="Times New Roman" w:cs="Times New Roman"/>
          <w:color w:val="auto"/>
          <w:sz w:val="24"/>
          <w:szCs w:val="24"/>
          <w:highlight w:val="none"/>
          <w:lang w:eastAsia="zh-CN"/>
        </w:rPr>
        <w:t>公开招标文件</w:t>
      </w:r>
      <w:r>
        <w:rPr>
          <w:rFonts w:hint="default" w:ascii="Times New Roman" w:hAnsi="Times New Roman" w:cs="Times New Roman"/>
          <w:color w:val="auto"/>
          <w:sz w:val="24"/>
          <w:szCs w:val="24"/>
          <w:highlight w:val="none"/>
        </w:rPr>
        <w:t>要求的</w:t>
      </w:r>
      <w:r>
        <w:rPr>
          <w:rFonts w:hint="default" w:ascii="Times New Roman" w:hAnsi="Times New Roman" w:cs="Times New Roman"/>
          <w:color w:val="auto"/>
          <w:sz w:val="24"/>
          <w:szCs w:val="24"/>
          <w:highlight w:val="none"/>
          <w:lang w:eastAsia="zh-CN"/>
        </w:rPr>
        <w:t>投标文件</w:t>
      </w:r>
      <w:r>
        <w:rPr>
          <w:rFonts w:hint="default" w:ascii="Times New Roman" w:hAnsi="Times New Roman" w:cs="Times New Roman"/>
          <w:color w:val="auto"/>
          <w:sz w:val="24"/>
          <w:szCs w:val="24"/>
          <w:highlight w:val="none"/>
        </w:rPr>
        <w:t>将被拒绝。　</w:t>
      </w:r>
    </w:p>
    <w:p w14:paraId="68B829DD">
      <w:pPr>
        <w:spacing w:line="440" w:lineRule="exact"/>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13.投标截止时间</w:t>
      </w:r>
    </w:p>
    <w:p w14:paraId="173ABF04">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13.1</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应在本章规定的投标截止时间前和地点递交</w:t>
      </w:r>
      <w:r>
        <w:rPr>
          <w:rFonts w:hint="default" w:ascii="Times New Roman" w:hAnsi="Times New Roman" w:cs="Times New Roman"/>
          <w:color w:val="auto"/>
          <w:sz w:val="24"/>
          <w:szCs w:val="24"/>
          <w:highlight w:val="none"/>
          <w:lang w:eastAsia="zh-CN"/>
        </w:rPr>
        <w:t>投标文件</w:t>
      </w:r>
      <w:r>
        <w:rPr>
          <w:rFonts w:hint="default" w:ascii="Times New Roman" w:hAnsi="Times New Roman" w:cs="Times New Roman"/>
          <w:color w:val="auto"/>
          <w:sz w:val="24"/>
          <w:szCs w:val="24"/>
          <w:highlight w:val="none"/>
        </w:rPr>
        <w:t>。</w:t>
      </w:r>
    </w:p>
    <w:p w14:paraId="2869E299">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13.2　</w:t>
      </w:r>
      <w:r>
        <w:rPr>
          <w:rStyle w:val="156"/>
          <w:rFonts w:hint="default" w:ascii="Times New Roman" w:hAnsi="Times New Roman" w:cs="Times New Roman"/>
          <w:color w:val="auto"/>
          <w:sz w:val="24"/>
          <w:highlight w:val="none"/>
        </w:rPr>
        <w:t>除</w:t>
      </w:r>
      <w:r>
        <w:rPr>
          <w:rStyle w:val="156"/>
          <w:rFonts w:hint="default" w:ascii="Times New Roman" w:hAnsi="Times New Roman" w:cs="Times New Roman"/>
          <w:color w:val="auto"/>
          <w:sz w:val="24"/>
          <w:highlight w:val="none"/>
          <w:lang w:eastAsia="zh-CN"/>
        </w:rPr>
        <w:t>投标供应商</w:t>
      </w:r>
      <w:r>
        <w:rPr>
          <w:rStyle w:val="156"/>
          <w:rFonts w:hint="default" w:ascii="Times New Roman" w:hAnsi="Times New Roman" w:cs="Times New Roman"/>
          <w:color w:val="auto"/>
          <w:sz w:val="24"/>
          <w:highlight w:val="none"/>
        </w:rPr>
        <w:t>须知前附表另有规定外，</w:t>
      </w:r>
      <w:r>
        <w:rPr>
          <w:rStyle w:val="156"/>
          <w:rFonts w:hint="default" w:ascii="Times New Roman" w:hAnsi="Times New Roman" w:cs="Times New Roman"/>
          <w:color w:val="auto"/>
          <w:sz w:val="24"/>
          <w:highlight w:val="none"/>
          <w:lang w:eastAsia="zh-CN"/>
        </w:rPr>
        <w:t>投标供应商</w:t>
      </w:r>
      <w:r>
        <w:rPr>
          <w:rStyle w:val="156"/>
          <w:rFonts w:hint="default" w:ascii="Times New Roman" w:hAnsi="Times New Roman" w:cs="Times New Roman"/>
          <w:color w:val="auto"/>
          <w:sz w:val="24"/>
          <w:highlight w:val="none"/>
        </w:rPr>
        <w:t>所递交的</w:t>
      </w:r>
      <w:r>
        <w:rPr>
          <w:rStyle w:val="156"/>
          <w:rFonts w:hint="default" w:ascii="Times New Roman" w:hAnsi="Times New Roman" w:cs="Times New Roman"/>
          <w:color w:val="auto"/>
          <w:sz w:val="24"/>
          <w:highlight w:val="none"/>
          <w:lang w:eastAsia="zh-CN"/>
        </w:rPr>
        <w:t>投标文件</w:t>
      </w:r>
      <w:r>
        <w:rPr>
          <w:rStyle w:val="156"/>
          <w:rFonts w:hint="default" w:ascii="Times New Roman" w:hAnsi="Times New Roman" w:cs="Times New Roman"/>
          <w:color w:val="auto"/>
          <w:sz w:val="24"/>
          <w:highlight w:val="none"/>
        </w:rPr>
        <w:t>不予退还</w:t>
      </w:r>
      <w:r>
        <w:rPr>
          <w:rFonts w:hint="default" w:ascii="Times New Roman" w:hAnsi="Times New Roman" w:cs="Times New Roman"/>
          <w:color w:val="auto"/>
          <w:sz w:val="24"/>
          <w:szCs w:val="24"/>
          <w:highlight w:val="none"/>
        </w:rPr>
        <w:t>。</w:t>
      </w:r>
    </w:p>
    <w:p w14:paraId="64C05007">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13.3</w:t>
      </w:r>
      <w:r>
        <w:rPr>
          <w:rFonts w:hint="eastAsia" w:cs="Times New Roman"/>
          <w:color w:val="auto"/>
          <w:sz w:val="24"/>
          <w:szCs w:val="24"/>
          <w:highlight w:val="none"/>
          <w:lang w:val="en-US" w:eastAsia="zh-CN"/>
        </w:rPr>
        <w:t xml:space="preserve">  </w:t>
      </w:r>
      <w:r>
        <w:rPr>
          <w:rStyle w:val="156"/>
          <w:rFonts w:hint="default" w:ascii="Times New Roman" w:hAnsi="Times New Roman" w:cs="Times New Roman"/>
          <w:color w:val="auto"/>
          <w:sz w:val="24"/>
          <w:highlight w:val="none"/>
        </w:rPr>
        <w:t>逾期送达的或者未送达指定地点的</w:t>
      </w:r>
      <w:r>
        <w:rPr>
          <w:rStyle w:val="156"/>
          <w:rFonts w:hint="default" w:ascii="Times New Roman" w:hAnsi="Times New Roman" w:cs="Times New Roman"/>
          <w:color w:val="auto"/>
          <w:sz w:val="24"/>
          <w:highlight w:val="none"/>
          <w:lang w:eastAsia="zh-CN"/>
        </w:rPr>
        <w:t>投标文件</w:t>
      </w:r>
      <w:r>
        <w:rPr>
          <w:rStyle w:val="156"/>
          <w:rFonts w:hint="default" w:ascii="Times New Roman" w:hAnsi="Times New Roman" w:cs="Times New Roman"/>
          <w:color w:val="auto"/>
          <w:sz w:val="24"/>
          <w:highlight w:val="none"/>
        </w:rPr>
        <w:t>，</w:t>
      </w:r>
      <w:r>
        <w:rPr>
          <w:rStyle w:val="156"/>
          <w:rFonts w:hint="default" w:ascii="Times New Roman" w:hAnsi="Times New Roman" w:cs="Times New Roman"/>
          <w:color w:val="auto"/>
          <w:sz w:val="24"/>
          <w:highlight w:val="none"/>
          <w:lang w:eastAsia="zh-CN"/>
        </w:rPr>
        <w:t>采购人</w:t>
      </w:r>
      <w:r>
        <w:rPr>
          <w:rStyle w:val="156"/>
          <w:rFonts w:hint="default" w:ascii="Times New Roman" w:hAnsi="Times New Roman" w:cs="Times New Roman"/>
          <w:color w:val="auto"/>
          <w:sz w:val="24"/>
          <w:highlight w:val="none"/>
        </w:rPr>
        <w:t>不予受理</w:t>
      </w:r>
    </w:p>
    <w:p w14:paraId="0181FA15">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13.4</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出现因</w:t>
      </w:r>
      <w:r>
        <w:rPr>
          <w:rFonts w:hint="default" w:ascii="Times New Roman" w:hAnsi="Times New Roman" w:cs="Times New Roman"/>
          <w:color w:val="auto"/>
          <w:sz w:val="24"/>
          <w:szCs w:val="24"/>
          <w:highlight w:val="none"/>
          <w:lang w:eastAsia="zh-CN"/>
        </w:rPr>
        <w:t>公开招标文件</w:t>
      </w:r>
      <w:r>
        <w:rPr>
          <w:rFonts w:hint="default" w:ascii="Times New Roman" w:hAnsi="Times New Roman" w:cs="Times New Roman"/>
          <w:color w:val="auto"/>
          <w:sz w:val="24"/>
          <w:szCs w:val="24"/>
          <w:highlight w:val="none"/>
        </w:rPr>
        <w:t>的修改而推迟投标截止时间的情况时，</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则需按</w:t>
      </w:r>
      <w:r>
        <w:rPr>
          <w:rFonts w:hint="eastAsia" w:cs="Times New Roman"/>
          <w:color w:val="auto"/>
          <w:sz w:val="24"/>
          <w:szCs w:val="24"/>
          <w:highlight w:val="none"/>
          <w:lang w:eastAsia="zh-CN"/>
        </w:rPr>
        <w:t>采购人或者采购代理机构</w:t>
      </w:r>
      <w:r>
        <w:rPr>
          <w:rFonts w:hint="default" w:ascii="Times New Roman" w:hAnsi="Times New Roman" w:cs="Times New Roman"/>
          <w:color w:val="auto"/>
          <w:sz w:val="24"/>
          <w:szCs w:val="24"/>
          <w:highlight w:val="none"/>
        </w:rPr>
        <w:t>的书面修改通知重新规定的投标时间递交。</w:t>
      </w:r>
    </w:p>
    <w:p w14:paraId="066B3D22">
      <w:pPr>
        <w:spacing w:line="440" w:lineRule="exact"/>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14.</w:t>
      </w:r>
      <w:r>
        <w:rPr>
          <w:rFonts w:hint="default" w:ascii="Times New Roman" w:hAnsi="Times New Roman" w:cs="Times New Roman"/>
          <w:b/>
          <w:color w:val="auto"/>
          <w:sz w:val="24"/>
          <w:szCs w:val="24"/>
          <w:highlight w:val="none"/>
          <w:lang w:eastAsia="zh-CN"/>
        </w:rPr>
        <w:t>投标文件</w:t>
      </w:r>
      <w:r>
        <w:rPr>
          <w:rStyle w:val="156"/>
          <w:rFonts w:hint="default" w:ascii="Times New Roman" w:hAnsi="Times New Roman" w:cs="Times New Roman"/>
          <w:b/>
          <w:bCs/>
          <w:color w:val="auto"/>
          <w:sz w:val="24"/>
          <w:highlight w:val="none"/>
        </w:rPr>
        <w:t>的</w:t>
      </w:r>
      <w:r>
        <w:rPr>
          <w:rStyle w:val="156"/>
          <w:rFonts w:hint="default" w:ascii="Times New Roman" w:hAnsi="Times New Roman" w:cs="Times New Roman"/>
          <w:b/>
          <w:color w:val="auto"/>
          <w:kern w:val="0"/>
          <w:sz w:val="24"/>
          <w:highlight w:val="none"/>
          <w:lang w:val="zh-CN"/>
        </w:rPr>
        <w:t>补充、修改或者撤回</w:t>
      </w:r>
    </w:p>
    <w:p w14:paraId="411FAD14">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14.1</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在</w:t>
      </w:r>
      <w:r>
        <w:rPr>
          <w:rFonts w:hint="default" w:ascii="Times New Roman" w:hAnsi="Times New Roman" w:cs="Times New Roman"/>
          <w:color w:val="auto"/>
          <w:sz w:val="24"/>
          <w:szCs w:val="24"/>
          <w:highlight w:val="none"/>
          <w:lang w:eastAsia="zh-CN"/>
        </w:rPr>
        <w:t>公开招标文件</w:t>
      </w:r>
      <w:r>
        <w:rPr>
          <w:rFonts w:hint="default" w:ascii="Times New Roman" w:hAnsi="Times New Roman" w:cs="Times New Roman"/>
          <w:color w:val="auto"/>
          <w:sz w:val="24"/>
          <w:szCs w:val="24"/>
          <w:highlight w:val="none"/>
        </w:rPr>
        <w:t>规定的提交</w:t>
      </w:r>
      <w:r>
        <w:rPr>
          <w:rFonts w:hint="default" w:ascii="Times New Roman" w:hAnsi="Times New Roman" w:cs="Times New Roman"/>
          <w:color w:val="auto"/>
          <w:sz w:val="24"/>
          <w:szCs w:val="24"/>
          <w:highlight w:val="none"/>
          <w:lang w:eastAsia="zh-CN"/>
        </w:rPr>
        <w:t>投标文件</w:t>
      </w:r>
      <w:r>
        <w:rPr>
          <w:rFonts w:hint="default" w:ascii="Times New Roman" w:hAnsi="Times New Roman" w:cs="Times New Roman"/>
          <w:color w:val="auto"/>
          <w:sz w:val="24"/>
          <w:szCs w:val="24"/>
          <w:highlight w:val="none"/>
        </w:rPr>
        <w:t>截止时间前，可以撤回已递交的</w:t>
      </w:r>
      <w:r>
        <w:rPr>
          <w:rFonts w:hint="default" w:ascii="Times New Roman" w:hAnsi="Times New Roman" w:cs="Times New Roman"/>
          <w:color w:val="auto"/>
          <w:sz w:val="24"/>
          <w:szCs w:val="24"/>
          <w:highlight w:val="none"/>
          <w:lang w:eastAsia="zh-CN"/>
        </w:rPr>
        <w:t>投标文件</w:t>
      </w:r>
      <w:r>
        <w:rPr>
          <w:rFonts w:hint="default" w:ascii="Times New Roman" w:hAnsi="Times New Roman" w:cs="Times New Roman"/>
          <w:color w:val="auto"/>
          <w:sz w:val="24"/>
          <w:szCs w:val="24"/>
          <w:highlight w:val="none"/>
        </w:rPr>
        <w:t>。如要修改，必须在撤回并修改后在规定的</w:t>
      </w:r>
      <w:r>
        <w:rPr>
          <w:rFonts w:hint="default" w:ascii="Times New Roman" w:hAnsi="Times New Roman" w:cs="Times New Roman"/>
          <w:color w:val="auto"/>
          <w:sz w:val="24"/>
          <w:szCs w:val="24"/>
          <w:highlight w:val="none"/>
          <w:lang w:eastAsia="zh-CN"/>
        </w:rPr>
        <w:t>投标文件</w:t>
      </w:r>
      <w:r>
        <w:rPr>
          <w:rFonts w:hint="default" w:ascii="Times New Roman" w:hAnsi="Times New Roman" w:cs="Times New Roman"/>
          <w:color w:val="auto"/>
          <w:sz w:val="24"/>
          <w:szCs w:val="24"/>
          <w:highlight w:val="none"/>
        </w:rPr>
        <w:t>递交截止时间之前将修改后的</w:t>
      </w:r>
      <w:r>
        <w:rPr>
          <w:rFonts w:hint="default" w:ascii="Times New Roman" w:hAnsi="Times New Roman" w:cs="Times New Roman"/>
          <w:color w:val="auto"/>
          <w:sz w:val="24"/>
          <w:szCs w:val="24"/>
          <w:highlight w:val="none"/>
          <w:lang w:eastAsia="zh-CN"/>
        </w:rPr>
        <w:t>投标文件</w:t>
      </w:r>
      <w:r>
        <w:rPr>
          <w:rFonts w:hint="default" w:ascii="Times New Roman" w:hAnsi="Times New Roman" w:cs="Times New Roman"/>
          <w:color w:val="auto"/>
          <w:sz w:val="24"/>
          <w:szCs w:val="24"/>
          <w:highlight w:val="none"/>
        </w:rPr>
        <w:t>再重新递交。在</w:t>
      </w:r>
      <w:r>
        <w:rPr>
          <w:rFonts w:hint="default" w:ascii="Times New Roman" w:hAnsi="Times New Roman" w:cs="Times New Roman"/>
          <w:color w:val="auto"/>
          <w:sz w:val="24"/>
          <w:szCs w:val="24"/>
          <w:highlight w:val="none"/>
          <w:lang w:eastAsia="zh-CN"/>
        </w:rPr>
        <w:t>投标文件</w:t>
      </w:r>
      <w:r>
        <w:rPr>
          <w:rFonts w:hint="default" w:ascii="Times New Roman" w:hAnsi="Times New Roman" w:cs="Times New Roman"/>
          <w:color w:val="auto"/>
          <w:sz w:val="24"/>
          <w:szCs w:val="24"/>
          <w:highlight w:val="none"/>
        </w:rPr>
        <w:t>递交截止时间之后，供应商不得对已经递交的</w:t>
      </w:r>
      <w:r>
        <w:rPr>
          <w:rFonts w:hint="default" w:ascii="Times New Roman" w:hAnsi="Times New Roman" w:cs="Times New Roman"/>
          <w:color w:val="auto"/>
          <w:sz w:val="24"/>
          <w:szCs w:val="24"/>
          <w:highlight w:val="none"/>
          <w:lang w:eastAsia="zh-CN"/>
        </w:rPr>
        <w:t>投标文件</w:t>
      </w:r>
      <w:r>
        <w:rPr>
          <w:rFonts w:hint="default" w:ascii="Times New Roman" w:hAnsi="Times New Roman" w:cs="Times New Roman"/>
          <w:color w:val="auto"/>
          <w:sz w:val="24"/>
          <w:szCs w:val="24"/>
          <w:highlight w:val="none"/>
        </w:rPr>
        <w:t>撤销或修改。</w:t>
      </w:r>
    </w:p>
    <w:p w14:paraId="7B9A7AF6">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14.2</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不得在开标后至</w:t>
      </w:r>
      <w:r>
        <w:rPr>
          <w:rFonts w:hint="default" w:ascii="Times New Roman" w:hAnsi="Times New Roman" w:cs="Times New Roman"/>
          <w:color w:val="auto"/>
          <w:sz w:val="24"/>
          <w:szCs w:val="24"/>
          <w:highlight w:val="none"/>
          <w:lang w:eastAsia="zh-CN"/>
        </w:rPr>
        <w:t>投标有效期</w:t>
      </w:r>
      <w:r>
        <w:rPr>
          <w:rFonts w:hint="default" w:ascii="Times New Roman" w:hAnsi="Times New Roman" w:cs="Times New Roman"/>
          <w:color w:val="auto"/>
          <w:sz w:val="24"/>
          <w:szCs w:val="24"/>
          <w:highlight w:val="none"/>
        </w:rPr>
        <w:t>期满前撤销</w:t>
      </w:r>
      <w:r>
        <w:rPr>
          <w:rFonts w:hint="default" w:ascii="Times New Roman" w:hAnsi="Times New Roman" w:cs="Times New Roman"/>
          <w:color w:val="auto"/>
          <w:sz w:val="24"/>
          <w:szCs w:val="24"/>
          <w:highlight w:val="none"/>
          <w:lang w:eastAsia="zh-CN"/>
        </w:rPr>
        <w:t>投标文件</w:t>
      </w:r>
      <w:r>
        <w:rPr>
          <w:rFonts w:hint="default" w:ascii="Times New Roman" w:hAnsi="Times New Roman" w:cs="Times New Roman"/>
          <w:color w:val="auto"/>
          <w:sz w:val="24"/>
          <w:szCs w:val="24"/>
          <w:highlight w:val="none"/>
        </w:rPr>
        <w:t>，否则</w:t>
      </w:r>
      <w:r>
        <w:rPr>
          <w:rFonts w:hint="eastAsia" w:cs="Times New Roman"/>
          <w:color w:val="auto"/>
          <w:sz w:val="24"/>
          <w:szCs w:val="24"/>
          <w:highlight w:val="none"/>
          <w:lang w:eastAsia="zh-CN"/>
        </w:rPr>
        <w:t>采购人或者采购代理机构</w:t>
      </w:r>
      <w:r>
        <w:rPr>
          <w:rFonts w:hint="default" w:ascii="Times New Roman" w:hAnsi="Times New Roman" w:cs="Times New Roman"/>
          <w:color w:val="auto"/>
          <w:sz w:val="24"/>
          <w:szCs w:val="24"/>
          <w:highlight w:val="none"/>
        </w:rPr>
        <w:t>将不予退还其投标保证金。</w:t>
      </w:r>
    </w:p>
    <w:p w14:paraId="52C56372">
      <w:pPr>
        <w:spacing w:line="440" w:lineRule="exact"/>
        <w:jc w:val="both"/>
        <w:outlineLvl w:val="1"/>
        <w:rPr>
          <w:rFonts w:hint="default" w:ascii="Times New Roman" w:hAnsi="Times New Roman" w:cs="Times New Roman"/>
          <w:b/>
          <w:color w:val="auto"/>
          <w:sz w:val="28"/>
          <w:szCs w:val="32"/>
          <w:highlight w:val="none"/>
        </w:rPr>
      </w:pPr>
      <w:bookmarkStart w:id="27" w:name="_Toc89792133"/>
      <w:bookmarkStart w:id="28" w:name="_Toc1099"/>
      <w:bookmarkStart w:id="29" w:name="_Toc1361"/>
    </w:p>
    <w:p w14:paraId="3C93F3BF">
      <w:pPr>
        <w:spacing w:line="440" w:lineRule="exact"/>
        <w:jc w:val="center"/>
        <w:outlineLvl w:val="1"/>
        <w:rPr>
          <w:rFonts w:hint="default" w:ascii="Times New Roman" w:hAnsi="Times New Roman" w:eastAsia="宋体" w:cs="Times New Roman"/>
          <w:color w:val="auto"/>
          <w:sz w:val="22"/>
          <w:highlight w:val="none"/>
          <w:lang w:eastAsia="zh-CN"/>
        </w:rPr>
      </w:pPr>
      <w:r>
        <w:rPr>
          <w:rFonts w:hint="default" w:ascii="Times New Roman" w:hAnsi="Times New Roman" w:cs="Times New Roman"/>
          <w:b/>
          <w:color w:val="auto"/>
          <w:sz w:val="28"/>
          <w:szCs w:val="32"/>
          <w:highlight w:val="none"/>
        </w:rPr>
        <w:t>第四章</w:t>
      </w:r>
      <w:bookmarkEnd w:id="27"/>
      <w:r>
        <w:rPr>
          <w:rFonts w:hint="default" w:ascii="Times New Roman" w:hAnsi="Times New Roman" w:cs="Times New Roman"/>
          <w:b/>
          <w:color w:val="auto"/>
          <w:sz w:val="28"/>
          <w:szCs w:val="32"/>
          <w:highlight w:val="none"/>
          <w:lang w:eastAsia="zh-CN"/>
        </w:rPr>
        <w:t>评标委员会</w:t>
      </w:r>
      <w:bookmarkEnd w:id="28"/>
      <w:bookmarkEnd w:id="29"/>
    </w:p>
    <w:p w14:paraId="698DF3AD">
      <w:pPr>
        <w:spacing w:line="440" w:lineRule="exact"/>
        <w:ind w:left="481" w:leftChars="229"/>
        <w:rPr>
          <w:rFonts w:hint="default" w:ascii="Times New Roman" w:hAnsi="Times New Roman" w:eastAsia="宋体" w:cs="Times New Roman"/>
          <w:b/>
          <w:color w:val="auto"/>
          <w:sz w:val="24"/>
          <w:highlight w:val="none"/>
          <w:lang w:eastAsia="zh-CN"/>
        </w:rPr>
      </w:pPr>
      <w:r>
        <w:rPr>
          <w:rFonts w:hint="default" w:ascii="Times New Roman" w:hAnsi="Times New Roman" w:cs="Times New Roman"/>
          <w:b/>
          <w:color w:val="auto"/>
          <w:sz w:val="24"/>
          <w:highlight w:val="none"/>
        </w:rPr>
        <w:t>15.</w:t>
      </w:r>
      <w:r>
        <w:rPr>
          <w:rFonts w:hint="default" w:ascii="Times New Roman" w:hAnsi="Times New Roman" w:cs="Times New Roman"/>
          <w:b/>
          <w:color w:val="auto"/>
          <w:sz w:val="24"/>
          <w:highlight w:val="none"/>
          <w:lang w:eastAsia="zh-CN"/>
        </w:rPr>
        <w:t>评标委员会</w:t>
      </w:r>
    </w:p>
    <w:p w14:paraId="19B3A75D">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15.1</w:t>
      </w:r>
      <w:r>
        <w:rPr>
          <w:rFonts w:hint="eastAsia" w:cs="Times New Roman"/>
          <w:color w:val="auto"/>
          <w:spacing w:val="-2"/>
          <w:sz w:val="24"/>
          <w:szCs w:val="24"/>
          <w:highlight w:val="none"/>
          <w:lang w:val="en-US" w:eastAsia="zh-CN"/>
        </w:rPr>
        <w:t xml:space="preserve">  </w:t>
      </w:r>
      <w:r>
        <w:rPr>
          <w:rFonts w:hint="eastAsia" w:cs="Times New Roman"/>
          <w:color w:val="auto"/>
          <w:spacing w:val="-2"/>
          <w:sz w:val="24"/>
          <w:szCs w:val="24"/>
          <w:highlight w:val="none"/>
          <w:lang w:eastAsia="zh-CN"/>
        </w:rPr>
        <w:t>采购人或者采购代理机构</w:t>
      </w:r>
      <w:r>
        <w:rPr>
          <w:rFonts w:hint="default" w:ascii="Times New Roman" w:hAnsi="Times New Roman" w:cs="Times New Roman"/>
          <w:color w:val="auto"/>
          <w:spacing w:val="-2"/>
          <w:sz w:val="24"/>
          <w:szCs w:val="24"/>
          <w:highlight w:val="none"/>
        </w:rPr>
        <w:t>将根据《中华人民共和国政府采购法》和相关法律法规，依法组建本次招标的</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，负责本次招标的评标活动。</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负责按</w:t>
      </w:r>
      <w:r>
        <w:rPr>
          <w:rFonts w:hint="default" w:ascii="Times New Roman" w:hAnsi="Times New Roman" w:cs="Times New Roman"/>
          <w:color w:val="auto"/>
          <w:spacing w:val="-2"/>
          <w:sz w:val="24"/>
          <w:szCs w:val="24"/>
          <w:highlight w:val="none"/>
          <w:lang w:eastAsia="zh-CN"/>
        </w:rPr>
        <w:t>公开招标文件</w:t>
      </w:r>
      <w:r>
        <w:rPr>
          <w:rFonts w:hint="default" w:ascii="Times New Roman" w:hAnsi="Times New Roman" w:cs="Times New Roman"/>
          <w:color w:val="auto"/>
          <w:spacing w:val="-2"/>
          <w:sz w:val="24"/>
          <w:szCs w:val="24"/>
          <w:highlight w:val="none"/>
        </w:rPr>
        <w:t>规定的评标标准向</w:t>
      </w:r>
      <w:r>
        <w:rPr>
          <w:rFonts w:hint="eastAsia" w:cs="Times New Roman"/>
          <w:color w:val="auto"/>
          <w:spacing w:val="-2"/>
          <w:sz w:val="24"/>
          <w:szCs w:val="24"/>
          <w:highlight w:val="none"/>
          <w:lang w:eastAsia="zh-CN"/>
        </w:rPr>
        <w:t>采购人或者采购代理机构</w:t>
      </w:r>
      <w:r>
        <w:rPr>
          <w:rFonts w:hint="default" w:ascii="Times New Roman" w:hAnsi="Times New Roman" w:cs="Times New Roman"/>
          <w:color w:val="auto"/>
          <w:spacing w:val="-2"/>
          <w:sz w:val="24"/>
          <w:szCs w:val="24"/>
          <w:highlight w:val="none"/>
        </w:rPr>
        <w:t>推荐中标候选</w:t>
      </w:r>
      <w:r>
        <w:rPr>
          <w:rFonts w:hint="eastAsia" w:cs="Times New Roman"/>
          <w:color w:val="auto"/>
          <w:spacing w:val="-2"/>
          <w:sz w:val="24"/>
          <w:szCs w:val="24"/>
          <w:highlight w:val="none"/>
          <w:lang w:eastAsia="zh-CN"/>
        </w:rPr>
        <w:t>供应商</w:t>
      </w:r>
      <w:r>
        <w:rPr>
          <w:rFonts w:hint="default" w:ascii="Times New Roman" w:hAnsi="Times New Roman" w:cs="Times New Roman"/>
          <w:color w:val="auto"/>
          <w:spacing w:val="-2"/>
          <w:sz w:val="24"/>
          <w:szCs w:val="24"/>
          <w:highlight w:val="none"/>
        </w:rPr>
        <w:t>，并标明排列顺序。</w:t>
      </w:r>
    </w:p>
    <w:p w14:paraId="4CC528F1">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15.2　</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人选于开标前确定。</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成员名单在中标结果确定前保密。</w:t>
      </w:r>
    </w:p>
    <w:p w14:paraId="6C13DDBF">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15.3</w:t>
      </w:r>
      <w:r>
        <w:rPr>
          <w:rFonts w:hint="eastAsia" w:cs="Times New Roman"/>
          <w:color w:val="auto"/>
          <w:spacing w:val="-2"/>
          <w:sz w:val="24"/>
          <w:szCs w:val="24"/>
          <w:highlight w:val="none"/>
          <w:lang w:val="en-US" w:eastAsia="zh-CN"/>
        </w:rPr>
        <w:t xml:space="preserve">  </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由有关技术、经济等方面的</w:t>
      </w:r>
      <w:r>
        <w:rPr>
          <w:rFonts w:hint="default" w:ascii="Times New Roman" w:hAnsi="Times New Roman" w:cs="Times New Roman"/>
          <w:color w:val="auto"/>
          <w:spacing w:val="-2"/>
          <w:sz w:val="24"/>
          <w:szCs w:val="24"/>
          <w:highlight w:val="none"/>
          <w:lang w:val="en-US" w:eastAsia="zh-CN"/>
        </w:rPr>
        <w:t>五</w:t>
      </w:r>
      <w:r>
        <w:rPr>
          <w:rFonts w:hint="default" w:ascii="Times New Roman" w:hAnsi="Times New Roman" w:cs="Times New Roman"/>
          <w:color w:val="auto"/>
          <w:spacing w:val="-2"/>
          <w:sz w:val="24"/>
          <w:szCs w:val="24"/>
          <w:highlight w:val="none"/>
        </w:rPr>
        <w:t>名</w:t>
      </w:r>
      <w:r>
        <w:rPr>
          <w:rFonts w:hint="default" w:ascii="Times New Roman" w:hAnsi="Times New Roman" w:cs="Times New Roman"/>
          <w:color w:val="auto"/>
          <w:spacing w:val="-2"/>
          <w:sz w:val="24"/>
          <w:szCs w:val="24"/>
          <w:highlight w:val="none"/>
          <w:lang w:val="en-US" w:eastAsia="zh-CN"/>
        </w:rPr>
        <w:t>及五名</w:t>
      </w:r>
      <w:r>
        <w:rPr>
          <w:rFonts w:hint="default" w:ascii="Times New Roman" w:hAnsi="Times New Roman" w:cs="Times New Roman"/>
          <w:color w:val="auto"/>
          <w:spacing w:val="-2"/>
          <w:sz w:val="24"/>
          <w:szCs w:val="24"/>
          <w:highlight w:val="none"/>
        </w:rPr>
        <w:t>以上专家组成。</w:t>
      </w:r>
    </w:p>
    <w:p w14:paraId="27AEDA84">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15.4</w:t>
      </w:r>
      <w:r>
        <w:rPr>
          <w:rFonts w:hint="eastAsia" w:cs="Times New Roman"/>
          <w:color w:val="auto"/>
          <w:spacing w:val="-2"/>
          <w:sz w:val="24"/>
          <w:szCs w:val="24"/>
          <w:highlight w:val="none"/>
          <w:lang w:val="en-US" w:eastAsia="zh-CN"/>
        </w:rPr>
        <w:t xml:space="preserve">  </w:t>
      </w:r>
      <w:r>
        <w:rPr>
          <w:rFonts w:hint="default" w:ascii="Times New Roman" w:hAnsi="Times New Roman" w:cs="Times New Roman"/>
          <w:color w:val="auto"/>
          <w:spacing w:val="-2"/>
          <w:sz w:val="24"/>
          <w:szCs w:val="24"/>
          <w:highlight w:val="none"/>
        </w:rPr>
        <w:t>按前款规定，</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的成员，由</w:t>
      </w:r>
      <w:r>
        <w:rPr>
          <w:rFonts w:hint="eastAsia" w:cs="Times New Roman"/>
          <w:color w:val="auto"/>
          <w:spacing w:val="-2"/>
          <w:sz w:val="24"/>
          <w:szCs w:val="24"/>
          <w:highlight w:val="none"/>
          <w:lang w:eastAsia="zh-CN"/>
        </w:rPr>
        <w:t>采购人或者采购代理机构</w:t>
      </w:r>
      <w:r>
        <w:rPr>
          <w:rFonts w:hint="default" w:ascii="Times New Roman" w:hAnsi="Times New Roman" w:cs="Times New Roman"/>
          <w:color w:val="auto"/>
          <w:spacing w:val="-2"/>
          <w:sz w:val="24"/>
          <w:szCs w:val="24"/>
          <w:highlight w:val="none"/>
        </w:rPr>
        <w:t>从专家库采取随机抽取的方式确定。对于技术复杂、专业性要求较高或者国家有特殊要求的招标项目，采取随机抽取的方式抽取的专家不能满足评标工作需要时，可采取直接确定的方式选定</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的人选。</w:t>
      </w:r>
    </w:p>
    <w:p w14:paraId="4F40BF71">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15.5</w:t>
      </w:r>
      <w:r>
        <w:rPr>
          <w:rFonts w:hint="eastAsia" w:cs="Times New Roman"/>
          <w:color w:val="auto"/>
          <w:spacing w:val="-2"/>
          <w:sz w:val="24"/>
          <w:szCs w:val="24"/>
          <w:highlight w:val="none"/>
          <w:lang w:val="en-US" w:eastAsia="zh-CN"/>
        </w:rPr>
        <w:t xml:space="preserve">  </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成员应当熟悉并认真研究</w:t>
      </w:r>
      <w:r>
        <w:rPr>
          <w:rFonts w:hint="default" w:ascii="Times New Roman" w:hAnsi="Times New Roman" w:cs="Times New Roman"/>
          <w:color w:val="auto"/>
          <w:spacing w:val="-2"/>
          <w:sz w:val="24"/>
          <w:szCs w:val="24"/>
          <w:highlight w:val="none"/>
          <w:lang w:eastAsia="zh-CN"/>
        </w:rPr>
        <w:t>公开招标文件</w:t>
      </w:r>
      <w:r>
        <w:rPr>
          <w:rFonts w:hint="default" w:ascii="Times New Roman" w:hAnsi="Times New Roman" w:cs="Times New Roman"/>
          <w:color w:val="auto"/>
          <w:spacing w:val="-2"/>
          <w:sz w:val="24"/>
          <w:szCs w:val="24"/>
          <w:highlight w:val="none"/>
        </w:rPr>
        <w:t>，至少应了解和熟悉以下内容：</w:t>
      </w:r>
    </w:p>
    <w:p w14:paraId="596A0E47">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（1）招标目的；</w:t>
      </w:r>
    </w:p>
    <w:p w14:paraId="69E2D2C8">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（2）招标项目的范围、性质；</w:t>
      </w:r>
    </w:p>
    <w:p w14:paraId="2C46D932">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（3）</w:t>
      </w:r>
      <w:r>
        <w:rPr>
          <w:rFonts w:hint="default" w:ascii="Times New Roman" w:hAnsi="Times New Roman" w:cs="Times New Roman"/>
          <w:color w:val="auto"/>
          <w:spacing w:val="-2"/>
          <w:sz w:val="24"/>
          <w:szCs w:val="24"/>
          <w:highlight w:val="none"/>
          <w:lang w:eastAsia="zh-CN"/>
        </w:rPr>
        <w:t>公开招标文件</w:t>
      </w:r>
      <w:r>
        <w:rPr>
          <w:rFonts w:hint="default" w:ascii="Times New Roman" w:hAnsi="Times New Roman" w:cs="Times New Roman"/>
          <w:color w:val="auto"/>
          <w:spacing w:val="-2"/>
          <w:sz w:val="24"/>
          <w:szCs w:val="24"/>
          <w:highlight w:val="none"/>
        </w:rPr>
        <w:t>中规定的主要技术要求、标准和商务条款；</w:t>
      </w:r>
    </w:p>
    <w:p w14:paraId="6135D8B8">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（4）</w:t>
      </w:r>
      <w:r>
        <w:rPr>
          <w:rFonts w:hint="default" w:ascii="Times New Roman" w:hAnsi="Times New Roman" w:cs="Times New Roman"/>
          <w:color w:val="auto"/>
          <w:spacing w:val="-2"/>
          <w:sz w:val="24"/>
          <w:szCs w:val="24"/>
          <w:highlight w:val="none"/>
          <w:lang w:eastAsia="zh-CN"/>
        </w:rPr>
        <w:t>公开招标文件</w:t>
      </w:r>
      <w:r>
        <w:rPr>
          <w:rFonts w:hint="default" w:ascii="Times New Roman" w:hAnsi="Times New Roman" w:cs="Times New Roman"/>
          <w:color w:val="auto"/>
          <w:spacing w:val="-2"/>
          <w:sz w:val="24"/>
          <w:szCs w:val="24"/>
          <w:highlight w:val="none"/>
        </w:rPr>
        <w:t>规定的评标标准、评标方法和在评标过程中应考虑的相关因素。</w:t>
      </w:r>
    </w:p>
    <w:p w14:paraId="2DE08359">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15.6</w:t>
      </w:r>
      <w:r>
        <w:rPr>
          <w:rFonts w:hint="eastAsia" w:cs="Times New Roman"/>
          <w:color w:val="auto"/>
          <w:spacing w:val="-2"/>
          <w:sz w:val="24"/>
          <w:szCs w:val="24"/>
          <w:highlight w:val="none"/>
          <w:lang w:val="en-US" w:eastAsia="zh-CN"/>
        </w:rPr>
        <w:t xml:space="preserve">  </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应当根据</w:t>
      </w:r>
      <w:r>
        <w:rPr>
          <w:rFonts w:hint="default" w:ascii="Times New Roman" w:hAnsi="Times New Roman" w:cs="Times New Roman"/>
          <w:color w:val="auto"/>
          <w:spacing w:val="-2"/>
          <w:sz w:val="24"/>
          <w:szCs w:val="24"/>
          <w:highlight w:val="none"/>
          <w:lang w:eastAsia="zh-CN"/>
        </w:rPr>
        <w:t>公开招标文件</w:t>
      </w:r>
      <w:r>
        <w:rPr>
          <w:rFonts w:hint="default" w:ascii="Times New Roman" w:hAnsi="Times New Roman" w:cs="Times New Roman"/>
          <w:color w:val="auto"/>
          <w:spacing w:val="-2"/>
          <w:sz w:val="24"/>
          <w:szCs w:val="24"/>
          <w:highlight w:val="none"/>
        </w:rPr>
        <w:t>规定的评标标准和方法，对</w:t>
      </w:r>
      <w:r>
        <w:rPr>
          <w:rFonts w:hint="default" w:ascii="Times New Roman" w:hAnsi="Times New Roman" w:cs="Times New Roman"/>
          <w:color w:val="auto"/>
          <w:spacing w:val="-2"/>
          <w:sz w:val="24"/>
          <w:szCs w:val="24"/>
          <w:highlight w:val="none"/>
          <w:lang w:eastAsia="zh-CN"/>
        </w:rPr>
        <w:t>投标文件</w:t>
      </w:r>
      <w:r>
        <w:rPr>
          <w:rFonts w:hint="default" w:ascii="Times New Roman" w:hAnsi="Times New Roman" w:cs="Times New Roman"/>
          <w:color w:val="auto"/>
          <w:spacing w:val="-2"/>
          <w:sz w:val="24"/>
          <w:szCs w:val="24"/>
          <w:highlight w:val="none"/>
        </w:rPr>
        <w:t>进行系统</w:t>
      </w:r>
      <w:r>
        <w:rPr>
          <w:rFonts w:hint="default" w:ascii="Times New Roman" w:hAnsi="Times New Roman" w:cs="Times New Roman"/>
          <w:color w:val="auto"/>
          <w:spacing w:val="-2"/>
          <w:sz w:val="24"/>
          <w:szCs w:val="24"/>
          <w:highlight w:val="none"/>
          <w:lang w:eastAsia="zh-CN"/>
        </w:rPr>
        <w:t>的</w:t>
      </w:r>
      <w:r>
        <w:rPr>
          <w:rFonts w:hint="default" w:ascii="Times New Roman" w:hAnsi="Times New Roman" w:cs="Times New Roman"/>
          <w:color w:val="auto"/>
          <w:spacing w:val="-2"/>
          <w:sz w:val="24"/>
          <w:szCs w:val="24"/>
          <w:highlight w:val="none"/>
        </w:rPr>
        <w:t>评审。</w:t>
      </w:r>
      <w:r>
        <w:rPr>
          <w:rFonts w:hint="default" w:ascii="Times New Roman" w:hAnsi="Times New Roman" w:cs="Times New Roman"/>
          <w:color w:val="auto"/>
          <w:spacing w:val="-2"/>
          <w:sz w:val="24"/>
          <w:szCs w:val="24"/>
          <w:highlight w:val="none"/>
          <w:lang w:eastAsia="zh-CN"/>
        </w:rPr>
        <w:t>公开招标文件</w:t>
      </w:r>
      <w:r>
        <w:rPr>
          <w:rFonts w:hint="default" w:ascii="Times New Roman" w:hAnsi="Times New Roman" w:cs="Times New Roman"/>
          <w:color w:val="auto"/>
          <w:spacing w:val="-2"/>
          <w:sz w:val="24"/>
          <w:szCs w:val="24"/>
          <w:highlight w:val="none"/>
        </w:rPr>
        <w:t>中没有规定的标准和方法不得作为评标的依据。</w:t>
      </w:r>
    </w:p>
    <w:p w14:paraId="6636D5C7">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15.7</w:t>
      </w:r>
      <w:r>
        <w:rPr>
          <w:rFonts w:hint="eastAsia" w:cs="Times New Roman"/>
          <w:color w:val="auto"/>
          <w:spacing w:val="-2"/>
          <w:sz w:val="24"/>
          <w:szCs w:val="24"/>
          <w:highlight w:val="none"/>
          <w:lang w:val="en-US" w:eastAsia="zh-CN"/>
        </w:rPr>
        <w:t xml:space="preserve">  </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成员应当客观、公正地履行职责，遵守职业道德，并对所提出的评审意见承担个人责任。</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成员不得与任何</w:t>
      </w:r>
      <w:r>
        <w:rPr>
          <w:rFonts w:hint="default" w:ascii="Times New Roman" w:hAnsi="Times New Roman" w:cs="Times New Roman"/>
          <w:color w:val="auto"/>
          <w:spacing w:val="-2"/>
          <w:sz w:val="24"/>
          <w:szCs w:val="24"/>
          <w:highlight w:val="none"/>
          <w:lang w:eastAsia="zh-CN"/>
        </w:rPr>
        <w:t>投标供应商</w:t>
      </w:r>
      <w:r>
        <w:rPr>
          <w:rFonts w:hint="default" w:ascii="Times New Roman" w:hAnsi="Times New Roman" w:cs="Times New Roman"/>
          <w:color w:val="auto"/>
          <w:spacing w:val="-2"/>
          <w:sz w:val="24"/>
          <w:szCs w:val="24"/>
          <w:highlight w:val="none"/>
        </w:rPr>
        <w:t>或者与招标结果有利害关系的人员进行私下接触，不得收受</w:t>
      </w:r>
      <w:r>
        <w:rPr>
          <w:rFonts w:hint="default" w:ascii="Times New Roman" w:hAnsi="Times New Roman" w:cs="Times New Roman"/>
          <w:color w:val="auto"/>
          <w:spacing w:val="-2"/>
          <w:sz w:val="24"/>
          <w:szCs w:val="24"/>
          <w:highlight w:val="none"/>
          <w:lang w:eastAsia="zh-CN"/>
        </w:rPr>
        <w:t>投标供应商</w:t>
      </w:r>
      <w:r>
        <w:rPr>
          <w:rFonts w:hint="default" w:ascii="Times New Roman" w:hAnsi="Times New Roman" w:cs="Times New Roman"/>
          <w:color w:val="auto"/>
          <w:spacing w:val="-2"/>
          <w:sz w:val="24"/>
          <w:szCs w:val="24"/>
          <w:highlight w:val="none"/>
        </w:rPr>
        <w:t>、中介人或其他有利害关系人的财物或好处。</w:t>
      </w:r>
    </w:p>
    <w:p w14:paraId="2F556C14">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15.8</w:t>
      </w:r>
      <w:r>
        <w:rPr>
          <w:rFonts w:hint="eastAsia" w:cs="Times New Roman"/>
          <w:color w:val="auto"/>
          <w:spacing w:val="-2"/>
          <w:sz w:val="24"/>
          <w:szCs w:val="24"/>
          <w:highlight w:val="none"/>
          <w:lang w:val="en-US" w:eastAsia="zh-CN"/>
        </w:rPr>
        <w:t xml:space="preserve">  </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成员和与本次评标活动有关的工作人员，不得透露对</w:t>
      </w:r>
      <w:r>
        <w:rPr>
          <w:rFonts w:hint="default" w:ascii="Times New Roman" w:hAnsi="Times New Roman" w:cs="Times New Roman"/>
          <w:color w:val="auto"/>
          <w:spacing w:val="-2"/>
          <w:sz w:val="24"/>
          <w:szCs w:val="24"/>
          <w:highlight w:val="none"/>
          <w:lang w:eastAsia="zh-CN"/>
        </w:rPr>
        <w:t>投标文件</w:t>
      </w:r>
      <w:r>
        <w:rPr>
          <w:rFonts w:hint="default" w:ascii="Times New Roman" w:hAnsi="Times New Roman" w:cs="Times New Roman"/>
          <w:color w:val="auto"/>
          <w:spacing w:val="-2"/>
          <w:sz w:val="24"/>
          <w:szCs w:val="24"/>
          <w:highlight w:val="none"/>
        </w:rPr>
        <w:t>的评审和中标候选</w:t>
      </w:r>
      <w:r>
        <w:rPr>
          <w:rFonts w:hint="eastAsia" w:cs="Times New Roman"/>
          <w:color w:val="auto"/>
          <w:spacing w:val="-2"/>
          <w:sz w:val="24"/>
          <w:szCs w:val="24"/>
          <w:highlight w:val="none"/>
          <w:lang w:eastAsia="zh-CN"/>
        </w:rPr>
        <w:t>供应商</w:t>
      </w:r>
      <w:r>
        <w:rPr>
          <w:rFonts w:hint="default" w:ascii="Times New Roman" w:hAnsi="Times New Roman" w:cs="Times New Roman"/>
          <w:color w:val="auto"/>
          <w:spacing w:val="-2"/>
          <w:sz w:val="24"/>
          <w:szCs w:val="24"/>
          <w:highlight w:val="none"/>
        </w:rPr>
        <w:t>的推荐情况以及与评标有关的其他情况。</w:t>
      </w:r>
    </w:p>
    <w:p w14:paraId="7F4B2DF4">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15.9</w:t>
      </w:r>
      <w:r>
        <w:rPr>
          <w:rFonts w:hint="eastAsia" w:cs="Times New Roman"/>
          <w:color w:val="auto"/>
          <w:spacing w:val="-2"/>
          <w:sz w:val="24"/>
          <w:szCs w:val="24"/>
          <w:highlight w:val="none"/>
          <w:lang w:val="en-US" w:eastAsia="zh-CN"/>
        </w:rPr>
        <w:t xml:space="preserve">  </w:t>
      </w:r>
      <w:r>
        <w:rPr>
          <w:rFonts w:hint="default" w:ascii="Times New Roman" w:hAnsi="Times New Roman" w:cs="Times New Roman"/>
          <w:color w:val="auto"/>
          <w:spacing w:val="-2"/>
          <w:sz w:val="24"/>
          <w:szCs w:val="24"/>
          <w:highlight w:val="none"/>
        </w:rPr>
        <w:t>与评标活动有关的工作人员，是指</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成员以外的、因参与评标监督工作或者事务性工作而知悉有关评标情况的所有人员。</w:t>
      </w:r>
    </w:p>
    <w:p w14:paraId="3BCD111C">
      <w:pPr>
        <w:keepNext w:val="0"/>
        <w:keepLines w:val="0"/>
        <w:pageBreakBefore w:val="0"/>
        <w:kinsoku/>
        <w:wordWrap/>
        <w:overflowPunct/>
        <w:topLinePunct w:val="0"/>
        <w:autoSpaceDE/>
        <w:autoSpaceDN/>
        <w:bidi w:val="0"/>
        <w:adjustRightInd/>
        <w:snapToGrid/>
        <w:spacing w:line="440" w:lineRule="exact"/>
        <w:jc w:val="center"/>
        <w:textAlignment w:val="auto"/>
        <w:outlineLvl w:val="0"/>
        <w:rPr>
          <w:rFonts w:hint="default" w:ascii="Times New Roman" w:hAnsi="Times New Roman" w:cs="Times New Roman"/>
          <w:b/>
          <w:color w:val="auto"/>
          <w:sz w:val="32"/>
          <w:szCs w:val="32"/>
          <w:highlight w:val="none"/>
        </w:rPr>
      </w:pPr>
    </w:p>
    <w:p w14:paraId="06C9D42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default" w:ascii="Times New Roman" w:hAnsi="Times New Roman" w:cs="Times New Roman"/>
          <w:b/>
          <w:color w:val="auto"/>
          <w:sz w:val="28"/>
          <w:szCs w:val="32"/>
          <w:highlight w:val="none"/>
        </w:rPr>
      </w:pPr>
      <w:bookmarkStart w:id="30" w:name="_Toc13943"/>
      <w:bookmarkStart w:id="31" w:name="_Toc3555"/>
      <w:bookmarkStart w:id="32" w:name="_Toc89792134"/>
      <w:r>
        <w:rPr>
          <w:rFonts w:hint="default" w:ascii="Times New Roman" w:hAnsi="Times New Roman" w:cs="Times New Roman"/>
          <w:b/>
          <w:color w:val="auto"/>
          <w:sz w:val="28"/>
          <w:szCs w:val="32"/>
          <w:highlight w:val="none"/>
        </w:rPr>
        <w:t>第五章开　标</w:t>
      </w:r>
      <w:bookmarkEnd w:id="30"/>
      <w:bookmarkEnd w:id="31"/>
      <w:bookmarkEnd w:id="32"/>
    </w:p>
    <w:p w14:paraId="454FCE3C">
      <w:pPr>
        <w:spacing w:line="440" w:lineRule="exact"/>
        <w:ind w:firstLine="474" w:firstLineChars="200"/>
        <w:rPr>
          <w:rFonts w:hint="default" w:ascii="Times New Roman" w:hAnsi="Times New Roman" w:cs="Times New Roman"/>
          <w:b/>
          <w:color w:val="auto"/>
          <w:spacing w:val="-2"/>
          <w:sz w:val="24"/>
          <w:szCs w:val="24"/>
          <w:highlight w:val="none"/>
        </w:rPr>
      </w:pPr>
      <w:r>
        <w:rPr>
          <w:rFonts w:hint="default" w:ascii="Times New Roman" w:hAnsi="Times New Roman" w:cs="Times New Roman"/>
          <w:b/>
          <w:color w:val="auto"/>
          <w:spacing w:val="-2"/>
          <w:sz w:val="24"/>
          <w:szCs w:val="24"/>
          <w:highlight w:val="none"/>
        </w:rPr>
        <w:t>16.开标</w:t>
      </w:r>
    </w:p>
    <w:p w14:paraId="68D588D4">
      <w:pPr>
        <w:spacing w:line="440" w:lineRule="exact"/>
        <w:ind w:firstLine="472" w:firstLineChars="200"/>
        <w:rPr>
          <w:rFonts w:hint="default" w:ascii="Times New Roman" w:hAnsi="Times New Roman" w:cs="Times New Roman"/>
          <w:b w:val="0"/>
          <w:bCs/>
          <w:color w:val="auto"/>
          <w:spacing w:val="-2"/>
          <w:sz w:val="24"/>
          <w:szCs w:val="24"/>
          <w:highlight w:val="none"/>
        </w:rPr>
      </w:pPr>
      <w:r>
        <w:rPr>
          <w:rFonts w:hint="default" w:ascii="Times New Roman" w:hAnsi="Times New Roman" w:cs="Times New Roman"/>
          <w:b w:val="0"/>
          <w:bCs/>
          <w:color w:val="auto"/>
          <w:spacing w:val="-2"/>
          <w:sz w:val="24"/>
          <w:szCs w:val="24"/>
          <w:highlight w:val="none"/>
          <w:lang w:eastAsia="zh-CN"/>
        </w:rPr>
        <w:t>16</w:t>
      </w:r>
      <w:r>
        <w:rPr>
          <w:rFonts w:hint="default" w:ascii="Times New Roman" w:hAnsi="Times New Roman" w:cs="Times New Roman"/>
          <w:b w:val="0"/>
          <w:bCs/>
          <w:color w:val="auto"/>
          <w:spacing w:val="-2"/>
          <w:sz w:val="24"/>
          <w:szCs w:val="24"/>
          <w:highlight w:val="none"/>
        </w:rPr>
        <w:t>.1</w:t>
      </w:r>
      <w:r>
        <w:rPr>
          <w:rFonts w:hint="eastAsia" w:cs="Times New Roman"/>
          <w:b w:val="0"/>
          <w:bCs/>
          <w:color w:val="auto"/>
          <w:spacing w:val="-2"/>
          <w:sz w:val="24"/>
          <w:szCs w:val="24"/>
          <w:highlight w:val="none"/>
          <w:lang w:val="en-US" w:eastAsia="zh-CN"/>
        </w:rPr>
        <w:t xml:space="preserve">  </w:t>
      </w:r>
      <w:r>
        <w:rPr>
          <w:rFonts w:hint="default" w:ascii="Times New Roman" w:hAnsi="Times New Roman" w:cs="Times New Roman"/>
          <w:b w:val="0"/>
          <w:bCs/>
          <w:color w:val="auto"/>
          <w:spacing w:val="-2"/>
          <w:sz w:val="24"/>
          <w:szCs w:val="24"/>
          <w:highlight w:val="none"/>
        </w:rPr>
        <w:t>开标会按“第一章招标公告”规定的开标时间和地点准时举行，采购人、采购代理机构邀请所有投标</w:t>
      </w:r>
      <w:r>
        <w:rPr>
          <w:rFonts w:hint="eastAsia" w:cs="Times New Roman"/>
          <w:b w:val="0"/>
          <w:bCs/>
          <w:color w:val="auto"/>
          <w:spacing w:val="-2"/>
          <w:sz w:val="24"/>
          <w:szCs w:val="24"/>
          <w:highlight w:val="none"/>
          <w:lang w:eastAsia="zh-CN"/>
        </w:rPr>
        <w:t>供应商</w:t>
      </w:r>
      <w:r>
        <w:rPr>
          <w:rFonts w:hint="default" w:ascii="Times New Roman" w:hAnsi="Times New Roman" w:cs="Times New Roman"/>
          <w:b w:val="0"/>
          <w:bCs/>
          <w:color w:val="auto"/>
          <w:spacing w:val="-2"/>
          <w:sz w:val="24"/>
          <w:szCs w:val="24"/>
          <w:highlight w:val="none"/>
        </w:rPr>
        <w:t>准时参加开标会。投标</w:t>
      </w:r>
      <w:r>
        <w:rPr>
          <w:rFonts w:hint="eastAsia" w:cs="Times New Roman"/>
          <w:b w:val="0"/>
          <w:bCs/>
          <w:color w:val="auto"/>
          <w:spacing w:val="-2"/>
          <w:sz w:val="24"/>
          <w:szCs w:val="24"/>
          <w:highlight w:val="none"/>
          <w:lang w:eastAsia="zh-CN"/>
        </w:rPr>
        <w:t>供应商</w:t>
      </w:r>
      <w:r>
        <w:rPr>
          <w:rFonts w:hint="default" w:ascii="Times New Roman" w:hAnsi="Times New Roman" w:cs="Times New Roman"/>
          <w:b w:val="0"/>
          <w:bCs/>
          <w:color w:val="auto"/>
          <w:spacing w:val="-2"/>
          <w:sz w:val="24"/>
          <w:szCs w:val="24"/>
          <w:highlight w:val="none"/>
        </w:rPr>
        <w:t>应按照招标文件的要求参与不见面开标。</w:t>
      </w:r>
    </w:p>
    <w:p w14:paraId="7AD7C590">
      <w:pPr>
        <w:spacing w:line="440" w:lineRule="exact"/>
        <w:ind w:firstLine="472" w:firstLineChars="200"/>
        <w:rPr>
          <w:rFonts w:hint="default" w:ascii="Times New Roman" w:hAnsi="Times New Roman" w:cs="Times New Roman"/>
          <w:b w:val="0"/>
          <w:bCs/>
          <w:color w:val="auto"/>
          <w:spacing w:val="-2"/>
          <w:sz w:val="24"/>
          <w:szCs w:val="24"/>
          <w:highlight w:val="none"/>
        </w:rPr>
      </w:pPr>
      <w:r>
        <w:rPr>
          <w:rFonts w:hint="default" w:ascii="Times New Roman" w:hAnsi="Times New Roman" w:cs="Times New Roman"/>
          <w:b w:val="0"/>
          <w:bCs/>
          <w:color w:val="auto"/>
          <w:spacing w:val="-2"/>
          <w:sz w:val="24"/>
          <w:szCs w:val="24"/>
          <w:highlight w:val="none"/>
          <w:lang w:eastAsia="zh-CN"/>
        </w:rPr>
        <w:t>16</w:t>
      </w:r>
      <w:r>
        <w:rPr>
          <w:rFonts w:hint="default" w:ascii="Times New Roman" w:hAnsi="Times New Roman" w:cs="Times New Roman"/>
          <w:b w:val="0"/>
          <w:bCs/>
          <w:color w:val="auto"/>
          <w:spacing w:val="-2"/>
          <w:sz w:val="24"/>
          <w:szCs w:val="24"/>
          <w:highlight w:val="none"/>
        </w:rPr>
        <w:t>.2</w:t>
      </w:r>
      <w:r>
        <w:rPr>
          <w:rFonts w:hint="eastAsia" w:cs="Times New Roman"/>
          <w:b w:val="0"/>
          <w:bCs/>
          <w:color w:val="auto"/>
          <w:spacing w:val="-2"/>
          <w:sz w:val="24"/>
          <w:szCs w:val="24"/>
          <w:highlight w:val="none"/>
          <w:lang w:val="en-US" w:eastAsia="zh-CN"/>
        </w:rPr>
        <w:t xml:space="preserve">  </w:t>
      </w:r>
      <w:r>
        <w:rPr>
          <w:rFonts w:hint="default" w:ascii="Times New Roman" w:hAnsi="Times New Roman" w:cs="Times New Roman"/>
          <w:b w:val="0"/>
          <w:bCs/>
          <w:color w:val="auto"/>
          <w:spacing w:val="-2"/>
          <w:sz w:val="24"/>
          <w:szCs w:val="24"/>
          <w:highlight w:val="none"/>
        </w:rPr>
        <w:t>采购代理机构按照招标文件规定的时间、地点主持开标。采购人在规定的投标文件递交截止时间（开标时间）和地点进行不见面远程开标。投标</w:t>
      </w:r>
      <w:r>
        <w:rPr>
          <w:rFonts w:hint="eastAsia" w:cs="Times New Roman"/>
          <w:b w:val="0"/>
          <w:bCs/>
          <w:color w:val="auto"/>
          <w:spacing w:val="-2"/>
          <w:sz w:val="24"/>
          <w:szCs w:val="24"/>
          <w:highlight w:val="none"/>
          <w:lang w:eastAsia="zh-CN"/>
        </w:rPr>
        <w:t>供应商</w:t>
      </w:r>
      <w:r>
        <w:rPr>
          <w:rFonts w:hint="default" w:ascii="Times New Roman" w:hAnsi="Times New Roman" w:cs="Times New Roman"/>
          <w:b w:val="0"/>
          <w:bCs/>
          <w:color w:val="auto"/>
          <w:spacing w:val="-2"/>
          <w:sz w:val="24"/>
          <w:szCs w:val="24"/>
          <w:highlight w:val="none"/>
        </w:rPr>
        <w:t>的法定代表人或其委托代理人无需到达开标现场，仅需在任意地点通过新疆政府采购电子交易云平台（网址：http://www.ccgp-xinjiang.gov.cn/）的“政采云登录入口”登录后，进入“政采云远程开标大厅”参加开标会议，并使用CA密钥完成远程解密、提疑澄清、开标唱标、结果公布等交互环节。</w:t>
      </w:r>
    </w:p>
    <w:p w14:paraId="6C1AF2E7">
      <w:pPr>
        <w:spacing w:line="440" w:lineRule="exact"/>
        <w:ind w:firstLine="472" w:firstLineChars="200"/>
        <w:rPr>
          <w:rFonts w:hint="eastAsia" w:ascii="Times New Roman" w:hAnsi="Times New Roman" w:eastAsia="宋体" w:cs="Times New Roman"/>
          <w:b w:val="0"/>
          <w:bCs/>
          <w:color w:val="auto"/>
          <w:spacing w:val="-2"/>
          <w:sz w:val="24"/>
          <w:szCs w:val="24"/>
          <w:highlight w:val="none"/>
          <w:lang w:eastAsia="zh-CN"/>
        </w:rPr>
      </w:pPr>
      <w:r>
        <w:rPr>
          <w:rFonts w:hint="default" w:ascii="Times New Roman" w:hAnsi="Times New Roman" w:cs="Times New Roman"/>
          <w:b w:val="0"/>
          <w:bCs/>
          <w:color w:val="auto"/>
          <w:spacing w:val="-2"/>
          <w:sz w:val="24"/>
          <w:szCs w:val="24"/>
          <w:highlight w:val="none"/>
          <w:lang w:eastAsia="zh-CN"/>
        </w:rPr>
        <w:t>16</w:t>
      </w:r>
      <w:r>
        <w:rPr>
          <w:rFonts w:hint="default" w:ascii="Times New Roman" w:hAnsi="Times New Roman" w:cs="Times New Roman"/>
          <w:b w:val="0"/>
          <w:bCs/>
          <w:color w:val="auto"/>
          <w:spacing w:val="-2"/>
          <w:sz w:val="24"/>
          <w:szCs w:val="24"/>
          <w:highlight w:val="none"/>
        </w:rPr>
        <w:t>.3</w:t>
      </w:r>
      <w:r>
        <w:rPr>
          <w:rFonts w:hint="eastAsia" w:cs="Times New Roman"/>
          <w:b w:val="0"/>
          <w:bCs/>
          <w:color w:val="auto"/>
          <w:spacing w:val="-2"/>
          <w:sz w:val="24"/>
          <w:szCs w:val="24"/>
          <w:highlight w:val="none"/>
          <w:lang w:val="en-US" w:eastAsia="zh-CN"/>
        </w:rPr>
        <w:t xml:space="preserve">  </w:t>
      </w:r>
      <w:r>
        <w:rPr>
          <w:rFonts w:hint="default" w:ascii="Times New Roman" w:hAnsi="Times New Roman" w:cs="Times New Roman"/>
          <w:b w:val="0"/>
          <w:bCs/>
          <w:color w:val="auto"/>
          <w:spacing w:val="-2"/>
          <w:sz w:val="24"/>
          <w:szCs w:val="24"/>
          <w:highlight w:val="none"/>
        </w:rPr>
        <w:t>开标过程将宣布投标</w:t>
      </w:r>
      <w:r>
        <w:rPr>
          <w:rFonts w:hint="eastAsia" w:cs="Times New Roman"/>
          <w:b w:val="0"/>
          <w:bCs/>
          <w:color w:val="auto"/>
          <w:spacing w:val="-2"/>
          <w:sz w:val="24"/>
          <w:szCs w:val="24"/>
          <w:highlight w:val="none"/>
          <w:lang w:eastAsia="zh-CN"/>
        </w:rPr>
        <w:t>供应商</w:t>
      </w:r>
      <w:r>
        <w:rPr>
          <w:rFonts w:hint="default" w:ascii="Times New Roman" w:hAnsi="Times New Roman" w:cs="Times New Roman"/>
          <w:b w:val="0"/>
          <w:bCs/>
          <w:color w:val="auto"/>
          <w:spacing w:val="-2"/>
          <w:sz w:val="24"/>
          <w:szCs w:val="24"/>
          <w:highlight w:val="none"/>
        </w:rPr>
        <w:t>名称、投标价格和招标文件规定的需要宣布的其他内容并进行记录，并由参加开标的各投标</w:t>
      </w:r>
      <w:r>
        <w:rPr>
          <w:rFonts w:hint="eastAsia" w:cs="Times New Roman"/>
          <w:b w:val="0"/>
          <w:bCs/>
          <w:color w:val="auto"/>
          <w:spacing w:val="-2"/>
          <w:sz w:val="24"/>
          <w:szCs w:val="24"/>
          <w:highlight w:val="none"/>
          <w:lang w:eastAsia="zh-CN"/>
        </w:rPr>
        <w:t>供应商</w:t>
      </w:r>
      <w:r>
        <w:rPr>
          <w:rFonts w:hint="default" w:ascii="Times New Roman" w:hAnsi="Times New Roman" w:cs="Times New Roman"/>
          <w:b w:val="0"/>
          <w:bCs/>
          <w:color w:val="auto"/>
          <w:spacing w:val="-2"/>
          <w:sz w:val="24"/>
          <w:szCs w:val="24"/>
          <w:highlight w:val="none"/>
        </w:rPr>
        <w:t>确认。投标</w:t>
      </w:r>
      <w:r>
        <w:rPr>
          <w:rFonts w:hint="eastAsia" w:cs="Times New Roman"/>
          <w:b w:val="0"/>
          <w:bCs/>
          <w:color w:val="auto"/>
          <w:spacing w:val="-2"/>
          <w:sz w:val="24"/>
          <w:szCs w:val="24"/>
          <w:highlight w:val="none"/>
          <w:lang w:eastAsia="zh-CN"/>
        </w:rPr>
        <w:t>供应商</w:t>
      </w:r>
      <w:r>
        <w:rPr>
          <w:rFonts w:hint="default" w:ascii="Times New Roman" w:hAnsi="Times New Roman" w:cs="Times New Roman"/>
          <w:b w:val="0"/>
          <w:bCs/>
          <w:color w:val="auto"/>
          <w:spacing w:val="-2"/>
          <w:sz w:val="24"/>
          <w:szCs w:val="24"/>
          <w:highlight w:val="none"/>
        </w:rPr>
        <w:t>未在规定时间内提出疑义或确认一览表的，视同认可开标结果。</w:t>
      </w:r>
    </w:p>
    <w:p w14:paraId="4A2BC4E2">
      <w:pPr>
        <w:spacing w:line="440" w:lineRule="exact"/>
        <w:ind w:firstLine="472" w:firstLineChars="200"/>
        <w:rPr>
          <w:rFonts w:hint="default" w:ascii="Times New Roman" w:hAnsi="Times New Roman" w:cs="Times New Roman"/>
          <w:b w:val="0"/>
          <w:bCs/>
          <w:color w:val="auto"/>
          <w:spacing w:val="-2"/>
          <w:sz w:val="24"/>
          <w:szCs w:val="24"/>
          <w:highlight w:val="none"/>
        </w:rPr>
      </w:pPr>
      <w:r>
        <w:rPr>
          <w:rFonts w:hint="default" w:ascii="Times New Roman" w:hAnsi="Times New Roman" w:cs="Times New Roman"/>
          <w:b w:val="0"/>
          <w:bCs/>
          <w:color w:val="auto"/>
          <w:spacing w:val="-2"/>
          <w:sz w:val="24"/>
          <w:szCs w:val="24"/>
          <w:highlight w:val="none"/>
          <w:lang w:val="en-US" w:eastAsia="zh-CN"/>
        </w:rPr>
        <w:t>16.4</w:t>
      </w:r>
      <w:r>
        <w:rPr>
          <w:rFonts w:hint="eastAsia" w:cs="Times New Roman"/>
          <w:b w:val="0"/>
          <w:bCs/>
          <w:color w:val="auto"/>
          <w:spacing w:val="-2"/>
          <w:sz w:val="24"/>
          <w:szCs w:val="24"/>
          <w:highlight w:val="none"/>
          <w:lang w:val="en-US" w:eastAsia="zh-CN"/>
        </w:rPr>
        <w:t xml:space="preserve">  </w:t>
      </w:r>
      <w:r>
        <w:rPr>
          <w:rFonts w:hint="default" w:ascii="Times New Roman" w:hAnsi="Times New Roman" w:cs="Times New Roman"/>
          <w:b w:val="0"/>
          <w:bCs/>
          <w:color w:val="auto"/>
          <w:spacing w:val="-2"/>
          <w:sz w:val="24"/>
          <w:szCs w:val="24"/>
          <w:highlight w:val="none"/>
        </w:rPr>
        <w:t>开标程序</w:t>
      </w:r>
    </w:p>
    <w:p w14:paraId="20CBA5FD">
      <w:pPr>
        <w:spacing w:line="440" w:lineRule="exact"/>
        <w:ind w:firstLine="472" w:firstLineChars="200"/>
        <w:rPr>
          <w:rFonts w:hint="default" w:ascii="Times New Roman" w:hAnsi="Times New Roman" w:cs="Times New Roman"/>
          <w:b w:val="0"/>
          <w:bCs/>
          <w:color w:val="auto"/>
          <w:spacing w:val="-2"/>
          <w:sz w:val="24"/>
          <w:szCs w:val="24"/>
          <w:highlight w:val="none"/>
        </w:rPr>
      </w:pPr>
      <w:r>
        <w:rPr>
          <w:rFonts w:hint="default" w:ascii="Times New Roman" w:hAnsi="Times New Roman" w:cs="Times New Roman"/>
          <w:b w:val="0"/>
          <w:bCs/>
          <w:color w:val="auto"/>
          <w:spacing w:val="-2"/>
          <w:sz w:val="24"/>
          <w:szCs w:val="24"/>
          <w:highlight w:val="none"/>
          <w:lang w:eastAsia="zh-CN"/>
        </w:rPr>
        <w:t>16.4</w:t>
      </w:r>
      <w:r>
        <w:rPr>
          <w:rFonts w:hint="default" w:ascii="Times New Roman" w:hAnsi="Times New Roman" w:cs="Times New Roman"/>
          <w:b w:val="0"/>
          <w:bCs/>
          <w:color w:val="auto"/>
          <w:spacing w:val="-2"/>
          <w:sz w:val="24"/>
          <w:szCs w:val="24"/>
          <w:highlight w:val="none"/>
        </w:rPr>
        <w:t>.1</w:t>
      </w:r>
      <w:r>
        <w:rPr>
          <w:rFonts w:hint="eastAsia" w:cs="Times New Roman"/>
          <w:b w:val="0"/>
          <w:bCs/>
          <w:color w:val="auto"/>
          <w:spacing w:val="-2"/>
          <w:sz w:val="24"/>
          <w:szCs w:val="24"/>
          <w:highlight w:val="none"/>
          <w:lang w:val="en-US" w:eastAsia="zh-CN"/>
        </w:rPr>
        <w:t xml:space="preserve">  </w:t>
      </w:r>
      <w:r>
        <w:rPr>
          <w:rFonts w:hint="default" w:ascii="Times New Roman" w:hAnsi="Times New Roman" w:cs="Times New Roman"/>
          <w:b w:val="0"/>
          <w:bCs/>
          <w:color w:val="auto"/>
          <w:spacing w:val="-2"/>
          <w:sz w:val="24"/>
          <w:szCs w:val="24"/>
          <w:highlight w:val="none"/>
        </w:rPr>
        <w:t>投标</w:t>
      </w:r>
      <w:r>
        <w:rPr>
          <w:rFonts w:hint="eastAsia" w:cs="Times New Roman"/>
          <w:b w:val="0"/>
          <w:bCs/>
          <w:color w:val="auto"/>
          <w:spacing w:val="-2"/>
          <w:sz w:val="24"/>
          <w:szCs w:val="24"/>
          <w:highlight w:val="none"/>
          <w:lang w:eastAsia="zh-CN"/>
        </w:rPr>
        <w:t>供应商</w:t>
      </w:r>
      <w:r>
        <w:rPr>
          <w:rFonts w:hint="default" w:ascii="Times New Roman" w:hAnsi="Times New Roman" w:cs="Times New Roman"/>
          <w:b w:val="0"/>
          <w:bCs/>
          <w:color w:val="auto"/>
          <w:spacing w:val="-2"/>
          <w:sz w:val="24"/>
          <w:szCs w:val="24"/>
          <w:highlight w:val="none"/>
        </w:rPr>
        <w:t>不足3家的，不得开标。</w:t>
      </w:r>
    </w:p>
    <w:p w14:paraId="3238E07C">
      <w:pPr>
        <w:spacing w:line="440" w:lineRule="exact"/>
        <w:ind w:firstLine="472" w:firstLineChars="200"/>
        <w:rPr>
          <w:rFonts w:hint="default" w:ascii="Times New Roman" w:hAnsi="Times New Roman" w:cs="Times New Roman"/>
          <w:b w:val="0"/>
          <w:bCs/>
          <w:color w:val="auto"/>
          <w:spacing w:val="-2"/>
          <w:sz w:val="24"/>
          <w:szCs w:val="24"/>
          <w:highlight w:val="none"/>
        </w:rPr>
      </w:pPr>
      <w:r>
        <w:rPr>
          <w:rFonts w:hint="default" w:ascii="Times New Roman" w:hAnsi="Times New Roman" w:cs="Times New Roman"/>
          <w:b w:val="0"/>
          <w:bCs/>
          <w:color w:val="auto"/>
          <w:spacing w:val="-2"/>
          <w:sz w:val="24"/>
          <w:szCs w:val="24"/>
          <w:highlight w:val="none"/>
          <w:lang w:eastAsia="zh-CN"/>
        </w:rPr>
        <w:t>16.4</w:t>
      </w:r>
      <w:r>
        <w:rPr>
          <w:rFonts w:hint="default" w:ascii="Times New Roman" w:hAnsi="Times New Roman" w:cs="Times New Roman"/>
          <w:b w:val="0"/>
          <w:bCs/>
          <w:color w:val="auto"/>
          <w:spacing w:val="-2"/>
          <w:sz w:val="24"/>
          <w:szCs w:val="24"/>
          <w:highlight w:val="none"/>
        </w:rPr>
        <w:t>.2</w:t>
      </w:r>
      <w:r>
        <w:rPr>
          <w:rFonts w:hint="eastAsia" w:cs="Times New Roman"/>
          <w:b w:val="0"/>
          <w:bCs/>
          <w:color w:val="auto"/>
          <w:spacing w:val="-2"/>
          <w:sz w:val="24"/>
          <w:szCs w:val="24"/>
          <w:highlight w:val="none"/>
          <w:lang w:val="en-US" w:eastAsia="zh-CN"/>
        </w:rPr>
        <w:t xml:space="preserve">  </w:t>
      </w:r>
      <w:r>
        <w:rPr>
          <w:rFonts w:hint="default" w:ascii="Times New Roman" w:hAnsi="Times New Roman" w:cs="Times New Roman"/>
          <w:b w:val="0"/>
          <w:bCs/>
          <w:color w:val="auto"/>
          <w:spacing w:val="-2"/>
          <w:sz w:val="24"/>
          <w:szCs w:val="24"/>
          <w:highlight w:val="none"/>
        </w:rPr>
        <w:t>评标委员会成员不得参加开标活动。</w:t>
      </w:r>
    </w:p>
    <w:p w14:paraId="52A73D3C">
      <w:pPr>
        <w:spacing w:line="440" w:lineRule="exact"/>
        <w:ind w:firstLine="472" w:firstLineChars="200"/>
        <w:rPr>
          <w:rFonts w:hint="default" w:ascii="Times New Roman" w:hAnsi="Times New Roman" w:cs="Times New Roman"/>
          <w:b w:val="0"/>
          <w:bCs/>
          <w:color w:val="auto"/>
          <w:spacing w:val="-2"/>
          <w:sz w:val="24"/>
          <w:szCs w:val="24"/>
          <w:highlight w:val="none"/>
        </w:rPr>
      </w:pPr>
      <w:r>
        <w:rPr>
          <w:rFonts w:hint="default" w:ascii="Times New Roman" w:hAnsi="Times New Roman" w:cs="Times New Roman"/>
          <w:b w:val="0"/>
          <w:bCs/>
          <w:color w:val="auto"/>
          <w:spacing w:val="-2"/>
          <w:sz w:val="24"/>
          <w:szCs w:val="24"/>
          <w:highlight w:val="none"/>
          <w:lang w:eastAsia="zh-CN"/>
        </w:rPr>
        <w:t>16.4</w:t>
      </w:r>
      <w:r>
        <w:rPr>
          <w:rFonts w:hint="default" w:ascii="Times New Roman" w:hAnsi="Times New Roman" w:cs="Times New Roman"/>
          <w:b w:val="0"/>
          <w:bCs/>
          <w:color w:val="auto"/>
          <w:spacing w:val="-2"/>
          <w:sz w:val="24"/>
          <w:szCs w:val="24"/>
          <w:highlight w:val="none"/>
        </w:rPr>
        <w:t>.3</w:t>
      </w:r>
      <w:r>
        <w:rPr>
          <w:rFonts w:hint="eastAsia" w:cs="Times New Roman"/>
          <w:b w:val="0"/>
          <w:bCs/>
          <w:color w:val="auto"/>
          <w:spacing w:val="-2"/>
          <w:sz w:val="24"/>
          <w:szCs w:val="24"/>
          <w:highlight w:val="none"/>
          <w:lang w:val="en-US" w:eastAsia="zh-CN"/>
        </w:rPr>
        <w:t xml:space="preserve">  </w:t>
      </w:r>
      <w:r>
        <w:rPr>
          <w:rFonts w:hint="default" w:ascii="Times New Roman" w:hAnsi="Times New Roman" w:cs="Times New Roman"/>
          <w:b w:val="0"/>
          <w:bCs/>
          <w:color w:val="auto"/>
          <w:spacing w:val="-2"/>
          <w:sz w:val="24"/>
          <w:szCs w:val="24"/>
          <w:highlight w:val="none"/>
        </w:rPr>
        <w:t>主持人按下列程序进行开标：</w:t>
      </w:r>
    </w:p>
    <w:p w14:paraId="67DB19F7">
      <w:pPr>
        <w:spacing w:line="440" w:lineRule="exact"/>
        <w:ind w:firstLine="472" w:firstLineChars="200"/>
        <w:rPr>
          <w:rFonts w:hint="default" w:ascii="Times New Roman" w:hAnsi="Times New Roman" w:cs="Times New Roman"/>
          <w:b w:val="0"/>
          <w:bCs/>
          <w:color w:val="auto"/>
          <w:spacing w:val="-2"/>
          <w:sz w:val="24"/>
          <w:szCs w:val="24"/>
          <w:highlight w:val="none"/>
        </w:rPr>
      </w:pPr>
      <w:r>
        <w:rPr>
          <w:rFonts w:hint="default" w:ascii="Times New Roman" w:hAnsi="Times New Roman" w:cs="Times New Roman"/>
          <w:b w:val="0"/>
          <w:bCs/>
          <w:color w:val="auto"/>
          <w:spacing w:val="-2"/>
          <w:sz w:val="24"/>
          <w:szCs w:val="24"/>
          <w:highlight w:val="none"/>
        </w:rPr>
        <w:t>（1）宣布开标会纪律；</w:t>
      </w:r>
    </w:p>
    <w:p w14:paraId="699C07E1">
      <w:pPr>
        <w:spacing w:line="440" w:lineRule="exact"/>
        <w:ind w:firstLine="472" w:firstLineChars="200"/>
        <w:rPr>
          <w:rFonts w:hint="default" w:ascii="Times New Roman" w:hAnsi="Times New Roman" w:cs="Times New Roman"/>
          <w:b w:val="0"/>
          <w:bCs/>
          <w:color w:val="auto"/>
          <w:spacing w:val="-2"/>
          <w:sz w:val="24"/>
          <w:szCs w:val="24"/>
          <w:highlight w:val="none"/>
        </w:rPr>
      </w:pPr>
      <w:r>
        <w:rPr>
          <w:rFonts w:hint="default" w:ascii="Times New Roman" w:hAnsi="Times New Roman" w:cs="Times New Roman"/>
          <w:b w:val="0"/>
          <w:bCs/>
          <w:color w:val="auto"/>
          <w:spacing w:val="-2"/>
          <w:sz w:val="24"/>
          <w:szCs w:val="24"/>
          <w:highlight w:val="none"/>
        </w:rPr>
        <w:t>（2）介绍参加开标会的单位和人员；</w:t>
      </w:r>
    </w:p>
    <w:p w14:paraId="61914992">
      <w:pPr>
        <w:spacing w:line="440" w:lineRule="exact"/>
        <w:ind w:firstLine="472" w:firstLineChars="200"/>
        <w:rPr>
          <w:rFonts w:hint="default" w:ascii="Times New Roman" w:hAnsi="Times New Roman" w:cs="Times New Roman"/>
          <w:b w:val="0"/>
          <w:bCs/>
          <w:color w:val="auto"/>
          <w:spacing w:val="-2"/>
          <w:sz w:val="24"/>
          <w:szCs w:val="24"/>
          <w:highlight w:val="none"/>
        </w:rPr>
      </w:pPr>
      <w:r>
        <w:rPr>
          <w:rFonts w:hint="default" w:ascii="Times New Roman" w:hAnsi="Times New Roman" w:cs="Times New Roman"/>
          <w:b w:val="0"/>
          <w:bCs/>
          <w:color w:val="auto"/>
          <w:spacing w:val="-2"/>
          <w:sz w:val="24"/>
          <w:szCs w:val="24"/>
          <w:highlight w:val="none"/>
        </w:rPr>
        <w:t>（3）发起投标文件解密。投标</w:t>
      </w:r>
      <w:r>
        <w:rPr>
          <w:rFonts w:hint="eastAsia" w:cs="Times New Roman"/>
          <w:b w:val="0"/>
          <w:bCs/>
          <w:color w:val="auto"/>
          <w:spacing w:val="-2"/>
          <w:sz w:val="24"/>
          <w:szCs w:val="24"/>
          <w:highlight w:val="none"/>
          <w:lang w:eastAsia="zh-CN"/>
        </w:rPr>
        <w:t>供应商</w:t>
      </w:r>
      <w:r>
        <w:rPr>
          <w:rFonts w:hint="default" w:ascii="Times New Roman" w:hAnsi="Times New Roman" w:cs="Times New Roman"/>
          <w:b w:val="0"/>
          <w:bCs/>
          <w:color w:val="auto"/>
          <w:spacing w:val="-2"/>
          <w:sz w:val="24"/>
          <w:szCs w:val="24"/>
          <w:highlight w:val="none"/>
        </w:rPr>
        <w:t>应在“投标</w:t>
      </w:r>
      <w:r>
        <w:rPr>
          <w:rFonts w:hint="eastAsia" w:cs="Times New Roman"/>
          <w:b w:val="0"/>
          <w:bCs/>
          <w:color w:val="auto"/>
          <w:spacing w:val="-2"/>
          <w:sz w:val="24"/>
          <w:szCs w:val="24"/>
          <w:highlight w:val="none"/>
          <w:lang w:eastAsia="zh-CN"/>
        </w:rPr>
        <w:t>供应商</w:t>
      </w:r>
      <w:r>
        <w:rPr>
          <w:rFonts w:hint="default" w:ascii="Times New Roman" w:hAnsi="Times New Roman" w:cs="Times New Roman"/>
          <w:b w:val="0"/>
          <w:bCs/>
          <w:color w:val="auto"/>
          <w:spacing w:val="-2"/>
          <w:sz w:val="24"/>
          <w:szCs w:val="24"/>
          <w:highlight w:val="none"/>
        </w:rPr>
        <w:t>须知前附表”规定的时间内使用加密投标文件的CA证书在系统中完成投标文件的解密；</w:t>
      </w:r>
    </w:p>
    <w:p w14:paraId="5129B105">
      <w:pPr>
        <w:spacing w:line="440" w:lineRule="exact"/>
        <w:ind w:firstLine="472" w:firstLineChars="200"/>
        <w:rPr>
          <w:rFonts w:hint="default" w:ascii="Times New Roman" w:hAnsi="Times New Roman" w:cs="Times New Roman"/>
          <w:b w:val="0"/>
          <w:bCs/>
          <w:color w:val="auto"/>
          <w:spacing w:val="-2"/>
          <w:sz w:val="24"/>
          <w:szCs w:val="24"/>
          <w:highlight w:val="none"/>
        </w:rPr>
      </w:pPr>
      <w:r>
        <w:rPr>
          <w:rFonts w:hint="default" w:ascii="Times New Roman" w:hAnsi="Times New Roman" w:cs="Times New Roman"/>
          <w:b w:val="0"/>
          <w:bCs/>
          <w:color w:val="auto"/>
          <w:spacing w:val="-2"/>
          <w:sz w:val="24"/>
          <w:szCs w:val="24"/>
          <w:highlight w:val="none"/>
        </w:rPr>
        <w:t>（4）解密完成后，系统自动显示投标</w:t>
      </w:r>
      <w:r>
        <w:rPr>
          <w:rFonts w:hint="eastAsia" w:cs="Times New Roman"/>
          <w:b w:val="0"/>
          <w:bCs/>
          <w:color w:val="auto"/>
          <w:spacing w:val="-2"/>
          <w:sz w:val="24"/>
          <w:szCs w:val="24"/>
          <w:highlight w:val="none"/>
          <w:lang w:eastAsia="zh-CN"/>
        </w:rPr>
        <w:t>供应商</w:t>
      </w:r>
      <w:r>
        <w:rPr>
          <w:rFonts w:hint="default" w:ascii="Times New Roman" w:hAnsi="Times New Roman" w:cs="Times New Roman"/>
          <w:b w:val="0"/>
          <w:bCs/>
          <w:color w:val="auto"/>
          <w:spacing w:val="-2"/>
          <w:sz w:val="24"/>
          <w:szCs w:val="24"/>
          <w:highlight w:val="none"/>
        </w:rPr>
        <w:t>名称、投标价格和招标文件规定的需要宣布的其他内容；</w:t>
      </w:r>
    </w:p>
    <w:p w14:paraId="65C3365E">
      <w:pPr>
        <w:spacing w:line="440" w:lineRule="exact"/>
        <w:ind w:firstLine="472" w:firstLineChars="200"/>
        <w:rPr>
          <w:rFonts w:hint="default" w:ascii="Times New Roman" w:hAnsi="Times New Roman" w:cs="Times New Roman"/>
          <w:b w:val="0"/>
          <w:bCs/>
          <w:color w:val="auto"/>
          <w:spacing w:val="-2"/>
          <w:sz w:val="24"/>
          <w:szCs w:val="24"/>
          <w:highlight w:val="none"/>
        </w:rPr>
      </w:pPr>
      <w:r>
        <w:rPr>
          <w:rFonts w:hint="default" w:ascii="Times New Roman" w:hAnsi="Times New Roman" w:cs="Times New Roman"/>
          <w:b w:val="0"/>
          <w:bCs/>
          <w:color w:val="auto"/>
          <w:spacing w:val="-2"/>
          <w:sz w:val="24"/>
          <w:szCs w:val="24"/>
          <w:highlight w:val="none"/>
        </w:rPr>
        <w:t>（5）系统自动生成开标记录表，供应商应在线对开标记录进行签署确认；</w:t>
      </w:r>
    </w:p>
    <w:p w14:paraId="28A1512C">
      <w:pPr>
        <w:spacing w:line="440" w:lineRule="exact"/>
        <w:ind w:firstLine="472" w:firstLineChars="200"/>
        <w:rPr>
          <w:rFonts w:hint="default" w:ascii="Times New Roman" w:hAnsi="Times New Roman" w:cs="Times New Roman"/>
          <w:b w:val="0"/>
          <w:bCs/>
          <w:color w:val="auto"/>
          <w:spacing w:val="-2"/>
          <w:sz w:val="24"/>
          <w:szCs w:val="24"/>
          <w:highlight w:val="none"/>
        </w:rPr>
      </w:pPr>
      <w:r>
        <w:rPr>
          <w:rFonts w:hint="default" w:ascii="Times New Roman" w:hAnsi="Times New Roman" w:cs="Times New Roman"/>
          <w:b w:val="0"/>
          <w:bCs/>
          <w:color w:val="auto"/>
          <w:spacing w:val="-2"/>
          <w:sz w:val="24"/>
          <w:szCs w:val="24"/>
          <w:highlight w:val="none"/>
        </w:rPr>
        <w:t>（6）开标会结束。</w:t>
      </w:r>
    </w:p>
    <w:p w14:paraId="7BD457AD">
      <w:pPr>
        <w:spacing w:line="440" w:lineRule="exact"/>
        <w:ind w:firstLine="472" w:firstLineChars="200"/>
        <w:rPr>
          <w:rFonts w:hint="default" w:ascii="Times New Roman" w:hAnsi="Times New Roman" w:cs="Times New Roman"/>
          <w:b w:val="0"/>
          <w:bCs/>
          <w:color w:val="auto"/>
          <w:spacing w:val="-2"/>
          <w:sz w:val="24"/>
          <w:szCs w:val="24"/>
          <w:highlight w:val="none"/>
        </w:rPr>
      </w:pPr>
      <w:r>
        <w:rPr>
          <w:rFonts w:hint="default" w:ascii="Times New Roman" w:hAnsi="Times New Roman" w:cs="Times New Roman"/>
          <w:b w:val="0"/>
          <w:bCs/>
          <w:color w:val="auto"/>
          <w:spacing w:val="-2"/>
          <w:sz w:val="24"/>
          <w:szCs w:val="24"/>
          <w:highlight w:val="none"/>
          <w:lang w:val="en-US" w:eastAsia="zh-CN"/>
        </w:rPr>
        <w:t>16.5</w:t>
      </w:r>
      <w:r>
        <w:rPr>
          <w:rFonts w:hint="eastAsia" w:cs="Times New Roman"/>
          <w:b w:val="0"/>
          <w:bCs/>
          <w:color w:val="auto"/>
          <w:spacing w:val="-2"/>
          <w:sz w:val="24"/>
          <w:szCs w:val="24"/>
          <w:highlight w:val="none"/>
          <w:lang w:val="en-US" w:eastAsia="zh-CN"/>
        </w:rPr>
        <w:t xml:space="preserve">  </w:t>
      </w:r>
      <w:r>
        <w:rPr>
          <w:rFonts w:hint="default" w:ascii="Times New Roman" w:hAnsi="Times New Roman" w:cs="Times New Roman"/>
          <w:b w:val="0"/>
          <w:bCs/>
          <w:color w:val="auto"/>
          <w:spacing w:val="-2"/>
          <w:sz w:val="24"/>
          <w:szCs w:val="24"/>
          <w:highlight w:val="none"/>
        </w:rPr>
        <w:t>开标疑义及回避情形</w:t>
      </w:r>
    </w:p>
    <w:p w14:paraId="34300503">
      <w:pPr>
        <w:spacing w:line="440" w:lineRule="exact"/>
        <w:ind w:firstLine="472" w:firstLineChars="200"/>
        <w:rPr>
          <w:rFonts w:hint="default" w:ascii="Times New Roman" w:hAnsi="Times New Roman" w:cs="Times New Roman"/>
          <w:b w:val="0"/>
          <w:bCs/>
          <w:color w:val="auto"/>
          <w:spacing w:val="-2"/>
          <w:sz w:val="24"/>
          <w:szCs w:val="24"/>
          <w:highlight w:val="none"/>
        </w:rPr>
      </w:pPr>
      <w:r>
        <w:rPr>
          <w:rFonts w:hint="default" w:ascii="Times New Roman" w:hAnsi="Times New Roman" w:cs="Times New Roman"/>
          <w:b w:val="0"/>
          <w:bCs/>
          <w:color w:val="auto"/>
          <w:spacing w:val="-2"/>
          <w:sz w:val="24"/>
          <w:szCs w:val="24"/>
          <w:highlight w:val="none"/>
          <w:lang w:val="en-US" w:eastAsia="zh-CN"/>
        </w:rPr>
        <w:t>16.5</w:t>
      </w:r>
      <w:r>
        <w:rPr>
          <w:rFonts w:hint="default" w:ascii="Times New Roman" w:hAnsi="Times New Roman" w:cs="Times New Roman"/>
          <w:b w:val="0"/>
          <w:bCs/>
          <w:color w:val="auto"/>
          <w:spacing w:val="-2"/>
          <w:sz w:val="24"/>
          <w:szCs w:val="24"/>
          <w:highlight w:val="none"/>
        </w:rPr>
        <w:t>.1</w:t>
      </w:r>
      <w:r>
        <w:rPr>
          <w:rFonts w:hint="eastAsia" w:cs="Times New Roman"/>
          <w:b w:val="0"/>
          <w:bCs/>
          <w:color w:val="auto"/>
          <w:spacing w:val="-2"/>
          <w:sz w:val="24"/>
          <w:szCs w:val="24"/>
          <w:highlight w:val="none"/>
          <w:lang w:val="en-US" w:eastAsia="zh-CN"/>
        </w:rPr>
        <w:t xml:space="preserve">  </w:t>
      </w:r>
      <w:r>
        <w:rPr>
          <w:rFonts w:hint="default" w:ascii="Times New Roman" w:hAnsi="Times New Roman" w:cs="Times New Roman"/>
          <w:b w:val="0"/>
          <w:bCs/>
          <w:color w:val="auto"/>
          <w:spacing w:val="-2"/>
          <w:sz w:val="24"/>
          <w:szCs w:val="24"/>
          <w:highlight w:val="none"/>
        </w:rPr>
        <w:t>投标</w:t>
      </w:r>
      <w:r>
        <w:rPr>
          <w:rFonts w:hint="eastAsia" w:cs="Times New Roman"/>
          <w:b w:val="0"/>
          <w:bCs/>
          <w:color w:val="auto"/>
          <w:spacing w:val="-2"/>
          <w:sz w:val="24"/>
          <w:szCs w:val="24"/>
          <w:highlight w:val="none"/>
          <w:lang w:eastAsia="zh-CN"/>
        </w:rPr>
        <w:t>供应商</w:t>
      </w:r>
      <w:r>
        <w:rPr>
          <w:rFonts w:hint="default" w:ascii="Times New Roman" w:hAnsi="Times New Roman" w:cs="Times New Roman"/>
          <w:b w:val="0"/>
          <w:bCs/>
          <w:color w:val="auto"/>
          <w:spacing w:val="-2"/>
          <w:sz w:val="24"/>
          <w:szCs w:val="24"/>
          <w:highlight w:val="none"/>
        </w:rPr>
        <w:t>代表对开标过程和开标记录有疑义，以及认为采购人、采购代理机构相关工作人员有需要回避的情形的，应在开标会议中提出询问或者回避申请。采购人、采购代理机构对投标</w:t>
      </w:r>
      <w:r>
        <w:rPr>
          <w:rFonts w:hint="eastAsia" w:cs="Times New Roman"/>
          <w:b w:val="0"/>
          <w:bCs/>
          <w:color w:val="auto"/>
          <w:spacing w:val="-2"/>
          <w:sz w:val="24"/>
          <w:szCs w:val="24"/>
          <w:highlight w:val="none"/>
          <w:lang w:eastAsia="zh-CN"/>
        </w:rPr>
        <w:t>供应商</w:t>
      </w:r>
      <w:r>
        <w:rPr>
          <w:rFonts w:hint="default" w:ascii="Times New Roman" w:hAnsi="Times New Roman" w:cs="Times New Roman"/>
          <w:b w:val="0"/>
          <w:bCs/>
          <w:color w:val="auto"/>
          <w:spacing w:val="-2"/>
          <w:sz w:val="24"/>
          <w:szCs w:val="24"/>
          <w:highlight w:val="none"/>
        </w:rPr>
        <w:t>授权代表提出的询问或者回避申请应当及时处理。</w:t>
      </w:r>
    </w:p>
    <w:p w14:paraId="03CDB3E5">
      <w:pPr>
        <w:spacing w:line="440" w:lineRule="exact"/>
        <w:ind w:firstLine="472" w:firstLineChars="200"/>
        <w:rPr>
          <w:rFonts w:hint="default" w:ascii="Times New Roman" w:hAnsi="Times New Roman" w:cs="Times New Roman"/>
          <w:b w:val="0"/>
          <w:bCs/>
          <w:color w:val="auto"/>
          <w:spacing w:val="-2"/>
          <w:sz w:val="24"/>
          <w:szCs w:val="24"/>
          <w:highlight w:val="none"/>
        </w:rPr>
      </w:pPr>
      <w:r>
        <w:rPr>
          <w:rFonts w:hint="default" w:ascii="Times New Roman" w:hAnsi="Times New Roman" w:cs="Times New Roman"/>
          <w:b w:val="0"/>
          <w:bCs/>
          <w:color w:val="auto"/>
          <w:spacing w:val="-2"/>
          <w:sz w:val="24"/>
          <w:szCs w:val="24"/>
          <w:highlight w:val="none"/>
          <w:lang w:val="en-US" w:eastAsia="zh-CN"/>
        </w:rPr>
        <w:t>16.5</w:t>
      </w:r>
      <w:r>
        <w:rPr>
          <w:rFonts w:hint="default" w:ascii="Times New Roman" w:hAnsi="Times New Roman" w:cs="Times New Roman"/>
          <w:b w:val="0"/>
          <w:bCs/>
          <w:color w:val="auto"/>
          <w:spacing w:val="-2"/>
          <w:sz w:val="24"/>
          <w:szCs w:val="24"/>
          <w:highlight w:val="none"/>
        </w:rPr>
        <w:t>.2</w:t>
      </w:r>
      <w:r>
        <w:rPr>
          <w:rFonts w:hint="eastAsia" w:cs="Times New Roman"/>
          <w:b w:val="0"/>
          <w:bCs/>
          <w:color w:val="auto"/>
          <w:spacing w:val="-2"/>
          <w:sz w:val="24"/>
          <w:szCs w:val="24"/>
          <w:highlight w:val="none"/>
          <w:lang w:val="en-US" w:eastAsia="zh-CN"/>
        </w:rPr>
        <w:t xml:space="preserve">  </w:t>
      </w:r>
      <w:r>
        <w:rPr>
          <w:rFonts w:hint="default" w:ascii="Times New Roman" w:hAnsi="Times New Roman" w:cs="Times New Roman"/>
          <w:b w:val="0"/>
          <w:bCs/>
          <w:color w:val="auto"/>
          <w:spacing w:val="-2"/>
          <w:sz w:val="24"/>
          <w:szCs w:val="24"/>
          <w:highlight w:val="none"/>
        </w:rPr>
        <w:t>投标</w:t>
      </w:r>
      <w:r>
        <w:rPr>
          <w:rFonts w:hint="eastAsia" w:cs="Times New Roman"/>
          <w:b w:val="0"/>
          <w:bCs/>
          <w:color w:val="auto"/>
          <w:spacing w:val="-2"/>
          <w:sz w:val="24"/>
          <w:szCs w:val="24"/>
          <w:highlight w:val="none"/>
          <w:lang w:eastAsia="zh-CN"/>
        </w:rPr>
        <w:t>供应商</w:t>
      </w:r>
      <w:r>
        <w:rPr>
          <w:rFonts w:hint="default" w:ascii="Times New Roman" w:hAnsi="Times New Roman" w:cs="Times New Roman"/>
          <w:b w:val="0"/>
          <w:bCs/>
          <w:color w:val="auto"/>
          <w:spacing w:val="-2"/>
          <w:sz w:val="24"/>
          <w:szCs w:val="24"/>
          <w:highlight w:val="none"/>
        </w:rPr>
        <w:t>未参加开标的，视同认可开标结果。</w:t>
      </w:r>
    </w:p>
    <w:p w14:paraId="5BAA5D8E">
      <w:pPr>
        <w:spacing w:line="440" w:lineRule="exact"/>
        <w:ind w:firstLine="474" w:firstLineChars="200"/>
        <w:rPr>
          <w:rFonts w:hint="default" w:ascii="Times New Roman" w:hAnsi="Times New Roman" w:cs="Times New Roman"/>
          <w:b/>
          <w:color w:val="auto"/>
          <w:spacing w:val="-2"/>
          <w:sz w:val="24"/>
          <w:szCs w:val="24"/>
          <w:highlight w:val="none"/>
        </w:rPr>
      </w:pPr>
      <w:r>
        <w:rPr>
          <w:rFonts w:hint="default" w:ascii="Times New Roman" w:hAnsi="Times New Roman" w:cs="Times New Roman"/>
          <w:b/>
          <w:color w:val="auto"/>
          <w:spacing w:val="-2"/>
          <w:sz w:val="24"/>
          <w:szCs w:val="24"/>
          <w:highlight w:val="none"/>
        </w:rPr>
        <w:t>★17.资格审查</w:t>
      </w:r>
    </w:p>
    <w:p w14:paraId="28EC0529">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17.1　</w:t>
      </w:r>
      <w:r>
        <w:rPr>
          <w:rFonts w:hint="default" w:ascii="Times New Roman" w:hAnsi="Times New Roman" w:cs="Times New Roman"/>
          <w:color w:val="auto"/>
          <w:spacing w:val="-2"/>
          <w:sz w:val="24"/>
          <w:szCs w:val="24"/>
          <w:highlight w:val="none"/>
          <w:lang w:eastAsia="zh-CN"/>
        </w:rPr>
        <w:t>公开招标</w:t>
      </w:r>
      <w:r>
        <w:rPr>
          <w:rFonts w:hint="default" w:ascii="Times New Roman" w:hAnsi="Times New Roman" w:cs="Times New Roman"/>
          <w:color w:val="auto"/>
          <w:spacing w:val="-2"/>
          <w:sz w:val="24"/>
          <w:szCs w:val="24"/>
          <w:highlight w:val="none"/>
        </w:rPr>
        <w:t>采购项目开标结束后，采购人或者采购代理机构应当依法对</w:t>
      </w:r>
      <w:r>
        <w:rPr>
          <w:rFonts w:hint="default" w:ascii="Times New Roman" w:hAnsi="Times New Roman" w:cs="Times New Roman"/>
          <w:color w:val="auto"/>
          <w:spacing w:val="-2"/>
          <w:sz w:val="24"/>
          <w:szCs w:val="24"/>
          <w:highlight w:val="none"/>
          <w:lang w:eastAsia="zh-CN"/>
        </w:rPr>
        <w:t>投标供应商</w:t>
      </w:r>
      <w:r>
        <w:rPr>
          <w:rFonts w:hint="default" w:ascii="Times New Roman" w:hAnsi="Times New Roman" w:cs="Times New Roman"/>
          <w:color w:val="auto"/>
          <w:spacing w:val="-2"/>
          <w:sz w:val="24"/>
          <w:szCs w:val="24"/>
          <w:highlight w:val="none"/>
        </w:rPr>
        <w:t>的资格进行审查。合格</w:t>
      </w:r>
      <w:r>
        <w:rPr>
          <w:rFonts w:hint="default" w:ascii="Times New Roman" w:hAnsi="Times New Roman" w:cs="Times New Roman"/>
          <w:color w:val="auto"/>
          <w:spacing w:val="-2"/>
          <w:sz w:val="24"/>
          <w:szCs w:val="24"/>
          <w:highlight w:val="none"/>
          <w:lang w:eastAsia="zh-CN"/>
        </w:rPr>
        <w:t>投标供应商</w:t>
      </w:r>
      <w:r>
        <w:rPr>
          <w:rFonts w:hint="default" w:ascii="Times New Roman" w:hAnsi="Times New Roman" w:cs="Times New Roman"/>
          <w:color w:val="auto"/>
          <w:spacing w:val="-2"/>
          <w:sz w:val="24"/>
          <w:szCs w:val="24"/>
          <w:highlight w:val="none"/>
        </w:rPr>
        <w:t>不足3家的，不得评标。</w:t>
      </w:r>
    </w:p>
    <w:p w14:paraId="39D4D624">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资格审查内容如下：</w:t>
      </w:r>
    </w:p>
    <w:p w14:paraId="32FEE4EC">
      <w:pPr>
        <w:pStyle w:val="22"/>
        <w:rPr>
          <w:rFonts w:hint="default" w:ascii="Times New Roman" w:hAnsi="Times New Roman" w:cs="Times New Roman"/>
          <w:color w:val="auto"/>
          <w:highlight w:val="none"/>
        </w:rPr>
      </w:pPr>
    </w:p>
    <w:p w14:paraId="20678D53">
      <w:pPr>
        <w:pStyle w:val="22"/>
        <w:rPr>
          <w:rFonts w:hint="default" w:ascii="Times New Roman" w:hAnsi="Times New Roman" w:cs="Times New Roman"/>
          <w:color w:val="auto"/>
          <w:highlight w:val="none"/>
        </w:rPr>
      </w:pPr>
    </w:p>
    <w:p w14:paraId="60882AF9">
      <w:pPr>
        <w:keepNext w:val="0"/>
        <w:keepLines w:val="0"/>
        <w:pageBreakBefore w:val="0"/>
        <w:widowControl w:val="0"/>
        <w:kinsoku/>
        <w:wordWrap/>
        <w:overflowPunct/>
        <w:topLinePunct w:val="0"/>
        <w:autoSpaceDE/>
        <w:autoSpaceDN/>
        <w:bidi w:val="0"/>
        <w:adjustRightInd/>
        <w:snapToGrid/>
        <w:spacing w:line="360" w:lineRule="auto"/>
        <w:ind w:firstLine="554" w:firstLineChars="200"/>
        <w:jc w:val="center"/>
        <w:textAlignment w:val="auto"/>
        <w:rPr>
          <w:rFonts w:hint="default" w:ascii="Times New Roman" w:hAnsi="Times New Roman" w:cs="Times New Roman"/>
          <w:b/>
          <w:color w:val="auto"/>
          <w:spacing w:val="-2"/>
          <w:sz w:val="28"/>
          <w:szCs w:val="24"/>
          <w:highlight w:val="none"/>
        </w:rPr>
      </w:pPr>
      <w:r>
        <w:rPr>
          <w:rFonts w:hint="default" w:ascii="Times New Roman" w:hAnsi="Times New Roman" w:cs="Times New Roman"/>
          <w:b/>
          <w:color w:val="auto"/>
          <w:spacing w:val="-2"/>
          <w:sz w:val="28"/>
          <w:szCs w:val="24"/>
          <w:highlight w:val="none"/>
        </w:rPr>
        <w:t>资格审查</w:t>
      </w:r>
    </w:p>
    <w:tbl>
      <w:tblPr>
        <w:tblStyle w:val="27"/>
        <w:tblW w:w="8665" w:type="dxa"/>
        <w:jc w:val="center"/>
        <w:tblLayout w:type="fixed"/>
        <w:tblCellMar>
          <w:top w:w="0" w:type="dxa"/>
          <w:left w:w="108" w:type="dxa"/>
          <w:bottom w:w="0" w:type="dxa"/>
          <w:right w:w="108" w:type="dxa"/>
        </w:tblCellMar>
      </w:tblPr>
      <w:tblGrid>
        <w:gridCol w:w="464"/>
        <w:gridCol w:w="1708"/>
        <w:gridCol w:w="6493"/>
      </w:tblGrid>
      <w:tr w14:paraId="4FB612D4">
        <w:tblPrEx>
          <w:tblCellMar>
            <w:top w:w="0" w:type="dxa"/>
            <w:left w:w="108" w:type="dxa"/>
            <w:bottom w:w="0" w:type="dxa"/>
            <w:right w:w="108" w:type="dxa"/>
          </w:tblCellMar>
        </w:tblPrEx>
        <w:trPr>
          <w:trHeight w:val="916" w:hRule="atLeast"/>
          <w:jc w:val="center"/>
        </w:trPr>
        <w:tc>
          <w:tcPr>
            <w:tcW w:w="464" w:type="dxa"/>
            <w:tcBorders>
              <w:top w:val="single" w:color="auto" w:sz="4" w:space="0"/>
              <w:left w:val="single" w:color="auto" w:sz="4" w:space="0"/>
              <w:bottom w:val="single" w:color="auto" w:sz="4" w:space="0"/>
              <w:right w:val="single" w:color="auto" w:sz="4" w:space="0"/>
            </w:tcBorders>
            <w:noWrap w:val="0"/>
            <w:vAlign w:val="center"/>
          </w:tcPr>
          <w:p w14:paraId="0C0701BD">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序号</w:t>
            </w:r>
          </w:p>
        </w:tc>
        <w:tc>
          <w:tcPr>
            <w:tcW w:w="1708" w:type="dxa"/>
            <w:tcBorders>
              <w:top w:val="single" w:color="auto" w:sz="4" w:space="0"/>
              <w:left w:val="nil"/>
              <w:bottom w:val="single" w:color="auto" w:sz="4" w:space="0"/>
              <w:right w:val="single" w:color="auto" w:sz="4" w:space="0"/>
            </w:tcBorders>
            <w:noWrap w:val="0"/>
            <w:vAlign w:val="center"/>
          </w:tcPr>
          <w:p w14:paraId="4AB00711">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评审因素</w:t>
            </w:r>
          </w:p>
        </w:tc>
        <w:tc>
          <w:tcPr>
            <w:tcW w:w="6493" w:type="dxa"/>
            <w:tcBorders>
              <w:top w:val="single" w:color="auto" w:sz="4" w:space="0"/>
              <w:left w:val="nil"/>
              <w:bottom w:val="single" w:color="auto" w:sz="4" w:space="0"/>
              <w:right w:val="single" w:color="auto" w:sz="4" w:space="0"/>
            </w:tcBorders>
            <w:noWrap w:val="0"/>
            <w:vAlign w:val="center"/>
          </w:tcPr>
          <w:p w14:paraId="22DB0648">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评审标准</w:t>
            </w:r>
          </w:p>
        </w:tc>
      </w:tr>
      <w:tr w14:paraId="605A3AB2">
        <w:tblPrEx>
          <w:tblCellMar>
            <w:top w:w="0" w:type="dxa"/>
            <w:left w:w="108" w:type="dxa"/>
            <w:bottom w:w="0" w:type="dxa"/>
            <w:right w:w="108" w:type="dxa"/>
          </w:tblCellMar>
        </w:tblPrEx>
        <w:trPr>
          <w:trHeight w:val="1055" w:hRule="atLeast"/>
          <w:jc w:val="center"/>
        </w:trPr>
        <w:tc>
          <w:tcPr>
            <w:tcW w:w="464" w:type="dxa"/>
            <w:tcBorders>
              <w:top w:val="single" w:color="auto" w:sz="4" w:space="0"/>
              <w:left w:val="single" w:color="auto" w:sz="4" w:space="0"/>
              <w:bottom w:val="single" w:color="auto" w:sz="4" w:space="0"/>
              <w:right w:val="single" w:color="auto" w:sz="4" w:space="0"/>
            </w:tcBorders>
            <w:noWrap w:val="0"/>
            <w:vAlign w:val="center"/>
          </w:tcPr>
          <w:p w14:paraId="45DD5937">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1</w:t>
            </w:r>
          </w:p>
        </w:tc>
        <w:tc>
          <w:tcPr>
            <w:tcW w:w="1708" w:type="dxa"/>
            <w:tcBorders>
              <w:top w:val="single" w:color="auto" w:sz="4" w:space="0"/>
              <w:left w:val="nil"/>
              <w:bottom w:val="single" w:color="auto" w:sz="4" w:space="0"/>
              <w:right w:val="single" w:color="auto" w:sz="4" w:space="0"/>
            </w:tcBorders>
            <w:noWrap w:val="0"/>
            <w:vAlign w:val="center"/>
          </w:tcPr>
          <w:p w14:paraId="14E373E1">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具有独立承担民事责任的能力</w:t>
            </w:r>
          </w:p>
        </w:tc>
        <w:tc>
          <w:tcPr>
            <w:tcW w:w="6493" w:type="dxa"/>
            <w:tcBorders>
              <w:top w:val="single" w:color="auto" w:sz="4" w:space="0"/>
              <w:left w:val="nil"/>
              <w:bottom w:val="single" w:color="auto" w:sz="4" w:space="0"/>
              <w:right w:val="single" w:color="auto" w:sz="4" w:space="0"/>
            </w:tcBorders>
            <w:noWrap w:val="0"/>
            <w:vAlign w:val="center"/>
          </w:tcPr>
          <w:p w14:paraId="13022477">
            <w:pPr>
              <w:keepNext w:val="0"/>
              <w:keepLines w:val="0"/>
              <w:widowControl/>
              <w:suppressLineNumbers w:val="0"/>
              <w:spacing w:before="0" w:beforeAutospacing="0" w:after="0" w:afterAutospacing="0"/>
              <w:ind w:left="0" w:right="0"/>
              <w:rPr>
                <w:rFonts w:hint="default" w:ascii="Times New Roman" w:hAnsi="Times New Roman" w:eastAsia="宋体" w:cs="Times New Roman"/>
                <w:color w:val="auto"/>
                <w:sz w:val="22"/>
                <w:szCs w:val="22"/>
                <w:highlight w:val="none"/>
                <w:lang w:eastAsia="zh-CN"/>
              </w:rPr>
            </w:pPr>
            <w:r>
              <w:rPr>
                <w:rFonts w:hint="default" w:ascii="Times New Roman" w:hAnsi="Times New Roman" w:cs="Times New Roman"/>
                <w:color w:val="auto"/>
                <w:sz w:val="22"/>
                <w:szCs w:val="22"/>
                <w:highlight w:val="none"/>
              </w:rPr>
              <w:t>三证合一营业执照（副本）或事业单位法人证书（副本）复印件</w:t>
            </w:r>
            <w:r>
              <w:rPr>
                <w:rFonts w:hint="default" w:ascii="Times New Roman" w:hAnsi="Times New Roman" w:cs="Times New Roman"/>
                <w:color w:val="auto"/>
                <w:sz w:val="22"/>
                <w:szCs w:val="22"/>
                <w:highlight w:val="none"/>
                <w:lang w:eastAsia="zh-CN"/>
              </w:rPr>
              <w:t>。</w:t>
            </w:r>
          </w:p>
        </w:tc>
      </w:tr>
      <w:tr w14:paraId="54D12B1B">
        <w:tblPrEx>
          <w:tblCellMar>
            <w:top w:w="0" w:type="dxa"/>
            <w:left w:w="108" w:type="dxa"/>
            <w:bottom w:w="0" w:type="dxa"/>
            <w:right w:w="108" w:type="dxa"/>
          </w:tblCellMar>
        </w:tblPrEx>
        <w:trPr>
          <w:trHeight w:val="3078" w:hRule="atLeast"/>
          <w:jc w:val="center"/>
        </w:trPr>
        <w:tc>
          <w:tcPr>
            <w:tcW w:w="464" w:type="dxa"/>
            <w:tcBorders>
              <w:top w:val="single" w:color="auto" w:sz="4" w:space="0"/>
              <w:left w:val="single" w:color="auto" w:sz="4" w:space="0"/>
              <w:bottom w:val="single" w:color="auto" w:sz="4" w:space="0"/>
              <w:right w:val="single" w:color="auto" w:sz="4" w:space="0"/>
            </w:tcBorders>
            <w:noWrap w:val="0"/>
            <w:vAlign w:val="center"/>
          </w:tcPr>
          <w:p w14:paraId="748F0C2B">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2</w:t>
            </w:r>
          </w:p>
        </w:tc>
        <w:tc>
          <w:tcPr>
            <w:tcW w:w="1708" w:type="dxa"/>
            <w:tcBorders>
              <w:top w:val="single" w:color="auto" w:sz="4" w:space="0"/>
              <w:left w:val="nil"/>
              <w:bottom w:val="single" w:color="auto" w:sz="4" w:space="0"/>
              <w:right w:val="single" w:color="auto" w:sz="4" w:space="0"/>
            </w:tcBorders>
            <w:noWrap w:val="0"/>
            <w:vAlign w:val="center"/>
          </w:tcPr>
          <w:p w14:paraId="4B21225E">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具有良好的商业信誉和健全的财务会计制度</w:t>
            </w:r>
          </w:p>
        </w:tc>
        <w:tc>
          <w:tcPr>
            <w:tcW w:w="6493" w:type="dxa"/>
            <w:tcBorders>
              <w:top w:val="single" w:color="auto" w:sz="4" w:space="0"/>
              <w:left w:val="nil"/>
              <w:bottom w:val="single" w:color="auto" w:sz="4" w:space="0"/>
              <w:right w:val="single" w:color="auto" w:sz="4" w:space="0"/>
            </w:tcBorders>
            <w:noWrap w:val="0"/>
            <w:vAlign w:val="center"/>
          </w:tcPr>
          <w:p w14:paraId="6A998662">
            <w:pPr>
              <w:keepNext w:val="0"/>
              <w:keepLines w:val="0"/>
              <w:suppressLineNumbers w:val="0"/>
              <w:spacing w:before="0" w:beforeAutospacing="0" w:after="0" w:afterAutospacing="0"/>
              <w:ind w:left="0" w:right="0"/>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提供（</w:t>
            </w:r>
            <w:r>
              <w:rPr>
                <w:rFonts w:hint="default" w:ascii="Times New Roman" w:hAnsi="Times New Roman" w:cs="Times New Roman"/>
                <w:color w:val="auto"/>
                <w:sz w:val="22"/>
                <w:szCs w:val="22"/>
                <w:highlight w:val="none"/>
                <w:lang w:val="en-US" w:eastAsia="zh-CN"/>
              </w:rPr>
              <w:t>2025年度</w:t>
            </w:r>
            <w:r>
              <w:rPr>
                <w:rFonts w:hint="default" w:ascii="Times New Roman" w:hAnsi="Times New Roman" w:cs="Times New Roman"/>
                <w:color w:val="auto"/>
                <w:sz w:val="22"/>
                <w:szCs w:val="22"/>
                <w:highlight w:val="none"/>
              </w:rPr>
              <w:t>）经审计财务会计报告（至少提供资产负债表、利润表、现金流量表，新成立的公司提供情况说明）或基本开户银行出具的资信证明或近</w:t>
            </w:r>
            <w:r>
              <w:rPr>
                <w:rFonts w:hint="default" w:ascii="Times New Roman" w:hAnsi="Times New Roman" w:cs="Times New Roman"/>
                <w:color w:val="auto"/>
                <w:sz w:val="22"/>
                <w:szCs w:val="22"/>
                <w:highlight w:val="none"/>
                <w:lang w:val="en-US" w:eastAsia="zh-CN"/>
              </w:rPr>
              <w:t>一</w:t>
            </w:r>
            <w:r>
              <w:rPr>
                <w:rFonts w:hint="default" w:ascii="Times New Roman" w:hAnsi="Times New Roman" w:cs="Times New Roman"/>
                <w:color w:val="auto"/>
                <w:sz w:val="22"/>
                <w:szCs w:val="22"/>
                <w:highlight w:val="none"/>
              </w:rPr>
              <w:t>年内任意一个月财务报表（财务报表应至少包括资产负债表、利润表、现金流量表或财务状况变动表，当月新成立公司不需提供）；</w:t>
            </w:r>
          </w:p>
          <w:p w14:paraId="6B656A27">
            <w:pPr>
              <w:keepNext w:val="0"/>
              <w:keepLines w:val="0"/>
              <w:suppressLineNumbers w:val="0"/>
              <w:spacing w:before="0" w:beforeAutospacing="0" w:after="0" w:afterAutospacing="0"/>
              <w:ind w:left="0" w:right="0"/>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个体工商户审查财务状况报告或财务报表，则将以个体工商户为户名的银行账户状况视为个体工商户的财务状况；如果个体工商户仅有经营者或者家庭经营成员的银行账户，则将经营者或者家庭经营成员的银行账户状况视为个体工商户的财务状况。</w:t>
            </w:r>
          </w:p>
        </w:tc>
      </w:tr>
      <w:tr w14:paraId="4BC4277F">
        <w:tblPrEx>
          <w:tblCellMar>
            <w:top w:w="0" w:type="dxa"/>
            <w:left w:w="108" w:type="dxa"/>
            <w:bottom w:w="0" w:type="dxa"/>
            <w:right w:w="108" w:type="dxa"/>
          </w:tblCellMar>
        </w:tblPrEx>
        <w:trPr>
          <w:trHeight w:val="1436" w:hRule="atLeast"/>
          <w:jc w:val="center"/>
        </w:trPr>
        <w:tc>
          <w:tcPr>
            <w:tcW w:w="464" w:type="dxa"/>
            <w:tcBorders>
              <w:top w:val="single" w:color="auto" w:sz="4" w:space="0"/>
              <w:left w:val="single" w:color="auto" w:sz="4" w:space="0"/>
              <w:bottom w:val="single" w:color="auto" w:sz="4" w:space="0"/>
              <w:right w:val="single" w:color="auto" w:sz="4" w:space="0"/>
            </w:tcBorders>
            <w:noWrap w:val="0"/>
            <w:vAlign w:val="center"/>
          </w:tcPr>
          <w:p w14:paraId="4A882335">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3</w:t>
            </w:r>
          </w:p>
        </w:tc>
        <w:tc>
          <w:tcPr>
            <w:tcW w:w="1708" w:type="dxa"/>
            <w:tcBorders>
              <w:top w:val="single" w:color="auto" w:sz="4" w:space="0"/>
              <w:left w:val="nil"/>
              <w:bottom w:val="single" w:color="auto" w:sz="4" w:space="0"/>
              <w:right w:val="single" w:color="auto" w:sz="4" w:space="0"/>
            </w:tcBorders>
            <w:noWrap w:val="0"/>
            <w:vAlign w:val="center"/>
          </w:tcPr>
          <w:p w14:paraId="0B55DFEC">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具有履行合同所必需的设备和专业技术能力</w:t>
            </w:r>
          </w:p>
        </w:tc>
        <w:tc>
          <w:tcPr>
            <w:tcW w:w="6493" w:type="dxa"/>
            <w:tcBorders>
              <w:top w:val="single" w:color="auto" w:sz="4" w:space="0"/>
              <w:left w:val="nil"/>
              <w:bottom w:val="single" w:color="auto" w:sz="4" w:space="0"/>
              <w:right w:val="single" w:color="auto" w:sz="4" w:space="0"/>
            </w:tcBorders>
            <w:noWrap w:val="0"/>
            <w:vAlign w:val="center"/>
          </w:tcPr>
          <w:p w14:paraId="29852123">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2"/>
                <w:szCs w:val="22"/>
                <w:highlight w:val="none"/>
                <w:lang w:eastAsia="zh-CN"/>
              </w:rPr>
            </w:pPr>
            <w:r>
              <w:rPr>
                <w:rFonts w:hint="default" w:ascii="Times New Roman" w:hAnsi="Times New Roman" w:cs="Times New Roman"/>
                <w:color w:val="auto"/>
                <w:sz w:val="22"/>
                <w:szCs w:val="22"/>
                <w:highlight w:val="none"/>
              </w:rPr>
              <w:t>提供具有履行合同所必需的设备和专业技术能力等相关证明材料或声明</w:t>
            </w:r>
            <w:r>
              <w:rPr>
                <w:rFonts w:hint="default" w:ascii="Times New Roman" w:hAnsi="Times New Roman" w:cs="Times New Roman"/>
                <w:color w:val="auto"/>
                <w:sz w:val="22"/>
                <w:szCs w:val="22"/>
                <w:highlight w:val="none"/>
                <w:lang w:eastAsia="zh-CN"/>
              </w:rPr>
              <w:t>。</w:t>
            </w:r>
          </w:p>
        </w:tc>
      </w:tr>
      <w:tr w14:paraId="414459FE">
        <w:tblPrEx>
          <w:tblCellMar>
            <w:top w:w="0" w:type="dxa"/>
            <w:left w:w="108" w:type="dxa"/>
            <w:bottom w:w="0" w:type="dxa"/>
            <w:right w:w="108" w:type="dxa"/>
          </w:tblCellMar>
        </w:tblPrEx>
        <w:trPr>
          <w:trHeight w:val="542" w:hRule="atLeast"/>
          <w:jc w:val="center"/>
        </w:trPr>
        <w:tc>
          <w:tcPr>
            <w:tcW w:w="464" w:type="dxa"/>
            <w:tcBorders>
              <w:top w:val="single" w:color="auto" w:sz="4" w:space="0"/>
              <w:left w:val="single" w:color="auto" w:sz="4" w:space="0"/>
              <w:bottom w:val="single" w:color="auto" w:sz="4" w:space="0"/>
              <w:right w:val="single" w:color="auto" w:sz="4" w:space="0"/>
            </w:tcBorders>
            <w:noWrap w:val="0"/>
            <w:vAlign w:val="center"/>
          </w:tcPr>
          <w:p w14:paraId="3AD4078A">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4</w:t>
            </w:r>
          </w:p>
        </w:tc>
        <w:tc>
          <w:tcPr>
            <w:tcW w:w="1708" w:type="dxa"/>
            <w:tcBorders>
              <w:top w:val="single" w:color="auto" w:sz="4" w:space="0"/>
              <w:left w:val="nil"/>
              <w:bottom w:val="single" w:color="auto" w:sz="4" w:space="0"/>
              <w:right w:val="single" w:color="auto" w:sz="4" w:space="0"/>
            </w:tcBorders>
            <w:noWrap w:val="0"/>
            <w:vAlign w:val="center"/>
          </w:tcPr>
          <w:p w14:paraId="4E4C39E9">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有依法缴纳税收和社会保障资金的良好记录</w:t>
            </w:r>
          </w:p>
        </w:tc>
        <w:tc>
          <w:tcPr>
            <w:tcW w:w="6493" w:type="dxa"/>
            <w:tcBorders>
              <w:top w:val="single" w:color="auto" w:sz="4" w:space="0"/>
              <w:left w:val="nil"/>
              <w:bottom w:val="single" w:color="auto" w:sz="4" w:space="0"/>
              <w:right w:val="single" w:color="auto" w:sz="4" w:space="0"/>
            </w:tcBorders>
            <w:noWrap w:val="0"/>
            <w:vAlign w:val="center"/>
          </w:tcPr>
          <w:p w14:paraId="3E22216F">
            <w:pPr>
              <w:keepNext w:val="0"/>
              <w:keepLines w:val="0"/>
              <w:suppressLineNumbers w:val="0"/>
              <w:spacing w:before="0" w:beforeAutospacing="0" w:after="0" w:afterAutospacing="0"/>
              <w:ind w:left="0" w:right="0"/>
              <w:rPr>
                <w:rFonts w:hint="eastAsia" w:ascii="Times New Roman" w:hAnsi="Times New Roman" w:eastAsia="宋体" w:cs="Times New Roman"/>
                <w:color w:val="auto"/>
                <w:sz w:val="22"/>
                <w:szCs w:val="22"/>
                <w:highlight w:val="none"/>
                <w:lang w:eastAsia="zh-CN"/>
              </w:rPr>
            </w:pPr>
            <w:r>
              <w:rPr>
                <w:rFonts w:hint="default" w:ascii="Times New Roman" w:hAnsi="Times New Roman" w:cs="Times New Roman"/>
                <w:color w:val="auto"/>
                <w:sz w:val="22"/>
                <w:szCs w:val="22"/>
                <w:highlight w:val="none"/>
              </w:rPr>
              <w:t>提供近</w:t>
            </w:r>
            <w:r>
              <w:rPr>
                <w:rFonts w:hint="default" w:ascii="Times New Roman" w:hAnsi="Times New Roman" w:cs="Times New Roman"/>
                <w:color w:val="auto"/>
                <w:sz w:val="22"/>
                <w:szCs w:val="22"/>
                <w:highlight w:val="none"/>
                <w:lang w:val="en-US" w:eastAsia="zh-CN"/>
              </w:rPr>
              <w:t>一</w:t>
            </w:r>
            <w:r>
              <w:rPr>
                <w:rFonts w:hint="default" w:ascii="Times New Roman" w:hAnsi="Times New Roman" w:cs="Times New Roman"/>
                <w:color w:val="auto"/>
                <w:sz w:val="22"/>
                <w:szCs w:val="22"/>
                <w:highlight w:val="none"/>
              </w:rPr>
              <w:t>年任意一个月依法缴纳税收和社会保障资金的良好记录的证明材料（附复印件）；</w:t>
            </w:r>
          </w:p>
          <w:p w14:paraId="667D853B">
            <w:pPr>
              <w:keepNext w:val="0"/>
              <w:keepLines w:val="0"/>
              <w:suppressLineNumbers w:val="0"/>
              <w:spacing w:before="0" w:beforeAutospacing="0" w:after="0" w:afterAutospacing="0"/>
              <w:ind w:left="0" w:right="0"/>
              <w:rPr>
                <w:rFonts w:hint="eastAsia" w:ascii="Times New Roman" w:hAnsi="Times New Roman" w:eastAsia="宋体" w:cs="Times New Roman"/>
                <w:color w:val="auto"/>
                <w:sz w:val="22"/>
                <w:szCs w:val="22"/>
                <w:highlight w:val="none"/>
                <w:lang w:eastAsia="zh-CN"/>
              </w:rPr>
            </w:pPr>
            <w:r>
              <w:rPr>
                <w:rFonts w:hint="default" w:ascii="Times New Roman" w:hAnsi="Times New Roman" w:cs="Times New Roman"/>
                <w:color w:val="auto"/>
                <w:sz w:val="22"/>
                <w:szCs w:val="22"/>
                <w:highlight w:val="none"/>
              </w:rPr>
              <w:t>个体工商户参与政府采购活动需要提供缴纳税收的凭据和社会保险的凭据；依法免税或不需要缴纳社保的，应提供相应文件以证明其依法免税或不需要缴纳社保的优惠</w:t>
            </w:r>
            <w:r>
              <w:rPr>
                <w:rFonts w:hint="default" w:ascii="Times New Roman" w:hAnsi="Times New Roman" w:cs="Times New Roman"/>
                <w:color w:val="auto"/>
                <w:sz w:val="22"/>
                <w:szCs w:val="22"/>
                <w:highlight w:val="none"/>
                <w:lang w:eastAsia="zh-CN"/>
              </w:rPr>
              <w:t>。</w:t>
            </w:r>
          </w:p>
        </w:tc>
      </w:tr>
      <w:tr w14:paraId="1DAB8FF4">
        <w:tblPrEx>
          <w:tblCellMar>
            <w:top w:w="0" w:type="dxa"/>
            <w:left w:w="108" w:type="dxa"/>
            <w:bottom w:w="0" w:type="dxa"/>
            <w:right w:w="108" w:type="dxa"/>
          </w:tblCellMar>
        </w:tblPrEx>
        <w:trPr>
          <w:trHeight w:val="1491" w:hRule="atLeast"/>
          <w:jc w:val="center"/>
        </w:trPr>
        <w:tc>
          <w:tcPr>
            <w:tcW w:w="464" w:type="dxa"/>
            <w:tcBorders>
              <w:top w:val="single" w:color="auto" w:sz="4" w:space="0"/>
              <w:left w:val="single" w:color="auto" w:sz="4" w:space="0"/>
              <w:bottom w:val="single" w:color="auto" w:sz="4" w:space="0"/>
              <w:right w:val="single" w:color="auto" w:sz="4" w:space="0"/>
            </w:tcBorders>
            <w:noWrap w:val="0"/>
            <w:vAlign w:val="center"/>
          </w:tcPr>
          <w:p w14:paraId="01A802A0">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5</w:t>
            </w:r>
          </w:p>
        </w:tc>
        <w:tc>
          <w:tcPr>
            <w:tcW w:w="1708" w:type="dxa"/>
            <w:tcBorders>
              <w:top w:val="single" w:color="auto" w:sz="4" w:space="0"/>
              <w:left w:val="nil"/>
              <w:bottom w:val="single" w:color="auto" w:sz="4" w:space="0"/>
              <w:right w:val="single" w:color="auto" w:sz="4" w:space="0"/>
            </w:tcBorders>
            <w:noWrap w:val="0"/>
            <w:vAlign w:val="center"/>
          </w:tcPr>
          <w:p w14:paraId="1EA36A10">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参加政府采购活动前三年内，在经营活动中没有重大违法记录</w:t>
            </w:r>
          </w:p>
        </w:tc>
        <w:tc>
          <w:tcPr>
            <w:tcW w:w="6493" w:type="dxa"/>
            <w:tcBorders>
              <w:top w:val="single" w:color="auto" w:sz="4" w:space="0"/>
              <w:left w:val="nil"/>
              <w:bottom w:val="single" w:color="auto" w:sz="4" w:space="0"/>
              <w:right w:val="single" w:color="auto" w:sz="4" w:space="0"/>
            </w:tcBorders>
            <w:noWrap w:val="0"/>
            <w:vAlign w:val="center"/>
          </w:tcPr>
          <w:p w14:paraId="3D409FF2">
            <w:pPr>
              <w:keepNext w:val="0"/>
              <w:keepLines w:val="0"/>
              <w:suppressLineNumbers w:val="0"/>
              <w:spacing w:before="0" w:beforeAutospacing="0" w:after="0" w:afterAutospacing="0"/>
              <w:ind w:left="0" w:right="0"/>
              <w:rPr>
                <w:rFonts w:hint="default" w:ascii="Times New Roman" w:hAnsi="Times New Roman" w:cs="Times New Roman"/>
                <w:color w:val="auto"/>
                <w:kern w:val="0"/>
                <w:sz w:val="22"/>
                <w:szCs w:val="22"/>
                <w:highlight w:val="none"/>
              </w:rPr>
            </w:pPr>
            <w:r>
              <w:rPr>
                <w:rFonts w:hint="default" w:ascii="Times New Roman" w:hAnsi="Times New Roman" w:cs="Times New Roman"/>
                <w:color w:val="auto"/>
                <w:kern w:val="0"/>
                <w:sz w:val="22"/>
                <w:szCs w:val="22"/>
                <w:highlight w:val="none"/>
              </w:rPr>
              <w:t>参加政府采购活动近3年内，在经营活动中没有重大违法记录，提供声明书。</w:t>
            </w:r>
          </w:p>
        </w:tc>
      </w:tr>
      <w:tr w14:paraId="6DC1F3A5">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noWrap w:val="0"/>
            <w:vAlign w:val="center"/>
          </w:tcPr>
          <w:p w14:paraId="3FF30FAC">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6</w:t>
            </w:r>
          </w:p>
        </w:tc>
        <w:tc>
          <w:tcPr>
            <w:tcW w:w="1708" w:type="dxa"/>
            <w:tcBorders>
              <w:top w:val="single" w:color="auto" w:sz="4" w:space="0"/>
              <w:left w:val="nil"/>
              <w:bottom w:val="single" w:color="auto" w:sz="4" w:space="0"/>
              <w:right w:val="single" w:color="auto" w:sz="4" w:space="0"/>
            </w:tcBorders>
            <w:noWrap w:val="0"/>
            <w:vAlign w:val="center"/>
          </w:tcPr>
          <w:p w14:paraId="01E13CC5">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信用查询</w:t>
            </w:r>
          </w:p>
        </w:tc>
        <w:tc>
          <w:tcPr>
            <w:tcW w:w="6493" w:type="dxa"/>
            <w:tcBorders>
              <w:top w:val="single" w:color="auto" w:sz="4" w:space="0"/>
              <w:left w:val="nil"/>
              <w:bottom w:val="single" w:color="auto" w:sz="4" w:space="0"/>
              <w:right w:val="single" w:color="auto" w:sz="4" w:space="0"/>
            </w:tcBorders>
            <w:noWrap w:val="0"/>
            <w:vAlign w:val="center"/>
          </w:tcPr>
          <w:p w14:paraId="43638610">
            <w:pPr>
              <w:keepNext w:val="0"/>
              <w:keepLines w:val="0"/>
              <w:suppressLineNumbers w:val="0"/>
              <w:spacing w:before="0" w:beforeAutospacing="0" w:after="0" w:afterAutospacing="0"/>
              <w:ind w:left="0" w:right="0"/>
              <w:rPr>
                <w:rFonts w:hint="default" w:ascii="Times New Roman" w:hAnsi="Times New Roman" w:cs="Times New Roman"/>
                <w:color w:val="auto"/>
                <w:kern w:val="0"/>
                <w:sz w:val="22"/>
                <w:szCs w:val="22"/>
                <w:highlight w:val="none"/>
              </w:rPr>
            </w:pPr>
            <w:r>
              <w:rPr>
                <w:rFonts w:hint="default" w:ascii="Times New Roman" w:hAnsi="Times New Roman" w:cs="Times New Roman"/>
                <w:color w:val="auto"/>
                <w:kern w:val="0"/>
                <w:sz w:val="22"/>
                <w:szCs w:val="22"/>
                <w:highlight w:val="none"/>
              </w:rPr>
              <w:t>根据《财政部关于在政府采购活动中查询及使用信用记录有关问题的通知》（财库〔2016〕125号）规定，投标截止时间后，采购人或采购代理机构将通过“信用中国”网站</w:t>
            </w:r>
            <w:r>
              <w:rPr>
                <w:rFonts w:hint="default" w:ascii="Times New Roman" w:hAnsi="Times New Roman" w:cs="Times New Roman"/>
                <w:color w:val="auto"/>
                <w:kern w:val="0"/>
                <w:sz w:val="22"/>
                <w:szCs w:val="22"/>
                <w:highlight w:val="none"/>
                <w:lang w:eastAsia="zh-CN"/>
              </w:rPr>
              <w:t>（</w:t>
            </w:r>
            <w:r>
              <w:rPr>
                <w:rFonts w:hint="default" w:ascii="Times New Roman" w:hAnsi="Times New Roman" w:cs="Times New Roman"/>
                <w:color w:val="auto"/>
                <w:kern w:val="0"/>
                <w:sz w:val="22"/>
                <w:szCs w:val="22"/>
                <w:highlight w:val="none"/>
              </w:rPr>
              <w:t>www.creditchina.gov.cn</w:t>
            </w:r>
            <w:r>
              <w:rPr>
                <w:rFonts w:hint="default" w:ascii="Times New Roman" w:hAnsi="Times New Roman" w:cs="Times New Roman"/>
                <w:color w:val="auto"/>
                <w:kern w:val="0"/>
                <w:sz w:val="22"/>
                <w:szCs w:val="22"/>
                <w:highlight w:val="none"/>
                <w:lang w:eastAsia="zh-CN"/>
              </w:rPr>
              <w:t>）</w:t>
            </w:r>
            <w:r>
              <w:rPr>
                <w:rFonts w:hint="default" w:ascii="Times New Roman" w:hAnsi="Times New Roman" w:cs="Times New Roman"/>
                <w:color w:val="auto"/>
                <w:kern w:val="0"/>
                <w:sz w:val="22"/>
                <w:szCs w:val="22"/>
                <w:highlight w:val="none"/>
              </w:rPr>
              <w:t>、中国政府采购网</w:t>
            </w:r>
            <w:r>
              <w:rPr>
                <w:rFonts w:hint="default" w:ascii="Times New Roman" w:hAnsi="Times New Roman" w:cs="Times New Roman"/>
                <w:color w:val="auto"/>
                <w:kern w:val="0"/>
                <w:sz w:val="22"/>
                <w:szCs w:val="22"/>
                <w:highlight w:val="none"/>
                <w:lang w:eastAsia="zh-CN"/>
              </w:rPr>
              <w:t>（</w:t>
            </w:r>
            <w:r>
              <w:rPr>
                <w:rFonts w:hint="default" w:ascii="Times New Roman" w:hAnsi="Times New Roman" w:cs="Times New Roman"/>
                <w:color w:val="auto"/>
                <w:kern w:val="0"/>
                <w:sz w:val="22"/>
                <w:szCs w:val="22"/>
                <w:highlight w:val="none"/>
              </w:rPr>
              <w:t>www.ccgp.gov.cn</w:t>
            </w:r>
            <w:r>
              <w:rPr>
                <w:rFonts w:hint="default" w:ascii="Times New Roman" w:hAnsi="Times New Roman" w:cs="Times New Roman"/>
                <w:color w:val="auto"/>
                <w:kern w:val="0"/>
                <w:sz w:val="22"/>
                <w:szCs w:val="22"/>
                <w:highlight w:val="none"/>
                <w:lang w:eastAsia="zh-CN"/>
              </w:rPr>
              <w:t>）</w:t>
            </w:r>
            <w:r>
              <w:rPr>
                <w:rFonts w:hint="default" w:ascii="Times New Roman" w:hAnsi="Times New Roman" w:cs="Times New Roman"/>
                <w:color w:val="auto"/>
                <w:kern w:val="0"/>
                <w:sz w:val="22"/>
                <w:szCs w:val="22"/>
                <w:highlight w:val="none"/>
              </w:rPr>
              <w:t>，对</w:t>
            </w:r>
            <w:r>
              <w:rPr>
                <w:rFonts w:hint="default" w:ascii="Times New Roman" w:hAnsi="Times New Roman" w:cs="Times New Roman"/>
                <w:color w:val="auto"/>
                <w:kern w:val="0"/>
                <w:sz w:val="22"/>
                <w:szCs w:val="22"/>
                <w:highlight w:val="none"/>
                <w:lang w:eastAsia="zh-CN"/>
              </w:rPr>
              <w:t>投标供应商</w:t>
            </w:r>
            <w:r>
              <w:rPr>
                <w:rFonts w:hint="eastAsia" w:cs="Times New Roman"/>
                <w:color w:val="auto"/>
                <w:kern w:val="0"/>
                <w:sz w:val="22"/>
                <w:szCs w:val="22"/>
                <w:highlight w:val="none"/>
                <w:lang w:eastAsia="zh-CN"/>
              </w:rPr>
              <w:t>截至</w:t>
            </w:r>
            <w:r>
              <w:rPr>
                <w:rFonts w:hint="default" w:ascii="Times New Roman" w:hAnsi="Times New Roman" w:cs="Times New Roman"/>
                <w:color w:val="auto"/>
                <w:kern w:val="0"/>
                <w:sz w:val="22"/>
                <w:szCs w:val="22"/>
                <w:highlight w:val="none"/>
              </w:rPr>
              <w:t>投标截止时间的信用记录进行审查，对列入失信被执行人、重大税收违法案件当事人名单、政府采购严重违法失信行为记录名单其投标将被拒绝。</w:t>
            </w:r>
          </w:p>
        </w:tc>
      </w:tr>
      <w:tr w14:paraId="64A4BB6A">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noWrap w:val="0"/>
            <w:vAlign w:val="center"/>
          </w:tcPr>
          <w:p w14:paraId="3132B80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7</w:t>
            </w:r>
          </w:p>
        </w:tc>
        <w:tc>
          <w:tcPr>
            <w:tcW w:w="1708" w:type="dxa"/>
            <w:tcBorders>
              <w:top w:val="single" w:color="auto" w:sz="4" w:space="0"/>
              <w:left w:val="nil"/>
              <w:bottom w:val="single" w:color="auto" w:sz="4" w:space="0"/>
              <w:right w:val="single" w:color="auto" w:sz="4" w:space="0"/>
            </w:tcBorders>
            <w:noWrap w:val="0"/>
            <w:vAlign w:val="center"/>
          </w:tcPr>
          <w:p w14:paraId="6E50441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特定资格要求</w:t>
            </w:r>
          </w:p>
        </w:tc>
        <w:tc>
          <w:tcPr>
            <w:tcW w:w="6493" w:type="dxa"/>
            <w:tcBorders>
              <w:top w:val="single" w:color="auto" w:sz="4" w:space="0"/>
              <w:left w:val="nil"/>
              <w:bottom w:val="single" w:color="auto" w:sz="4" w:space="0"/>
              <w:right w:val="single" w:color="auto" w:sz="4" w:space="0"/>
            </w:tcBorders>
            <w:noWrap w:val="0"/>
            <w:vAlign w:val="center"/>
          </w:tcPr>
          <w:p w14:paraId="45196EF1">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0"/>
                <w:sz w:val="22"/>
                <w:szCs w:val="22"/>
                <w:highlight w:val="none"/>
                <w:lang w:val="en-US" w:eastAsia="zh-CN"/>
              </w:rPr>
            </w:pPr>
            <w:r>
              <w:rPr>
                <w:rFonts w:hint="default" w:ascii="Times New Roman" w:hAnsi="Times New Roman" w:cs="Times New Roman"/>
                <w:color w:val="auto"/>
                <w:kern w:val="0"/>
                <w:sz w:val="22"/>
                <w:szCs w:val="22"/>
                <w:highlight w:val="none"/>
                <w:lang w:val="en-US" w:eastAsia="zh-CN"/>
              </w:rPr>
              <w:t>供应商须具有</w:t>
            </w:r>
            <w:r>
              <w:rPr>
                <w:rFonts w:hint="default" w:ascii="Times New Roman" w:hAnsi="Times New Roman" w:cs="Times New Roman"/>
                <w:color w:val="auto"/>
                <w:kern w:val="0"/>
                <w:sz w:val="22"/>
                <w:szCs w:val="22"/>
                <w:highlight w:val="none"/>
                <w:lang w:val="en-US"/>
              </w:rPr>
              <w:t>有效的《餐饮服务许可证》或《食品经营许可证》</w:t>
            </w:r>
            <w:r>
              <w:rPr>
                <w:rFonts w:hint="default" w:ascii="Times New Roman" w:hAnsi="Times New Roman" w:cs="Times New Roman"/>
                <w:color w:val="auto"/>
                <w:kern w:val="0"/>
                <w:sz w:val="22"/>
                <w:szCs w:val="22"/>
                <w:highlight w:val="none"/>
                <w:lang w:val="en-US" w:eastAsia="zh-CN"/>
              </w:rPr>
              <w:t>。</w:t>
            </w:r>
          </w:p>
        </w:tc>
      </w:tr>
      <w:tr w14:paraId="7524117F">
        <w:tblPrEx>
          <w:tblCellMar>
            <w:top w:w="0" w:type="dxa"/>
            <w:left w:w="108" w:type="dxa"/>
            <w:bottom w:w="0" w:type="dxa"/>
            <w:right w:w="108" w:type="dxa"/>
          </w:tblCellMar>
        </w:tblPrEx>
        <w:trPr>
          <w:trHeight w:val="680" w:hRule="atLeast"/>
          <w:jc w:val="center"/>
        </w:trPr>
        <w:tc>
          <w:tcPr>
            <w:tcW w:w="464" w:type="dxa"/>
            <w:tcBorders>
              <w:top w:val="single" w:color="auto" w:sz="4" w:space="0"/>
              <w:left w:val="single" w:color="auto" w:sz="4" w:space="0"/>
              <w:bottom w:val="single" w:color="auto" w:sz="4" w:space="0"/>
              <w:right w:val="single" w:color="auto" w:sz="4" w:space="0"/>
            </w:tcBorders>
            <w:noWrap w:val="0"/>
            <w:vAlign w:val="center"/>
          </w:tcPr>
          <w:p w14:paraId="2A8FED7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0"/>
                <w:sz w:val="22"/>
                <w:szCs w:val="22"/>
                <w:highlight w:val="none"/>
                <w:lang w:eastAsia="zh-CN"/>
              </w:rPr>
            </w:pPr>
            <w:r>
              <w:rPr>
                <w:rFonts w:hint="default" w:ascii="Times New Roman" w:hAnsi="Times New Roman" w:cs="Times New Roman"/>
                <w:color w:val="auto"/>
                <w:kern w:val="0"/>
                <w:sz w:val="22"/>
                <w:szCs w:val="22"/>
                <w:highlight w:val="none"/>
                <w:lang w:val="en-US" w:eastAsia="zh-CN"/>
              </w:rPr>
              <w:t>8</w:t>
            </w:r>
          </w:p>
        </w:tc>
        <w:tc>
          <w:tcPr>
            <w:tcW w:w="1708" w:type="dxa"/>
            <w:tcBorders>
              <w:top w:val="single" w:color="auto" w:sz="4" w:space="0"/>
              <w:left w:val="nil"/>
              <w:bottom w:val="single" w:color="auto" w:sz="4" w:space="0"/>
              <w:right w:val="single" w:color="auto" w:sz="4" w:space="0"/>
            </w:tcBorders>
            <w:noWrap w:val="0"/>
            <w:vAlign w:val="center"/>
          </w:tcPr>
          <w:p w14:paraId="477B96D1">
            <w:pPr>
              <w:keepNext w:val="0"/>
              <w:keepLines w:val="0"/>
              <w:suppressLineNumbers w:val="0"/>
              <w:spacing w:before="0" w:beforeAutospacing="0" w:after="0" w:afterAutospacing="0"/>
              <w:ind w:left="0" w:right="0"/>
              <w:jc w:val="center"/>
              <w:rPr>
                <w:rFonts w:hint="default" w:ascii="Times New Roman" w:hAnsi="Times New Roman" w:cs="Times New Roman"/>
                <w:color w:val="auto"/>
                <w:kern w:val="0"/>
                <w:sz w:val="22"/>
                <w:szCs w:val="22"/>
                <w:highlight w:val="none"/>
              </w:rPr>
            </w:pPr>
            <w:r>
              <w:rPr>
                <w:rFonts w:hint="default" w:ascii="Times New Roman" w:hAnsi="Times New Roman" w:cs="Times New Roman"/>
                <w:color w:val="auto"/>
                <w:kern w:val="0"/>
                <w:sz w:val="22"/>
                <w:szCs w:val="22"/>
                <w:highlight w:val="none"/>
              </w:rPr>
              <w:t>是否缴纳投标保证金</w:t>
            </w:r>
          </w:p>
        </w:tc>
        <w:tc>
          <w:tcPr>
            <w:tcW w:w="6493" w:type="dxa"/>
            <w:tcBorders>
              <w:top w:val="single" w:color="auto" w:sz="4" w:space="0"/>
              <w:left w:val="nil"/>
              <w:bottom w:val="single" w:color="auto" w:sz="4" w:space="0"/>
              <w:right w:val="single" w:color="auto" w:sz="4" w:space="0"/>
            </w:tcBorders>
            <w:noWrap w:val="0"/>
            <w:vAlign w:val="center"/>
          </w:tcPr>
          <w:p w14:paraId="66CDB7D8">
            <w:pPr>
              <w:keepNext w:val="0"/>
              <w:keepLines w:val="0"/>
              <w:suppressLineNumbers w:val="0"/>
              <w:spacing w:before="0" w:beforeAutospacing="0" w:after="0" w:afterAutospacing="0"/>
              <w:ind w:left="0" w:right="0"/>
              <w:rPr>
                <w:rFonts w:hint="default" w:ascii="Times New Roman" w:hAnsi="Times New Roman" w:cs="Times New Roman"/>
                <w:color w:val="auto"/>
                <w:kern w:val="0"/>
                <w:sz w:val="22"/>
                <w:szCs w:val="22"/>
                <w:highlight w:val="none"/>
              </w:rPr>
            </w:pPr>
            <w:r>
              <w:rPr>
                <w:rFonts w:hint="default" w:ascii="Times New Roman" w:hAnsi="Times New Roman" w:cs="Times New Roman"/>
                <w:color w:val="auto"/>
                <w:kern w:val="0"/>
                <w:sz w:val="22"/>
                <w:szCs w:val="22"/>
                <w:highlight w:val="none"/>
              </w:rPr>
              <w:t>提供缴纳保证金凭证。</w:t>
            </w:r>
          </w:p>
        </w:tc>
      </w:tr>
      <w:tr w14:paraId="388F4597">
        <w:tblPrEx>
          <w:tblCellMar>
            <w:top w:w="0" w:type="dxa"/>
            <w:left w:w="108" w:type="dxa"/>
            <w:bottom w:w="0" w:type="dxa"/>
            <w:right w:w="108" w:type="dxa"/>
          </w:tblCellMar>
        </w:tblPrEx>
        <w:trPr>
          <w:trHeight w:val="635" w:hRule="atLeast"/>
          <w:jc w:val="center"/>
        </w:trPr>
        <w:tc>
          <w:tcPr>
            <w:tcW w:w="464" w:type="dxa"/>
            <w:tcBorders>
              <w:top w:val="single" w:color="auto" w:sz="4" w:space="0"/>
              <w:left w:val="single" w:color="auto" w:sz="4" w:space="0"/>
              <w:bottom w:val="single" w:color="auto" w:sz="4" w:space="0"/>
              <w:right w:val="single" w:color="auto" w:sz="4" w:space="0"/>
            </w:tcBorders>
            <w:noWrap w:val="0"/>
            <w:vAlign w:val="center"/>
          </w:tcPr>
          <w:p w14:paraId="25A6ADA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0"/>
                <w:sz w:val="22"/>
                <w:szCs w:val="22"/>
                <w:highlight w:val="none"/>
                <w:lang w:eastAsia="zh-CN"/>
              </w:rPr>
            </w:pPr>
            <w:r>
              <w:rPr>
                <w:rFonts w:hint="default" w:ascii="Times New Roman" w:hAnsi="Times New Roman" w:cs="Times New Roman"/>
                <w:color w:val="auto"/>
                <w:kern w:val="0"/>
                <w:sz w:val="22"/>
                <w:szCs w:val="22"/>
                <w:highlight w:val="none"/>
                <w:lang w:val="en-US" w:eastAsia="zh-CN"/>
              </w:rPr>
              <w:t>9</w:t>
            </w:r>
          </w:p>
        </w:tc>
        <w:tc>
          <w:tcPr>
            <w:tcW w:w="1708" w:type="dxa"/>
            <w:tcBorders>
              <w:top w:val="single" w:color="auto" w:sz="4" w:space="0"/>
              <w:left w:val="nil"/>
              <w:bottom w:val="single" w:color="auto" w:sz="4" w:space="0"/>
              <w:right w:val="single" w:color="auto" w:sz="4" w:space="0"/>
            </w:tcBorders>
            <w:noWrap w:val="0"/>
            <w:vAlign w:val="center"/>
          </w:tcPr>
          <w:p w14:paraId="465D0FC5">
            <w:pPr>
              <w:keepNext w:val="0"/>
              <w:keepLines w:val="0"/>
              <w:suppressLineNumbers w:val="0"/>
              <w:spacing w:before="0" w:beforeAutospacing="0" w:after="0" w:afterAutospacing="0"/>
              <w:ind w:left="0" w:right="0"/>
              <w:jc w:val="center"/>
              <w:rPr>
                <w:rFonts w:hint="default" w:ascii="Times New Roman" w:hAnsi="Times New Roman" w:cs="Times New Roman"/>
                <w:color w:val="auto"/>
                <w:kern w:val="0"/>
                <w:sz w:val="22"/>
                <w:szCs w:val="22"/>
                <w:highlight w:val="none"/>
              </w:rPr>
            </w:pPr>
            <w:r>
              <w:rPr>
                <w:rFonts w:hint="default" w:ascii="Times New Roman" w:hAnsi="Times New Roman" w:cs="Times New Roman"/>
                <w:color w:val="auto"/>
                <w:kern w:val="0"/>
                <w:sz w:val="22"/>
                <w:szCs w:val="22"/>
                <w:highlight w:val="none"/>
              </w:rPr>
              <w:t>本项目专门面向</w:t>
            </w:r>
            <w:r>
              <w:rPr>
                <w:rFonts w:hint="default" w:ascii="Times New Roman" w:hAnsi="Times New Roman" w:cs="Times New Roman"/>
                <w:color w:val="auto"/>
                <w:kern w:val="0"/>
                <w:sz w:val="22"/>
                <w:szCs w:val="22"/>
                <w:highlight w:val="none"/>
                <w:lang w:val="en-US" w:eastAsia="zh-CN"/>
              </w:rPr>
              <w:t>小微</w:t>
            </w:r>
            <w:r>
              <w:rPr>
                <w:rFonts w:hint="default" w:ascii="Times New Roman" w:hAnsi="Times New Roman" w:cs="Times New Roman"/>
                <w:color w:val="auto"/>
                <w:kern w:val="0"/>
                <w:sz w:val="22"/>
                <w:szCs w:val="22"/>
                <w:highlight w:val="none"/>
              </w:rPr>
              <w:t>企业</w:t>
            </w:r>
          </w:p>
        </w:tc>
        <w:tc>
          <w:tcPr>
            <w:tcW w:w="6493" w:type="dxa"/>
            <w:tcBorders>
              <w:top w:val="single" w:color="auto" w:sz="4" w:space="0"/>
              <w:left w:val="nil"/>
              <w:bottom w:val="single" w:color="auto" w:sz="4" w:space="0"/>
              <w:right w:val="single" w:color="auto" w:sz="4" w:space="0"/>
            </w:tcBorders>
            <w:noWrap w:val="0"/>
            <w:vAlign w:val="center"/>
          </w:tcPr>
          <w:p w14:paraId="1759347F">
            <w:pPr>
              <w:keepNext w:val="0"/>
              <w:keepLines w:val="0"/>
              <w:suppressLineNumbers w:val="0"/>
              <w:spacing w:before="0" w:beforeAutospacing="0" w:after="0" w:afterAutospacing="0"/>
              <w:ind w:left="0" w:right="0"/>
              <w:rPr>
                <w:rFonts w:hint="default" w:ascii="Times New Roman" w:hAnsi="Times New Roman" w:cs="Times New Roman"/>
                <w:color w:val="auto"/>
                <w:kern w:val="0"/>
                <w:sz w:val="22"/>
                <w:szCs w:val="22"/>
                <w:highlight w:val="none"/>
              </w:rPr>
            </w:pPr>
            <w:r>
              <w:rPr>
                <w:rFonts w:hint="default" w:ascii="Times New Roman" w:hAnsi="Times New Roman" w:cs="Times New Roman"/>
                <w:color w:val="auto"/>
                <w:kern w:val="0"/>
                <w:sz w:val="22"/>
                <w:szCs w:val="22"/>
                <w:highlight w:val="none"/>
              </w:rPr>
              <w:t>请根据要求单独上传《中小企业声明函》</w:t>
            </w:r>
            <w:r>
              <w:rPr>
                <w:rFonts w:hint="default" w:ascii="Times New Roman" w:hAnsi="Times New Roman" w:cs="Times New Roman"/>
                <w:color w:val="auto"/>
                <w:kern w:val="0"/>
                <w:sz w:val="22"/>
                <w:szCs w:val="22"/>
                <w:highlight w:val="none"/>
                <w:lang w:eastAsia="zh-CN"/>
              </w:rPr>
              <w:t>，</w:t>
            </w:r>
            <w:r>
              <w:rPr>
                <w:rFonts w:hint="default" w:ascii="Times New Roman" w:hAnsi="Times New Roman" w:cs="Times New Roman"/>
                <w:color w:val="auto"/>
                <w:kern w:val="0"/>
                <w:sz w:val="22"/>
                <w:szCs w:val="22"/>
                <w:highlight w:val="none"/>
              </w:rPr>
              <w:t>格式以采购文件要求为准。</w:t>
            </w:r>
          </w:p>
        </w:tc>
      </w:tr>
      <w:tr w14:paraId="22D3905B">
        <w:tblPrEx>
          <w:tblCellMar>
            <w:top w:w="0" w:type="dxa"/>
            <w:left w:w="108" w:type="dxa"/>
            <w:bottom w:w="0" w:type="dxa"/>
            <w:right w:w="108" w:type="dxa"/>
          </w:tblCellMar>
        </w:tblPrEx>
        <w:trPr>
          <w:trHeight w:val="750" w:hRule="atLeast"/>
          <w:jc w:val="center"/>
        </w:trPr>
        <w:tc>
          <w:tcPr>
            <w:tcW w:w="464" w:type="dxa"/>
            <w:tcBorders>
              <w:top w:val="single" w:color="auto" w:sz="4" w:space="0"/>
              <w:left w:val="single" w:color="auto" w:sz="4" w:space="0"/>
              <w:bottom w:val="single" w:color="auto" w:sz="4" w:space="0"/>
              <w:right w:val="single" w:color="auto" w:sz="4" w:space="0"/>
            </w:tcBorders>
            <w:noWrap w:val="0"/>
            <w:vAlign w:val="center"/>
          </w:tcPr>
          <w:p w14:paraId="26612B5F">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备注</w:t>
            </w:r>
          </w:p>
        </w:tc>
        <w:tc>
          <w:tcPr>
            <w:tcW w:w="8201" w:type="dxa"/>
            <w:gridSpan w:val="2"/>
            <w:tcBorders>
              <w:top w:val="single" w:color="auto" w:sz="4" w:space="0"/>
              <w:left w:val="nil"/>
              <w:bottom w:val="single" w:color="auto" w:sz="4" w:space="0"/>
              <w:right w:val="single" w:color="auto" w:sz="4" w:space="0"/>
            </w:tcBorders>
            <w:noWrap w:val="0"/>
            <w:vAlign w:val="center"/>
          </w:tcPr>
          <w:p w14:paraId="04180649">
            <w:pPr>
              <w:keepNext w:val="0"/>
              <w:keepLines w:val="0"/>
              <w:suppressLineNumbers w:val="0"/>
              <w:spacing w:before="0" w:beforeAutospacing="0" w:after="0" w:afterAutospacing="0"/>
              <w:ind w:left="0" w:right="0"/>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再次重申：供应商请认真阅读和理解上述内容，避免资格审查中有违背上述审查标准之一的情况发生而造成废标。</w:t>
            </w:r>
          </w:p>
        </w:tc>
      </w:tr>
    </w:tbl>
    <w:p w14:paraId="791FEC9F">
      <w:pPr>
        <w:pStyle w:val="22"/>
        <w:rPr>
          <w:rFonts w:hint="default" w:ascii="Times New Roman" w:hAnsi="Times New Roman" w:cs="Times New Roman"/>
          <w:color w:val="auto"/>
          <w:highlight w:val="none"/>
        </w:rPr>
      </w:pPr>
    </w:p>
    <w:p w14:paraId="4B02253D">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1.资格审查合格的打“√”，不合格的打“×”。</w:t>
      </w:r>
    </w:p>
    <w:p w14:paraId="1517E5FD">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2.资格审查结果，通过打“√”，不通过的打“×”。</w:t>
      </w:r>
    </w:p>
    <w:p w14:paraId="200558B9">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3.请填写不通过资格审查的</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的原因。</w:t>
      </w:r>
    </w:p>
    <w:p w14:paraId="66BEEBF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default" w:ascii="Times New Roman" w:hAnsi="Times New Roman" w:cs="Times New Roman"/>
          <w:color w:val="auto"/>
          <w:highlight w:val="none"/>
        </w:rPr>
      </w:pPr>
      <w:bookmarkStart w:id="33" w:name="_Toc8072"/>
      <w:r>
        <w:rPr>
          <w:rFonts w:hint="default" w:ascii="Times New Roman" w:hAnsi="Times New Roman" w:cs="Times New Roman"/>
          <w:b/>
          <w:bCs/>
          <w:color w:val="auto"/>
          <w:highlight w:val="none"/>
        </w:rPr>
        <w:br w:type="page"/>
      </w:r>
      <w:bookmarkStart w:id="34" w:name="_Toc131497492"/>
      <w:bookmarkStart w:id="35" w:name="_Toc30223"/>
      <w:bookmarkStart w:id="36" w:name="_Toc31214"/>
      <w:r>
        <w:rPr>
          <w:rFonts w:hint="default" w:ascii="Times New Roman" w:hAnsi="Times New Roman" w:cs="Times New Roman"/>
          <w:b/>
          <w:color w:val="auto"/>
          <w:sz w:val="28"/>
          <w:szCs w:val="32"/>
          <w:highlight w:val="none"/>
        </w:rPr>
        <w:t>第六章评　标</w:t>
      </w:r>
      <w:bookmarkEnd w:id="33"/>
      <w:bookmarkEnd w:id="34"/>
      <w:bookmarkEnd w:id="35"/>
      <w:bookmarkEnd w:id="36"/>
    </w:p>
    <w:p w14:paraId="2FED2591">
      <w:pPr>
        <w:spacing w:line="440" w:lineRule="exact"/>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18.评标依据</w:t>
      </w:r>
    </w:p>
    <w:p w14:paraId="3FCE0CBD">
      <w:pPr>
        <w:spacing w:line="440" w:lineRule="exact"/>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18.1　评标的依据为</w:t>
      </w:r>
      <w:r>
        <w:rPr>
          <w:rFonts w:hint="default" w:ascii="Times New Roman" w:hAnsi="Times New Roman" w:cs="Times New Roman"/>
          <w:color w:val="auto"/>
          <w:sz w:val="24"/>
          <w:szCs w:val="24"/>
          <w:highlight w:val="none"/>
          <w:lang w:eastAsia="zh-CN"/>
        </w:rPr>
        <w:t>公开招标文件</w:t>
      </w:r>
      <w:r>
        <w:rPr>
          <w:rFonts w:hint="default" w:ascii="Times New Roman" w:hAnsi="Times New Roman" w:cs="Times New Roman"/>
          <w:color w:val="auto"/>
          <w:sz w:val="24"/>
          <w:szCs w:val="24"/>
          <w:highlight w:val="none"/>
        </w:rPr>
        <w:t>。</w:t>
      </w:r>
    </w:p>
    <w:p w14:paraId="4F82BB07">
      <w:pPr>
        <w:spacing w:line="440" w:lineRule="exact"/>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19.</w:t>
      </w:r>
      <w:r>
        <w:rPr>
          <w:rFonts w:hint="default" w:ascii="Times New Roman" w:hAnsi="Times New Roman" w:cs="Times New Roman"/>
          <w:b/>
          <w:color w:val="auto"/>
          <w:sz w:val="24"/>
          <w:szCs w:val="24"/>
          <w:highlight w:val="none"/>
          <w:lang w:eastAsia="zh-CN"/>
        </w:rPr>
        <w:t>投标文件</w:t>
      </w:r>
      <w:r>
        <w:rPr>
          <w:rFonts w:hint="default" w:ascii="Times New Roman" w:hAnsi="Times New Roman" w:cs="Times New Roman"/>
          <w:b/>
          <w:color w:val="auto"/>
          <w:sz w:val="24"/>
          <w:szCs w:val="24"/>
          <w:highlight w:val="none"/>
        </w:rPr>
        <w:t>的澄清</w:t>
      </w:r>
    </w:p>
    <w:p w14:paraId="769B0768">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19.1　为</w:t>
      </w:r>
      <w:r>
        <w:rPr>
          <w:rFonts w:hint="default" w:ascii="Times New Roman" w:hAnsi="Times New Roman" w:cs="Times New Roman"/>
          <w:color w:val="auto"/>
          <w:spacing w:val="-2"/>
          <w:sz w:val="24"/>
          <w:szCs w:val="24"/>
          <w:highlight w:val="none"/>
          <w:lang w:eastAsia="zh-CN"/>
        </w:rPr>
        <w:t>有助于投标文件</w:t>
      </w:r>
      <w:r>
        <w:rPr>
          <w:rFonts w:hint="default" w:ascii="Times New Roman" w:hAnsi="Times New Roman" w:cs="Times New Roman"/>
          <w:color w:val="auto"/>
          <w:spacing w:val="-2"/>
          <w:sz w:val="24"/>
          <w:szCs w:val="24"/>
          <w:highlight w:val="none"/>
        </w:rPr>
        <w:t>进行审查、评估，</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将对认为需要（不是每一个）的</w:t>
      </w:r>
      <w:r>
        <w:rPr>
          <w:rFonts w:hint="default" w:ascii="Times New Roman" w:hAnsi="Times New Roman" w:cs="Times New Roman"/>
          <w:color w:val="auto"/>
          <w:spacing w:val="-2"/>
          <w:sz w:val="24"/>
          <w:szCs w:val="24"/>
          <w:highlight w:val="none"/>
          <w:lang w:eastAsia="zh-CN"/>
        </w:rPr>
        <w:t>投标供应商</w:t>
      </w:r>
      <w:r>
        <w:rPr>
          <w:rFonts w:hint="default" w:ascii="Times New Roman" w:hAnsi="Times New Roman" w:cs="Times New Roman"/>
          <w:color w:val="auto"/>
          <w:spacing w:val="-2"/>
          <w:sz w:val="24"/>
          <w:szCs w:val="24"/>
          <w:highlight w:val="none"/>
        </w:rPr>
        <w:t>进行询标，请</w:t>
      </w:r>
      <w:r>
        <w:rPr>
          <w:rFonts w:hint="default" w:ascii="Times New Roman" w:hAnsi="Times New Roman" w:cs="Times New Roman"/>
          <w:color w:val="auto"/>
          <w:spacing w:val="-2"/>
          <w:sz w:val="24"/>
          <w:szCs w:val="24"/>
          <w:highlight w:val="none"/>
          <w:lang w:eastAsia="zh-CN"/>
        </w:rPr>
        <w:t>投标供应商</w:t>
      </w:r>
      <w:r>
        <w:rPr>
          <w:rFonts w:hint="default" w:ascii="Times New Roman" w:hAnsi="Times New Roman" w:cs="Times New Roman"/>
          <w:color w:val="auto"/>
          <w:spacing w:val="-2"/>
          <w:sz w:val="24"/>
          <w:szCs w:val="24"/>
          <w:highlight w:val="none"/>
        </w:rPr>
        <w:t>澄清其投标内容。</w:t>
      </w:r>
      <w:r>
        <w:rPr>
          <w:rFonts w:hint="default" w:ascii="Times New Roman" w:hAnsi="Times New Roman" w:cs="Times New Roman"/>
          <w:color w:val="auto"/>
          <w:spacing w:val="-2"/>
          <w:sz w:val="24"/>
          <w:szCs w:val="24"/>
          <w:highlight w:val="none"/>
          <w:lang w:eastAsia="zh-CN"/>
        </w:rPr>
        <w:t>投标供应商</w:t>
      </w:r>
      <w:r>
        <w:rPr>
          <w:rFonts w:hint="default" w:ascii="Times New Roman" w:hAnsi="Times New Roman" w:cs="Times New Roman"/>
          <w:color w:val="auto"/>
          <w:spacing w:val="-2"/>
          <w:sz w:val="24"/>
          <w:szCs w:val="24"/>
          <w:highlight w:val="none"/>
        </w:rPr>
        <w:t>有责任按照</w:t>
      </w:r>
      <w:r>
        <w:rPr>
          <w:rFonts w:hint="eastAsia" w:cs="Times New Roman"/>
          <w:color w:val="auto"/>
          <w:spacing w:val="-2"/>
          <w:sz w:val="24"/>
          <w:szCs w:val="24"/>
          <w:highlight w:val="none"/>
          <w:lang w:eastAsia="zh-CN"/>
        </w:rPr>
        <w:t>采购人或者采购代理机构</w:t>
      </w:r>
      <w:r>
        <w:rPr>
          <w:rFonts w:hint="default" w:ascii="Times New Roman" w:hAnsi="Times New Roman" w:cs="Times New Roman"/>
          <w:color w:val="auto"/>
          <w:spacing w:val="-2"/>
          <w:sz w:val="24"/>
          <w:szCs w:val="24"/>
          <w:highlight w:val="none"/>
        </w:rPr>
        <w:t>通知的时间、地点指派专人进行答疑和澄清。询标时</w:t>
      </w:r>
      <w:r>
        <w:rPr>
          <w:rFonts w:hint="default" w:ascii="Times New Roman" w:hAnsi="Times New Roman" w:cs="Times New Roman"/>
          <w:color w:val="auto"/>
          <w:spacing w:val="-2"/>
          <w:sz w:val="24"/>
          <w:szCs w:val="24"/>
          <w:highlight w:val="none"/>
          <w:lang w:eastAsia="zh-CN"/>
        </w:rPr>
        <w:t>投标供应商</w:t>
      </w:r>
      <w:r>
        <w:rPr>
          <w:rFonts w:hint="default" w:ascii="Times New Roman" w:hAnsi="Times New Roman" w:cs="Times New Roman"/>
          <w:color w:val="auto"/>
          <w:spacing w:val="-2"/>
          <w:sz w:val="24"/>
          <w:szCs w:val="24"/>
          <w:highlight w:val="none"/>
        </w:rPr>
        <w:t>代表根据</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要求作书面记录，并对答疑和澄清的内容做出书面答复。</w:t>
      </w:r>
    </w:p>
    <w:p w14:paraId="739DC490">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19.2　应当在</w:t>
      </w:r>
      <w:r>
        <w:rPr>
          <w:rFonts w:hint="default" w:ascii="Times New Roman" w:hAnsi="Times New Roman" w:cs="Times New Roman"/>
          <w:color w:val="auto"/>
          <w:spacing w:val="-2"/>
          <w:sz w:val="24"/>
          <w:szCs w:val="24"/>
          <w:highlight w:val="none"/>
          <w:lang w:eastAsia="zh-CN"/>
        </w:rPr>
        <w:t>公开招标文件</w:t>
      </w:r>
      <w:r>
        <w:rPr>
          <w:rFonts w:hint="default" w:ascii="Times New Roman" w:hAnsi="Times New Roman" w:cs="Times New Roman"/>
          <w:color w:val="auto"/>
          <w:spacing w:val="-2"/>
          <w:sz w:val="24"/>
          <w:szCs w:val="24"/>
          <w:highlight w:val="none"/>
        </w:rPr>
        <w:t>要求提交</w:t>
      </w:r>
      <w:r>
        <w:rPr>
          <w:rFonts w:hint="default" w:ascii="Times New Roman" w:hAnsi="Times New Roman" w:cs="Times New Roman"/>
          <w:color w:val="auto"/>
          <w:spacing w:val="-2"/>
          <w:sz w:val="24"/>
          <w:szCs w:val="24"/>
          <w:highlight w:val="none"/>
          <w:lang w:eastAsia="zh-CN"/>
        </w:rPr>
        <w:t>投标文件</w:t>
      </w:r>
      <w:r>
        <w:rPr>
          <w:rFonts w:hint="default" w:ascii="Times New Roman" w:hAnsi="Times New Roman" w:cs="Times New Roman"/>
          <w:color w:val="auto"/>
          <w:spacing w:val="-2"/>
          <w:sz w:val="24"/>
          <w:szCs w:val="24"/>
          <w:highlight w:val="none"/>
        </w:rPr>
        <w:t>截止时间至少十五日前</w:t>
      </w:r>
      <w:r>
        <w:rPr>
          <w:rFonts w:hint="default" w:ascii="Times New Roman" w:hAnsi="Times New Roman" w:cs="Times New Roman"/>
          <w:color w:val="auto"/>
          <w:spacing w:val="-2"/>
          <w:sz w:val="24"/>
          <w:szCs w:val="24"/>
          <w:highlight w:val="none"/>
          <w:lang w:eastAsia="zh-CN"/>
        </w:rPr>
        <w:t>，</w:t>
      </w:r>
      <w:r>
        <w:rPr>
          <w:rFonts w:hint="default" w:ascii="Times New Roman" w:hAnsi="Times New Roman" w:cs="Times New Roman"/>
          <w:color w:val="auto"/>
          <w:spacing w:val="-2"/>
          <w:sz w:val="24"/>
          <w:szCs w:val="24"/>
          <w:highlight w:val="none"/>
        </w:rPr>
        <w:t>答疑和澄清的内容应是书面的，但不得对投标的价格、技术指标和参数等内容进行实质性修改。澄清文件须由</w:t>
      </w:r>
      <w:r>
        <w:rPr>
          <w:rFonts w:hint="default" w:ascii="Times New Roman" w:hAnsi="Times New Roman" w:cs="Times New Roman"/>
          <w:color w:val="auto"/>
          <w:spacing w:val="-2"/>
          <w:sz w:val="24"/>
          <w:szCs w:val="24"/>
          <w:highlight w:val="none"/>
          <w:lang w:eastAsia="zh-CN"/>
        </w:rPr>
        <w:t>投标供应商</w:t>
      </w:r>
      <w:r>
        <w:rPr>
          <w:rFonts w:hint="default" w:ascii="Times New Roman" w:hAnsi="Times New Roman" w:cs="Times New Roman"/>
          <w:color w:val="auto"/>
          <w:spacing w:val="-2"/>
          <w:sz w:val="24"/>
          <w:szCs w:val="24"/>
          <w:highlight w:val="none"/>
        </w:rPr>
        <w:t>法定代表人或其授权代表签字或加盖</w:t>
      </w:r>
      <w:r>
        <w:rPr>
          <w:rFonts w:hint="default" w:ascii="Times New Roman" w:hAnsi="Times New Roman" w:cs="Times New Roman"/>
          <w:color w:val="auto"/>
          <w:spacing w:val="-2"/>
          <w:sz w:val="24"/>
          <w:szCs w:val="24"/>
          <w:highlight w:val="none"/>
          <w:lang w:eastAsia="zh-CN"/>
        </w:rPr>
        <w:t>投标供应商</w:t>
      </w:r>
      <w:r>
        <w:rPr>
          <w:rFonts w:hint="default" w:ascii="Times New Roman" w:hAnsi="Times New Roman" w:cs="Times New Roman"/>
          <w:color w:val="auto"/>
          <w:spacing w:val="-2"/>
          <w:sz w:val="24"/>
          <w:szCs w:val="24"/>
          <w:highlight w:val="none"/>
        </w:rPr>
        <w:t>公章，并作为</w:t>
      </w:r>
      <w:r>
        <w:rPr>
          <w:rFonts w:hint="default" w:ascii="Times New Roman" w:hAnsi="Times New Roman" w:cs="Times New Roman"/>
          <w:color w:val="auto"/>
          <w:spacing w:val="-2"/>
          <w:sz w:val="24"/>
          <w:szCs w:val="24"/>
          <w:highlight w:val="none"/>
          <w:lang w:eastAsia="zh-CN"/>
        </w:rPr>
        <w:t>投标文件</w:t>
      </w:r>
      <w:r>
        <w:rPr>
          <w:rFonts w:hint="default" w:ascii="Times New Roman" w:hAnsi="Times New Roman" w:cs="Times New Roman"/>
          <w:color w:val="auto"/>
          <w:spacing w:val="-2"/>
          <w:sz w:val="24"/>
          <w:szCs w:val="24"/>
          <w:highlight w:val="none"/>
        </w:rPr>
        <w:t>的组成部分。</w:t>
      </w:r>
    </w:p>
    <w:p w14:paraId="5A3B86D1">
      <w:pPr>
        <w:spacing w:line="440" w:lineRule="exact"/>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20.评标过程的保密</w:t>
      </w:r>
    </w:p>
    <w:p w14:paraId="0155B450">
      <w:pPr>
        <w:spacing w:line="440" w:lineRule="exact"/>
        <w:ind w:firstLine="480"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z w:val="24"/>
          <w:szCs w:val="24"/>
          <w:highlight w:val="none"/>
        </w:rPr>
        <w:t>20.</w:t>
      </w:r>
      <w:r>
        <w:rPr>
          <w:rFonts w:hint="eastAsia" w:cs="Times New Roman"/>
          <w:color w:val="auto"/>
          <w:sz w:val="24"/>
          <w:szCs w:val="24"/>
          <w:highlight w:val="none"/>
          <w:lang w:val="en-US" w:eastAsia="zh-CN"/>
        </w:rPr>
        <w:t xml:space="preserve">1  </w:t>
      </w:r>
      <w:r>
        <w:rPr>
          <w:rFonts w:hint="default" w:ascii="Times New Roman" w:hAnsi="Times New Roman" w:cs="Times New Roman"/>
          <w:color w:val="auto"/>
          <w:spacing w:val="-2"/>
          <w:sz w:val="24"/>
          <w:szCs w:val="24"/>
          <w:highlight w:val="none"/>
        </w:rPr>
        <w:t>开标后，凡是属于审查、澄清、评价的有关资料以及授标建议等，</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成员或参与评标的有关工作人员均不得向</w:t>
      </w:r>
      <w:r>
        <w:rPr>
          <w:rFonts w:hint="default" w:ascii="Times New Roman" w:hAnsi="Times New Roman" w:cs="Times New Roman"/>
          <w:color w:val="auto"/>
          <w:spacing w:val="-2"/>
          <w:sz w:val="24"/>
          <w:szCs w:val="24"/>
          <w:highlight w:val="none"/>
          <w:lang w:eastAsia="zh-CN"/>
        </w:rPr>
        <w:t>投标供应商</w:t>
      </w:r>
      <w:r>
        <w:rPr>
          <w:rFonts w:hint="default" w:ascii="Times New Roman" w:hAnsi="Times New Roman" w:cs="Times New Roman"/>
          <w:color w:val="auto"/>
          <w:spacing w:val="-2"/>
          <w:sz w:val="24"/>
          <w:szCs w:val="24"/>
          <w:highlight w:val="none"/>
        </w:rPr>
        <w:t>或其他无关的人员透露，违者给予警告、取消担任</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成员的资格，不得再参加任何投标项目的评标。</w:t>
      </w:r>
    </w:p>
    <w:p w14:paraId="09510790">
      <w:pPr>
        <w:spacing w:line="440" w:lineRule="exact"/>
        <w:ind w:firstLine="480"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z w:val="24"/>
          <w:szCs w:val="24"/>
          <w:highlight w:val="none"/>
        </w:rPr>
        <w:t>20.2</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pacing w:val="-2"/>
          <w:sz w:val="24"/>
          <w:szCs w:val="24"/>
          <w:highlight w:val="none"/>
          <w:lang w:eastAsia="zh-CN"/>
        </w:rPr>
        <w:t>投标供应商</w:t>
      </w:r>
      <w:r>
        <w:rPr>
          <w:rFonts w:hint="default" w:ascii="Times New Roman" w:hAnsi="Times New Roman" w:cs="Times New Roman"/>
          <w:color w:val="auto"/>
          <w:spacing w:val="-2"/>
          <w:sz w:val="24"/>
          <w:szCs w:val="24"/>
          <w:highlight w:val="none"/>
        </w:rPr>
        <w:t>在评标过程中，所进行的试图影响评标结果的不符合《中华人民共和国政府采购法》</w:t>
      </w:r>
      <w:r>
        <w:rPr>
          <w:rFonts w:hint="default" w:ascii="Times New Roman" w:hAnsi="Times New Roman" w:cs="Times New Roman"/>
          <w:color w:val="auto"/>
          <w:sz w:val="24"/>
          <w:szCs w:val="24"/>
          <w:highlight w:val="none"/>
        </w:rPr>
        <w:t>和相关法律法规</w:t>
      </w:r>
      <w:r>
        <w:rPr>
          <w:rFonts w:hint="default" w:ascii="Times New Roman" w:hAnsi="Times New Roman" w:cs="Times New Roman"/>
          <w:color w:val="auto"/>
          <w:spacing w:val="-2"/>
          <w:sz w:val="24"/>
          <w:szCs w:val="24"/>
          <w:highlight w:val="none"/>
        </w:rPr>
        <w:t>及本次招标有关规定的活动，将被取消中标资格。</w:t>
      </w:r>
    </w:p>
    <w:p w14:paraId="6EFFAD73">
      <w:pPr>
        <w:spacing w:line="440" w:lineRule="exact"/>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21.符合性评审</w:t>
      </w:r>
    </w:p>
    <w:p w14:paraId="5A87B2FC">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21.1</w:t>
      </w:r>
      <w:r>
        <w:rPr>
          <w:rFonts w:hint="eastAsia" w:cs="Times New Roman"/>
          <w:color w:val="auto"/>
          <w:spacing w:val="-2"/>
          <w:sz w:val="24"/>
          <w:szCs w:val="24"/>
          <w:highlight w:val="none"/>
          <w:lang w:val="en-US" w:eastAsia="zh-CN"/>
        </w:rPr>
        <w:t xml:space="preserve">  </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可以以书面方式要求</w:t>
      </w:r>
      <w:r>
        <w:rPr>
          <w:rFonts w:hint="default" w:ascii="Times New Roman" w:hAnsi="Times New Roman" w:cs="Times New Roman"/>
          <w:color w:val="auto"/>
          <w:spacing w:val="-2"/>
          <w:sz w:val="24"/>
          <w:szCs w:val="24"/>
          <w:highlight w:val="none"/>
          <w:lang w:eastAsia="zh-CN"/>
        </w:rPr>
        <w:t>投标供应商</w:t>
      </w:r>
      <w:r>
        <w:rPr>
          <w:rFonts w:hint="default" w:ascii="Times New Roman" w:hAnsi="Times New Roman" w:cs="Times New Roman"/>
          <w:color w:val="auto"/>
          <w:spacing w:val="-2"/>
          <w:sz w:val="24"/>
          <w:szCs w:val="24"/>
          <w:highlight w:val="none"/>
        </w:rPr>
        <w:t>对</w:t>
      </w:r>
      <w:r>
        <w:rPr>
          <w:rFonts w:hint="default" w:ascii="Times New Roman" w:hAnsi="Times New Roman" w:cs="Times New Roman"/>
          <w:color w:val="auto"/>
          <w:spacing w:val="-2"/>
          <w:sz w:val="24"/>
          <w:szCs w:val="24"/>
          <w:highlight w:val="none"/>
          <w:lang w:eastAsia="zh-CN"/>
        </w:rPr>
        <w:t>投标文件</w:t>
      </w:r>
      <w:r>
        <w:rPr>
          <w:rFonts w:hint="default" w:ascii="Times New Roman" w:hAnsi="Times New Roman" w:cs="Times New Roman"/>
          <w:color w:val="auto"/>
          <w:spacing w:val="-2"/>
          <w:sz w:val="24"/>
          <w:szCs w:val="24"/>
          <w:highlight w:val="none"/>
        </w:rPr>
        <w:t>中含义不明确、对同类问题表述不一致或者有明显文字和计算错误的内容</w:t>
      </w:r>
      <w:r>
        <w:rPr>
          <w:rFonts w:hint="default" w:ascii="Times New Roman" w:hAnsi="Times New Roman" w:cs="Times New Roman"/>
          <w:color w:val="auto"/>
          <w:spacing w:val="-2"/>
          <w:sz w:val="24"/>
          <w:szCs w:val="24"/>
          <w:highlight w:val="none"/>
          <w:lang w:eastAsia="zh-CN"/>
        </w:rPr>
        <w:t>做必要</w:t>
      </w:r>
      <w:r>
        <w:rPr>
          <w:rFonts w:hint="default" w:ascii="Times New Roman" w:hAnsi="Times New Roman" w:cs="Times New Roman"/>
          <w:color w:val="auto"/>
          <w:spacing w:val="-2"/>
          <w:sz w:val="24"/>
          <w:szCs w:val="24"/>
          <w:highlight w:val="none"/>
        </w:rPr>
        <w:t>的澄清、说明或补正。澄清、说明或补正应以书面方式进行</w:t>
      </w:r>
      <w:r>
        <w:rPr>
          <w:rFonts w:hint="default" w:ascii="Times New Roman" w:hAnsi="Times New Roman" w:cs="Times New Roman"/>
          <w:color w:val="auto"/>
          <w:spacing w:val="-2"/>
          <w:sz w:val="24"/>
          <w:szCs w:val="24"/>
          <w:highlight w:val="none"/>
          <w:lang w:eastAsia="zh-CN"/>
        </w:rPr>
        <w:t>，</w:t>
      </w:r>
      <w:r>
        <w:rPr>
          <w:rFonts w:hint="default" w:ascii="Times New Roman" w:hAnsi="Times New Roman" w:cs="Times New Roman"/>
          <w:color w:val="auto"/>
          <w:spacing w:val="-2"/>
          <w:sz w:val="24"/>
          <w:szCs w:val="24"/>
          <w:highlight w:val="none"/>
        </w:rPr>
        <w:t>且不得超出</w:t>
      </w:r>
      <w:r>
        <w:rPr>
          <w:rFonts w:hint="default" w:ascii="Times New Roman" w:hAnsi="Times New Roman" w:cs="Times New Roman"/>
          <w:color w:val="auto"/>
          <w:spacing w:val="-2"/>
          <w:sz w:val="24"/>
          <w:szCs w:val="24"/>
          <w:highlight w:val="none"/>
          <w:lang w:eastAsia="zh-CN"/>
        </w:rPr>
        <w:t>投标文件</w:t>
      </w:r>
      <w:r>
        <w:rPr>
          <w:rFonts w:hint="default" w:ascii="Times New Roman" w:hAnsi="Times New Roman" w:cs="Times New Roman"/>
          <w:color w:val="auto"/>
          <w:spacing w:val="-2"/>
          <w:sz w:val="24"/>
          <w:szCs w:val="24"/>
          <w:highlight w:val="none"/>
        </w:rPr>
        <w:t>的范围或者改变</w:t>
      </w:r>
      <w:r>
        <w:rPr>
          <w:rFonts w:hint="default" w:ascii="Times New Roman" w:hAnsi="Times New Roman" w:cs="Times New Roman"/>
          <w:color w:val="auto"/>
          <w:spacing w:val="-2"/>
          <w:sz w:val="24"/>
          <w:szCs w:val="24"/>
          <w:highlight w:val="none"/>
          <w:lang w:eastAsia="zh-CN"/>
        </w:rPr>
        <w:t>投标文件</w:t>
      </w:r>
      <w:r>
        <w:rPr>
          <w:rFonts w:hint="default" w:ascii="Times New Roman" w:hAnsi="Times New Roman" w:cs="Times New Roman"/>
          <w:color w:val="auto"/>
          <w:spacing w:val="-2"/>
          <w:sz w:val="24"/>
          <w:szCs w:val="24"/>
          <w:highlight w:val="none"/>
        </w:rPr>
        <w:t>的实质性内容。</w:t>
      </w:r>
    </w:p>
    <w:p w14:paraId="204C6190">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21.2　</w:t>
      </w:r>
      <w:r>
        <w:rPr>
          <w:rFonts w:hint="eastAsia" w:cs="Times New Roman"/>
          <w:color w:val="auto"/>
          <w:spacing w:val="-2"/>
          <w:sz w:val="24"/>
          <w:szCs w:val="24"/>
          <w:highlight w:val="none"/>
          <w:lang w:eastAsia="zh-CN"/>
        </w:rPr>
        <w:t>采购人或者采购代理机构</w:t>
      </w:r>
      <w:r>
        <w:rPr>
          <w:rFonts w:hint="default" w:ascii="Times New Roman" w:hAnsi="Times New Roman" w:cs="Times New Roman"/>
          <w:color w:val="auto"/>
          <w:spacing w:val="-2"/>
          <w:sz w:val="24"/>
          <w:szCs w:val="24"/>
          <w:highlight w:val="none"/>
        </w:rPr>
        <w:t>不接受不符合国家有关部门相关规定的投标报价或优惠方案。</w:t>
      </w:r>
    </w:p>
    <w:p w14:paraId="054F82C1">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21.3　在评标过程中，</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发现</w:t>
      </w:r>
      <w:r>
        <w:rPr>
          <w:rFonts w:hint="default" w:ascii="Times New Roman" w:hAnsi="Times New Roman" w:cs="Times New Roman"/>
          <w:color w:val="auto"/>
          <w:spacing w:val="-2"/>
          <w:sz w:val="24"/>
          <w:szCs w:val="24"/>
          <w:highlight w:val="none"/>
          <w:lang w:eastAsia="zh-CN"/>
        </w:rPr>
        <w:t>投标供应商</w:t>
      </w:r>
      <w:r>
        <w:rPr>
          <w:rFonts w:hint="default" w:ascii="Times New Roman" w:hAnsi="Times New Roman" w:cs="Times New Roman"/>
          <w:color w:val="auto"/>
          <w:spacing w:val="-2"/>
          <w:sz w:val="24"/>
          <w:szCs w:val="24"/>
          <w:highlight w:val="none"/>
        </w:rPr>
        <w:t>以他人名义投标、串通投标、以行贿手段谋取中标或者以其他弄虚作假方式投标的，该</w:t>
      </w:r>
      <w:r>
        <w:rPr>
          <w:rFonts w:hint="default" w:ascii="Times New Roman" w:hAnsi="Times New Roman" w:cs="Times New Roman"/>
          <w:color w:val="auto"/>
          <w:spacing w:val="-2"/>
          <w:sz w:val="24"/>
          <w:szCs w:val="24"/>
          <w:highlight w:val="none"/>
          <w:lang w:eastAsia="zh-CN"/>
        </w:rPr>
        <w:t>投标供应商</w:t>
      </w:r>
      <w:r>
        <w:rPr>
          <w:rFonts w:hint="default" w:ascii="Times New Roman" w:hAnsi="Times New Roman" w:cs="Times New Roman"/>
          <w:color w:val="auto"/>
          <w:spacing w:val="-2"/>
          <w:sz w:val="24"/>
          <w:szCs w:val="24"/>
          <w:highlight w:val="none"/>
        </w:rPr>
        <w:t>的投标应作无效标处理。</w:t>
      </w:r>
    </w:p>
    <w:p w14:paraId="3D4E01EB">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21.4</w:t>
      </w:r>
      <w:r>
        <w:rPr>
          <w:rFonts w:hint="eastAsia" w:cs="Times New Roman"/>
          <w:color w:val="auto"/>
          <w:spacing w:val="-2"/>
          <w:sz w:val="24"/>
          <w:szCs w:val="24"/>
          <w:highlight w:val="none"/>
          <w:lang w:val="en-US" w:eastAsia="zh-CN"/>
        </w:rPr>
        <w:t xml:space="preserve">  </w:t>
      </w:r>
      <w:r>
        <w:rPr>
          <w:rFonts w:hint="default" w:ascii="Times New Roman" w:hAnsi="Times New Roman" w:cs="Times New Roman"/>
          <w:color w:val="auto"/>
          <w:spacing w:val="-2"/>
          <w:sz w:val="24"/>
          <w:szCs w:val="24"/>
          <w:highlight w:val="none"/>
          <w:lang w:eastAsia="zh-CN"/>
        </w:rPr>
        <w:t>投标供应商</w:t>
      </w:r>
      <w:r>
        <w:rPr>
          <w:rFonts w:hint="default" w:ascii="Times New Roman" w:hAnsi="Times New Roman" w:cs="Times New Roman"/>
          <w:color w:val="auto"/>
          <w:spacing w:val="-2"/>
          <w:sz w:val="24"/>
          <w:szCs w:val="24"/>
          <w:highlight w:val="none"/>
        </w:rPr>
        <w:t>拒不按照要求对</w:t>
      </w:r>
      <w:r>
        <w:rPr>
          <w:rFonts w:hint="default" w:ascii="Times New Roman" w:hAnsi="Times New Roman" w:cs="Times New Roman"/>
          <w:color w:val="auto"/>
          <w:spacing w:val="-2"/>
          <w:sz w:val="24"/>
          <w:szCs w:val="24"/>
          <w:highlight w:val="none"/>
          <w:lang w:eastAsia="zh-CN"/>
        </w:rPr>
        <w:t>投标文件</w:t>
      </w:r>
      <w:r>
        <w:rPr>
          <w:rFonts w:hint="default" w:ascii="Times New Roman" w:hAnsi="Times New Roman" w:cs="Times New Roman"/>
          <w:color w:val="auto"/>
          <w:spacing w:val="-2"/>
          <w:sz w:val="24"/>
          <w:szCs w:val="24"/>
          <w:highlight w:val="none"/>
        </w:rPr>
        <w:t>进行澄清、说明或补正的，</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可以否决其投标。</w:t>
      </w:r>
    </w:p>
    <w:p w14:paraId="34A2AB20">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21.5</w:t>
      </w:r>
      <w:r>
        <w:rPr>
          <w:rFonts w:hint="eastAsia" w:cs="Times New Roman"/>
          <w:color w:val="auto"/>
          <w:spacing w:val="-2"/>
          <w:sz w:val="24"/>
          <w:szCs w:val="24"/>
          <w:highlight w:val="none"/>
          <w:lang w:val="en-US" w:eastAsia="zh-CN"/>
        </w:rPr>
        <w:t xml:space="preserve">  </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应当审查每一</w:t>
      </w:r>
      <w:r>
        <w:rPr>
          <w:rFonts w:hint="default" w:ascii="Times New Roman" w:hAnsi="Times New Roman" w:cs="Times New Roman"/>
          <w:color w:val="auto"/>
          <w:spacing w:val="-2"/>
          <w:sz w:val="24"/>
          <w:szCs w:val="24"/>
          <w:highlight w:val="none"/>
          <w:lang w:eastAsia="zh-CN"/>
        </w:rPr>
        <w:t>投标文件</w:t>
      </w:r>
      <w:r>
        <w:rPr>
          <w:rFonts w:hint="default" w:ascii="Times New Roman" w:hAnsi="Times New Roman" w:cs="Times New Roman"/>
          <w:color w:val="auto"/>
          <w:spacing w:val="-2"/>
          <w:sz w:val="24"/>
          <w:szCs w:val="24"/>
          <w:highlight w:val="none"/>
        </w:rPr>
        <w:t>是否对</w:t>
      </w:r>
      <w:r>
        <w:rPr>
          <w:rFonts w:hint="default" w:ascii="Times New Roman" w:hAnsi="Times New Roman" w:cs="Times New Roman"/>
          <w:color w:val="auto"/>
          <w:spacing w:val="-2"/>
          <w:sz w:val="24"/>
          <w:szCs w:val="24"/>
          <w:highlight w:val="none"/>
          <w:lang w:eastAsia="zh-CN"/>
        </w:rPr>
        <w:t>公开招标文件</w:t>
      </w:r>
      <w:r>
        <w:rPr>
          <w:rFonts w:hint="default" w:ascii="Times New Roman" w:hAnsi="Times New Roman" w:cs="Times New Roman"/>
          <w:color w:val="auto"/>
          <w:spacing w:val="-2"/>
          <w:sz w:val="24"/>
          <w:szCs w:val="24"/>
          <w:highlight w:val="none"/>
        </w:rPr>
        <w:t>提出的所有实质性要求和条件做出满足。未能在实质上满足的投标，应作无效标处理。</w:t>
      </w:r>
    </w:p>
    <w:p w14:paraId="3C3DCBB3">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21.6　</w:t>
      </w:r>
      <w:r>
        <w:rPr>
          <w:rFonts w:hint="default" w:ascii="Times New Roman" w:hAnsi="Times New Roman" w:cs="Times New Roman"/>
          <w:color w:val="auto"/>
          <w:spacing w:val="-2"/>
          <w:sz w:val="24"/>
          <w:szCs w:val="24"/>
          <w:highlight w:val="none"/>
          <w:lang w:eastAsia="zh-CN"/>
        </w:rPr>
        <w:t>投标供应商</w:t>
      </w:r>
      <w:r>
        <w:rPr>
          <w:rFonts w:hint="default" w:ascii="Times New Roman" w:hAnsi="Times New Roman" w:cs="Times New Roman"/>
          <w:color w:val="auto"/>
          <w:spacing w:val="-2"/>
          <w:sz w:val="24"/>
          <w:szCs w:val="24"/>
          <w:highlight w:val="none"/>
        </w:rPr>
        <w:t>不得误导、干扰</w:t>
      </w:r>
      <w:r>
        <w:rPr>
          <w:rFonts w:hint="eastAsia" w:cs="Times New Roman"/>
          <w:color w:val="auto"/>
          <w:spacing w:val="-2"/>
          <w:sz w:val="24"/>
          <w:szCs w:val="24"/>
          <w:highlight w:val="none"/>
          <w:lang w:eastAsia="zh-CN"/>
        </w:rPr>
        <w:t>采购人或者采购代理机构</w:t>
      </w:r>
      <w:r>
        <w:rPr>
          <w:rFonts w:hint="default" w:ascii="Times New Roman" w:hAnsi="Times New Roman" w:cs="Times New Roman"/>
          <w:color w:val="auto"/>
          <w:spacing w:val="-2"/>
          <w:sz w:val="24"/>
          <w:szCs w:val="24"/>
          <w:highlight w:val="none"/>
        </w:rPr>
        <w:t>的评标活动，否则将废除其投标。</w:t>
      </w:r>
    </w:p>
    <w:p w14:paraId="251727D7">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21.7</w:t>
      </w:r>
      <w:r>
        <w:rPr>
          <w:rFonts w:hint="eastAsia" w:cs="Times New Roman"/>
          <w:color w:val="auto"/>
          <w:spacing w:val="-2"/>
          <w:sz w:val="24"/>
          <w:szCs w:val="24"/>
          <w:highlight w:val="none"/>
          <w:lang w:val="en-US" w:eastAsia="zh-CN"/>
        </w:rPr>
        <w:t xml:space="preserve">  </w:t>
      </w:r>
      <w:r>
        <w:rPr>
          <w:rFonts w:hint="default" w:ascii="Times New Roman" w:hAnsi="Times New Roman" w:cs="Times New Roman"/>
          <w:color w:val="auto"/>
          <w:spacing w:val="-2"/>
          <w:sz w:val="24"/>
          <w:szCs w:val="24"/>
          <w:highlight w:val="none"/>
        </w:rPr>
        <w:t>对</w:t>
      </w:r>
      <w:r>
        <w:rPr>
          <w:rFonts w:hint="default" w:ascii="Times New Roman" w:hAnsi="Times New Roman" w:cs="Times New Roman"/>
          <w:color w:val="auto"/>
          <w:spacing w:val="-2"/>
          <w:sz w:val="24"/>
          <w:szCs w:val="24"/>
          <w:highlight w:val="none"/>
          <w:lang w:eastAsia="zh-CN"/>
        </w:rPr>
        <w:t>投标文件</w:t>
      </w:r>
      <w:r>
        <w:rPr>
          <w:rFonts w:hint="default" w:ascii="Times New Roman" w:hAnsi="Times New Roman" w:cs="Times New Roman"/>
          <w:color w:val="auto"/>
          <w:spacing w:val="-2"/>
          <w:sz w:val="24"/>
          <w:szCs w:val="24"/>
          <w:highlight w:val="none"/>
        </w:rPr>
        <w:t>满足</w:t>
      </w:r>
      <w:r>
        <w:rPr>
          <w:rFonts w:hint="default" w:ascii="Times New Roman" w:hAnsi="Times New Roman" w:cs="Times New Roman"/>
          <w:color w:val="auto"/>
          <w:spacing w:val="-2"/>
          <w:sz w:val="24"/>
          <w:szCs w:val="24"/>
          <w:highlight w:val="none"/>
          <w:lang w:eastAsia="zh-CN"/>
        </w:rPr>
        <w:t>公开招标文件</w:t>
      </w:r>
      <w:r>
        <w:rPr>
          <w:rFonts w:hint="default" w:ascii="Times New Roman" w:hAnsi="Times New Roman" w:cs="Times New Roman"/>
          <w:color w:val="auto"/>
          <w:spacing w:val="-2"/>
          <w:sz w:val="24"/>
          <w:szCs w:val="24"/>
          <w:highlight w:val="none"/>
        </w:rPr>
        <w:t>条款的审查：</w:t>
      </w:r>
    </w:p>
    <w:p w14:paraId="23E59794">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（1）开标后，</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将组织对</w:t>
      </w:r>
      <w:r>
        <w:rPr>
          <w:rFonts w:hint="default" w:ascii="Times New Roman" w:hAnsi="Times New Roman" w:cs="Times New Roman"/>
          <w:color w:val="auto"/>
          <w:spacing w:val="-2"/>
          <w:sz w:val="24"/>
          <w:szCs w:val="24"/>
          <w:highlight w:val="none"/>
          <w:lang w:eastAsia="zh-CN"/>
        </w:rPr>
        <w:t>投标文件</w:t>
      </w:r>
      <w:r>
        <w:rPr>
          <w:rFonts w:hint="default" w:ascii="Times New Roman" w:hAnsi="Times New Roman" w:cs="Times New Roman"/>
          <w:color w:val="auto"/>
          <w:spacing w:val="-2"/>
          <w:sz w:val="24"/>
          <w:szCs w:val="24"/>
          <w:highlight w:val="none"/>
        </w:rPr>
        <w:t>进行审查，检查</w:t>
      </w:r>
      <w:r>
        <w:rPr>
          <w:rFonts w:hint="default" w:ascii="Times New Roman" w:hAnsi="Times New Roman" w:cs="Times New Roman"/>
          <w:color w:val="auto"/>
          <w:spacing w:val="-2"/>
          <w:sz w:val="24"/>
          <w:szCs w:val="24"/>
          <w:highlight w:val="none"/>
          <w:lang w:eastAsia="zh-CN"/>
        </w:rPr>
        <w:t>投标文件</w:t>
      </w:r>
      <w:r>
        <w:rPr>
          <w:rFonts w:hint="default" w:ascii="Times New Roman" w:hAnsi="Times New Roman" w:cs="Times New Roman"/>
          <w:color w:val="auto"/>
          <w:spacing w:val="-2"/>
          <w:sz w:val="24"/>
          <w:szCs w:val="24"/>
          <w:highlight w:val="none"/>
        </w:rPr>
        <w:t>是否完整，是否出现计算性错误，</w:t>
      </w:r>
      <w:r>
        <w:rPr>
          <w:rFonts w:hint="default" w:ascii="Times New Roman" w:hAnsi="Times New Roman" w:cs="Times New Roman"/>
          <w:color w:val="auto"/>
          <w:spacing w:val="-2"/>
          <w:sz w:val="24"/>
          <w:szCs w:val="24"/>
          <w:highlight w:val="none"/>
          <w:lang w:eastAsia="zh-CN"/>
        </w:rPr>
        <w:t>投标文件</w:t>
      </w:r>
      <w:r>
        <w:rPr>
          <w:rFonts w:hint="default" w:ascii="Times New Roman" w:hAnsi="Times New Roman" w:cs="Times New Roman"/>
          <w:color w:val="auto"/>
          <w:spacing w:val="-2"/>
          <w:sz w:val="24"/>
          <w:szCs w:val="24"/>
          <w:highlight w:val="none"/>
        </w:rPr>
        <w:t>正本是否满足</w:t>
      </w:r>
      <w:r>
        <w:rPr>
          <w:rFonts w:hint="default" w:ascii="Times New Roman" w:hAnsi="Times New Roman" w:cs="Times New Roman"/>
          <w:color w:val="auto"/>
          <w:spacing w:val="-2"/>
          <w:sz w:val="24"/>
          <w:szCs w:val="24"/>
          <w:highlight w:val="none"/>
          <w:lang w:eastAsia="zh-CN"/>
        </w:rPr>
        <w:t>公开招标文件</w:t>
      </w:r>
      <w:r>
        <w:rPr>
          <w:rFonts w:hint="default" w:ascii="Times New Roman" w:hAnsi="Times New Roman" w:cs="Times New Roman"/>
          <w:color w:val="auto"/>
          <w:spacing w:val="-2"/>
          <w:sz w:val="24"/>
          <w:szCs w:val="24"/>
          <w:highlight w:val="none"/>
        </w:rPr>
        <w:t>的格式要求；</w:t>
      </w:r>
    </w:p>
    <w:p w14:paraId="4C1E308F">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（2）</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将确定每一</w:t>
      </w:r>
      <w:r>
        <w:rPr>
          <w:rFonts w:hint="default" w:ascii="Times New Roman" w:hAnsi="Times New Roman" w:cs="Times New Roman"/>
          <w:color w:val="auto"/>
          <w:spacing w:val="-2"/>
          <w:sz w:val="24"/>
          <w:szCs w:val="24"/>
          <w:highlight w:val="none"/>
          <w:lang w:eastAsia="zh-CN"/>
        </w:rPr>
        <w:t>投标供应商</w:t>
      </w:r>
      <w:r>
        <w:rPr>
          <w:rFonts w:hint="default" w:ascii="Times New Roman" w:hAnsi="Times New Roman" w:cs="Times New Roman"/>
          <w:color w:val="auto"/>
          <w:spacing w:val="-2"/>
          <w:sz w:val="24"/>
          <w:szCs w:val="24"/>
          <w:highlight w:val="none"/>
        </w:rPr>
        <w:t>是否对</w:t>
      </w:r>
      <w:r>
        <w:rPr>
          <w:rFonts w:hint="default" w:ascii="Times New Roman" w:hAnsi="Times New Roman" w:cs="Times New Roman"/>
          <w:color w:val="auto"/>
          <w:spacing w:val="-2"/>
          <w:sz w:val="24"/>
          <w:szCs w:val="24"/>
          <w:highlight w:val="none"/>
          <w:lang w:eastAsia="zh-CN"/>
        </w:rPr>
        <w:t>公开招标文件</w:t>
      </w:r>
      <w:r>
        <w:rPr>
          <w:rFonts w:hint="default" w:ascii="Times New Roman" w:hAnsi="Times New Roman" w:cs="Times New Roman"/>
          <w:color w:val="auto"/>
          <w:spacing w:val="-2"/>
          <w:sz w:val="24"/>
          <w:szCs w:val="24"/>
          <w:highlight w:val="none"/>
        </w:rPr>
        <w:t>的要求做出了实质性满足。实质性满足的投标是指符合</w:t>
      </w:r>
      <w:r>
        <w:rPr>
          <w:rFonts w:hint="default" w:ascii="Times New Roman" w:hAnsi="Times New Roman" w:cs="Times New Roman"/>
          <w:color w:val="auto"/>
          <w:spacing w:val="-2"/>
          <w:sz w:val="24"/>
          <w:szCs w:val="24"/>
          <w:highlight w:val="none"/>
          <w:lang w:eastAsia="zh-CN"/>
        </w:rPr>
        <w:t>公开招标文件</w:t>
      </w:r>
      <w:r>
        <w:rPr>
          <w:rFonts w:hint="default" w:ascii="Times New Roman" w:hAnsi="Times New Roman" w:cs="Times New Roman"/>
          <w:color w:val="auto"/>
          <w:spacing w:val="-2"/>
          <w:sz w:val="24"/>
          <w:szCs w:val="24"/>
          <w:highlight w:val="none"/>
        </w:rPr>
        <w:t>的所有条款、条件和规定且没有重大偏离的投标。重大偏离是指影响到</w:t>
      </w:r>
      <w:r>
        <w:rPr>
          <w:rFonts w:hint="default" w:ascii="Times New Roman" w:hAnsi="Times New Roman" w:cs="Times New Roman"/>
          <w:color w:val="auto"/>
          <w:spacing w:val="-2"/>
          <w:sz w:val="24"/>
          <w:szCs w:val="24"/>
          <w:highlight w:val="none"/>
          <w:lang w:eastAsia="zh-CN"/>
        </w:rPr>
        <w:t>公开招标文件</w:t>
      </w:r>
      <w:r>
        <w:rPr>
          <w:rFonts w:hint="default" w:ascii="Times New Roman" w:hAnsi="Times New Roman" w:cs="Times New Roman"/>
          <w:color w:val="auto"/>
          <w:spacing w:val="-2"/>
          <w:sz w:val="24"/>
          <w:szCs w:val="24"/>
          <w:highlight w:val="none"/>
        </w:rPr>
        <w:t>规定的服务范围和质量，或限制了</w:t>
      </w:r>
      <w:r>
        <w:rPr>
          <w:rFonts w:hint="default" w:ascii="Times New Roman" w:hAnsi="Times New Roman" w:cs="Times New Roman"/>
          <w:color w:val="auto"/>
          <w:spacing w:val="-2"/>
          <w:sz w:val="24"/>
          <w:szCs w:val="24"/>
          <w:highlight w:val="none"/>
          <w:lang w:eastAsia="zh-CN"/>
        </w:rPr>
        <w:t>采购人</w:t>
      </w:r>
      <w:r>
        <w:rPr>
          <w:rFonts w:hint="default" w:ascii="Times New Roman" w:hAnsi="Times New Roman" w:cs="Times New Roman"/>
          <w:color w:val="auto"/>
          <w:spacing w:val="-2"/>
          <w:sz w:val="24"/>
          <w:szCs w:val="24"/>
          <w:highlight w:val="none"/>
        </w:rPr>
        <w:t>的权力和</w:t>
      </w:r>
      <w:r>
        <w:rPr>
          <w:rFonts w:hint="default" w:ascii="Times New Roman" w:hAnsi="Times New Roman" w:cs="Times New Roman"/>
          <w:color w:val="auto"/>
          <w:spacing w:val="-2"/>
          <w:sz w:val="24"/>
          <w:szCs w:val="24"/>
          <w:highlight w:val="none"/>
          <w:lang w:eastAsia="zh-CN"/>
        </w:rPr>
        <w:t>投标供应商</w:t>
      </w:r>
      <w:r>
        <w:rPr>
          <w:rFonts w:hint="default" w:ascii="Times New Roman" w:hAnsi="Times New Roman" w:cs="Times New Roman"/>
          <w:color w:val="auto"/>
          <w:spacing w:val="-2"/>
          <w:sz w:val="24"/>
          <w:szCs w:val="24"/>
          <w:highlight w:val="none"/>
        </w:rPr>
        <w:t>义务的规定，而纠正这些偏离将影响到其他提交实质性满足的</w:t>
      </w:r>
      <w:r>
        <w:rPr>
          <w:rFonts w:hint="default" w:ascii="Times New Roman" w:hAnsi="Times New Roman" w:cs="Times New Roman"/>
          <w:color w:val="auto"/>
          <w:spacing w:val="-2"/>
          <w:sz w:val="24"/>
          <w:szCs w:val="24"/>
          <w:highlight w:val="none"/>
          <w:lang w:eastAsia="zh-CN"/>
        </w:rPr>
        <w:t>投标供应商</w:t>
      </w:r>
      <w:r>
        <w:rPr>
          <w:rFonts w:hint="default" w:ascii="Times New Roman" w:hAnsi="Times New Roman" w:cs="Times New Roman"/>
          <w:color w:val="auto"/>
          <w:spacing w:val="-2"/>
          <w:sz w:val="24"/>
          <w:szCs w:val="24"/>
          <w:highlight w:val="none"/>
        </w:rPr>
        <w:t>的公平竞争地位；</w:t>
      </w:r>
    </w:p>
    <w:p w14:paraId="6DD39EB6">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（3）</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判断</w:t>
      </w:r>
      <w:r>
        <w:rPr>
          <w:rFonts w:hint="default" w:ascii="Times New Roman" w:hAnsi="Times New Roman" w:cs="Times New Roman"/>
          <w:color w:val="auto"/>
          <w:spacing w:val="-2"/>
          <w:sz w:val="24"/>
          <w:szCs w:val="24"/>
          <w:highlight w:val="none"/>
          <w:lang w:eastAsia="zh-CN"/>
        </w:rPr>
        <w:t>投标文件</w:t>
      </w:r>
      <w:r>
        <w:rPr>
          <w:rFonts w:hint="default" w:ascii="Times New Roman" w:hAnsi="Times New Roman" w:cs="Times New Roman"/>
          <w:color w:val="auto"/>
          <w:spacing w:val="-2"/>
          <w:sz w:val="24"/>
          <w:szCs w:val="24"/>
          <w:highlight w:val="none"/>
        </w:rPr>
        <w:t>的满足性仅基于</w:t>
      </w:r>
      <w:r>
        <w:rPr>
          <w:rFonts w:hint="default" w:ascii="Times New Roman" w:hAnsi="Times New Roman" w:cs="Times New Roman"/>
          <w:color w:val="auto"/>
          <w:spacing w:val="-2"/>
          <w:sz w:val="24"/>
          <w:szCs w:val="24"/>
          <w:highlight w:val="none"/>
          <w:lang w:eastAsia="zh-CN"/>
        </w:rPr>
        <w:t>投标文件</w:t>
      </w:r>
      <w:r>
        <w:rPr>
          <w:rFonts w:hint="default" w:ascii="Times New Roman" w:hAnsi="Times New Roman" w:cs="Times New Roman"/>
          <w:color w:val="auto"/>
          <w:spacing w:val="-2"/>
          <w:sz w:val="24"/>
          <w:szCs w:val="24"/>
          <w:highlight w:val="none"/>
        </w:rPr>
        <w:t>本身而不靠外部证据；</w:t>
      </w:r>
    </w:p>
    <w:p w14:paraId="03B6EF96">
      <w:pPr>
        <w:spacing w:line="440" w:lineRule="exact"/>
        <w:ind w:firstLine="472" w:firstLineChars="200"/>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（4）</w:t>
      </w:r>
      <w:r>
        <w:rPr>
          <w:rFonts w:hint="default" w:ascii="Times New Roman" w:hAnsi="Times New Roman" w:cs="Times New Roman"/>
          <w:color w:val="auto"/>
          <w:spacing w:val="-2"/>
          <w:sz w:val="24"/>
          <w:szCs w:val="24"/>
          <w:highlight w:val="none"/>
          <w:lang w:eastAsia="zh-CN"/>
        </w:rPr>
        <w:t>评标委员会</w:t>
      </w:r>
      <w:r>
        <w:rPr>
          <w:rFonts w:hint="default" w:ascii="Times New Roman" w:hAnsi="Times New Roman" w:cs="Times New Roman"/>
          <w:color w:val="auto"/>
          <w:spacing w:val="-2"/>
          <w:sz w:val="24"/>
          <w:szCs w:val="24"/>
          <w:highlight w:val="none"/>
        </w:rPr>
        <w:t>将拒绝被确定为非实质性满足的投标。</w:t>
      </w:r>
      <w:r>
        <w:rPr>
          <w:rFonts w:hint="default" w:ascii="Times New Roman" w:hAnsi="Times New Roman" w:cs="Times New Roman"/>
          <w:color w:val="auto"/>
          <w:spacing w:val="-2"/>
          <w:sz w:val="24"/>
          <w:szCs w:val="24"/>
          <w:highlight w:val="none"/>
          <w:lang w:eastAsia="zh-CN"/>
        </w:rPr>
        <w:t>投标供应商</w:t>
      </w:r>
      <w:r>
        <w:rPr>
          <w:rFonts w:hint="default" w:ascii="Times New Roman" w:hAnsi="Times New Roman" w:cs="Times New Roman"/>
          <w:color w:val="auto"/>
          <w:spacing w:val="-2"/>
          <w:sz w:val="24"/>
          <w:szCs w:val="24"/>
          <w:highlight w:val="none"/>
        </w:rPr>
        <w:t>不能通过修正或</w:t>
      </w:r>
      <w:r>
        <w:rPr>
          <w:rFonts w:hint="default" w:ascii="Times New Roman" w:hAnsi="Times New Roman" w:cs="Times New Roman"/>
          <w:color w:val="auto"/>
          <w:spacing w:val="-2"/>
          <w:sz w:val="24"/>
          <w:szCs w:val="24"/>
          <w:highlight w:val="none"/>
          <w:lang w:eastAsia="zh-CN"/>
        </w:rPr>
        <w:t>撤销</w:t>
      </w:r>
      <w:r>
        <w:rPr>
          <w:rFonts w:hint="default" w:ascii="Times New Roman" w:hAnsi="Times New Roman" w:cs="Times New Roman"/>
          <w:color w:val="auto"/>
          <w:spacing w:val="-2"/>
          <w:sz w:val="24"/>
          <w:szCs w:val="24"/>
          <w:highlight w:val="none"/>
        </w:rPr>
        <w:t>不符合之处而使其投标成为实质性满足的投标。</w:t>
      </w:r>
    </w:p>
    <w:p w14:paraId="64E6662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color w:val="auto"/>
          <w:spacing w:val="-2"/>
          <w:sz w:val="24"/>
          <w:szCs w:val="24"/>
          <w:highlight w:val="none"/>
        </w:rPr>
      </w:pPr>
      <w:r>
        <w:rPr>
          <w:rFonts w:hint="default" w:ascii="Times New Roman" w:hAnsi="Times New Roman" w:cs="Times New Roman"/>
          <w:b/>
          <w:bCs/>
          <w:color w:val="auto"/>
          <w:spacing w:val="-2"/>
          <w:sz w:val="24"/>
          <w:szCs w:val="24"/>
          <w:highlight w:val="none"/>
        </w:rPr>
        <w:t>符合性审查</w:t>
      </w:r>
    </w:p>
    <w:tbl>
      <w:tblPr>
        <w:tblStyle w:val="27"/>
        <w:tblW w:w="985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5"/>
        <w:gridCol w:w="6674"/>
        <w:gridCol w:w="646"/>
        <w:gridCol w:w="646"/>
        <w:gridCol w:w="646"/>
        <w:gridCol w:w="597"/>
      </w:tblGrid>
      <w:tr w14:paraId="51788E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vMerge w:val="restart"/>
            <w:tcBorders>
              <w:top w:val="single" w:color="auto" w:sz="12" w:space="0"/>
              <w:right w:val="single" w:color="auto" w:sz="4" w:space="0"/>
            </w:tcBorders>
            <w:noWrap w:val="0"/>
            <w:vAlign w:val="center"/>
          </w:tcPr>
          <w:p w14:paraId="733E8245">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评审内容</w:t>
            </w:r>
          </w:p>
        </w:tc>
        <w:tc>
          <w:tcPr>
            <w:tcW w:w="2535" w:type="dxa"/>
            <w:gridSpan w:val="4"/>
            <w:tcBorders>
              <w:top w:val="single" w:color="auto" w:sz="12" w:space="0"/>
              <w:left w:val="single" w:color="auto" w:sz="4" w:space="0"/>
              <w:bottom w:val="single" w:color="auto" w:sz="4" w:space="0"/>
            </w:tcBorders>
            <w:noWrap w:val="0"/>
            <w:vAlign w:val="center"/>
          </w:tcPr>
          <w:p w14:paraId="0AEDBB7A">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投标企业名称</w:t>
            </w:r>
          </w:p>
        </w:tc>
      </w:tr>
      <w:tr w14:paraId="42FE9A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vMerge w:val="continue"/>
            <w:tcBorders>
              <w:right w:val="single" w:color="auto" w:sz="4" w:space="0"/>
            </w:tcBorders>
            <w:noWrap w:val="0"/>
            <w:vAlign w:val="center"/>
          </w:tcPr>
          <w:p w14:paraId="59877094">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646" w:type="dxa"/>
            <w:tcBorders>
              <w:top w:val="single" w:color="auto" w:sz="4" w:space="0"/>
              <w:left w:val="single" w:color="auto" w:sz="4" w:space="0"/>
              <w:right w:val="single" w:color="auto" w:sz="4" w:space="0"/>
            </w:tcBorders>
            <w:noWrap w:val="0"/>
            <w:vAlign w:val="center"/>
          </w:tcPr>
          <w:p w14:paraId="2AC46687">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w:t>
            </w:r>
          </w:p>
        </w:tc>
        <w:tc>
          <w:tcPr>
            <w:tcW w:w="646" w:type="dxa"/>
            <w:tcBorders>
              <w:top w:val="single" w:color="auto" w:sz="4" w:space="0"/>
              <w:left w:val="single" w:color="auto" w:sz="4" w:space="0"/>
            </w:tcBorders>
            <w:noWrap w:val="0"/>
            <w:vAlign w:val="center"/>
          </w:tcPr>
          <w:p w14:paraId="0D23F5C2">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2</w:t>
            </w:r>
          </w:p>
        </w:tc>
        <w:tc>
          <w:tcPr>
            <w:tcW w:w="646" w:type="dxa"/>
            <w:noWrap w:val="0"/>
            <w:vAlign w:val="center"/>
          </w:tcPr>
          <w:p w14:paraId="4CC332D4">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3</w:t>
            </w:r>
          </w:p>
        </w:tc>
        <w:tc>
          <w:tcPr>
            <w:tcW w:w="597" w:type="dxa"/>
            <w:noWrap w:val="0"/>
            <w:vAlign w:val="center"/>
          </w:tcPr>
          <w:p w14:paraId="0339DAB2">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w:t>
            </w:r>
          </w:p>
        </w:tc>
      </w:tr>
      <w:tr w14:paraId="19F29D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0" w:hRule="atLeast"/>
          <w:jc w:val="center"/>
        </w:trPr>
        <w:tc>
          <w:tcPr>
            <w:tcW w:w="645" w:type="dxa"/>
            <w:noWrap w:val="0"/>
            <w:vAlign w:val="center"/>
          </w:tcPr>
          <w:p w14:paraId="492FFE3F">
            <w:pPr>
              <w:keepNext w:val="0"/>
              <w:keepLines w:val="0"/>
              <w:suppressLineNumbers w:val="0"/>
              <w:spacing w:before="0" w:beforeAutospacing="0" w:after="0" w:afterAutospacing="0"/>
              <w:ind w:left="0" w:right="0"/>
              <w:jc w:val="center"/>
              <w:textAlignment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w:t>
            </w:r>
          </w:p>
        </w:tc>
        <w:tc>
          <w:tcPr>
            <w:tcW w:w="6674" w:type="dxa"/>
            <w:tcBorders>
              <w:right w:val="single" w:color="auto" w:sz="4" w:space="0"/>
            </w:tcBorders>
            <w:noWrap w:val="0"/>
            <w:vAlign w:val="center"/>
          </w:tcPr>
          <w:p w14:paraId="2B538939">
            <w:pPr>
              <w:keepNext w:val="0"/>
              <w:keepLines w:val="0"/>
              <w:suppressLineNumbers w:val="0"/>
              <w:spacing w:before="0" w:beforeAutospacing="0" w:after="0" w:afterAutospacing="0"/>
              <w:ind w:left="0" w:right="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投标函有单位电子签章及法定代表人或法定代表人授权的代理人电子签名；</w:t>
            </w:r>
          </w:p>
        </w:tc>
        <w:tc>
          <w:tcPr>
            <w:tcW w:w="646" w:type="dxa"/>
            <w:tcBorders>
              <w:left w:val="single" w:color="auto" w:sz="4" w:space="0"/>
              <w:right w:val="single" w:color="auto" w:sz="4" w:space="0"/>
            </w:tcBorders>
            <w:noWrap w:val="0"/>
            <w:vAlign w:val="center"/>
          </w:tcPr>
          <w:p w14:paraId="3D9EEE19">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646" w:type="dxa"/>
            <w:tcBorders>
              <w:left w:val="single" w:color="auto" w:sz="4" w:space="0"/>
            </w:tcBorders>
            <w:noWrap w:val="0"/>
            <w:vAlign w:val="center"/>
          </w:tcPr>
          <w:p w14:paraId="7862D392">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646" w:type="dxa"/>
            <w:tcBorders>
              <w:right w:val="single" w:color="auto" w:sz="4" w:space="0"/>
            </w:tcBorders>
            <w:noWrap w:val="0"/>
            <w:vAlign w:val="center"/>
          </w:tcPr>
          <w:p w14:paraId="74082518">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597" w:type="dxa"/>
            <w:tcBorders>
              <w:left w:val="single" w:color="auto" w:sz="4" w:space="0"/>
            </w:tcBorders>
            <w:noWrap w:val="0"/>
            <w:vAlign w:val="center"/>
          </w:tcPr>
          <w:p w14:paraId="3C531B20">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r>
      <w:tr w14:paraId="7C67EF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2" w:hRule="atLeast"/>
          <w:jc w:val="center"/>
        </w:trPr>
        <w:tc>
          <w:tcPr>
            <w:tcW w:w="645" w:type="dxa"/>
            <w:noWrap w:val="0"/>
            <w:vAlign w:val="center"/>
          </w:tcPr>
          <w:p w14:paraId="64AC3AAD">
            <w:pPr>
              <w:keepNext w:val="0"/>
              <w:keepLines w:val="0"/>
              <w:suppressLineNumbers w:val="0"/>
              <w:spacing w:before="0" w:beforeAutospacing="0" w:after="0" w:afterAutospacing="0"/>
              <w:ind w:left="0" w:right="0"/>
              <w:jc w:val="center"/>
              <w:textAlignment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2</w:t>
            </w:r>
          </w:p>
        </w:tc>
        <w:tc>
          <w:tcPr>
            <w:tcW w:w="6674" w:type="dxa"/>
            <w:tcBorders>
              <w:right w:val="single" w:color="auto" w:sz="4" w:space="0"/>
            </w:tcBorders>
            <w:noWrap w:val="0"/>
            <w:vAlign w:val="center"/>
          </w:tcPr>
          <w:p w14:paraId="59663DDB">
            <w:pPr>
              <w:keepNext w:val="0"/>
              <w:keepLines w:val="0"/>
              <w:suppressLineNumbers w:val="0"/>
              <w:spacing w:before="0" w:beforeAutospacing="0" w:after="0" w:afterAutospacing="0"/>
              <w:ind w:left="0" w:right="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lang w:eastAsia="zh-CN"/>
              </w:rPr>
              <w:t>投标有效期</w:t>
            </w:r>
            <w:r>
              <w:rPr>
                <w:rFonts w:hint="default" w:ascii="Times New Roman" w:hAnsi="Times New Roman" w:cs="Times New Roman"/>
                <w:b/>
                <w:bCs/>
                <w:color w:val="auto"/>
                <w:sz w:val="24"/>
                <w:szCs w:val="24"/>
                <w:highlight w:val="none"/>
              </w:rPr>
              <w:t>是否满足</w:t>
            </w:r>
            <w:r>
              <w:rPr>
                <w:rFonts w:hint="default" w:ascii="Times New Roman" w:hAnsi="Times New Roman" w:cs="Times New Roman"/>
                <w:b/>
                <w:bCs/>
                <w:color w:val="auto"/>
                <w:sz w:val="24"/>
                <w:szCs w:val="24"/>
                <w:highlight w:val="none"/>
                <w:lang w:eastAsia="zh-CN"/>
              </w:rPr>
              <w:t>招标文件</w:t>
            </w:r>
            <w:r>
              <w:rPr>
                <w:rFonts w:hint="default" w:ascii="Times New Roman" w:hAnsi="Times New Roman" w:cs="Times New Roman"/>
                <w:b/>
                <w:bCs/>
                <w:color w:val="auto"/>
                <w:sz w:val="24"/>
                <w:szCs w:val="24"/>
                <w:highlight w:val="none"/>
              </w:rPr>
              <w:t>要求的；</w:t>
            </w:r>
          </w:p>
        </w:tc>
        <w:tc>
          <w:tcPr>
            <w:tcW w:w="646" w:type="dxa"/>
            <w:tcBorders>
              <w:left w:val="single" w:color="auto" w:sz="4" w:space="0"/>
              <w:right w:val="single" w:color="auto" w:sz="4" w:space="0"/>
            </w:tcBorders>
            <w:noWrap w:val="0"/>
            <w:vAlign w:val="center"/>
          </w:tcPr>
          <w:p w14:paraId="46DDD326">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646" w:type="dxa"/>
            <w:tcBorders>
              <w:left w:val="single" w:color="auto" w:sz="4" w:space="0"/>
            </w:tcBorders>
            <w:noWrap w:val="0"/>
            <w:vAlign w:val="center"/>
          </w:tcPr>
          <w:p w14:paraId="3513340D">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646" w:type="dxa"/>
            <w:tcBorders>
              <w:right w:val="single" w:color="auto" w:sz="4" w:space="0"/>
            </w:tcBorders>
            <w:noWrap w:val="0"/>
            <w:vAlign w:val="center"/>
          </w:tcPr>
          <w:p w14:paraId="53D61AAC">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597" w:type="dxa"/>
            <w:tcBorders>
              <w:left w:val="single" w:color="auto" w:sz="4" w:space="0"/>
            </w:tcBorders>
            <w:noWrap w:val="0"/>
            <w:vAlign w:val="center"/>
          </w:tcPr>
          <w:p w14:paraId="1190D413">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r>
      <w:tr w14:paraId="08D93D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noWrap w:val="0"/>
            <w:vAlign w:val="center"/>
          </w:tcPr>
          <w:p w14:paraId="165A16E3">
            <w:pPr>
              <w:keepNext w:val="0"/>
              <w:keepLines w:val="0"/>
              <w:suppressLineNumbers w:val="0"/>
              <w:spacing w:before="0" w:beforeAutospacing="0" w:after="0" w:afterAutospacing="0"/>
              <w:ind w:left="0" w:right="0"/>
              <w:jc w:val="center"/>
              <w:textAlignment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3</w:t>
            </w:r>
          </w:p>
        </w:tc>
        <w:tc>
          <w:tcPr>
            <w:tcW w:w="6674" w:type="dxa"/>
            <w:tcBorders>
              <w:right w:val="single" w:color="auto" w:sz="4" w:space="0"/>
            </w:tcBorders>
            <w:noWrap w:val="0"/>
            <w:vAlign w:val="center"/>
          </w:tcPr>
          <w:p w14:paraId="6122E8AD">
            <w:pPr>
              <w:keepNext w:val="0"/>
              <w:keepLines w:val="0"/>
              <w:suppressLineNumbers w:val="0"/>
              <w:spacing w:before="0" w:beforeAutospacing="0" w:after="0" w:afterAutospacing="0"/>
              <w:ind w:left="0" w:right="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lang w:eastAsia="zh-CN"/>
              </w:rPr>
              <w:t>投标文件</w:t>
            </w:r>
            <w:r>
              <w:rPr>
                <w:rFonts w:hint="default" w:ascii="Times New Roman" w:hAnsi="Times New Roman" w:cs="Times New Roman"/>
                <w:b/>
                <w:bCs/>
                <w:color w:val="auto"/>
                <w:sz w:val="24"/>
                <w:szCs w:val="24"/>
                <w:highlight w:val="none"/>
              </w:rPr>
              <w:t>组成</w:t>
            </w:r>
            <w:r>
              <w:rPr>
                <w:rFonts w:hint="eastAsia" w:cs="Times New Roman"/>
                <w:b/>
                <w:bCs/>
                <w:color w:val="auto"/>
                <w:sz w:val="24"/>
                <w:szCs w:val="24"/>
                <w:highlight w:val="none"/>
                <w:lang w:val="en-US" w:eastAsia="zh-CN"/>
              </w:rPr>
              <w:t>是否</w:t>
            </w:r>
            <w:r>
              <w:rPr>
                <w:rFonts w:hint="default" w:ascii="Times New Roman" w:hAnsi="Times New Roman" w:cs="Times New Roman"/>
                <w:b/>
                <w:bCs/>
                <w:color w:val="auto"/>
                <w:sz w:val="24"/>
                <w:szCs w:val="24"/>
                <w:highlight w:val="none"/>
              </w:rPr>
              <w:t>完整，主要内容</w:t>
            </w:r>
            <w:r>
              <w:rPr>
                <w:rFonts w:hint="eastAsia" w:cs="Times New Roman"/>
                <w:b/>
                <w:bCs/>
                <w:color w:val="auto"/>
                <w:sz w:val="24"/>
                <w:szCs w:val="24"/>
                <w:highlight w:val="none"/>
                <w:lang w:val="en-US" w:eastAsia="zh-CN"/>
              </w:rPr>
              <w:t>是否</w:t>
            </w:r>
            <w:r>
              <w:rPr>
                <w:rFonts w:hint="default" w:ascii="Times New Roman" w:hAnsi="Times New Roman" w:cs="Times New Roman"/>
                <w:b/>
                <w:bCs/>
                <w:color w:val="auto"/>
                <w:sz w:val="24"/>
                <w:szCs w:val="24"/>
                <w:highlight w:val="none"/>
              </w:rPr>
              <w:t>能按</w:t>
            </w:r>
            <w:r>
              <w:rPr>
                <w:rFonts w:hint="default" w:ascii="Times New Roman" w:hAnsi="Times New Roman" w:cs="Times New Roman"/>
                <w:b/>
                <w:bCs/>
                <w:color w:val="auto"/>
                <w:sz w:val="24"/>
                <w:szCs w:val="24"/>
                <w:highlight w:val="none"/>
                <w:lang w:eastAsia="zh-CN"/>
              </w:rPr>
              <w:t>招标文件</w:t>
            </w:r>
            <w:r>
              <w:rPr>
                <w:rFonts w:hint="default" w:ascii="Times New Roman" w:hAnsi="Times New Roman" w:cs="Times New Roman"/>
                <w:b/>
                <w:bCs/>
                <w:color w:val="auto"/>
                <w:sz w:val="24"/>
                <w:szCs w:val="24"/>
                <w:highlight w:val="none"/>
              </w:rPr>
              <w:t>规定的内容、格式填写；</w:t>
            </w:r>
          </w:p>
        </w:tc>
        <w:tc>
          <w:tcPr>
            <w:tcW w:w="646" w:type="dxa"/>
            <w:tcBorders>
              <w:left w:val="single" w:color="auto" w:sz="4" w:space="0"/>
              <w:right w:val="single" w:color="auto" w:sz="4" w:space="0"/>
            </w:tcBorders>
            <w:noWrap w:val="0"/>
            <w:vAlign w:val="center"/>
          </w:tcPr>
          <w:p w14:paraId="454BCEF3">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646" w:type="dxa"/>
            <w:tcBorders>
              <w:left w:val="single" w:color="auto" w:sz="4" w:space="0"/>
            </w:tcBorders>
            <w:noWrap w:val="0"/>
            <w:vAlign w:val="center"/>
          </w:tcPr>
          <w:p w14:paraId="414B71A7">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646" w:type="dxa"/>
            <w:tcBorders>
              <w:right w:val="single" w:color="auto" w:sz="4" w:space="0"/>
            </w:tcBorders>
            <w:noWrap w:val="0"/>
            <w:vAlign w:val="center"/>
          </w:tcPr>
          <w:p w14:paraId="3ADD9FF9">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597" w:type="dxa"/>
            <w:tcBorders>
              <w:left w:val="single" w:color="auto" w:sz="4" w:space="0"/>
            </w:tcBorders>
            <w:noWrap w:val="0"/>
            <w:vAlign w:val="center"/>
          </w:tcPr>
          <w:p w14:paraId="374505DE">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r>
      <w:tr w14:paraId="361D8D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6" w:hRule="atLeast"/>
          <w:jc w:val="center"/>
        </w:trPr>
        <w:tc>
          <w:tcPr>
            <w:tcW w:w="645" w:type="dxa"/>
            <w:noWrap w:val="0"/>
            <w:vAlign w:val="center"/>
          </w:tcPr>
          <w:p w14:paraId="090449A8">
            <w:pPr>
              <w:keepNext w:val="0"/>
              <w:keepLines w:val="0"/>
              <w:suppressLineNumbers w:val="0"/>
              <w:spacing w:before="0" w:beforeAutospacing="0" w:after="0" w:afterAutospacing="0"/>
              <w:ind w:left="0" w:right="0"/>
              <w:jc w:val="center"/>
              <w:textAlignment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4</w:t>
            </w:r>
          </w:p>
        </w:tc>
        <w:tc>
          <w:tcPr>
            <w:tcW w:w="6674" w:type="dxa"/>
            <w:tcBorders>
              <w:right w:val="single" w:color="auto" w:sz="4" w:space="0"/>
            </w:tcBorders>
            <w:noWrap w:val="0"/>
            <w:vAlign w:val="center"/>
          </w:tcPr>
          <w:p w14:paraId="266B95C4">
            <w:pPr>
              <w:keepNext w:val="0"/>
              <w:keepLines w:val="0"/>
              <w:suppressLineNumbers w:val="0"/>
              <w:spacing w:before="0" w:beforeAutospacing="0" w:after="0" w:afterAutospacing="0"/>
              <w:ind w:left="0" w:right="0"/>
              <w:textAlignment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lang w:eastAsia="zh-CN"/>
              </w:rPr>
              <w:t>投标文件</w:t>
            </w:r>
            <w:r>
              <w:rPr>
                <w:rFonts w:hint="default" w:ascii="Times New Roman" w:hAnsi="Times New Roman" w:cs="Times New Roman"/>
                <w:b/>
                <w:bCs/>
                <w:color w:val="auto"/>
                <w:sz w:val="24"/>
                <w:szCs w:val="24"/>
                <w:highlight w:val="none"/>
              </w:rPr>
              <w:t>是否按照要求签署、盖章；</w:t>
            </w:r>
          </w:p>
        </w:tc>
        <w:tc>
          <w:tcPr>
            <w:tcW w:w="646" w:type="dxa"/>
            <w:tcBorders>
              <w:left w:val="single" w:color="auto" w:sz="4" w:space="0"/>
              <w:right w:val="single" w:color="auto" w:sz="4" w:space="0"/>
            </w:tcBorders>
            <w:noWrap w:val="0"/>
            <w:vAlign w:val="center"/>
          </w:tcPr>
          <w:p w14:paraId="0D37A18A">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646" w:type="dxa"/>
            <w:tcBorders>
              <w:left w:val="single" w:color="auto" w:sz="4" w:space="0"/>
            </w:tcBorders>
            <w:noWrap w:val="0"/>
            <w:vAlign w:val="center"/>
          </w:tcPr>
          <w:p w14:paraId="7533FE6E">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646" w:type="dxa"/>
            <w:tcBorders>
              <w:right w:val="single" w:color="auto" w:sz="4" w:space="0"/>
            </w:tcBorders>
            <w:noWrap w:val="0"/>
            <w:vAlign w:val="center"/>
          </w:tcPr>
          <w:p w14:paraId="76416480">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597" w:type="dxa"/>
            <w:tcBorders>
              <w:left w:val="single" w:color="auto" w:sz="4" w:space="0"/>
            </w:tcBorders>
            <w:noWrap w:val="0"/>
            <w:vAlign w:val="center"/>
          </w:tcPr>
          <w:p w14:paraId="26A6800F">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r>
      <w:tr w14:paraId="1EC4FB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9" w:hRule="atLeast"/>
          <w:jc w:val="center"/>
        </w:trPr>
        <w:tc>
          <w:tcPr>
            <w:tcW w:w="645" w:type="dxa"/>
            <w:noWrap w:val="0"/>
            <w:vAlign w:val="center"/>
          </w:tcPr>
          <w:p w14:paraId="7679E8F3">
            <w:pPr>
              <w:keepNext w:val="0"/>
              <w:keepLines w:val="0"/>
              <w:suppressLineNumbers w:val="0"/>
              <w:spacing w:before="0" w:beforeAutospacing="0" w:after="0" w:afterAutospacing="0"/>
              <w:ind w:left="0" w:right="0"/>
              <w:jc w:val="center"/>
              <w:textAlignment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5</w:t>
            </w:r>
          </w:p>
        </w:tc>
        <w:tc>
          <w:tcPr>
            <w:tcW w:w="6674" w:type="dxa"/>
            <w:tcBorders>
              <w:right w:val="single" w:color="auto" w:sz="4" w:space="0"/>
            </w:tcBorders>
            <w:noWrap w:val="0"/>
            <w:vAlign w:val="center"/>
          </w:tcPr>
          <w:p w14:paraId="7989BAAB">
            <w:pPr>
              <w:keepNext w:val="0"/>
              <w:keepLines w:val="0"/>
              <w:suppressLineNumbers w:val="0"/>
              <w:spacing w:before="0" w:beforeAutospacing="0" w:after="0" w:afterAutospacing="0"/>
              <w:ind w:left="0" w:right="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投标报价是否在采购预算或最高限价以内；</w:t>
            </w:r>
          </w:p>
        </w:tc>
        <w:tc>
          <w:tcPr>
            <w:tcW w:w="646" w:type="dxa"/>
            <w:tcBorders>
              <w:left w:val="single" w:color="auto" w:sz="4" w:space="0"/>
              <w:right w:val="single" w:color="auto" w:sz="4" w:space="0"/>
            </w:tcBorders>
            <w:noWrap w:val="0"/>
            <w:vAlign w:val="center"/>
          </w:tcPr>
          <w:p w14:paraId="64D1D360">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646" w:type="dxa"/>
            <w:tcBorders>
              <w:left w:val="single" w:color="auto" w:sz="4" w:space="0"/>
            </w:tcBorders>
            <w:noWrap w:val="0"/>
            <w:vAlign w:val="center"/>
          </w:tcPr>
          <w:p w14:paraId="2B29C207">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646" w:type="dxa"/>
            <w:tcBorders>
              <w:right w:val="single" w:color="auto" w:sz="4" w:space="0"/>
            </w:tcBorders>
            <w:noWrap w:val="0"/>
            <w:vAlign w:val="center"/>
          </w:tcPr>
          <w:p w14:paraId="0452C96B">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597" w:type="dxa"/>
            <w:tcBorders>
              <w:left w:val="single" w:color="auto" w:sz="4" w:space="0"/>
            </w:tcBorders>
            <w:noWrap w:val="0"/>
            <w:vAlign w:val="center"/>
          </w:tcPr>
          <w:p w14:paraId="791D5FA8">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r>
      <w:tr w14:paraId="20C0B0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7" w:hRule="atLeast"/>
          <w:jc w:val="center"/>
        </w:trPr>
        <w:tc>
          <w:tcPr>
            <w:tcW w:w="645" w:type="dxa"/>
            <w:noWrap w:val="0"/>
            <w:vAlign w:val="center"/>
          </w:tcPr>
          <w:p w14:paraId="2E7D6787">
            <w:pPr>
              <w:keepNext w:val="0"/>
              <w:keepLines w:val="0"/>
              <w:suppressLineNumbers w:val="0"/>
              <w:spacing w:before="0" w:beforeAutospacing="0" w:after="0" w:afterAutospacing="0"/>
              <w:ind w:left="0" w:right="0"/>
              <w:jc w:val="center"/>
              <w:textAlignment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6</w:t>
            </w:r>
          </w:p>
        </w:tc>
        <w:tc>
          <w:tcPr>
            <w:tcW w:w="6674" w:type="dxa"/>
            <w:tcBorders>
              <w:right w:val="single" w:color="auto" w:sz="4" w:space="0"/>
            </w:tcBorders>
            <w:noWrap w:val="0"/>
            <w:vAlign w:val="center"/>
          </w:tcPr>
          <w:p w14:paraId="51520CE6">
            <w:pPr>
              <w:keepNext w:val="0"/>
              <w:keepLines w:val="0"/>
              <w:suppressLineNumbers w:val="0"/>
              <w:spacing w:before="0" w:beforeAutospacing="0" w:after="0" w:afterAutospacing="0"/>
              <w:ind w:left="0" w:right="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lang w:eastAsia="zh-CN"/>
              </w:rPr>
              <w:t>投标文件</w:t>
            </w:r>
            <w:r>
              <w:rPr>
                <w:rFonts w:hint="default" w:ascii="Times New Roman" w:hAnsi="Times New Roman" w:cs="Times New Roman"/>
                <w:b/>
                <w:bCs/>
                <w:color w:val="auto"/>
                <w:sz w:val="24"/>
                <w:szCs w:val="24"/>
                <w:highlight w:val="none"/>
              </w:rPr>
              <w:t>针对同一种</w:t>
            </w:r>
            <w:r>
              <w:rPr>
                <w:rFonts w:hint="default" w:ascii="Times New Roman" w:hAnsi="Times New Roman" w:cs="Times New Roman"/>
                <w:b/>
                <w:bCs/>
                <w:color w:val="auto"/>
                <w:sz w:val="24"/>
                <w:szCs w:val="24"/>
                <w:highlight w:val="none"/>
                <w:lang w:val="en-US" w:eastAsia="zh-CN"/>
              </w:rPr>
              <w:t>服务</w:t>
            </w:r>
            <w:r>
              <w:rPr>
                <w:rFonts w:hint="eastAsia" w:cs="Times New Roman"/>
                <w:b/>
                <w:bCs/>
                <w:color w:val="auto"/>
                <w:sz w:val="24"/>
                <w:szCs w:val="24"/>
                <w:highlight w:val="none"/>
                <w:lang w:val="en-US" w:eastAsia="zh-CN"/>
              </w:rPr>
              <w:t>未</w:t>
            </w:r>
            <w:r>
              <w:rPr>
                <w:rFonts w:hint="default" w:ascii="Times New Roman" w:hAnsi="Times New Roman" w:cs="Times New Roman"/>
                <w:b/>
                <w:bCs/>
                <w:color w:val="auto"/>
                <w:sz w:val="24"/>
                <w:szCs w:val="24"/>
                <w:highlight w:val="none"/>
              </w:rPr>
              <w:t>出现了两个或两个以上的报价</w:t>
            </w:r>
          </w:p>
        </w:tc>
        <w:tc>
          <w:tcPr>
            <w:tcW w:w="646" w:type="dxa"/>
            <w:tcBorders>
              <w:left w:val="single" w:color="auto" w:sz="4" w:space="0"/>
              <w:right w:val="single" w:color="auto" w:sz="4" w:space="0"/>
            </w:tcBorders>
            <w:noWrap w:val="0"/>
            <w:vAlign w:val="center"/>
          </w:tcPr>
          <w:p w14:paraId="0F91E438">
            <w:pPr>
              <w:keepNext w:val="0"/>
              <w:keepLines w:val="0"/>
              <w:suppressLineNumbers w:val="0"/>
              <w:shd w:val="clear" w:color="auto" w:fill="FAFAFA"/>
              <w:spacing w:before="0" w:beforeAutospacing="0" w:after="0" w:afterAutospacing="0" w:line="360" w:lineRule="auto"/>
              <w:ind w:left="0" w:right="0"/>
              <w:jc w:val="center"/>
              <w:rPr>
                <w:rFonts w:hint="default" w:ascii="Times New Roman" w:hAnsi="Times New Roman" w:cs="Times New Roman"/>
                <w:b/>
                <w:bCs/>
                <w:color w:val="auto"/>
                <w:sz w:val="24"/>
                <w:szCs w:val="24"/>
                <w:highlight w:val="none"/>
              </w:rPr>
            </w:pPr>
          </w:p>
        </w:tc>
        <w:tc>
          <w:tcPr>
            <w:tcW w:w="646" w:type="dxa"/>
            <w:tcBorders>
              <w:left w:val="single" w:color="auto" w:sz="4" w:space="0"/>
            </w:tcBorders>
            <w:noWrap w:val="0"/>
            <w:vAlign w:val="center"/>
          </w:tcPr>
          <w:p w14:paraId="69B4983F">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646" w:type="dxa"/>
            <w:tcBorders>
              <w:right w:val="single" w:color="auto" w:sz="4" w:space="0"/>
            </w:tcBorders>
            <w:noWrap w:val="0"/>
            <w:vAlign w:val="center"/>
          </w:tcPr>
          <w:p w14:paraId="43DA8D43">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597" w:type="dxa"/>
            <w:tcBorders>
              <w:left w:val="single" w:color="auto" w:sz="4" w:space="0"/>
            </w:tcBorders>
            <w:noWrap w:val="0"/>
            <w:vAlign w:val="center"/>
          </w:tcPr>
          <w:p w14:paraId="67036D15">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r>
      <w:tr w14:paraId="33EE9A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noWrap w:val="0"/>
            <w:vAlign w:val="center"/>
          </w:tcPr>
          <w:p w14:paraId="078956E5">
            <w:pPr>
              <w:keepNext w:val="0"/>
              <w:keepLines w:val="0"/>
              <w:suppressLineNumbers w:val="0"/>
              <w:spacing w:before="0" w:beforeAutospacing="0" w:after="0" w:afterAutospacing="0"/>
              <w:ind w:left="0" w:right="0"/>
              <w:jc w:val="center"/>
              <w:textAlignment w:val="center"/>
              <w:rPr>
                <w:rFonts w:hint="default" w:ascii="Times New Roman" w:hAnsi="Times New Roman" w:eastAsia="宋体" w:cs="Times New Roman"/>
                <w:b/>
                <w:bCs/>
                <w:color w:val="auto"/>
                <w:sz w:val="24"/>
                <w:szCs w:val="24"/>
                <w:highlight w:val="none"/>
                <w:lang w:eastAsia="zh-CN"/>
              </w:rPr>
            </w:pPr>
            <w:r>
              <w:rPr>
                <w:rFonts w:hint="default" w:ascii="Times New Roman" w:hAnsi="Times New Roman" w:cs="Times New Roman"/>
                <w:b/>
                <w:bCs/>
                <w:color w:val="auto"/>
                <w:sz w:val="24"/>
                <w:szCs w:val="24"/>
                <w:highlight w:val="none"/>
                <w:lang w:val="en-US" w:eastAsia="zh-CN"/>
              </w:rPr>
              <w:t>7</w:t>
            </w:r>
          </w:p>
        </w:tc>
        <w:tc>
          <w:tcPr>
            <w:tcW w:w="6674" w:type="dxa"/>
            <w:tcBorders>
              <w:right w:val="single" w:color="auto" w:sz="4" w:space="0"/>
            </w:tcBorders>
            <w:noWrap w:val="0"/>
            <w:vAlign w:val="center"/>
          </w:tcPr>
          <w:p w14:paraId="13D5F4A8">
            <w:pPr>
              <w:keepNext w:val="0"/>
              <w:keepLines w:val="0"/>
              <w:suppressLineNumbers w:val="0"/>
              <w:spacing w:before="0" w:beforeAutospacing="0" w:after="0" w:afterAutospacing="0"/>
              <w:ind w:left="0" w:right="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符合</w:t>
            </w:r>
            <w:r>
              <w:rPr>
                <w:rFonts w:hint="default" w:ascii="Times New Roman" w:hAnsi="Times New Roman" w:cs="Times New Roman"/>
                <w:b/>
                <w:bCs/>
                <w:color w:val="auto"/>
                <w:sz w:val="24"/>
                <w:szCs w:val="24"/>
                <w:highlight w:val="none"/>
                <w:lang w:eastAsia="zh-CN"/>
              </w:rPr>
              <w:t>法律法规</w:t>
            </w:r>
            <w:r>
              <w:rPr>
                <w:rFonts w:hint="default" w:ascii="Times New Roman" w:hAnsi="Times New Roman" w:cs="Times New Roman"/>
                <w:b/>
                <w:bCs/>
                <w:color w:val="auto"/>
                <w:sz w:val="24"/>
                <w:szCs w:val="24"/>
                <w:highlight w:val="none"/>
              </w:rPr>
              <w:t>和</w:t>
            </w:r>
            <w:r>
              <w:rPr>
                <w:rFonts w:hint="default" w:ascii="Times New Roman" w:hAnsi="Times New Roman" w:cs="Times New Roman"/>
                <w:b/>
                <w:bCs/>
                <w:color w:val="auto"/>
                <w:sz w:val="24"/>
                <w:szCs w:val="24"/>
                <w:highlight w:val="none"/>
                <w:lang w:eastAsia="zh-CN"/>
              </w:rPr>
              <w:t>招标文件</w:t>
            </w:r>
            <w:r>
              <w:rPr>
                <w:rFonts w:hint="default" w:ascii="Times New Roman" w:hAnsi="Times New Roman" w:cs="Times New Roman"/>
                <w:b/>
                <w:bCs/>
                <w:color w:val="auto"/>
                <w:sz w:val="24"/>
                <w:szCs w:val="24"/>
                <w:highlight w:val="none"/>
              </w:rPr>
              <w:t>中规定的其他实质性要求</w:t>
            </w:r>
          </w:p>
        </w:tc>
        <w:tc>
          <w:tcPr>
            <w:tcW w:w="646" w:type="dxa"/>
            <w:tcBorders>
              <w:left w:val="single" w:color="auto" w:sz="4" w:space="0"/>
              <w:right w:val="single" w:color="auto" w:sz="4" w:space="0"/>
            </w:tcBorders>
            <w:noWrap w:val="0"/>
            <w:vAlign w:val="center"/>
          </w:tcPr>
          <w:p w14:paraId="09C69651">
            <w:pPr>
              <w:keepNext w:val="0"/>
              <w:keepLines w:val="0"/>
              <w:suppressLineNumbers w:val="0"/>
              <w:shd w:val="clear" w:color="auto" w:fill="FAFAFA"/>
              <w:spacing w:before="0" w:beforeAutospacing="0" w:after="0" w:afterAutospacing="0" w:line="360" w:lineRule="auto"/>
              <w:ind w:left="0" w:right="0"/>
              <w:jc w:val="center"/>
              <w:rPr>
                <w:rFonts w:hint="default" w:ascii="Times New Roman" w:hAnsi="Times New Roman" w:cs="Times New Roman"/>
                <w:b/>
                <w:bCs/>
                <w:color w:val="auto"/>
                <w:sz w:val="24"/>
                <w:szCs w:val="24"/>
                <w:highlight w:val="none"/>
              </w:rPr>
            </w:pPr>
          </w:p>
        </w:tc>
        <w:tc>
          <w:tcPr>
            <w:tcW w:w="646" w:type="dxa"/>
            <w:tcBorders>
              <w:left w:val="single" w:color="auto" w:sz="4" w:space="0"/>
            </w:tcBorders>
            <w:noWrap w:val="0"/>
            <w:vAlign w:val="center"/>
          </w:tcPr>
          <w:p w14:paraId="3F839406">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646" w:type="dxa"/>
            <w:tcBorders>
              <w:right w:val="single" w:color="auto" w:sz="4" w:space="0"/>
            </w:tcBorders>
            <w:noWrap w:val="0"/>
            <w:vAlign w:val="center"/>
          </w:tcPr>
          <w:p w14:paraId="4A766618">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597" w:type="dxa"/>
            <w:tcBorders>
              <w:left w:val="single" w:color="auto" w:sz="4" w:space="0"/>
            </w:tcBorders>
            <w:noWrap w:val="0"/>
            <w:vAlign w:val="center"/>
          </w:tcPr>
          <w:p w14:paraId="5305AF2E">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r>
      <w:tr w14:paraId="1BF12D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9" w:hRule="atLeast"/>
          <w:jc w:val="center"/>
        </w:trPr>
        <w:tc>
          <w:tcPr>
            <w:tcW w:w="7319" w:type="dxa"/>
            <w:gridSpan w:val="2"/>
            <w:tcBorders>
              <w:right w:val="single" w:color="auto" w:sz="4" w:space="0"/>
            </w:tcBorders>
            <w:noWrap w:val="0"/>
            <w:vAlign w:val="center"/>
          </w:tcPr>
          <w:p w14:paraId="2F05930B">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审查结果</w:t>
            </w:r>
          </w:p>
        </w:tc>
        <w:tc>
          <w:tcPr>
            <w:tcW w:w="646" w:type="dxa"/>
            <w:tcBorders>
              <w:left w:val="single" w:color="auto" w:sz="4" w:space="0"/>
              <w:right w:val="single" w:color="auto" w:sz="4" w:space="0"/>
            </w:tcBorders>
            <w:noWrap w:val="0"/>
            <w:vAlign w:val="center"/>
          </w:tcPr>
          <w:p w14:paraId="2E26F323">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646" w:type="dxa"/>
            <w:tcBorders>
              <w:left w:val="single" w:color="auto" w:sz="4" w:space="0"/>
            </w:tcBorders>
            <w:noWrap w:val="0"/>
            <w:vAlign w:val="center"/>
          </w:tcPr>
          <w:p w14:paraId="68DAD9CA">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646" w:type="dxa"/>
            <w:noWrap w:val="0"/>
            <w:vAlign w:val="center"/>
          </w:tcPr>
          <w:p w14:paraId="03727C54">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597" w:type="dxa"/>
            <w:noWrap w:val="0"/>
            <w:vAlign w:val="center"/>
          </w:tcPr>
          <w:p w14:paraId="5F165AA3">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r>
      <w:tr w14:paraId="7227D8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jc w:val="center"/>
        </w:trPr>
        <w:tc>
          <w:tcPr>
            <w:tcW w:w="7319" w:type="dxa"/>
            <w:gridSpan w:val="2"/>
            <w:tcBorders>
              <w:bottom w:val="single" w:color="auto" w:sz="12" w:space="0"/>
              <w:right w:val="single" w:color="auto" w:sz="4" w:space="0"/>
            </w:tcBorders>
            <w:noWrap w:val="0"/>
            <w:vAlign w:val="center"/>
          </w:tcPr>
          <w:p w14:paraId="1B64A1AA">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不通过理由说明</w:t>
            </w:r>
          </w:p>
        </w:tc>
        <w:tc>
          <w:tcPr>
            <w:tcW w:w="646" w:type="dxa"/>
            <w:tcBorders>
              <w:left w:val="single" w:color="auto" w:sz="4" w:space="0"/>
              <w:bottom w:val="single" w:color="auto" w:sz="12" w:space="0"/>
              <w:right w:val="single" w:color="auto" w:sz="4" w:space="0"/>
            </w:tcBorders>
            <w:noWrap w:val="0"/>
            <w:vAlign w:val="center"/>
          </w:tcPr>
          <w:p w14:paraId="13C891EC">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646" w:type="dxa"/>
            <w:tcBorders>
              <w:left w:val="single" w:color="auto" w:sz="4" w:space="0"/>
              <w:bottom w:val="single" w:color="auto" w:sz="12" w:space="0"/>
            </w:tcBorders>
            <w:noWrap w:val="0"/>
            <w:vAlign w:val="center"/>
          </w:tcPr>
          <w:p w14:paraId="35A1C87C">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646" w:type="dxa"/>
            <w:tcBorders>
              <w:bottom w:val="single" w:color="auto" w:sz="12" w:space="0"/>
            </w:tcBorders>
            <w:noWrap w:val="0"/>
            <w:vAlign w:val="center"/>
          </w:tcPr>
          <w:p w14:paraId="11CEA6CA">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c>
          <w:tcPr>
            <w:tcW w:w="597" w:type="dxa"/>
            <w:tcBorders>
              <w:bottom w:val="single" w:color="auto" w:sz="12" w:space="0"/>
            </w:tcBorders>
            <w:noWrap w:val="0"/>
            <w:vAlign w:val="center"/>
          </w:tcPr>
          <w:p w14:paraId="0E9461BD">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 w:val="24"/>
                <w:szCs w:val="24"/>
                <w:highlight w:val="none"/>
              </w:rPr>
            </w:pPr>
          </w:p>
        </w:tc>
      </w:tr>
    </w:tbl>
    <w:p w14:paraId="73865018">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1.符合性审查审查合格的打“√”，不合格的打“×”。</w:t>
      </w:r>
    </w:p>
    <w:p w14:paraId="6F22D558">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2.符合性审查审查结果，通过打“√”，不通过的打“×”。</w:t>
      </w:r>
    </w:p>
    <w:p w14:paraId="50ABB658">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3.请填写不通过符合性审查审查的</w:t>
      </w:r>
      <w:r>
        <w:rPr>
          <w:rFonts w:hint="default" w:ascii="Times New Roman" w:hAnsi="Times New Roman" w:cs="Times New Roman"/>
          <w:color w:val="auto"/>
          <w:kern w:val="0"/>
          <w:sz w:val="24"/>
          <w:szCs w:val="24"/>
          <w:highlight w:val="none"/>
          <w:lang w:eastAsia="zh-CN"/>
        </w:rPr>
        <w:t>投标供应商</w:t>
      </w:r>
      <w:r>
        <w:rPr>
          <w:rFonts w:hint="default" w:ascii="Times New Roman" w:hAnsi="Times New Roman" w:cs="Times New Roman"/>
          <w:color w:val="auto"/>
          <w:sz w:val="24"/>
          <w:szCs w:val="24"/>
          <w:highlight w:val="none"/>
        </w:rPr>
        <w:t>的原因。</w:t>
      </w:r>
    </w:p>
    <w:p w14:paraId="37EA42E9">
      <w:pPr>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投标文件</w:t>
      </w:r>
      <w:r>
        <w:rPr>
          <w:rFonts w:hint="default" w:ascii="Times New Roman" w:hAnsi="Times New Roman" w:eastAsia="宋体" w:cs="Times New Roman"/>
          <w:color w:val="auto"/>
          <w:sz w:val="24"/>
          <w:szCs w:val="24"/>
          <w:highlight w:val="none"/>
        </w:rPr>
        <w:t>响应程度符合性审查通过的投标企业，进入下一步详细评审阶段，未通过</w:t>
      </w:r>
      <w:r>
        <w:rPr>
          <w:rFonts w:hint="default" w:ascii="Times New Roman" w:hAnsi="Times New Roman" w:eastAsia="宋体" w:cs="Times New Roman"/>
          <w:color w:val="auto"/>
          <w:sz w:val="24"/>
          <w:szCs w:val="24"/>
          <w:highlight w:val="none"/>
          <w:lang w:eastAsia="zh-CN"/>
        </w:rPr>
        <w:t>投标文件</w:t>
      </w:r>
      <w:r>
        <w:rPr>
          <w:rFonts w:hint="default" w:ascii="Times New Roman" w:hAnsi="Times New Roman" w:eastAsia="宋体" w:cs="Times New Roman"/>
          <w:color w:val="auto"/>
          <w:sz w:val="24"/>
          <w:szCs w:val="24"/>
          <w:highlight w:val="none"/>
        </w:rPr>
        <w:t>响应程度符合性审查的企业，其投标作为无效标，不进入后期评审阶段。</w:t>
      </w:r>
    </w:p>
    <w:p w14:paraId="5A6B529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color w:val="auto"/>
          <w:sz w:val="30"/>
          <w:szCs w:val="30"/>
          <w:highlight w:val="none"/>
        </w:rPr>
      </w:pPr>
      <w:r>
        <w:rPr>
          <w:rFonts w:hint="eastAsia"/>
          <w:b/>
          <w:color w:val="auto"/>
          <w:sz w:val="30"/>
          <w:szCs w:val="30"/>
          <w:highlight w:val="none"/>
        </w:rPr>
        <w:br w:type="page"/>
      </w:r>
      <w:r>
        <w:rPr>
          <w:rFonts w:hint="eastAsia"/>
          <w:b/>
          <w:color w:val="auto"/>
          <w:sz w:val="30"/>
          <w:szCs w:val="30"/>
          <w:highlight w:val="none"/>
        </w:rPr>
        <w:t>评分标准100%（以下得分保留小数点后2位）</w:t>
      </w:r>
    </w:p>
    <w:tbl>
      <w:tblPr>
        <w:tblStyle w:val="27"/>
        <w:tblW w:w="8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727"/>
        <w:gridCol w:w="777"/>
        <w:gridCol w:w="6809"/>
        <w:gridCol w:w="652"/>
      </w:tblGrid>
      <w:tr w14:paraId="078C1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449" w:hRule="atLeast"/>
          <w:jc w:val="center"/>
        </w:trPr>
        <w:tc>
          <w:tcPr>
            <w:tcW w:w="1504"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9B50BF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color w:val="auto"/>
                <w:sz w:val="22"/>
                <w:szCs w:val="22"/>
                <w:highlight w:val="none"/>
                <w:lang w:val="en-US"/>
              </w:rPr>
            </w:pPr>
            <w:r>
              <w:rPr>
                <w:rFonts w:hint="eastAsia" w:ascii="宋体" w:hAnsi="宋体" w:eastAsia="宋体" w:cs="宋体"/>
                <w:b/>
                <w:bCs/>
                <w:color w:val="auto"/>
                <w:kern w:val="2"/>
                <w:sz w:val="22"/>
                <w:szCs w:val="22"/>
                <w:highlight w:val="none"/>
                <w:lang w:val="en-US" w:eastAsia="zh-CN" w:bidi="ar"/>
              </w:rPr>
              <w:t>评分内容</w:t>
            </w:r>
          </w:p>
        </w:tc>
        <w:tc>
          <w:tcPr>
            <w:tcW w:w="68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54D76D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color w:val="auto"/>
                <w:sz w:val="22"/>
                <w:szCs w:val="22"/>
                <w:highlight w:val="none"/>
                <w:lang w:val="en-US"/>
              </w:rPr>
            </w:pPr>
            <w:r>
              <w:rPr>
                <w:rFonts w:hint="eastAsia" w:ascii="宋体" w:hAnsi="宋体" w:eastAsia="宋体" w:cs="宋体"/>
                <w:b/>
                <w:bCs/>
                <w:color w:val="auto"/>
                <w:kern w:val="2"/>
                <w:sz w:val="22"/>
                <w:szCs w:val="22"/>
                <w:highlight w:val="none"/>
                <w:lang w:val="en-US" w:eastAsia="zh-CN" w:bidi="ar"/>
              </w:rPr>
              <w:t>评分方法</w:t>
            </w:r>
          </w:p>
        </w:tc>
        <w:tc>
          <w:tcPr>
            <w:tcW w:w="65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C5842D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color w:val="auto"/>
                <w:sz w:val="22"/>
                <w:szCs w:val="22"/>
                <w:highlight w:val="none"/>
                <w:lang w:val="en-US"/>
              </w:rPr>
            </w:pPr>
            <w:r>
              <w:rPr>
                <w:rFonts w:hint="eastAsia" w:ascii="宋体" w:hAnsi="宋体" w:eastAsia="宋体" w:cs="宋体"/>
                <w:b/>
                <w:bCs/>
                <w:color w:val="auto"/>
                <w:kern w:val="2"/>
                <w:sz w:val="22"/>
                <w:szCs w:val="22"/>
                <w:highlight w:val="none"/>
                <w:lang w:val="en-US" w:eastAsia="zh-CN" w:bidi="ar"/>
              </w:rPr>
              <w:t>分值</w:t>
            </w:r>
          </w:p>
        </w:tc>
      </w:tr>
      <w:tr w14:paraId="673F8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8" w:hRule="atLeast"/>
          <w:jc w:val="center"/>
        </w:trPr>
        <w:tc>
          <w:tcPr>
            <w:tcW w:w="1504"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D6562C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color w:val="auto"/>
                <w:sz w:val="22"/>
                <w:szCs w:val="22"/>
                <w:highlight w:val="none"/>
                <w:lang w:val="en-US"/>
              </w:rPr>
            </w:pPr>
            <w:r>
              <w:rPr>
                <w:rFonts w:hint="eastAsia" w:ascii="宋体" w:hAnsi="宋体" w:eastAsia="宋体" w:cs="宋体"/>
                <w:color w:val="auto"/>
                <w:kern w:val="2"/>
                <w:sz w:val="22"/>
                <w:szCs w:val="22"/>
                <w:highlight w:val="none"/>
                <w:lang w:val="en-US" w:eastAsia="zh-CN" w:bidi="ar"/>
              </w:rPr>
              <w:t>投标报价</w:t>
            </w:r>
          </w:p>
          <w:p w14:paraId="14548F10">
            <w:pPr>
              <w:keepNext w:val="0"/>
              <w:keepLines w:val="0"/>
              <w:widowControl/>
              <w:suppressLineNumbers w:val="0"/>
              <w:shd w:val="clear"/>
              <w:spacing w:before="0" w:beforeAutospacing="0" w:after="0" w:afterAutospacing="0"/>
              <w:ind w:left="0" w:leftChars="0" w:right="0" w:rightChars="0"/>
              <w:jc w:val="center"/>
              <w:textAlignment w:val="center"/>
              <w:rPr>
                <w:rFonts w:hint="eastAsia" w:ascii="宋体" w:hAnsi="宋体" w:eastAsia="宋体" w:cs="宋体"/>
                <w:color w:val="auto"/>
                <w:sz w:val="22"/>
                <w:szCs w:val="22"/>
                <w:highlight w:val="none"/>
                <w:lang w:val="en-US"/>
              </w:rPr>
            </w:pPr>
            <w:r>
              <w:rPr>
                <w:rFonts w:hint="eastAsia" w:ascii="宋体" w:hAnsi="宋体" w:eastAsia="宋体" w:cs="宋体"/>
                <w:color w:val="auto"/>
                <w:kern w:val="2"/>
                <w:sz w:val="22"/>
                <w:szCs w:val="22"/>
                <w:highlight w:val="none"/>
                <w:lang w:val="en-US" w:eastAsia="zh-CN" w:bidi="ar"/>
              </w:rPr>
              <w:t>（15分）</w:t>
            </w:r>
          </w:p>
        </w:tc>
        <w:tc>
          <w:tcPr>
            <w:tcW w:w="6809" w:type="dxa"/>
            <w:tcBorders>
              <w:top w:val="single" w:color="auto" w:sz="4" w:space="0"/>
              <w:left w:val="single" w:color="auto" w:sz="4" w:space="0"/>
              <w:bottom w:val="single" w:color="auto" w:sz="4" w:space="0"/>
              <w:right w:val="single" w:color="auto" w:sz="4" w:space="0"/>
            </w:tcBorders>
            <w:shd w:val="clear" w:color="auto" w:fill="auto"/>
            <w:vAlign w:val="center"/>
          </w:tcPr>
          <w:p w14:paraId="3DCB1CE4">
            <w:pPr>
              <w:pStyle w:val="24"/>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exact"/>
              <w:ind w:left="0" w:right="0" w:firstLine="220" w:firstLineChars="100"/>
              <w:jc w:val="both"/>
              <w:textAlignment w:val="auto"/>
              <w:rPr>
                <w:rFonts w:hint="eastAsia" w:ascii="宋体" w:hAnsi="宋体" w:eastAsia="宋体" w:cs="宋体"/>
                <w:color w:val="auto"/>
                <w:kern w:val="2"/>
                <w:sz w:val="22"/>
                <w:szCs w:val="22"/>
                <w:highlight w:val="none"/>
                <w:lang w:val="en-US" w:eastAsia="zh-CN" w:bidi="ar"/>
              </w:rPr>
            </w:pPr>
            <w:r>
              <w:rPr>
                <w:rFonts w:hint="eastAsia" w:ascii="宋体" w:hAnsi="宋体" w:eastAsia="宋体" w:cs="宋体"/>
                <w:color w:val="auto"/>
                <w:kern w:val="2"/>
                <w:sz w:val="22"/>
                <w:szCs w:val="22"/>
                <w:highlight w:val="none"/>
                <w:lang w:val="en-US" w:eastAsia="zh-CN" w:bidi="ar"/>
              </w:rPr>
              <w:t>以满足招标文件要求的支付餐饮服务费比例的最低投标价为基准价，其报价分为满分15分。其他投标供应商的报价按下列公式计算：</w:t>
            </w:r>
          </w:p>
          <w:p w14:paraId="06FCFEA8">
            <w:pPr>
              <w:pStyle w:val="24"/>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both"/>
              <w:textAlignment w:val="auto"/>
              <w:rPr>
                <w:rFonts w:hint="eastAsia" w:ascii="宋体" w:hAnsi="宋体" w:eastAsia="宋体" w:cs="宋体"/>
                <w:color w:val="auto"/>
                <w:kern w:val="2"/>
                <w:sz w:val="22"/>
                <w:szCs w:val="22"/>
                <w:highlight w:val="none"/>
                <w:lang w:val="en-US" w:eastAsia="zh-CN" w:bidi="ar"/>
              </w:rPr>
            </w:pPr>
            <w:r>
              <w:rPr>
                <w:rFonts w:hint="eastAsia" w:ascii="宋体" w:hAnsi="宋体" w:eastAsia="宋体" w:cs="宋体"/>
                <w:color w:val="auto"/>
                <w:kern w:val="2"/>
                <w:sz w:val="22"/>
                <w:szCs w:val="22"/>
                <w:highlight w:val="none"/>
                <w:lang w:val="en-US" w:eastAsia="zh-CN" w:bidi="ar"/>
              </w:rPr>
              <w:t>报价得分=（评标基准价/投标供应商报价）×15</w:t>
            </w:r>
          </w:p>
        </w:tc>
        <w:tc>
          <w:tcPr>
            <w:tcW w:w="65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1569689">
            <w:pPr>
              <w:keepNext w:val="0"/>
              <w:keepLines w:val="0"/>
              <w:widowControl/>
              <w:suppressLineNumbers w:val="0"/>
              <w:shd w:val="clear"/>
              <w:spacing w:before="0" w:beforeAutospacing="0" w:after="0" w:afterAutospacing="0"/>
              <w:ind w:left="0" w:leftChars="0" w:right="0" w:rightChars="0"/>
              <w:jc w:val="center"/>
              <w:textAlignment w:val="center"/>
              <w:rPr>
                <w:rFonts w:hint="eastAsia" w:ascii="宋体" w:hAnsi="宋体" w:eastAsia="宋体" w:cs="宋体"/>
                <w:color w:val="auto"/>
                <w:sz w:val="22"/>
                <w:szCs w:val="22"/>
                <w:highlight w:val="none"/>
                <w:lang w:val="en-US"/>
              </w:rPr>
            </w:pPr>
            <w:r>
              <w:rPr>
                <w:rFonts w:hint="eastAsia" w:ascii="宋体" w:hAnsi="宋体" w:eastAsia="宋体" w:cs="宋体"/>
                <w:color w:val="auto"/>
                <w:kern w:val="2"/>
                <w:sz w:val="22"/>
                <w:szCs w:val="22"/>
                <w:highlight w:val="none"/>
                <w:lang w:val="en-US" w:eastAsia="zh-CN" w:bidi="ar"/>
              </w:rPr>
              <w:t>15</w:t>
            </w:r>
          </w:p>
        </w:tc>
      </w:tr>
      <w:tr w14:paraId="7D2CE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585" w:hRule="atLeast"/>
          <w:jc w:val="center"/>
        </w:trPr>
        <w:tc>
          <w:tcPr>
            <w:tcW w:w="727" w:type="dxa"/>
            <w:vMerge w:val="restart"/>
            <w:tcBorders>
              <w:top w:val="single" w:color="auto" w:sz="4" w:space="0"/>
              <w:left w:val="single" w:color="auto" w:sz="4" w:space="0"/>
              <w:right w:val="single" w:color="auto" w:sz="4" w:space="0"/>
            </w:tcBorders>
            <w:shd w:val="clear" w:color="auto" w:fill="auto"/>
            <w:tcMar>
              <w:top w:w="15" w:type="dxa"/>
              <w:left w:w="15" w:type="dxa"/>
              <w:right w:w="15" w:type="dxa"/>
            </w:tcMar>
            <w:vAlign w:val="center"/>
          </w:tcPr>
          <w:p w14:paraId="70D04F72">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right="0"/>
              <w:jc w:val="center"/>
              <w:textAlignment w:val="center"/>
              <w:rPr>
                <w:rFonts w:hint="eastAsia" w:ascii="宋体" w:hAnsi="宋体" w:eastAsia="宋体" w:cs="宋体"/>
                <w:color w:val="auto"/>
                <w:sz w:val="22"/>
                <w:szCs w:val="22"/>
                <w:highlight w:val="none"/>
                <w:lang w:val="en-US"/>
              </w:rPr>
            </w:pPr>
            <w:r>
              <w:rPr>
                <w:rFonts w:hint="eastAsia" w:ascii="宋体" w:hAnsi="宋体" w:eastAsia="宋体" w:cs="宋体"/>
                <w:color w:val="auto"/>
                <w:kern w:val="2"/>
                <w:sz w:val="22"/>
                <w:szCs w:val="22"/>
                <w:highlight w:val="none"/>
                <w:lang w:val="en-US" w:eastAsia="zh-CN" w:bidi="ar"/>
              </w:rPr>
              <w:t>商务</w:t>
            </w:r>
          </w:p>
          <w:p w14:paraId="330E88F7">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right="0"/>
              <w:jc w:val="center"/>
              <w:textAlignment w:val="center"/>
              <w:rPr>
                <w:rFonts w:hint="eastAsia" w:ascii="宋体" w:hAnsi="宋体" w:eastAsia="宋体" w:cs="宋体"/>
                <w:color w:val="auto"/>
                <w:sz w:val="22"/>
                <w:szCs w:val="22"/>
                <w:highlight w:val="none"/>
                <w:lang w:val="en-US"/>
              </w:rPr>
            </w:pPr>
            <w:r>
              <w:rPr>
                <w:rFonts w:hint="eastAsia" w:ascii="宋体" w:hAnsi="宋体" w:eastAsia="宋体" w:cs="宋体"/>
                <w:color w:val="auto"/>
                <w:kern w:val="2"/>
                <w:sz w:val="22"/>
                <w:szCs w:val="22"/>
                <w:highlight w:val="none"/>
                <w:lang w:val="en-US" w:eastAsia="zh-CN" w:bidi="ar"/>
              </w:rPr>
              <w:t>条款（25分）</w:t>
            </w:r>
          </w:p>
        </w:tc>
        <w:tc>
          <w:tcPr>
            <w:tcW w:w="77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E6F498D">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right="0"/>
              <w:jc w:val="center"/>
              <w:textAlignment w:val="center"/>
              <w:rPr>
                <w:rFonts w:hint="eastAsia" w:ascii="宋体" w:hAnsi="宋体" w:eastAsia="宋体" w:cs="宋体"/>
                <w:color w:val="auto"/>
                <w:sz w:val="22"/>
                <w:szCs w:val="22"/>
                <w:highlight w:val="none"/>
                <w:lang w:val="en-US"/>
              </w:rPr>
            </w:pPr>
            <w:r>
              <w:rPr>
                <w:rFonts w:hint="eastAsia" w:ascii="宋体" w:hAnsi="宋体" w:eastAsia="宋体" w:cs="宋体"/>
                <w:color w:val="auto"/>
                <w:kern w:val="2"/>
                <w:sz w:val="22"/>
                <w:szCs w:val="22"/>
                <w:highlight w:val="none"/>
                <w:lang w:val="en-US" w:eastAsia="zh-CN" w:bidi="ar"/>
              </w:rPr>
              <w:t>企业</w:t>
            </w:r>
          </w:p>
          <w:p w14:paraId="1D9B74B5">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right="0"/>
              <w:jc w:val="center"/>
              <w:textAlignment w:val="center"/>
              <w:rPr>
                <w:rFonts w:hint="eastAsia" w:ascii="宋体" w:hAnsi="宋体" w:eastAsia="宋体" w:cs="宋体"/>
                <w:color w:val="auto"/>
                <w:sz w:val="22"/>
                <w:szCs w:val="22"/>
                <w:highlight w:val="none"/>
                <w:lang w:val="en-US"/>
              </w:rPr>
            </w:pPr>
            <w:r>
              <w:rPr>
                <w:rFonts w:hint="eastAsia" w:ascii="宋体" w:hAnsi="宋体" w:eastAsia="宋体" w:cs="宋体"/>
                <w:color w:val="auto"/>
                <w:kern w:val="2"/>
                <w:sz w:val="22"/>
                <w:szCs w:val="22"/>
                <w:highlight w:val="none"/>
                <w:lang w:val="en-US" w:eastAsia="zh-CN" w:bidi="ar"/>
              </w:rPr>
              <w:t>资历</w:t>
            </w:r>
          </w:p>
        </w:tc>
        <w:tc>
          <w:tcPr>
            <w:tcW w:w="6809" w:type="dxa"/>
            <w:tcBorders>
              <w:top w:val="single" w:color="auto" w:sz="4" w:space="0"/>
              <w:left w:val="single" w:color="auto" w:sz="4" w:space="0"/>
              <w:bottom w:val="single" w:color="auto" w:sz="4" w:space="0"/>
              <w:right w:val="single" w:color="auto" w:sz="4" w:space="0"/>
            </w:tcBorders>
            <w:shd w:val="clear" w:color="auto" w:fill="auto"/>
            <w:vAlign w:val="top"/>
          </w:tcPr>
          <w:p w14:paraId="5B0E288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40" w:lineRule="exact"/>
              <w:ind w:left="0" w:right="0" w:firstLine="220" w:firstLineChars="100"/>
              <w:jc w:val="both"/>
              <w:textAlignment w:val="auto"/>
              <w:rPr>
                <w:rFonts w:hint="eastAsia" w:ascii="宋体" w:hAnsi="宋体" w:eastAsia="宋体" w:cs="宋体"/>
                <w:color w:val="auto"/>
                <w:kern w:val="2"/>
                <w:sz w:val="22"/>
                <w:szCs w:val="22"/>
                <w:highlight w:val="none"/>
                <w:lang w:val="zh-CN" w:eastAsia="zh-CN" w:bidi="ar"/>
              </w:rPr>
            </w:pPr>
            <w:r>
              <w:rPr>
                <w:rFonts w:hint="eastAsia" w:ascii="宋体" w:hAnsi="宋体" w:eastAsia="宋体" w:cs="宋体"/>
                <w:color w:val="auto"/>
                <w:kern w:val="2"/>
                <w:sz w:val="22"/>
                <w:szCs w:val="22"/>
                <w:highlight w:val="none"/>
                <w:lang w:val="zh-CN" w:eastAsia="zh-CN" w:bidi="ar"/>
              </w:rPr>
              <w:t>1.通过GB/T19001质量管理体系；</w:t>
            </w:r>
          </w:p>
          <w:p w14:paraId="7DA9B04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40" w:lineRule="exact"/>
              <w:ind w:left="0" w:right="0" w:firstLine="220" w:firstLineChars="100"/>
              <w:jc w:val="both"/>
              <w:textAlignment w:val="auto"/>
              <w:rPr>
                <w:rFonts w:hint="eastAsia" w:ascii="宋体" w:hAnsi="宋体" w:eastAsia="宋体" w:cs="宋体"/>
                <w:color w:val="auto"/>
                <w:kern w:val="2"/>
                <w:sz w:val="22"/>
                <w:szCs w:val="22"/>
                <w:highlight w:val="none"/>
                <w:lang w:val="zh-CN" w:eastAsia="zh-CN" w:bidi="ar"/>
              </w:rPr>
            </w:pPr>
            <w:r>
              <w:rPr>
                <w:rFonts w:hint="eastAsia" w:ascii="宋体" w:hAnsi="宋体" w:eastAsia="宋体" w:cs="宋体"/>
                <w:color w:val="auto"/>
                <w:kern w:val="2"/>
                <w:sz w:val="22"/>
                <w:szCs w:val="22"/>
                <w:highlight w:val="none"/>
                <w:lang w:val="zh-CN" w:eastAsia="zh-CN" w:bidi="ar"/>
              </w:rPr>
              <w:t>2.通过ISO</w:t>
            </w:r>
            <w:r>
              <w:rPr>
                <w:rFonts w:hint="eastAsia" w:ascii="宋体" w:hAnsi="宋体" w:eastAsia="宋体" w:cs="宋体"/>
                <w:color w:val="auto"/>
                <w:kern w:val="2"/>
                <w:sz w:val="22"/>
                <w:szCs w:val="22"/>
                <w:highlight w:val="none"/>
                <w:lang w:val="en-US" w:eastAsia="zh-CN" w:bidi="ar"/>
              </w:rPr>
              <w:t>2</w:t>
            </w:r>
            <w:r>
              <w:rPr>
                <w:rFonts w:hint="eastAsia" w:ascii="宋体" w:hAnsi="宋体" w:eastAsia="宋体" w:cs="宋体"/>
                <w:color w:val="auto"/>
                <w:kern w:val="2"/>
                <w:sz w:val="22"/>
                <w:szCs w:val="22"/>
                <w:highlight w:val="none"/>
                <w:lang w:val="zh-CN" w:eastAsia="zh-CN" w:bidi="ar"/>
              </w:rPr>
              <w:t>4001环境管理体系；</w:t>
            </w:r>
          </w:p>
          <w:p w14:paraId="3A6A703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40" w:lineRule="exact"/>
              <w:ind w:left="0" w:right="0" w:firstLine="220" w:firstLineChars="100"/>
              <w:jc w:val="both"/>
              <w:textAlignment w:val="auto"/>
              <w:rPr>
                <w:rFonts w:hint="eastAsia" w:ascii="宋体" w:hAnsi="宋体" w:eastAsia="宋体" w:cs="宋体"/>
                <w:color w:val="auto"/>
                <w:kern w:val="2"/>
                <w:sz w:val="22"/>
                <w:szCs w:val="22"/>
                <w:highlight w:val="none"/>
                <w:lang w:val="en-US" w:eastAsia="zh-CN" w:bidi="ar"/>
              </w:rPr>
            </w:pPr>
            <w:r>
              <w:rPr>
                <w:rFonts w:hint="eastAsia" w:ascii="宋体" w:hAnsi="宋体" w:eastAsia="宋体" w:cs="宋体"/>
                <w:color w:val="auto"/>
                <w:kern w:val="2"/>
                <w:sz w:val="22"/>
                <w:szCs w:val="22"/>
                <w:highlight w:val="none"/>
                <w:lang w:val="zh-CN" w:eastAsia="zh-CN" w:bidi="ar"/>
              </w:rPr>
              <w:t>3.通过</w:t>
            </w:r>
            <w:r>
              <w:rPr>
                <w:rFonts w:hint="eastAsia" w:ascii="宋体" w:hAnsi="宋体" w:eastAsia="宋体" w:cs="宋体"/>
                <w:color w:val="auto"/>
                <w:kern w:val="2"/>
                <w:sz w:val="22"/>
                <w:szCs w:val="22"/>
                <w:highlight w:val="none"/>
                <w:lang w:val="en-US" w:eastAsia="zh-CN" w:bidi="ar"/>
              </w:rPr>
              <w:t>ISO</w:t>
            </w:r>
            <w:r>
              <w:rPr>
                <w:rFonts w:hint="eastAsia" w:ascii="宋体" w:hAnsi="宋体" w:eastAsia="宋体" w:cs="宋体"/>
                <w:color w:val="auto"/>
                <w:kern w:val="2"/>
                <w:sz w:val="22"/>
                <w:szCs w:val="22"/>
                <w:highlight w:val="none"/>
                <w:lang w:val="zh-CN" w:eastAsia="zh-CN" w:bidi="ar"/>
              </w:rPr>
              <w:t>22000食品安全管理体系认证；</w:t>
            </w:r>
          </w:p>
          <w:p w14:paraId="5BE3057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40" w:lineRule="exact"/>
              <w:ind w:left="0" w:right="0" w:firstLine="220" w:firstLineChars="100"/>
              <w:jc w:val="both"/>
              <w:textAlignment w:val="auto"/>
              <w:rPr>
                <w:rFonts w:hint="eastAsia" w:ascii="宋体" w:hAnsi="宋体" w:eastAsia="宋体" w:cs="宋体"/>
                <w:color w:val="auto"/>
                <w:kern w:val="2"/>
                <w:sz w:val="22"/>
                <w:szCs w:val="22"/>
                <w:highlight w:val="none"/>
                <w:lang w:val="zh-CN" w:eastAsia="zh-CN" w:bidi="ar"/>
              </w:rPr>
            </w:pPr>
            <w:r>
              <w:rPr>
                <w:rFonts w:hint="eastAsia" w:ascii="宋体" w:hAnsi="宋体" w:eastAsia="宋体" w:cs="宋体"/>
                <w:color w:val="auto"/>
                <w:kern w:val="2"/>
                <w:sz w:val="22"/>
                <w:szCs w:val="22"/>
                <w:highlight w:val="none"/>
                <w:lang w:val="zh-CN" w:eastAsia="zh-CN" w:bidi="ar"/>
              </w:rPr>
              <w:t>4.通过GB/T</w:t>
            </w:r>
            <w:r>
              <w:rPr>
                <w:rFonts w:hint="eastAsia" w:ascii="宋体" w:hAnsi="宋体" w:eastAsia="宋体" w:cs="宋体"/>
                <w:color w:val="auto"/>
                <w:kern w:val="2"/>
                <w:sz w:val="22"/>
                <w:szCs w:val="22"/>
                <w:highlight w:val="none"/>
                <w:lang w:val="en-US" w:eastAsia="zh-CN" w:bidi="ar"/>
              </w:rPr>
              <w:t>45</w:t>
            </w:r>
            <w:r>
              <w:rPr>
                <w:rFonts w:hint="eastAsia" w:ascii="宋体" w:hAnsi="宋体" w:eastAsia="宋体" w:cs="宋体"/>
                <w:color w:val="auto"/>
                <w:kern w:val="2"/>
                <w:sz w:val="22"/>
                <w:szCs w:val="22"/>
                <w:highlight w:val="none"/>
                <w:lang w:val="zh-CN" w:eastAsia="zh-CN" w:bidi="ar"/>
              </w:rPr>
              <w:t>001职业健康安全管理体系认证；</w:t>
            </w:r>
          </w:p>
          <w:p w14:paraId="146FFAF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40" w:lineRule="exact"/>
              <w:ind w:left="0" w:right="0" w:firstLine="220" w:firstLineChars="100"/>
              <w:jc w:val="both"/>
              <w:textAlignment w:val="auto"/>
              <w:rPr>
                <w:rFonts w:hint="eastAsia" w:ascii="宋体" w:hAnsi="宋体" w:eastAsia="宋体" w:cs="宋体"/>
                <w:color w:val="auto"/>
                <w:kern w:val="2"/>
                <w:sz w:val="22"/>
                <w:szCs w:val="22"/>
                <w:highlight w:val="none"/>
                <w:lang w:val="zh-CN" w:eastAsia="zh-CN" w:bidi="ar"/>
              </w:rPr>
            </w:pPr>
            <w:r>
              <w:rPr>
                <w:rFonts w:hint="eastAsia" w:ascii="宋体" w:hAnsi="宋体" w:eastAsia="宋体" w:cs="宋体"/>
                <w:color w:val="auto"/>
                <w:kern w:val="2"/>
                <w:sz w:val="22"/>
                <w:szCs w:val="22"/>
                <w:highlight w:val="none"/>
                <w:lang w:val="en-US" w:eastAsia="zh-CN" w:bidi="ar"/>
              </w:rPr>
              <w:t>5.通过HACCP危害分析和关键控制点体系认证。</w:t>
            </w:r>
          </w:p>
          <w:p w14:paraId="01CDA1A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40" w:lineRule="exact"/>
              <w:ind w:left="0" w:right="0" w:firstLine="220" w:firstLineChars="100"/>
              <w:jc w:val="both"/>
              <w:textAlignment w:val="auto"/>
              <w:rPr>
                <w:rFonts w:hint="eastAsia" w:ascii="宋体" w:hAnsi="宋体" w:eastAsia="宋体" w:cs="宋体"/>
                <w:color w:val="auto"/>
                <w:kern w:val="2"/>
                <w:sz w:val="22"/>
                <w:szCs w:val="22"/>
                <w:highlight w:val="none"/>
                <w:lang w:val="en-US" w:eastAsia="zh-CN" w:bidi="ar"/>
              </w:rPr>
            </w:pPr>
            <w:r>
              <w:rPr>
                <w:rFonts w:hint="eastAsia" w:ascii="宋体" w:hAnsi="宋体" w:eastAsia="宋体" w:cs="宋体"/>
                <w:color w:val="auto"/>
                <w:kern w:val="2"/>
                <w:sz w:val="22"/>
                <w:szCs w:val="22"/>
                <w:highlight w:val="none"/>
                <w:lang w:val="en-US" w:eastAsia="zh-CN" w:bidi="ar"/>
              </w:rPr>
              <w:t>有一项证书及证明材料得1分，本项最高得5分，未提供或不满足的不得分。</w:t>
            </w:r>
          </w:p>
          <w:p w14:paraId="46095E1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40" w:lineRule="exact"/>
              <w:ind w:left="0" w:right="0" w:firstLine="220" w:firstLineChars="100"/>
              <w:jc w:val="both"/>
              <w:textAlignment w:val="auto"/>
              <w:rPr>
                <w:rFonts w:hint="eastAsia" w:ascii="宋体" w:hAnsi="宋体" w:eastAsia="宋体" w:cs="宋体"/>
                <w:color w:val="auto"/>
                <w:kern w:val="2"/>
                <w:sz w:val="22"/>
                <w:szCs w:val="22"/>
                <w:highlight w:val="none"/>
                <w:lang w:val="en-US" w:eastAsia="zh-CN" w:bidi="ar"/>
              </w:rPr>
            </w:pPr>
            <w:r>
              <w:rPr>
                <w:rFonts w:hint="eastAsia" w:ascii="宋体" w:hAnsi="宋体" w:eastAsia="宋体" w:cs="宋体"/>
                <w:color w:val="auto"/>
                <w:kern w:val="2"/>
                <w:sz w:val="22"/>
                <w:szCs w:val="22"/>
                <w:highlight w:val="none"/>
                <w:lang w:val="en-US" w:eastAsia="zh-CN" w:bidi="ar"/>
              </w:rPr>
              <w:t>注：须在国家认监委官网可查，并提供有效期内的认证证书复印件及国家认监委网查询截图，加盖投标供应商公章。</w:t>
            </w:r>
          </w:p>
        </w:tc>
        <w:tc>
          <w:tcPr>
            <w:tcW w:w="65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B56926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w:t>
            </w:r>
          </w:p>
        </w:tc>
      </w:tr>
      <w:tr w14:paraId="7DCF2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954" w:hRule="atLeast"/>
          <w:jc w:val="center"/>
        </w:trPr>
        <w:tc>
          <w:tcPr>
            <w:tcW w:w="727" w:type="dxa"/>
            <w:vMerge w:val="continue"/>
            <w:tcBorders>
              <w:left w:val="single" w:color="auto" w:sz="4" w:space="0"/>
              <w:right w:val="single" w:color="auto" w:sz="4" w:space="0"/>
            </w:tcBorders>
            <w:shd w:val="clear" w:color="auto" w:fill="auto"/>
            <w:tcMar>
              <w:top w:w="15" w:type="dxa"/>
              <w:left w:w="15" w:type="dxa"/>
              <w:right w:w="15" w:type="dxa"/>
            </w:tcMar>
            <w:vAlign w:val="center"/>
          </w:tcPr>
          <w:p w14:paraId="46CC0606">
            <w:pPr>
              <w:keepNext w:val="0"/>
              <w:keepLines w:val="0"/>
              <w:pageBreakBefore w:val="0"/>
              <w:suppressLineNumbers w:val="0"/>
              <w:shd w:val="clear"/>
              <w:kinsoku/>
              <w:wordWrap/>
              <w:overflowPunct/>
              <w:topLinePunct w:val="0"/>
              <w:bidi w:val="0"/>
              <w:adjustRightInd/>
              <w:snapToGrid/>
              <w:spacing w:before="0" w:beforeAutospacing="0" w:after="0" w:afterAutospacing="0" w:line="360" w:lineRule="exact"/>
              <w:ind w:left="0" w:right="0"/>
              <w:rPr>
                <w:rFonts w:hint="eastAsia" w:ascii="宋体" w:hAnsi="宋体" w:eastAsia="宋体" w:cs="宋体"/>
                <w:color w:val="auto"/>
                <w:sz w:val="22"/>
                <w:szCs w:val="22"/>
                <w:highlight w:val="none"/>
              </w:rPr>
            </w:pPr>
          </w:p>
        </w:tc>
        <w:tc>
          <w:tcPr>
            <w:tcW w:w="77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C99C925">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right="0"/>
              <w:jc w:val="center"/>
              <w:textAlignment w:val="center"/>
              <w:rPr>
                <w:rFonts w:hint="eastAsia" w:ascii="宋体" w:hAnsi="宋体" w:eastAsia="宋体" w:cs="宋体"/>
                <w:color w:val="auto"/>
                <w:sz w:val="22"/>
                <w:szCs w:val="22"/>
                <w:highlight w:val="none"/>
                <w:lang w:val="en-US"/>
              </w:rPr>
            </w:pPr>
            <w:r>
              <w:rPr>
                <w:rFonts w:hint="eastAsia" w:ascii="宋体" w:hAnsi="宋体" w:eastAsia="宋体" w:cs="宋体"/>
                <w:color w:val="auto"/>
                <w:kern w:val="2"/>
                <w:sz w:val="22"/>
                <w:szCs w:val="22"/>
                <w:highlight w:val="none"/>
                <w:lang w:val="en-US" w:eastAsia="zh-CN" w:bidi="ar"/>
              </w:rPr>
              <w:t>类似</w:t>
            </w:r>
          </w:p>
          <w:p w14:paraId="790B4B6D">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right="0"/>
              <w:jc w:val="center"/>
              <w:textAlignment w:val="center"/>
              <w:rPr>
                <w:rFonts w:hint="eastAsia" w:ascii="宋体" w:hAnsi="宋体" w:eastAsia="宋体" w:cs="宋体"/>
                <w:color w:val="auto"/>
                <w:sz w:val="22"/>
                <w:szCs w:val="22"/>
                <w:highlight w:val="none"/>
                <w:lang w:val="en-US"/>
              </w:rPr>
            </w:pPr>
            <w:r>
              <w:rPr>
                <w:rFonts w:hint="eastAsia" w:ascii="宋体" w:hAnsi="宋体" w:eastAsia="宋体" w:cs="宋体"/>
                <w:color w:val="auto"/>
                <w:kern w:val="2"/>
                <w:sz w:val="22"/>
                <w:szCs w:val="22"/>
                <w:highlight w:val="none"/>
                <w:lang w:val="en-US" w:eastAsia="zh-CN" w:bidi="ar"/>
              </w:rPr>
              <w:t>业绩</w:t>
            </w:r>
          </w:p>
        </w:tc>
        <w:tc>
          <w:tcPr>
            <w:tcW w:w="6809" w:type="dxa"/>
            <w:tcBorders>
              <w:top w:val="single" w:color="auto" w:sz="4" w:space="0"/>
              <w:left w:val="single" w:color="auto" w:sz="4" w:space="0"/>
              <w:bottom w:val="single" w:color="auto" w:sz="4" w:space="0"/>
              <w:right w:val="single" w:color="auto" w:sz="4" w:space="0"/>
            </w:tcBorders>
            <w:shd w:val="clear" w:color="auto" w:fill="auto"/>
            <w:vAlign w:val="top"/>
          </w:tcPr>
          <w:p w14:paraId="736BF13E">
            <w:pPr>
              <w:pStyle w:val="10"/>
              <w:keepNext w:val="0"/>
              <w:keepLines w:val="0"/>
              <w:pageBreakBefore w:val="0"/>
              <w:widowControl w:val="0"/>
              <w:suppressLineNumbers w:val="0"/>
              <w:kinsoku/>
              <w:wordWrap/>
              <w:overflowPunct/>
              <w:topLinePunct w:val="0"/>
              <w:bidi w:val="0"/>
              <w:adjustRightInd/>
              <w:snapToGrid/>
              <w:spacing w:before="0" w:beforeAutospacing="0" w:after="0" w:afterAutospacing="0" w:line="340" w:lineRule="exact"/>
              <w:ind w:left="0" w:right="0" w:firstLine="220" w:firstLineChars="100"/>
              <w:textAlignment w:val="auto"/>
              <w:rPr>
                <w:rFonts w:hint="eastAsia" w:ascii="宋体" w:hAnsi="宋体" w:eastAsia="宋体" w:cs="宋体"/>
                <w:color w:val="auto"/>
                <w:kern w:val="2"/>
                <w:sz w:val="22"/>
                <w:szCs w:val="22"/>
                <w:highlight w:val="none"/>
                <w:lang w:val="en-US" w:eastAsia="zh-CN" w:bidi="ar"/>
              </w:rPr>
            </w:pPr>
            <w:r>
              <w:rPr>
                <w:rFonts w:hint="eastAsia" w:ascii="宋体" w:hAnsi="宋体" w:eastAsia="宋体" w:cs="宋体"/>
                <w:color w:val="auto"/>
                <w:kern w:val="2"/>
                <w:sz w:val="22"/>
                <w:szCs w:val="22"/>
                <w:highlight w:val="none"/>
                <w:lang w:val="en-US" w:eastAsia="zh-CN" w:bidi="ar"/>
              </w:rPr>
              <w:t>1.2023年1月1日至今具有餐饮服务项目经营</w:t>
            </w:r>
            <w:r>
              <w:rPr>
                <w:rFonts w:hint="eastAsia" w:ascii="宋体" w:hAnsi="宋体" w:eastAsia="宋体" w:cs="宋体"/>
                <w:color w:val="auto"/>
                <w:kern w:val="2"/>
                <w:sz w:val="22"/>
                <w:szCs w:val="22"/>
                <w:highlight w:val="none"/>
                <w:lang w:val="zh-CN" w:eastAsia="zh-CN" w:bidi="ar"/>
              </w:rPr>
              <w:t>满</w:t>
            </w:r>
            <w:r>
              <w:rPr>
                <w:rFonts w:hint="eastAsia" w:ascii="宋体" w:hAnsi="宋体" w:eastAsia="宋体" w:cs="宋体"/>
                <w:color w:val="auto"/>
                <w:kern w:val="2"/>
                <w:sz w:val="22"/>
                <w:szCs w:val="22"/>
                <w:highlight w:val="none"/>
                <w:lang w:val="en-US" w:eastAsia="zh-CN" w:bidi="ar"/>
              </w:rPr>
              <w:t>1</w:t>
            </w:r>
            <w:r>
              <w:rPr>
                <w:rFonts w:hint="eastAsia" w:ascii="宋体" w:hAnsi="宋体" w:eastAsia="宋体" w:cs="宋体"/>
                <w:color w:val="auto"/>
                <w:kern w:val="2"/>
                <w:sz w:val="22"/>
                <w:szCs w:val="22"/>
                <w:highlight w:val="none"/>
                <w:lang w:val="zh-CN" w:eastAsia="zh-CN" w:bidi="ar"/>
              </w:rPr>
              <w:t>年的类似业绩</w:t>
            </w:r>
            <w:r>
              <w:rPr>
                <w:rFonts w:hint="eastAsia" w:ascii="宋体" w:hAnsi="宋体" w:eastAsia="宋体" w:cs="宋体"/>
                <w:color w:val="auto"/>
                <w:kern w:val="2"/>
                <w:sz w:val="22"/>
                <w:szCs w:val="22"/>
                <w:highlight w:val="none"/>
                <w:lang w:val="en-US" w:eastAsia="zh-CN" w:bidi="ar"/>
              </w:rPr>
              <w:t>，每个得2分，最高得10分；</w:t>
            </w:r>
          </w:p>
          <w:p w14:paraId="790A94B4">
            <w:pPr>
              <w:keepNext w:val="0"/>
              <w:keepLines w:val="0"/>
              <w:pageBreakBefore w:val="0"/>
              <w:widowControl w:val="0"/>
              <w:suppressLineNumbers w:val="0"/>
              <w:shd w:val="clear"/>
              <w:kinsoku/>
              <w:wordWrap/>
              <w:overflowPunct/>
              <w:topLinePunct w:val="0"/>
              <w:autoSpaceDE w:val="0"/>
              <w:autoSpaceDN w:val="0"/>
              <w:bidi w:val="0"/>
              <w:adjustRightInd/>
              <w:snapToGrid/>
              <w:spacing w:before="0" w:beforeAutospacing="0" w:after="0" w:afterAutospacing="0" w:line="340" w:lineRule="exact"/>
              <w:ind w:left="0" w:right="0" w:firstLine="220" w:firstLineChars="100"/>
              <w:jc w:val="both"/>
              <w:textAlignment w:val="auto"/>
              <w:rPr>
                <w:rFonts w:hint="eastAsia" w:ascii="宋体" w:hAnsi="宋体" w:eastAsia="宋体" w:cs="宋体"/>
                <w:color w:val="auto"/>
                <w:kern w:val="2"/>
                <w:sz w:val="22"/>
                <w:szCs w:val="22"/>
                <w:highlight w:val="none"/>
                <w:lang w:val="en-US" w:eastAsia="zh-CN" w:bidi="ar"/>
              </w:rPr>
            </w:pPr>
            <w:r>
              <w:rPr>
                <w:rFonts w:hint="eastAsia" w:ascii="宋体" w:hAnsi="宋体" w:eastAsia="宋体" w:cs="宋体"/>
                <w:color w:val="auto"/>
                <w:kern w:val="2"/>
                <w:sz w:val="22"/>
                <w:szCs w:val="22"/>
                <w:highlight w:val="none"/>
                <w:lang w:val="en-US" w:eastAsia="zh-CN" w:bidi="ar"/>
              </w:rPr>
              <w:t>2.截至投标日，连续在同一业主单位从事餐饮服务超过3年（含3年）的，每个得2分，最高得8分。</w:t>
            </w:r>
          </w:p>
          <w:p w14:paraId="6B3F0437">
            <w:pPr>
              <w:keepNext w:val="0"/>
              <w:keepLines w:val="0"/>
              <w:pageBreakBefore w:val="0"/>
              <w:widowControl w:val="0"/>
              <w:suppressLineNumbers w:val="0"/>
              <w:shd w:val="clear"/>
              <w:kinsoku/>
              <w:wordWrap/>
              <w:overflowPunct/>
              <w:topLinePunct w:val="0"/>
              <w:autoSpaceDE w:val="0"/>
              <w:autoSpaceDN w:val="0"/>
              <w:bidi w:val="0"/>
              <w:adjustRightInd/>
              <w:snapToGrid/>
              <w:spacing w:before="0" w:beforeAutospacing="0" w:after="0" w:afterAutospacing="0" w:line="340" w:lineRule="exact"/>
              <w:ind w:left="0" w:right="0" w:firstLine="220" w:firstLineChars="100"/>
              <w:jc w:val="left"/>
              <w:textAlignment w:val="auto"/>
              <w:rPr>
                <w:rFonts w:hint="eastAsia" w:ascii="宋体" w:hAnsi="宋体" w:eastAsia="宋体" w:cs="宋体"/>
                <w:color w:val="auto"/>
                <w:sz w:val="22"/>
                <w:szCs w:val="22"/>
                <w:highlight w:val="none"/>
                <w:lang w:val="en-US"/>
              </w:rPr>
            </w:pPr>
            <w:r>
              <w:rPr>
                <w:rFonts w:hint="eastAsia" w:ascii="宋体" w:hAnsi="宋体" w:eastAsia="宋体" w:cs="宋体"/>
                <w:color w:val="auto"/>
                <w:kern w:val="2"/>
                <w:sz w:val="22"/>
                <w:szCs w:val="22"/>
                <w:highlight w:val="none"/>
                <w:lang w:val="en-US" w:eastAsia="zh-CN" w:bidi="ar"/>
              </w:rPr>
              <w:t>注：（</w:t>
            </w:r>
            <w:r>
              <w:rPr>
                <w:rFonts w:hint="eastAsia" w:ascii="宋体" w:hAnsi="宋体" w:eastAsia="宋体" w:cs="宋体"/>
                <w:color w:val="auto"/>
                <w:kern w:val="2"/>
                <w:sz w:val="22"/>
                <w:szCs w:val="22"/>
                <w:highlight w:val="none"/>
                <w:lang w:val="zh-CN" w:eastAsia="zh-CN" w:bidi="ar"/>
              </w:rPr>
              <w:t>1）业绩证明材料需提供合同复印件，合同内容须体现以下内容：甲方名称、服务期限、服务内容、委托人及受托人、委托人及受托人双方签字</w:t>
            </w:r>
            <w:r>
              <w:rPr>
                <w:rFonts w:hint="eastAsia" w:ascii="宋体" w:hAnsi="宋体" w:eastAsia="宋体" w:cs="宋体"/>
                <w:color w:val="auto"/>
                <w:kern w:val="2"/>
                <w:sz w:val="22"/>
                <w:szCs w:val="22"/>
                <w:highlight w:val="none"/>
                <w:lang w:val="en-US" w:eastAsia="zh-CN" w:bidi="ar"/>
              </w:rPr>
              <w:t>或</w:t>
            </w:r>
            <w:r>
              <w:rPr>
                <w:rFonts w:hint="eastAsia" w:ascii="宋体" w:hAnsi="宋体" w:eastAsia="宋体" w:cs="宋体"/>
                <w:color w:val="auto"/>
                <w:kern w:val="2"/>
                <w:sz w:val="22"/>
                <w:szCs w:val="22"/>
                <w:highlight w:val="none"/>
                <w:lang w:val="zh-CN" w:eastAsia="zh-CN" w:bidi="ar"/>
              </w:rPr>
              <w:t>盖章，日期、项目服务内容等主要合同信息。（</w:t>
            </w:r>
            <w:r>
              <w:rPr>
                <w:rFonts w:hint="eastAsia" w:ascii="宋体" w:hAnsi="宋体" w:eastAsia="宋体" w:cs="宋体"/>
                <w:color w:val="auto"/>
                <w:kern w:val="2"/>
                <w:sz w:val="22"/>
                <w:szCs w:val="22"/>
                <w:highlight w:val="none"/>
                <w:lang w:val="en-US" w:eastAsia="zh-CN" w:bidi="ar"/>
              </w:rPr>
              <w:t>2</w:t>
            </w:r>
            <w:r>
              <w:rPr>
                <w:rFonts w:hint="eastAsia" w:ascii="宋体" w:hAnsi="宋体" w:eastAsia="宋体" w:cs="宋体"/>
                <w:color w:val="auto"/>
                <w:kern w:val="2"/>
                <w:sz w:val="22"/>
                <w:szCs w:val="22"/>
                <w:highlight w:val="none"/>
                <w:lang w:val="zh-CN" w:eastAsia="zh-CN" w:bidi="ar"/>
              </w:rPr>
              <w:t>）合同复印件要求清晰可见、合同体现内容中如缺项或模糊无法辨认的视为无效业绩。（</w:t>
            </w:r>
            <w:r>
              <w:rPr>
                <w:rFonts w:hint="eastAsia" w:ascii="宋体" w:hAnsi="宋体" w:eastAsia="宋体" w:cs="宋体"/>
                <w:color w:val="auto"/>
                <w:kern w:val="2"/>
                <w:sz w:val="22"/>
                <w:szCs w:val="22"/>
                <w:highlight w:val="none"/>
                <w:lang w:val="en-US" w:eastAsia="zh-CN" w:bidi="ar"/>
              </w:rPr>
              <w:t>3</w:t>
            </w:r>
            <w:r>
              <w:rPr>
                <w:rFonts w:hint="eastAsia" w:ascii="宋体" w:hAnsi="宋体" w:eastAsia="宋体" w:cs="宋体"/>
                <w:color w:val="auto"/>
                <w:kern w:val="2"/>
                <w:sz w:val="22"/>
                <w:szCs w:val="22"/>
                <w:highlight w:val="none"/>
                <w:lang w:val="zh-CN" w:eastAsia="zh-CN" w:bidi="ar"/>
              </w:rPr>
              <w:t>）</w:t>
            </w:r>
            <w:r>
              <w:rPr>
                <w:rFonts w:hint="eastAsia" w:ascii="宋体" w:hAnsi="宋体" w:eastAsia="宋体" w:cs="宋体"/>
                <w:color w:val="auto"/>
                <w:kern w:val="2"/>
                <w:sz w:val="22"/>
                <w:szCs w:val="22"/>
                <w:highlight w:val="none"/>
                <w:lang w:val="en-US" w:eastAsia="zh-CN" w:bidi="ar"/>
              </w:rPr>
              <w:t>业绩要求中</w:t>
            </w:r>
            <w:r>
              <w:rPr>
                <w:rFonts w:hint="eastAsia" w:ascii="宋体" w:hAnsi="宋体" w:eastAsia="宋体" w:cs="宋体"/>
                <w:color w:val="auto"/>
                <w:kern w:val="2"/>
                <w:sz w:val="22"/>
                <w:szCs w:val="22"/>
                <w:highlight w:val="none"/>
                <w:lang w:val="zh-CN" w:eastAsia="zh-CN" w:bidi="ar"/>
              </w:rPr>
              <w:t>合同不重复计分。</w:t>
            </w:r>
          </w:p>
        </w:tc>
        <w:tc>
          <w:tcPr>
            <w:tcW w:w="65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21FF6E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18</w:t>
            </w:r>
          </w:p>
        </w:tc>
      </w:tr>
      <w:tr w14:paraId="7BC8D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036" w:hRule="atLeast"/>
          <w:jc w:val="center"/>
        </w:trPr>
        <w:tc>
          <w:tcPr>
            <w:tcW w:w="727" w:type="dxa"/>
            <w:vMerge w:val="continue"/>
            <w:tcBorders>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6E646E5">
            <w:pPr>
              <w:keepNext w:val="0"/>
              <w:keepLines w:val="0"/>
              <w:pageBreakBefore w:val="0"/>
              <w:suppressLineNumbers w:val="0"/>
              <w:shd w:val="clear"/>
              <w:kinsoku/>
              <w:wordWrap/>
              <w:overflowPunct/>
              <w:topLinePunct w:val="0"/>
              <w:bidi w:val="0"/>
              <w:adjustRightInd/>
              <w:snapToGrid/>
              <w:spacing w:before="0" w:beforeAutospacing="0" w:after="0" w:afterAutospacing="0" w:line="360" w:lineRule="exact"/>
              <w:ind w:left="0" w:right="0"/>
              <w:rPr>
                <w:rFonts w:hint="eastAsia" w:ascii="宋体" w:hAnsi="宋体" w:eastAsia="宋体" w:cs="宋体"/>
                <w:color w:val="auto"/>
                <w:sz w:val="22"/>
                <w:szCs w:val="22"/>
                <w:highlight w:val="none"/>
              </w:rPr>
            </w:pPr>
          </w:p>
        </w:tc>
        <w:tc>
          <w:tcPr>
            <w:tcW w:w="77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C7BBEC4">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right="0"/>
              <w:jc w:val="center"/>
              <w:textAlignment w:val="center"/>
              <w:rPr>
                <w:rFonts w:hint="eastAsia" w:ascii="宋体" w:hAnsi="宋体" w:eastAsia="宋体" w:cs="宋体"/>
                <w:color w:val="auto"/>
                <w:kern w:val="2"/>
                <w:sz w:val="22"/>
                <w:szCs w:val="22"/>
                <w:highlight w:val="none"/>
                <w:lang w:val="en-US" w:eastAsia="zh-CN" w:bidi="ar"/>
              </w:rPr>
            </w:pPr>
            <w:r>
              <w:rPr>
                <w:rFonts w:hint="eastAsia" w:ascii="宋体" w:hAnsi="宋体" w:eastAsia="宋体" w:cs="宋体"/>
                <w:color w:val="auto"/>
                <w:kern w:val="2"/>
                <w:sz w:val="22"/>
                <w:szCs w:val="22"/>
                <w:highlight w:val="none"/>
                <w:lang w:val="en-US" w:eastAsia="zh-CN" w:bidi="ar"/>
              </w:rPr>
              <w:t>项目负责人</w:t>
            </w:r>
          </w:p>
        </w:tc>
        <w:tc>
          <w:tcPr>
            <w:tcW w:w="6809" w:type="dxa"/>
            <w:tcBorders>
              <w:top w:val="single" w:color="auto" w:sz="4" w:space="0"/>
              <w:left w:val="single" w:color="auto" w:sz="4" w:space="0"/>
              <w:bottom w:val="single" w:color="auto" w:sz="4" w:space="0"/>
              <w:right w:val="single" w:color="auto" w:sz="4" w:space="0"/>
            </w:tcBorders>
            <w:shd w:val="clear" w:color="auto" w:fill="auto"/>
            <w:vAlign w:val="top"/>
          </w:tcPr>
          <w:p w14:paraId="7D590117">
            <w:pPr>
              <w:keepNext w:val="0"/>
              <w:keepLines w:val="0"/>
              <w:pageBreakBefore w:val="0"/>
              <w:widowControl w:val="0"/>
              <w:suppressLineNumbers w:val="0"/>
              <w:shd w:val="clear"/>
              <w:kinsoku/>
              <w:wordWrap/>
              <w:overflowPunct/>
              <w:topLinePunct w:val="0"/>
              <w:autoSpaceDE w:val="0"/>
              <w:autoSpaceDN w:val="0"/>
              <w:bidi w:val="0"/>
              <w:adjustRightInd/>
              <w:snapToGrid/>
              <w:spacing w:before="0" w:beforeAutospacing="0" w:after="0" w:afterAutospacing="0" w:line="360" w:lineRule="exact"/>
              <w:ind w:left="0" w:right="0" w:firstLine="220" w:firstLineChars="100"/>
              <w:jc w:val="left"/>
              <w:textAlignment w:val="auto"/>
              <w:rPr>
                <w:rFonts w:hint="eastAsia" w:ascii="宋体" w:hAnsi="宋体" w:eastAsia="宋体" w:cs="宋体"/>
                <w:color w:val="auto"/>
                <w:kern w:val="2"/>
                <w:sz w:val="22"/>
                <w:szCs w:val="22"/>
                <w:highlight w:val="none"/>
                <w:lang w:val="en-US" w:eastAsia="zh-CN" w:bidi="ar"/>
              </w:rPr>
            </w:pPr>
            <w:r>
              <w:rPr>
                <w:rFonts w:hint="eastAsia" w:ascii="宋体" w:hAnsi="宋体" w:eastAsia="宋体" w:cs="宋体"/>
                <w:color w:val="auto"/>
                <w:kern w:val="2"/>
                <w:sz w:val="22"/>
                <w:szCs w:val="22"/>
                <w:highlight w:val="none"/>
                <w:lang w:val="en-US" w:eastAsia="zh-CN" w:bidi="ar"/>
              </w:rPr>
              <w:t>项目团队负责人具有类似餐饮管理经验，工作经验在3年及以上5年及以下得1分，5年以上得2分，满分2分，需提供负责人在岗证明材料，无证明材料不得分。</w:t>
            </w:r>
          </w:p>
        </w:tc>
        <w:tc>
          <w:tcPr>
            <w:tcW w:w="65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F16B9D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w:t>
            </w:r>
          </w:p>
        </w:tc>
      </w:tr>
      <w:tr w14:paraId="294BF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50" w:hRule="atLeast"/>
          <w:jc w:val="center"/>
        </w:trPr>
        <w:tc>
          <w:tcPr>
            <w:tcW w:w="727" w:type="dxa"/>
            <w:vMerge w:val="restart"/>
            <w:tcBorders>
              <w:top w:val="single" w:color="auto" w:sz="4" w:space="0"/>
              <w:left w:val="single" w:color="auto" w:sz="4" w:space="0"/>
              <w:right w:val="single" w:color="auto" w:sz="4" w:space="0"/>
            </w:tcBorders>
            <w:shd w:val="clear" w:color="auto" w:fill="auto"/>
            <w:tcMar>
              <w:top w:w="15" w:type="dxa"/>
              <w:left w:w="15" w:type="dxa"/>
              <w:right w:w="15" w:type="dxa"/>
            </w:tcMar>
            <w:vAlign w:val="center"/>
          </w:tcPr>
          <w:p w14:paraId="2569F038">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color w:val="auto"/>
                <w:sz w:val="22"/>
                <w:szCs w:val="22"/>
                <w:highlight w:val="none"/>
                <w:lang w:val="en-US"/>
              </w:rPr>
            </w:pPr>
            <w:r>
              <w:rPr>
                <w:rFonts w:hint="eastAsia" w:ascii="宋体" w:hAnsi="宋体" w:eastAsia="宋体" w:cs="宋体"/>
                <w:color w:val="auto"/>
                <w:kern w:val="2"/>
                <w:sz w:val="22"/>
                <w:szCs w:val="22"/>
                <w:highlight w:val="none"/>
                <w:lang w:val="en-US" w:eastAsia="zh-CN" w:bidi="ar"/>
              </w:rPr>
              <w:t>技术条款（60分）</w:t>
            </w:r>
          </w:p>
        </w:tc>
        <w:tc>
          <w:tcPr>
            <w:tcW w:w="777" w:type="dxa"/>
            <w:tcBorders>
              <w:top w:val="single" w:color="auto" w:sz="4" w:space="0"/>
              <w:left w:val="single" w:color="auto" w:sz="4" w:space="0"/>
              <w:right w:val="single" w:color="auto" w:sz="4" w:space="0"/>
            </w:tcBorders>
            <w:shd w:val="clear" w:color="auto" w:fill="auto"/>
            <w:tcMar>
              <w:top w:w="15" w:type="dxa"/>
              <w:left w:w="15" w:type="dxa"/>
              <w:right w:w="15" w:type="dxa"/>
            </w:tcMar>
            <w:vAlign w:val="center"/>
          </w:tcPr>
          <w:p w14:paraId="375B962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color w:val="auto"/>
                <w:kern w:val="2"/>
                <w:sz w:val="22"/>
                <w:szCs w:val="22"/>
                <w:highlight w:val="none"/>
                <w:lang w:val="en-US" w:eastAsia="zh-CN" w:bidi="ar"/>
              </w:rPr>
            </w:pPr>
            <w:r>
              <w:rPr>
                <w:rFonts w:hint="eastAsia" w:ascii="宋体" w:hAnsi="宋体" w:eastAsia="宋体" w:cs="宋体"/>
                <w:color w:val="auto"/>
                <w:kern w:val="2"/>
                <w:sz w:val="22"/>
                <w:szCs w:val="22"/>
                <w:highlight w:val="none"/>
                <w:lang w:val="en-US" w:eastAsia="zh-CN" w:bidi="ar"/>
              </w:rPr>
              <w:t>应急处置方案</w:t>
            </w:r>
          </w:p>
          <w:p w14:paraId="1BD0823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color w:val="auto"/>
                <w:kern w:val="2"/>
                <w:sz w:val="22"/>
                <w:szCs w:val="22"/>
                <w:highlight w:val="none"/>
                <w:lang w:val="en-US" w:eastAsia="zh-CN" w:bidi="ar"/>
              </w:rPr>
            </w:pPr>
          </w:p>
        </w:tc>
        <w:tc>
          <w:tcPr>
            <w:tcW w:w="6809" w:type="dxa"/>
            <w:tcBorders>
              <w:top w:val="single" w:color="auto" w:sz="4" w:space="0"/>
              <w:left w:val="single" w:color="auto" w:sz="4" w:space="0"/>
              <w:right w:val="single" w:color="auto" w:sz="4" w:space="0"/>
            </w:tcBorders>
            <w:shd w:val="clear" w:color="auto" w:fill="auto"/>
            <w:tcMar>
              <w:top w:w="0" w:type="dxa"/>
              <w:left w:w="113" w:type="dxa"/>
              <w:bottom w:w="0" w:type="dxa"/>
              <w:right w:w="0" w:type="dxa"/>
            </w:tcMar>
            <w:vAlign w:val="center"/>
          </w:tcPr>
          <w:p w14:paraId="78866DB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exact"/>
              <w:ind w:left="0" w:right="0" w:firstLine="220" w:firstLineChars="100"/>
              <w:jc w:val="both"/>
              <w:textAlignment w:val="auto"/>
              <w:rPr>
                <w:rFonts w:hint="eastAsia" w:ascii="宋体" w:hAnsi="宋体" w:eastAsia="宋体" w:cs="宋体"/>
                <w:color w:val="auto"/>
                <w:spacing w:val="0"/>
                <w:w w:val="100"/>
                <w:sz w:val="22"/>
                <w:szCs w:val="22"/>
                <w:highlight w:val="none"/>
                <w:lang w:val="en-US"/>
              </w:rPr>
            </w:pPr>
            <w:r>
              <w:rPr>
                <w:rFonts w:hint="eastAsia" w:ascii="宋体" w:hAnsi="宋体" w:eastAsia="宋体" w:cs="宋体"/>
                <w:color w:val="auto"/>
                <w:spacing w:val="0"/>
                <w:w w:val="100"/>
                <w:sz w:val="22"/>
                <w:szCs w:val="22"/>
                <w:highlight w:val="none"/>
                <w:lang w:val="en-US"/>
              </w:rPr>
              <w:t>根据</w:t>
            </w:r>
            <w:r>
              <w:rPr>
                <w:rFonts w:hint="eastAsia" w:ascii="宋体" w:hAnsi="宋体" w:eastAsia="宋体" w:cs="宋体"/>
                <w:color w:val="auto"/>
                <w:spacing w:val="0"/>
                <w:w w:val="100"/>
                <w:sz w:val="22"/>
                <w:szCs w:val="22"/>
                <w:highlight w:val="none"/>
                <w:lang w:val="en-US" w:eastAsia="zh-CN"/>
              </w:rPr>
              <w:t>本项目</w:t>
            </w:r>
            <w:r>
              <w:rPr>
                <w:rFonts w:hint="eastAsia" w:ascii="宋体" w:hAnsi="宋体" w:eastAsia="宋体" w:cs="宋体"/>
                <w:color w:val="auto"/>
                <w:spacing w:val="0"/>
                <w:w w:val="100"/>
                <w:sz w:val="22"/>
                <w:szCs w:val="22"/>
                <w:highlight w:val="none"/>
                <w:lang w:val="en-US"/>
              </w:rPr>
              <w:t>提供应急处置方案，包括但不限于：</w:t>
            </w:r>
          </w:p>
          <w:p w14:paraId="10BB39E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exact"/>
              <w:ind w:left="0" w:right="0" w:firstLine="220" w:firstLineChars="100"/>
              <w:jc w:val="both"/>
              <w:textAlignment w:val="auto"/>
              <w:rPr>
                <w:rFonts w:hint="eastAsia" w:ascii="宋体" w:hAnsi="宋体" w:eastAsia="宋体" w:cs="宋体"/>
                <w:color w:val="auto"/>
                <w:spacing w:val="0"/>
                <w:w w:val="100"/>
                <w:sz w:val="22"/>
                <w:szCs w:val="22"/>
                <w:highlight w:val="none"/>
                <w:lang w:val="en-US"/>
              </w:rPr>
            </w:pPr>
            <w:r>
              <w:rPr>
                <w:rFonts w:hint="eastAsia" w:ascii="宋体" w:hAnsi="宋体" w:eastAsia="宋体" w:cs="宋体"/>
                <w:color w:val="auto"/>
                <w:spacing w:val="0"/>
                <w:w w:val="100"/>
                <w:sz w:val="22"/>
                <w:szCs w:val="22"/>
                <w:highlight w:val="none"/>
                <w:lang w:val="en-US" w:eastAsia="zh-CN"/>
              </w:rPr>
              <w:t>1.</w:t>
            </w:r>
            <w:r>
              <w:rPr>
                <w:rFonts w:hint="eastAsia" w:ascii="宋体" w:hAnsi="宋体" w:eastAsia="宋体" w:cs="宋体"/>
                <w:color w:val="auto"/>
                <w:spacing w:val="0"/>
                <w:w w:val="100"/>
                <w:sz w:val="22"/>
                <w:szCs w:val="22"/>
                <w:highlight w:val="none"/>
                <w:lang w:val="en-US"/>
              </w:rPr>
              <w:t>劳动关系争议及纠纷处理的流程及相关措施；</w:t>
            </w:r>
          </w:p>
          <w:p w14:paraId="6E282FC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exact"/>
              <w:ind w:left="0" w:right="0" w:firstLine="220" w:firstLineChars="100"/>
              <w:jc w:val="both"/>
              <w:textAlignment w:val="auto"/>
              <w:rPr>
                <w:rFonts w:hint="eastAsia" w:ascii="宋体" w:hAnsi="宋体" w:eastAsia="宋体" w:cs="宋体"/>
                <w:color w:val="auto"/>
                <w:spacing w:val="0"/>
                <w:w w:val="100"/>
                <w:sz w:val="22"/>
                <w:szCs w:val="22"/>
                <w:highlight w:val="none"/>
                <w:lang w:val="en-US"/>
              </w:rPr>
            </w:pPr>
            <w:r>
              <w:rPr>
                <w:rFonts w:hint="eastAsia" w:ascii="宋体" w:hAnsi="宋体" w:eastAsia="宋体" w:cs="宋体"/>
                <w:color w:val="auto"/>
                <w:spacing w:val="0"/>
                <w:w w:val="100"/>
                <w:sz w:val="22"/>
                <w:szCs w:val="22"/>
                <w:highlight w:val="none"/>
                <w:lang w:val="en-US" w:eastAsia="zh-CN"/>
              </w:rPr>
              <w:t>2.</w:t>
            </w:r>
            <w:r>
              <w:rPr>
                <w:rFonts w:hint="eastAsia" w:ascii="宋体" w:hAnsi="宋体" w:eastAsia="宋体" w:cs="宋体"/>
                <w:color w:val="auto"/>
                <w:spacing w:val="0"/>
                <w:w w:val="100"/>
                <w:sz w:val="22"/>
                <w:szCs w:val="22"/>
                <w:highlight w:val="none"/>
                <w:lang w:val="en-US"/>
              </w:rPr>
              <w:t>其他相关法律风险防范；</w:t>
            </w:r>
          </w:p>
          <w:p w14:paraId="23991EC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exact"/>
              <w:ind w:left="0" w:right="0" w:firstLine="220" w:firstLineChars="100"/>
              <w:jc w:val="both"/>
              <w:textAlignment w:val="auto"/>
              <w:rPr>
                <w:rFonts w:hint="eastAsia" w:ascii="宋体" w:hAnsi="宋体" w:eastAsia="宋体" w:cs="宋体"/>
                <w:color w:val="auto"/>
                <w:spacing w:val="0"/>
                <w:w w:val="100"/>
                <w:sz w:val="22"/>
                <w:szCs w:val="22"/>
                <w:highlight w:val="none"/>
                <w:lang w:val="en-US"/>
              </w:rPr>
            </w:pPr>
            <w:r>
              <w:rPr>
                <w:rFonts w:hint="eastAsia" w:ascii="宋体" w:hAnsi="宋体" w:eastAsia="宋体" w:cs="宋体"/>
                <w:color w:val="auto"/>
                <w:spacing w:val="0"/>
                <w:w w:val="100"/>
                <w:sz w:val="22"/>
                <w:szCs w:val="22"/>
                <w:highlight w:val="none"/>
                <w:lang w:val="en-US" w:eastAsia="zh-CN"/>
              </w:rPr>
              <w:t>3.</w:t>
            </w:r>
            <w:r>
              <w:rPr>
                <w:rFonts w:hint="eastAsia" w:ascii="宋体" w:hAnsi="宋体" w:eastAsia="宋体" w:cs="宋体"/>
                <w:color w:val="auto"/>
                <w:spacing w:val="0"/>
                <w:w w:val="100"/>
                <w:sz w:val="22"/>
                <w:szCs w:val="22"/>
                <w:highlight w:val="none"/>
                <w:lang w:val="en-US"/>
              </w:rPr>
              <w:t>用工风险的防范措施；</w:t>
            </w:r>
          </w:p>
          <w:p w14:paraId="6391F97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exact"/>
              <w:ind w:left="0" w:right="0" w:firstLine="220" w:firstLineChars="100"/>
              <w:jc w:val="both"/>
              <w:textAlignment w:val="auto"/>
              <w:rPr>
                <w:rFonts w:hint="eastAsia" w:ascii="宋体" w:hAnsi="宋体" w:eastAsia="宋体" w:cs="宋体"/>
                <w:color w:val="auto"/>
                <w:spacing w:val="0"/>
                <w:w w:val="100"/>
                <w:sz w:val="22"/>
                <w:szCs w:val="22"/>
                <w:highlight w:val="none"/>
                <w:lang w:val="en-US"/>
              </w:rPr>
            </w:pPr>
            <w:r>
              <w:rPr>
                <w:rFonts w:hint="eastAsia" w:ascii="宋体" w:hAnsi="宋体" w:eastAsia="宋体" w:cs="宋体"/>
                <w:color w:val="auto"/>
                <w:spacing w:val="0"/>
                <w:w w:val="100"/>
                <w:sz w:val="22"/>
                <w:szCs w:val="22"/>
                <w:highlight w:val="none"/>
                <w:lang w:val="en-US" w:eastAsia="zh-CN"/>
              </w:rPr>
              <w:t>4.</w:t>
            </w:r>
            <w:r>
              <w:rPr>
                <w:rFonts w:hint="eastAsia" w:ascii="宋体" w:hAnsi="宋体" w:eastAsia="宋体" w:cs="宋体"/>
                <w:color w:val="auto"/>
                <w:spacing w:val="0"/>
                <w:w w:val="100"/>
                <w:sz w:val="22"/>
                <w:szCs w:val="22"/>
                <w:highlight w:val="none"/>
                <w:lang w:val="en-US"/>
              </w:rPr>
              <w:t>应急预案及处理方案</w:t>
            </w:r>
            <w:r>
              <w:rPr>
                <w:rFonts w:hint="eastAsia" w:ascii="宋体" w:hAnsi="宋体" w:eastAsia="宋体" w:cs="宋体"/>
                <w:color w:val="auto"/>
                <w:spacing w:val="0"/>
                <w:w w:val="100"/>
                <w:sz w:val="22"/>
                <w:szCs w:val="22"/>
                <w:highlight w:val="none"/>
                <w:lang w:val="en-US" w:eastAsia="zh-CN"/>
              </w:rPr>
              <w:t>（</w:t>
            </w:r>
            <w:r>
              <w:rPr>
                <w:rFonts w:hint="eastAsia" w:ascii="宋体" w:hAnsi="宋体" w:eastAsia="宋体" w:cs="宋体"/>
                <w:color w:val="auto"/>
                <w:spacing w:val="0"/>
                <w:w w:val="100"/>
                <w:sz w:val="22"/>
                <w:szCs w:val="22"/>
                <w:highlight w:val="none"/>
                <w:lang w:val="en-US"/>
              </w:rPr>
              <w:t>包括但不限于重大活动应急保障方案、迎检应急保障方案、可能发生的突发事件应急保障等）</w:t>
            </w:r>
            <w:r>
              <w:rPr>
                <w:rFonts w:hint="eastAsia" w:ascii="宋体" w:hAnsi="宋体" w:eastAsia="宋体" w:cs="宋体"/>
                <w:color w:val="auto"/>
                <w:spacing w:val="0"/>
                <w:w w:val="100"/>
                <w:sz w:val="22"/>
                <w:szCs w:val="22"/>
                <w:highlight w:val="none"/>
                <w:lang w:val="en-US" w:eastAsia="zh-CN"/>
              </w:rPr>
              <w:t>；</w:t>
            </w:r>
          </w:p>
          <w:p w14:paraId="6E0B6DC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exact"/>
              <w:ind w:left="0" w:right="0" w:firstLine="220" w:firstLineChars="100"/>
              <w:jc w:val="both"/>
              <w:textAlignment w:val="auto"/>
              <w:rPr>
                <w:rFonts w:hint="eastAsia" w:ascii="宋体" w:hAnsi="宋体" w:eastAsia="宋体" w:cs="宋体"/>
                <w:color w:val="auto"/>
                <w:spacing w:val="0"/>
                <w:w w:val="100"/>
                <w:sz w:val="22"/>
                <w:szCs w:val="22"/>
                <w:highlight w:val="none"/>
                <w:lang w:val="en-US"/>
              </w:rPr>
            </w:pPr>
            <w:r>
              <w:rPr>
                <w:rFonts w:hint="eastAsia" w:ascii="宋体" w:hAnsi="宋体" w:eastAsia="宋体" w:cs="宋体"/>
                <w:color w:val="auto"/>
                <w:spacing w:val="0"/>
                <w:w w:val="100"/>
                <w:sz w:val="22"/>
                <w:szCs w:val="22"/>
                <w:highlight w:val="none"/>
                <w:lang w:val="en-US"/>
              </w:rPr>
              <w:t>5.消防安全应急处置方案及防范措施；</w:t>
            </w:r>
          </w:p>
          <w:p w14:paraId="503C60A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exact"/>
              <w:ind w:left="0" w:right="0" w:firstLine="220" w:firstLineChars="100"/>
              <w:jc w:val="both"/>
              <w:textAlignment w:val="auto"/>
              <w:rPr>
                <w:rFonts w:hint="eastAsia" w:ascii="宋体" w:hAnsi="宋体" w:eastAsia="宋体" w:cs="宋体"/>
                <w:color w:val="auto"/>
                <w:spacing w:val="0"/>
                <w:w w:val="100"/>
                <w:sz w:val="22"/>
                <w:szCs w:val="22"/>
                <w:highlight w:val="none"/>
                <w:lang w:val="en-US"/>
              </w:rPr>
            </w:pPr>
            <w:r>
              <w:rPr>
                <w:rFonts w:hint="eastAsia" w:ascii="宋体" w:hAnsi="宋体" w:eastAsia="宋体" w:cs="宋体"/>
                <w:color w:val="auto"/>
                <w:spacing w:val="0"/>
                <w:w w:val="100"/>
                <w:sz w:val="22"/>
                <w:szCs w:val="22"/>
                <w:highlight w:val="none"/>
                <w:lang w:val="en-US"/>
              </w:rPr>
              <w:t>6.食品安全应急处置方案及防范措施。</w:t>
            </w:r>
          </w:p>
          <w:p w14:paraId="6AF23FC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exact"/>
              <w:ind w:left="0" w:right="0" w:firstLine="220" w:firstLineChars="100"/>
              <w:jc w:val="both"/>
              <w:textAlignment w:val="auto"/>
              <w:rPr>
                <w:rFonts w:hint="eastAsia" w:ascii="宋体" w:hAnsi="宋体" w:eastAsia="宋体" w:cs="宋体"/>
                <w:color w:val="auto"/>
                <w:spacing w:val="0"/>
                <w:w w:val="100"/>
                <w:sz w:val="22"/>
                <w:szCs w:val="22"/>
                <w:highlight w:val="none"/>
                <w:lang w:val="en-US" w:eastAsia="zh-CN"/>
              </w:rPr>
            </w:pPr>
            <w:r>
              <w:rPr>
                <w:rFonts w:hint="eastAsia" w:ascii="宋体" w:hAnsi="宋体" w:eastAsia="宋体" w:cs="宋体"/>
                <w:color w:val="auto"/>
                <w:spacing w:val="0"/>
                <w:w w:val="100"/>
                <w:sz w:val="22"/>
                <w:szCs w:val="22"/>
                <w:highlight w:val="none"/>
                <w:lang w:val="en-US"/>
              </w:rPr>
              <w:t>内容完整清晰、科学合理、可行性高、针对性强、满足采购需求得1</w:t>
            </w:r>
            <w:r>
              <w:rPr>
                <w:rFonts w:hint="eastAsia" w:ascii="宋体" w:hAnsi="宋体" w:eastAsia="宋体" w:cs="宋体"/>
                <w:color w:val="auto"/>
                <w:spacing w:val="0"/>
                <w:w w:val="100"/>
                <w:sz w:val="22"/>
                <w:szCs w:val="22"/>
                <w:highlight w:val="none"/>
                <w:lang w:val="en-US" w:eastAsia="zh-CN"/>
              </w:rPr>
              <w:t>2</w:t>
            </w:r>
            <w:r>
              <w:rPr>
                <w:rFonts w:hint="eastAsia" w:ascii="宋体" w:hAnsi="宋体" w:eastAsia="宋体" w:cs="宋体"/>
                <w:color w:val="auto"/>
                <w:spacing w:val="0"/>
                <w:w w:val="100"/>
                <w:sz w:val="22"/>
                <w:szCs w:val="22"/>
                <w:highlight w:val="none"/>
                <w:lang w:val="en-US"/>
              </w:rPr>
              <w:t>分；每缺少一项扣</w:t>
            </w:r>
            <w:r>
              <w:rPr>
                <w:rFonts w:hint="eastAsia" w:ascii="宋体" w:hAnsi="宋体" w:eastAsia="宋体" w:cs="宋体"/>
                <w:color w:val="auto"/>
                <w:spacing w:val="0"/>
                <w:w w:val="100"/>
                <w:sz w:val="22"/>
                <w:szCs w:val="22"/>
                <w:highlight w:val="none"/>
                <w:lang w:val="en-US" w:eastAsia="zh-CN"/>
              </w:rPr>
              <w:t>2</w:t>
            </w:r>
            <w:r>
              <w:rPr>
                <w:rFonts w:hint="eastAsia" w:ascii="宋体" w:hAnsi="宋体" w:eastAsia="宋体" w:cs="宋体"/>
                <w:color w:val="auto"/>
                <w:spacing w:val="0"/>
                <w:w w:val="100"/>
                <w:sz w:val="22"/>
                <w:szCs w:val="22"/>
                <w:highlight w:val="none"/>
                <w:lang w:val="en-US"/>
              </w:rPr>
              <w:t>分；每有一项内容不完整、不满足需求、无针对性、逻辑错误扣</w:t>
            </w:r>
            <w:r>
              <w:rPr>
                <w:rFonts w:hint="eastAsia" w:ascii="宋体" w:hAnsi="宋体" w:eastAsia="宋体" w:cs="宋体"/>
                <w:color w:val="auto"/>
                <w:spacing w:val="0"/>
                <w:w w:val="100"/>
                <w:sz w:val="22"/>
                <w:szCs w:val="22"/>
                <w:highlight w:val="none"/>
                <w:lang w:val="en-US" w:eastAsia="zh-CN"/>
              </w:rPr>
              <w:t>1</w:t>
            </w:r>
            <w:r>
              <w:rPr>
                <w:rFonts w:hint="eastAsia" w:ascii="宋体" w:hAnsi="宋体" w:eastAsia="宋体" w:cs="宋体"/>
                <w:color w:val="auto"/>
                <w:spacing w:val="0"/>
                <w:w w:val="100"/>
                <w:sz w:val="22"/>
                <w:szCs w:val="22"/>
                <w:highlight w:val="none"/>
                <w:lang w:val="en-US"/>
              </w:rPr>
              <w:t>分；扣完为止</w:t>
            </w:r>
            <w:r>
              <w:rPr>
                <w:rFonts w:hint="eastAsia" w:ascii="宋体" w:hAnsi="宋体" w:eastAsia="宋体" w:cs="宋体"/>
                <w:color w:val="auto"/>
                <w:spacing w:val="0"/>
                <w:w w:val="100"/>
                <w:sz w:val="22"/>
                <w:szCs w:val="22"/>
                <w:highlight w:val="none"/>
                <w:lang w:val="en-US" w:eastAsia="zh-CN"/>
              </w:rPr>
              <w:t>，</w:t>
            </w:r>
            <w:r>
              <w:rPr>
                <w:rFonts w:hint="eastAsia" w:ascii="宋体" w:hAnsi="宋体" w:eastAsia="宋体" w:cs="宋体"/>
                <w:color w:val="auto"/>
                <w:spacing w:val="0"/>
                <w:w w:val="100"/>
                <w:sz w:val="22"/>
                <w:szCs w:val="22"/>
                <w:highlight w:val="none"/>
                <w:lang w:val="en-US"/>
              </w:rPr>
              <w:t>未提供不得分。</w:t>
            </w:r>
          </w:p>
        </w:tc>
        <w:tc>
          <w:tcPr>
            <w:tcW w:w="65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D8DA92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color w:val="auto"/>
                <w:sz w:val="22"/>
                <w:szCs w:val="22"/>
                <w:highlight w:val="none"/>
                <w:lang w:val="en-US" w:eastAsia="zh-CN"/>
              </w:rPr>
            </w:pPr>
          </w:p>
          <w:p w14:paraId="7BD2463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12</w:t>
            </w:r>
          </w:p>
        </w:tc>
      </w:tr>
      <w:tr w14:paraId="08CC7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313" w:hRule="atLeast"/>
          <w:jc w:val="center"/>
        </w:trPr>
        <w:tc>
          <w:tcPr>
            <w:tcW w:w="727" w:type="dxa"/>
            <w:vMerge w:val="continue"/>
            <w:tcBorders>
              <w:left w:val="single" w:color="auto" w:sz="4" w:space="0"/>
              <w:right w:val="single" w:color="auto" w:sz="4" w:space="0"/>
            </w:tcBorders>
            <w:shd w:val="clear" w:color="auto" w:fill="auto"/>
            <w:tcMar>
              <w:top w:w="15" w:type="dxa"/>
              <w:left w:w="15" w:type="dxa"/>
              <w:right w:w="15" w:type="dxa"/>
            </w:tcMar>
            <w:vAlign w:val="center"/>
          </w:tcPr>
          <w:p w14:paraId="344F5855">
            <w:pPr>
              <w:keepNext w:val="0"/>
              <w:keepLines w:val="0"/>
              <w:widowControl w:val="0"/>
              <w:suppressLineNumbers w:val="0"/>
              <w:shd w:val="clear"/>
              <w:spacing w:before="0" w:beforeAutospacing="0" w:after="0" w:afterAutospacing="0"/>
              <w:ind w:left="0" w:right="0"/>
              <w:jc w:val="center"/>
              <w:textAlignment w:val="center"/>
              <w:rPr>
                <w:rFonts w:hint="eastAsia" w:ascii="宋体" w:hAnsi="宋体" w:eastAsia="宋体" w:cs="宋体"/>
                <w:color w:val="auto"/>
                <w:kern w:val="2"/>
                <w:sz w:val="22"/>
                <w:szCs w:val="22"/>
                <w:highlight w:val="none"/>
                <w:lang w:val="en-US" w:eastAsia="zh-CN" w:bidi="ar"/>
              </w:rPr>
            </w:pPr>
          </w:p>
        </w:tc>
        <w:tc>
          <w:tcPr>
            <w:tcW w:w="77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0EAECF3">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right="0"/>
              <w:jc w:val="center"/>
              <w:textAlignment w:val="center"/>
              <w:rPr>
                <w:rFonts w:hint="eastAsia" w:ascii="宋体" w:hAnsi="宋体" w:eastAsia="宋体" w:cs="宋体"/>
                <w:color w:val="auto"/>
                <w:kern w:val="2"/>
                <w:sz w:val="22"/>
                <w:szCs w:val="22"/>
                <w:highlight w:val="none"/>
                <w:lang w:val="en-US" w:eastAsia="zh-CN" w:bidi="ar"/>
              </w:rPr>
            </w:pPr>
            <w:r>
              <w:rPr>
                <w:rFonts w:hint="eastAsia" w:ascii="宋体" w:hAnsi="宋体" w:eastAsia="宋体" w:cs="宋体"/>
                <w:color w:val="auto"/>
                <w:kern w:val="2"/>
                <w:sz w:val="22"/>
                <w:szCs w:val="22"/>
                <w:highlight w:val="none"/>
                <w:lang w:val="en-US" w:eastAsia="zh-CN" w:bidi="ar"/>
              </w:rPr>
              <w:t>人员管理方案</w:t>
            </w:r>
          </w:p>
        </w:tc>
        <w:tc>
          <w:tcPr>
            <w:tcW w:w="6809" w:type="dxa"/>
            <w:tcBorders>
              <w:top w:val="single" w:color="auto" w:sz="4" w:space="0"/>
              <w:left w:val="single" w:color="auto" w:sz="4" w:space="0"/>
              <w:bottom w:val="single" w:color="auto" w:sz="4" w:space="0"/>
              <w:right w:val="single" w:color="auto" w:sz="4" w:space="0"/>
            </w:tcBorders>
            <w:shd w:val="clear" w:color="auto" w:fill="auto"/>
            <w:tcMar>
              <w:top w:w="0" w:type="dxa"/>
              <w:left w:w="113" w:type="dxa"/>
              <w:bottom w:w="0" w:type="dxa"/>
              <w:right w:w="0" w:type="dxa"/>
            </w:tcMar>
            <w:vAlign w:val="center"/>
          </w:tcPr>
          <w:p w14:paraId="50BB3CD3">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right="0" w:firstLine="220" w:firstLineChars="100"/>
              <w:jc w:val="both"/>
              <w:rPr>
                <w:rFonts w:hint="eastAsia" w:ascii="宋体" w:hAnsi="宋体" w:eastAsia="宋体" w:cs="宋体"/>
                <w:color w:val="auto"/>
                <w:spacing w:val="0"/>
                <w:w w:val="100"/>
                <w:sz w:val="22"/>
                <w:szCs w:val="22"/>
                <w:highlight w:val="none"/>
                <w:lang w:val="en-US"/>
              </w:rPr>
            </w:pPr>
            <w:r>
              <w:rPr>
                <w:rFonts w:hint="eastAsia" w:ascii="宋体" w:hAnsi="宋体" w:eastAsia="宋体" w:cs="宋体"/>
                <w:color w:val="auto"/>
                <w:spacing w:val="0"/>
                <w:w w:val="100"/>
                <w:sz w:val="22"/>
                <w:szCs w:val="22"/>
                <w:highlight w:val="none"/>
                <w:lang w:val="en-US"/>
              </w:rPr>
              <w:t>根据本项目服务特点制定管理方案，服务方案应包括：</w:t>
            </w:r>
          </w:p>
          <w:p w14:paraId="6677C8B8">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right="0" w:firstLine="220" w:firstLineChars="100"/>
              <w:jc w:val="both"/>
              <w:rPr>
                <w:rFonts w:hint="eastAsia" w:ascii="宋体" w:hAnsi="宋体" w:eastAsia="宋体" w:cs="宋体"/>
                <w:color w:val="auto"/>
                <w:spacing w:val="0"/>
                <w:w w:val="100"/>
                <w:sz w:val="22"/>
                <w:szCs w:val="22"/>
                <w:highlight w:val="none"/>
                <w:lang w:val="en-US"/>
              </w:rPr>
            </w:pPr>
            <w:r>
              <w:rPr>
                <w:rFonts w:hint="eastAsia" w:ascii="宋体" w:hAnsi="宋体" w:eastAsia="宋体" w:cs="宋体"/>
                <w:color w:val="auto"/>
                <w:spacing w:val="0"/>
                <w:w w:val="100"/>
                <w:sz w:val="22"/>
                <w:szCs w:val="22"/>
                <w:highlight w:val="none"/>
                <w:lang w:val="en-US" w:eastAsia="zh-CN"/>
              </w:rPr>
              <w:t>1.服务</w:t>
            </w:r>
            <w:r>
              <w:rPr>
                <w:rFonts w:hint="eastAsia" w:ascii="宋体" w:hAnsi="宋体" w:eastAsia="宋体" w:cs="宋体"/>
                <w:color w:val="auto"/>
                <w:spacing w:val="0"/>
                <w:w w:val="100"/>
                <w:sz w:val="22"/>
                <w:szCs w:val="22"/>
                <w:highlight w:val="none"/>
                <w:lang w:val="en-US"/>
              </w:rPr>
              <w:t>人员关系管理方案</w:t>
            </w:r>
          </w:p>
          <w:p w14:paraId="22EAC670">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right="0" w:firstLine="220" w:firstLineChars="100"/>
              <w:jc w:val="both"/>
              <w:rPr>
                <w:rFonts w:hint="eastAsia" w:ascii="宋体" w:hAnsi="宋体" w:eastAsia="宋体" w:cs="宋体"/>
                <w:color w:val="auto"/>
                <w:spacing w:val="0"/>
                <w:w w:val="100"/>
                <w:sz w:val="22"/>
                <w:szCs w:val="22"/>
                <w:highlight w:val="none"/>
                <w:lang w:val="en-US"/>
              </w:rPr>
            </w:pPr>
            <w:r>
              <w:rPr>
                <w:rFonts w:hint="eastAsia" w:ascii="宋体" w:hAnsi="宋体" w:eastAsia="宋体" w:cs="宋体"/>
                <w:color w:val="auto"/>
                <w:spacing w:val="0"/>
                <w:w w:val="100"/>
                <w:sz w:val="22"/>
                <w:szCs w:val="22"/>
                <w:highlight w:val="none"/>
                <w:lang w:val="en-US" w:eastAsia="zh-CN"/>
              </w:rPr>
              <w:t>2.服务</w:t>
            </w:r>
            <w:r>
              <w:rPr>
                <w:rFonts w:hint="eastAsia" w:ascii="宋体" w:hAnsi="宋体" w:eastAsia="宋体" w:cs="宋体"/>
                <w:color w:val="auto"/>
                <w:spacing w:val="0"/>
                <w:w w:val="100"/>
                <w:sz w:val="22"/>
                <w:szCs w:val="22"/>
                <w:highlight w:val="none"/>
                <w:lang w:val="en-US"/>
              </w:rPr>
              <w:t>人员培训计划与方案</w:t>
            </w:r>
          </w:p>
          <w:p w14:paraId="0278B672">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right="0" w:firstLine="220" w:firstLineChars="100"/>
              <w:jc w:val="both"/>
              <w:rPr>
                <w:rFonts w:hint="eastAsia" w:ascii="宋体" w:hAnsi="宋体" w:eastAsia="宋体" w:cs="宋体"/>
                <w:color w:val="auto"/>
                <w:spacing w:val="0"/>
                <w:w w:val="100"/>
                <w:sz w:val="22"/>
                <w:szCs w:val="22"/>
                <w:highlight w:val="none"/>
                <w:lang w:val="en-US"/>
              </w:rPr>
            </w:pPr>
            <w:r>
              <w:rPr>
                <w:rFonts w:hint="eastAsia" w:ascii="宋体" w:hAnsi="宋体" w:eastAsia="宋体" w:cs="宋体"/>
                <w:color w:val="auto"/>
                <w:spacing w:val="0"/>
                <w:w w:val="100"/>
                <w:sz w:val="22"/>
                <w:szCs w:val="22"/>
                <w:highlight w:val="none"/>
                <w:lang w:val="en-US" w:eastAsia="zh-CN"/>
              </w:rPr>
              <w:t>3.服务</w:t>
            </w:r>
            <w:r>
              <w:rPr>
                <w:rFonts w:hint="eastAsia" w:ascii="宋体" w:hAnsi="宋体" w:eastAsia="宋体" w:cs="宋体"/>
                <w:color w:val="auto"/>
                <w:spacing w:val="0"/>
                <w:w w:val="100"/>
                <w:sz w:val="22"/>
                <w:szCs w:val="22"/>
                <w:highlight w:val="none"/>
                <w:lang w:val="en-US"/>
              </w:rPr>
              <w:t>人员每年体检方案</w:t>
            </w:r>
          </w:p>
          <w:p w14:paraId="49DB2758">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right="0" w:firstLine="220" w:firstLineChars="100"/>
              <w:jc w:val="both"/>
              <w:rPr>
                <w:rFonts w:hint="eastAsia" w:ascii="宋体" w:hAnsi="宋体" w:eastAsia="宋体" w:cs="宋体"/>
                <w:color w:val="auto"/>
                <w:spacing w:val="0"/>
                <w:w w:val="100"/>
                <w:sz w:val="22"/>
                <w:szCs w:val="22"/>
                <w:highlight w:val="none"/>
                <w:lang w:val="en-US"/>
              </w:rPr>
            </w:pPr>
            <w:r>
              <w:rPr>
                <w:rFonts w:hint="eastAsia" w:ascii="宋体" w:hAnsi="宋体" w:eastAsia="宋体" w:cs="宋体"/>
                <w:color w:val="auto"/>
                <w:spacing w:val="0"/>
                <w:w w:val="100"/>
                <w:sz w:val="22"/>
                <w:szCs w:val="22"/>
                <w:highlight w:val="none"/>
                <w:lang w:val="en-US" w:eastAsia="zh-CN"/>
              </w:rPr>
              <w:t>4.服务</w:t>
            </w:r>
            <w:r>
              <w:rPr>
                <w:rFonts w:hint="eastAsia" w:ascii="宋体" w:hAnsi="宋体" w:eastAsia="宋体" w:cs="宋体"/>
                <w:color w:val="auto"/>
                <w:spacing w:val="0"/>
                <w:w w:val="100"/>
                <w:sz w:val="22"/>
                <w:szCs w:val="22"/>
                <w:highlight w:val="none"/>
                <w:lang w:val="en-US"/>
              </w:rPr>
              <w:t>人员时效性方案</w:t>
            </w:r>
          </w:p>
          <w:p w14:paraId="2C70BFD0">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right="0" w:firstLine="220" w:firstLineChars="100"/>
              <w:jc w:val="both"/>
              <w:rPr>
                <w:rFonts w:hint="eastAsia" w:ascii="宋体" w:hAnsi="宋体" w:eastAsia="宋体" w:cs="宋体"/>
                <w:color w:val="auto"/>
                <w:spacing w:val="0"/>
                <w:w w:val="100"/>
                <w:sz w:val="22"/>
                <w:szCs w:val="22"/>
                <w:highlight w:val="none"/>
                <w:lang w:val="en-US" w:eastAsia="zh-CN"/>
              </w:rPr>
            </w:pPr>
            <w:r>
              <w:rPr>
                <w:rFonts w:hint="eastAsia" w:ascii="宋体" w:hAnsi="宋体" w:eastAsia="宋体" w:cs="宋体"/>
                <w:color w:val="auto"/>
                <w:spacing w:val="0"/>
                <w:w w:val="100"/>
                <w:sz w:val="22"/>
                <w:szCs w:val="22"/>
                <w:highlight w:val="none"/>
                <w:lang w:val="en-US" w:eastAsia="zh-CN"/>
              </w:rPr>
              <w:t>5.服务</w:t>
            </w:r>
            <w:r>
              <w:rPr>
                <w:rFonts w:hint="eastAsia" w:ascii="宋体" w:hAnsi="宋体" w:eastAsia="宋体" w:cs="宋体"/>
                <w:color w:val="auto"/>
                <w:spacing w:val="0"/>
                <w:w w:val="100"/>
                <w:sz w:val="22"/>
                <w:szCs w:val="22"/>
                <w:highlight w:val="none"/>
                <w:lang w:val="en-US"/>
              </w:rPr>
              <w:t>人员</w:t>
            </w:r>
            <w:r>
              <w:rPr>
                <w:rFonts w:hint="eastAsia" w:ascii="宋体" w:hAnsi="宋体" w:eastAsia="宋体" w:cs="宋体"/>
                <w:color w:val="auto"/>
                <w:spacing w:val="0"/>
                <w:w w:val="100"/>
                <w:sz w:val="22"/>
                <w:szCs w:val="22"/>
                <w:highlight w:val="none"/>
                <w:lang w:val="en-US" w:eastAsia="zh-CN"/>
              </w:rPr>
              <w:t>档案户籍及社保关系管理方案</w:t>
            </w:r>
          </w:p>
          <w:p w14:paraId="7893C9A0">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right="0" w:firstLine="220" w:firstLineChars="100"/>
              <w:jc w:val="both"/>
              <w:rPr>
                <w:rFonts w:hint="eastAsia" w:ascii="宋体" w:hAnsi="宋体" w:eastAsia="宋体" w:cs="宋体"/>
                <w:color w:val="auto"/>
                <w:spacing w:val="0"/>
                <w:w w:val="100"/>
                <w:sz w:val="22"/>
                <w:szCs w:val="22"/>
                <w:highlight w:val="none"/>
                <w:lang w:val="en-US"/>
              </w:rPr>
            </w:pPr>
            <w:r>
              <w:rPr>
                <w:rFonts w:hint="eastAsia" w:ascii="宋体" w:hAnsi="宋体" w:eastAsia="宋体" w:cs="宋体"/>
                <w:color w:val="auto"/>
                <w:spacing w:val="0"/>
                <w:w w:val="100"/>
                <w:sz w:val="22"/>
                <w:szCs w:val="22"/>
                <w:highlight w:val="none"/>
                <w:lang w:val="en-US"/>
              </w:rPr>
              <w:t>6.</w:t>
            </w:r>
            <w:r>
              <w:rPr>
                <w:rFonts w:hint="eastAsia" w:ascii="宋体" w:hAnsi="宋体" w:eastAsia="宋体" w:cs="宋体"/>
                <w:color w:val="auto"/>
                <w:spacing w:val="0"/>
                <w:w w:val="100"/>
                <w:sz w:val="22"/>
                <w:szCs w:val="22"/>
                <w:highlight w:val="none"/>
                <w:lang w:val="en-US" w:eastAsia="zh-CN"/>
              </w:rPr>
              <w:t>服务</w:t>
            </w:r>
            <w:r>
              <w:rPr>
                <w:rFonts w:hint="eastAsia" w:ascii="宋体" w:hAnsi="宋体" w:eastAsia="宋体" w:cs="宋体"/>
                <w:color w:val="auto"/>
                <w:spacing w:val="0"/>
                <w:w w:val="100"/>
                <w:sz w:val="22"/>
                <w:szCs w:val="22"/>
                <w:highlight w:val="none"/>
                <w:lang w:val="en-US"/>
              </w:rPr>
              <w:t>人员薪资管理方案</w:t>
            </w:r>
          </w:p>
          <w:p w14:paraId="0EB91E3A">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right="0" w:firstLine="220" w:firstLineChars="100"/>
              <w:jc w:val="both"/>
              <w:rPr>
                <w:rFonts w:hint="eastAsia" w:ascii="宋体" w:hAnsi="宋体" w:eastAsia="宋体" w:cs="宋体"/>
                <w:color w:val="auto"/>
                <w:spacing w:val="0"/>
                <w:w w:val="100"/>
                <w:sz w:val="22"/>
                <w:szCs w:val="22"/>
                <w:highlight w:val="none"/>
                <w:lang w:val="en-US" w:eastAsia="zh-CN"/>
              </w:rPr>
            </w:pPr>
            <w:r>
              <w:rPr>
                <w:rFonts w:hint="eastAsia" w:ascii="宋体" w:hAnsi="宋体" w:eastAsia="宋体" w:cs="宋体"/>
                <w:color w:val="auto"/>
                <w:spacing w:val="0"/>
                <w:w w:val="100"/>
                <w:sz w:val="22"/>
                <w:szCs w:val="22"/>
                <w:highlight w:val="none"/>
                <w:lang w:val="en-US" w:eastAsia="zh-CN"/>
              </w:rPr>
              <w:t xml:space="preserve">7.服务人员考勤管理方案 </w:t>
            </w:r>
          </w:p>
          <w:p w14:paraId="13FDCAEB">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right="0" w:firstLine="220" w:firstLineChars="100"/>
              <w:jc w:val="both"/>
              <w:rPr>
                <w:rFonts w:hint="eastAsia" w:ascii="宋体" w:hAnsi="宋体" w:eastAsia="宋体" w:cs="宋体"/>
                <w:color w:val="auto"/>
                <w:spacing w:val="0"/>
                <w:w w:val="100"/>
                <w:sz w:val="22"/>
                <w:szCs w:val="22"/>
                <w:highlight w:val="none"/>
                <w:lang w:val="en-US" w:eastAsia="zh-CN"/>
              </w:rPr>
            </w:pPr>
            <w:r>
              <w:rPr>
                <w:rFonts w:hint="eastAsia" w:ascii="宋体" w:hAnsi="宋体" w:eastAsia="宋体" w:cs="宋体"/>
                <w:color w:val="auto"/>
                <w:spacing w:val="0"/>
                <w:w w:val="100"/>
                <w:sz w:val="22"/>
                <w:szCs w:val="22"/>
                <w:highlight w:val="none"/>
                <w:lang w:val="en-US" w:eastAsia="zh-CN"/>
              </w:rPr>
              <w:t>8.有完整处理劳动纠纷处理方案</w:t>
            </w:r>
          </w:p>
          <w:p w14:paraId="2F107B27">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right="0" w:firstLine="220" w:firstLineChars="100"/>
              <w:jc w:val="both"/>
              <w:rPr>
                <w:rFonts w:hint="eastAsia" w:ascii="宋体" w:hAnsi="宋体" w:eastAsia="宋体" w:cs="宋体"/>
                <w:color w:val="auto"/>
                <w:spacing w:val="0"/>
                <w:w w:val="100"/>
                <w:sz w:val="22"/>
                <w:szCs w:val="22"/>
                <w:highlight w:val="none"/>
                <w:lang w:val="en-US"/>
              </w:rPr>
            </w:pPr>
            <w:r>
              <w:rPr>
                <w:rFonts w:hint="eastAsia" w:ascii="宋体" w:hAnsi="宋体" w:eastAsia="宋体" w:cs="宋体"/>
                <w:color w:val="auto"/>
                <w:spacing w:val="0"/>
                <w:w w:val="100"/>
                <w:sz w:val="22"/>
                <w:szCs w:val="22"/>
                <w:highlight w:val="none"/>
                <w:lang w:val="en-US"/>
              </w:rPr>
              <w:t>内容完整清晰、科学合理、可行性高、针对性强、满足采购需求得</w:t>
            </w:r>
            <w:r>
              <w:rPr>
                <w:rFonts w:hint="eastAsia" w:ascii="宋体" w:hAnsi="宋体" w:eastAsia="宋体" w:cs="宋体"/>
                <w:color w:val="auto"/>
                <w:spacing w:val="0"/>
                <w:w w:val="100"/>
                <w:sz w:val="22"/>
                <w:szCs w:val="22"/>
                <w:highlight w:val="none"/>
                <w:lang w:val="en-US" w:eastAsia="zh-CN"/>
              </w:rPr>
              <w:t>24</w:t>
            </w:r>
            <w:r>
              <w:rPr>
                <w:rFonts w:hint="eastAsia" w:ascii="宋体" w:hAnsi="宋体" w:eastAsia="宋体" w:cs="宋体"/>
                <w:color w:val="auto"/>
                <w:spacing w:val="0"/>
                <w:w w:val="100"/>
                <w:sz w:val="22"/>
                <w:szCs w:val="22"/>
                <w:highlight w:val="none"/>
                <w:lang w:val="en-US"/>
              </w:rPr>
              <w:t>分；每缺少一项扣</w:t>
            </w:r>
            <w:r>
              <w:rPr>
                <w:rFonts w:hint="eastAsia" w:ascii="宋体" w:hAnsi="宋体" w:eastAsia="宋体" w:cs="宋体"/>
                <w:color w:val="auto"/>
                <w:spacing w:val="0"/>
                <w:w w:val="100"/>
                <w:sz w:val="22"/>
                <w:szCs w:val="22"/>
                <w:highlight w:val="none"/>
                <w:lang w:val="en-US" w:eastAsia="zh-CN"/>
              </w:rPr>
              <w:t>3</w:t>
            </w:r>
            <w:r>
              <w:rPr>
                <w:rFonts w:hint="eastAsia" w:ascii="宋体" w:hAnsi="宋体" w:eastAsia="宋体" w:cs="宋体"/>
                <w:color w:val="auto"/>
                <w:spacing w:val="0"/>
                <w:w w:val="100"/>
                <w:sz w:val="22"/>
                <w:szCs w:val="22"/>
                <w:highlight w:val="none"/>
                <w:lang w:val="en-US"/>
              </w:rPr>
              <w:t>分；每有一项内容不完整、不满足需求、无针对性、逻辑错误扣</w:t>
            </w:r>
            <w:r>
              <w:rPr>
                <w:rFonts w:hint="eastAsia" w:ascii="宋体" w:hAnsi="宋体" w:eastAsia="宋体" w:cs="宋体"/>
                <w:color w:val="auto"/>
                <w:spacing w:val="0"/>
                <w:w w:val="100"/>
                <w:sz w:val="22"/>
                <w:szCs w:val="22"/>
                <w:highlight w:val="none"/>
                <w:lang w:val="en-US" w:eastAsia="zh-CN"/>
              </w:rPr>
              <w:t>2</w:t>
            </w:r>
            <w:r>
              <w:rPr>
                <w:rFonts w:hint="eastAsia" w:ascii="宋体" w:hAnsi="宋体" w:eastAsia="宋体" w:cs="宋体"/>
                <w:color w:val="auto"/>
                <w:spacing w:val="0"/>
                <w:w w:val="100"/>
                <w:sz w:val="22"/>
                <w:szCs w:val="22"/>
                <w:highlight w:val="none"/>
                <w:lang w:val="en-US"/>
              </w:rPr>
              <w:t>分；扣完为止；未提供不得分。</w:t>
            </w:r>
          </w:p>
        </w:tc>
        <w:tc>
          <w:tcPr>
            <w:tcW w:w="65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566BED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24</w:t>
            </w:r>
          </w:p>
        </w:tc>
      </w:tr>
      <w:tr w14:paraId="5190C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999" w:hRule="atLeast"/>
          <w:jc w:val="center"/>
        </w:trPr>
        <w:tc>
          <w:tcPr>
            <w:tcW w:w="727" w:type="dxa"/>
            <w:vMerge w:val="continue"/>
            <w:tcBorders>
              <w:left w:val="single" w:color="auto" w:sz="4" w:space="0"/>
              <w:right w:val="single" w:color="auto" w:sz="4" w:space="0"/>
            </w:tcBorders>
            <w:shd w:val="clear" w:color="auto" w:fill="auto"/>
            <w:tcMar>
              <w:top w:w="15" w:type="dxa"/>
              <w:left w:w="15" w:type="dxa"/>
              <w:right w:w="15" w:type="dxa"/>
            </w:tcMar>
            <w:vAlign w:val="center"/>
          </w:tcPr>
          <w:p w14:paraId="29C5625E">
            <w:pPr>
              <w:keepNext w:val="0"/>
              <w:keepLines w:val="0"/>
              <w:suppressLineNumbers w:val="0"/>
              <w:shd w:val="clear"/>
              <w:spacing w:before="0" w:beforeAutospacing="0" w:after="0" w:afterAutospacing="0"/>
              <w:ind w:left="0" w:right="0"/>
              <w:rPr>
                <w:rFonts w:hint="eastAsia" w:ascii="宋体" w:hAnsi="宋体" w:eastAsia="宋体" w:cs="宋体"/>
                <w:color w:val="auto"/>
                <w:sz w:val="22"/>
                <w:szCs w:val="22"/>
                <w:highlight w:val="none"/>
              </w:rPr>
            </w:pPr>
          </w:p>
        </w:tc>
        <w:tc>
          <w:tcPr>
            <w:tcW w:w="77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C708706">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right="0"/>
              <w:jc w:val="center"/>
              <w:textAlignment w:val="center"/>
              <w:rPr>
                <w:rFonts w:hint="eastAsia" w:ascii="宋体" w:hAnsi="宋体" w:eastAsia="宋体" w:cs="宋体"/>
                <w:color w:val="auto"/>
                <w:sz w:val="22"/>
                <w:szCs w:val="22"/>
                <w:highlight w:val="none"/>
                <w:lang w:val="en-US"/>
              </w:rPr>
            </w:pPr>
            <w:r>
              <w:rPr>
                <w:rFonts w:hint="eastAsia" w:ascii="宋体" w:hAnsi="宋体" w:eastAsia="宋体" w:cs="宋体"/>
                <w:color w:val="auto"/>
                <w:kern w:val="2"/>
                <w:sz w:val="22"/>
                <w:szCs w:val="22"/>
                <w:highlight w:val="none"/>
                <w:lang w:val="en-US" w:eastAsia="zh-CN" w:bidi="ar"/>
              </w:rPr>
              <w:t>经营管理方案</w:t>
            </w:r>
          </w:p>
        </w:tc>
        <w:tc>
          <w:tcPr>
            <w:tcW w:w="68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06654D6">
            <w:pPr>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360" w:lineRule="exact"/>
              <w:ind w:left="0" w:right="0" w:firstLine="220" w:firstLineChars="100"/>
              <w:jc w:val="both"/>
              <w:rPr>
                <w:rFonts w:hint="eastAsia" w:ascii="宋体" w:hAnsi="宋体" w:eastAsia="宋体" w:cs="宋体"/>
                <w:color w:val="auto"/>
                <w:sz w:val="22"/>
                <w:szCs w:val="22"/>
                <w:highlight w:val="none"/>
                <w:lang w:val="zh-CN"/>
              </w:rPr>
            </w:pPr>
            <w:r>
              <w:rPr>
                <w:rFonts w:hint="eastAsia" w:ascii="宋体" w:hAnsi="宋体" w:eastAsia="宋体" w:cs="宋体"/>
                <w:color w:val="auto"/>
                <w:kern w:val="2"/>
                <w:sz w:val="22"/>
                <w:szCs w:val="22"/>
                <w:highlight w:val="none"/>
                <w:lang w:val="en-US" w:eastAsia="zh-CN" w:bidi="ar"/>
              </w:rPr>
              <w:t>根据本项目提供经营管理方案，并</w:t>
            </w:r>
            <w:r>
              <w:rPr>
                <w:rFonts w:hint="eastAsia" w:ascii="宋体" w:hAnsi="宋体" w:eastAsia="宋体" w:cs="宋体"/>
                <w:color w:val="auto"/>
                <w:kern w:val="2"/>
                <w:sz w:val="22"/>
                <w:szCs w:val="22"/>
                <w:highlight w:val="none"/>
                <w:lang w:val="zh-CN" w:eastAsia="zh-CN" w:bidi="ar"/>
              </w:rPr>
              <w:t>对下述</w:t>
            </w:r>
            <w:r>
              <w:rPr>
                <w:rFonts w:hint="eastAsia" w:ascii="宋体" w:hAnsi="宋体" w:eastAsia="宋体" w:cs="宋体"/>
                <w:color w:val="auto"/>
                <w:kern w:val="2"/>
                <w:sz w:val="22"/>
                <w:szCs w:val="22"/>
                <w:highlight w:val="none"/>
                <w:lang w:val="en-US" w:eastAsia="zh-CN" w:bidi="ar"/>
              </w:rPr>
              <w:t>5</w:t>
            </w:r>
            <w:r>
              <w:rPr>
                <w:rFonts w:hint="eastAsia" w:ascii="宋体" w:hAnsi="宋体" w:eastAsia="宋体" w:cs="宋体"/>
                <w:color w:val="auto"/>
                <w:kern w:val="2"/>
                <w:sz w:val="22"/>
                <w:szCs w:val="22"/>
                <w:highlight w:val="none"/>
                <w:lang w:val="zh-CN" w:eastAsia="zh-CN" w:bidi="ar"/>
              </w:rPr>
              <w:t>项管理方案的先进性、系统性、完整性，实用性、合理性等五个方面计分：</w:t>
            </w:r>
          </w:p>
          <w:p w14:paraId="248D0C51">
            <w:pPr>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360" w:lineRule="exact"/>
              <w:ind w:left="0" w:right="0" w:firstLine="220" w:firstLineChars="100"/>
              <w:jc w:val="both"/>
              <w:rPr>
                <w:rFonts w:hint="eastAsia" w:ascii="宋体" w:hAnsi="宋体" w:eastAsia="宋体" w:cs="宋体"/>
                <w:color w:val="auto"/>
                <w:sz w:val="22"/>
                <w:szCs w:val="22"/>
                <w:highlight w:val="none"/>
                <w:lang w:val="zh-CN"/>
              </w:rPr>
            </w:pPr>
            <w:r>
              <w:rPr>
                <w:rFonts w:hint="eastAsia" w:ascii="宋体" w:hAnsi="宋体" w:eastAsia="宋体" w:cs="宋体"/>
                <w:color w:val="auto"/>
                <w:kern w:val="2"/>
                <w:sz w:val="22"/>
                <w:szCs w:val="22"/>
                <w:highlight w:val="none"/>
                <w:lang w:val="en-US" w:eastAsia="zh-CN" w:bidi="ar"/>
              </w:rPr>
              <w:t>1.</w:t>
            </w:r>
            <w:r>
              <w:rPr>
                <w:rFonts w:hint="eastAsia" w:ascii="宋体" w:hAnsi="宋体" w:eastAsia="宋体" w:cs="宋体"/>
                <w:color w:val="auto"/>
                <w:kern w:val="2"/>
                <w:sz w:val="22"/>
                <w:szCs w:val="22"/>
                <w:highlight w:val="none"/>
                <w:lang w:val="zh-CN" w:eastAsia="zh-CN" w:bidi="ar"/>
              </w:rPr>
              <w:t>食品质量控制方案；</w:t>
            </w:r>
          </w:p>
          <w:p w14:paraId="21BBD043">
            <w:pPr>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360" w:lineRule="exact"/>
              <w:ind w:left="0" w:right="0" w:firstLine="220" w:firstLineChars="100"/>
              <w:jc w:val="both"/>
              <w:rPr>
                <w:rFonts w:hint="eastAsia" w:ascii="宋体" w:hAnsi="宋体" w:eastAsia="宋体" w:cs="宋体"/>
                <w:color w:val="auto"/>
                <w:sz w:val="22"/>
                <w:szCs w:val="22"/>
                <w:highlight w:val="none"/>
                <w:lang w:val="zh-CN"/>
              </w:rPr>
            </w:pPr>
            <w:r>
              <w:rPr>
                <w:rFonts w:hint="eastAsia" w:ascii="宋体" w:hAnsi="宋体" w:eastAsia="宋体" w:cs="宋体"/>
                <w:color w:val="auto"/>
                <w:kern w:val="2"/>
                <w:sz w:val="22"/>
                <w:szCs w:val="22"/>
                <w:highlight w:val="none"/>
                <w:lang w:val="en-US" w:eastAsia="zh-CN" w:bidi="ar"/>
              </w:rPr>
              <w:t>2.</w:t>
            </w:r>
            <w:r>
              <w:rPr>
                <w:rFonts w:hint="eastAsia" w:ascii="宋体" w:hAnsi="宋体" w:eastAsia="宋体" w:cs="宋体"/>
                <w:color w:val="auto"/>
                <w:kern w:val="2"/>
                <w:sz w:val="22"/>
                <w:szCs w:val="22"/>
                <w:highlight w:val="none"/>
                <w:lang w:val="zh-CN" w:eastAsia="zh-CN" w:bidi="ar"/>
              </w:rPr>
              <w:t>服务质量控制方案；</w:t>
            </w:r>
          </w:p>
          <w:p w14:paraId="400A579C">
            <w:pPr>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360" w:lineRule="exact"/>
              <w:ind w:left="0" w:right="0" w:firstLine="220" w:firstLineChars="100"/>
              <w:jc w:val="both"/>
              <w:rPr>
                <w:rFonts w:hint="eastAsia" w:ascii="宋体" w:hAnsi="宋体" w:eastAsia="宋体" w:cs="宋体"/>
                <w:color w:val="auto"/>
                <w:sz w:val="22"/>
                <w:szCs w:val="22"/>
                <w:highlight w:val="none"/>
                <w:lang w:val="zh-CN"/>
              </w:rPr>
            </w:pPr>
            <w:r>
              <w:rPr>
                <w:rFonts w:hint="eastAsia" w:ascii="宋体" w:hAnsi="宋体" w:eastAsia="宋体" w:cs="宋体"/>
                <w:color w:val="auto"/>
                <w:kern w:val="2"/>
                <w:sz w:val="22"/>
                <w:szCs w:val="22"/>
                <w:highlight w:val="none"/>
                <w:lang w:val="en-US" w:eastAsia="zh-CN" w:bidi="ar"/>
              </w:rPr>
              <w:t>3.</w:t>
            </w:r>
            <w:r>
              <w:rPr>
                <w:rFonts w:hint="eastAsia" w:ascii="宋体" w:hAnsi="宋体" w:eastAsia="宋体" w:cs="宋体"/>
                <w:color w:val="auto"/>
                <w:kern w:val="2"/>
                <w:sz w:val="22"/>
                <w:szCs w:val="22"/>
                <w:highlight w:val="none"/>
                <w:lang w:val="zh-CN" w:eastAsia="zh-CN" w:bidi="ar"/>
              </w:rPr>
              <w:t>卫生管理控制方案；</w:t>
            </w:r>
          </w:p>
          <w:p w14:paraId="0978546D">
            <w:pPr>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360" w:lineRule="exact"/>
              <w:ind w:left="0" w:right="0" w:firstLine="220" w:firstLineChars="100"/>
              <w:jc w:val="both"/>
              <w:rPr>
                <w:rFonts w:hint="eastAsia" w:ascii="宋体" w:hAnsi="宋体" w:eastAsia="宋体" w:cs="宋体"/>
                <w:color w:val="auto"/>
                <w:kern w:val="2"/>
                <w:sz w:val="22"/>
                <w:szCs w:val="22"/>
                <w:highlight w:val="none"/>
                <w:lang w:val="zh-CN" w:eastAsia="zh-CN" w:bidi="ar"/>
              </w:rPr>
            </w:pPr>
            <w:r>
              <w:rPr>
                <w:rFonts w:hint="eastAsia" w:ascii="宋体" w:hAnsi="宋体" w:eastAsia="宋体" w:cs="宋体"/>
                <w:color w:val="auto"/>
                <w:kern w:val="2"/>
                <w:sz w:val="22"/>
                <w:szCs w:val="22"/>
                <w:highlight w:val="none"/>
                <w:lang w:val="en-US" w:eastAsia="zh-CN" w:bidi="ar"/>
              </w:rPr>
              <w:t>4.</w:t>
            </w:r>
            <w:r>
              <w:rPr>
                <w:rFonts w:hint="eastAsia" w:ascii="宋体" w:hAnsi="宋体" w:eastAsia="宋体" w:cs="宋体"/>
                <w:color w:val="auto"/>
                <w:kern w:val="2"/>
                <w:sz w:val="22"/>
                <w:szCs w:val="22"/>
                <w:highlight w:val="none"/>
                <w:lang w:val="zh-CN" w:eastAsia="zh-CN" w:bidi="ar"/>
              </w:rPr>
              <w:t>操作规程控制管理方案；</w:t>
            </w:r>
          </w:p>
          <w:p w14:paraId="0801A6CE">
            <w:pPr>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360" w:lineRule="exact"/>
              <w:ind w:left="0" w:right="0" w:firstLine="220" w:firstLineChars="100"/>
              <w:jc w:val="both"/>
              <w:rPr>
                <w:rFonts w:hint="eastAsia" w:ascii="宋体" w:hAnsi="宋体" w:eastAsia="宋体" w:cs="宋体"/>
                <w:color w:val="auto"/>
                <w:kern w:val="2"/>
                <w:sz w:val="22"/>
                <w:szCs w:val="22"/>
                <w:highlight w:val="none"/>
                <w:lang w:val="zh-CN" w:eastAsia="zh-CN" w:bidi="ar"/>
              </w:rPr>
            </w:pPr>
            <w:r>
              <w:rPr>
                <w:rFonts w:hint="eastAsia" w:ascii="宋体" w:hAnsi="宋体" w:eastAsia="宋体" w:cs="宋体"/>
                <w:color w:val="auto"/>
                <w:kern w:val="2"/>
                <w:sz w:val="22"/>
                <w:szCs w:val="22"/>
                <w:highlight w:val="none"/>
                <w:lang w:val="en-US" w:eastAsia="zh-CN" w:bidi="ar"/>
              </w:rPr>
              <w:t>5.服务对象投诉的处理和解决方案</w:t>
            </w:r>
            <w:r>
              <w:rPr>
                <w:rFonts w:hint="eastAsia" w:ascii="宋体" w:hAnsi="宋体" w:eastAsia="宋体" w:cs="宋体"/>
                <w:color w:val="auto"/>
                <w:kern w:val="2"/>
                <w:sz w:val="22"/>
                <w:szCs w:val="22"/>
                <w:highlight w:val="none"/>
                <w:lang w:val="zh-CN" w:eastAsia="zh-CN" w:bidi="ar"/>
              </w:rPr>
              <w:t>。</w:t>
            </w:r>
          </w:p>
          <w:p w14:paraId="1C11E4EC">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right="0" w:firstLine="220" w:firstLineChars="10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kern w:val="2"/>
                <w:sz w:val="22"/>
                <w:szCs w:val="22"/>
                <w:highlight w:val="none"/>
                <w:lang w:val="zh-CN" w:eastAsia="zh-CN" w:bidi="ar"/>
              </w:rPr>
              <w:t>根</w:t>
            </w:r>
            <w:r>
              <w:rPr>
                <w:rFonts w:hint="eastAsia" w:ascii="宋体" w:hAnsi="宋体" w:eastAsia="宋体" w:cs="宋体"/>
                <w:color w:val="auto"/>
                <w:spacing w:val="0"/>
                <w:w w:val="100"/>
                <w:sz w:val="22"/>
                <w:szCs w:val="22"/>
                <w:highlight w:val="none"/>
                <w:lang w:val="en-US"/>
              </w:rPr>
              <w:t>内容完整清晰、科学合理、可行性高、针对性强、满足采购需求得1</w:t>
            </w:r>
            <w:r>
              <w:rPr>
                <w:rFonts w:hint="eastAsia" w:ascii="宋体" w:hAnsi="宋体" w:eastAsia="宋体" w:cs="宋体"/>
                <w:color w:val="auto"/>
                <w:spacing w:val="0"/>
                <w:w w:val="100"/>
                <w:sz w:val="22"/>
                <w:szCs w:val="22"/>
                <w:highlight w:val="none"/>
                <w:lang w:val="en-US" w:eastAsia="zh-CN"/>
              </w:rPr>
              <w:t>0</w:t>
            </w:r>
            <w:r>
              <w:rPr>
                <w:rFonts w:hint="eastAsia" w:ascii="宋体" w:hAnsi="宋体" w:eastAsia="宋体" w:cs="宋体"/>
                <w:color w:val="auto"/>
                <w:spacing w:val="0"/>
                <w:w w:val="100"/>
                <w:sz w:val="22"/>
                <w:szCs w:val="22"/>
                <w:highlight w:val="none"/>
                <w:lang w:val="en-US"/>
              </w:rPr>
              <w:t>分；每缺少一项扣</w:t>
            </w:r>
            <w:r>
              <w:rPr>
                <w:rFonts w:hint="eastAsia" w:ascii="宋体" w:hAnsi="宋体" w:eastAsia="宋体" w:cs="宋体"/>
                <w:color w:val="auto"/>
                <w:spacing w:val="0"/>
                <w:w w:val="100"/>
                <w:sz w:val="22"/>
                <w:szCs w:val="22"/>
                <w:highlight w:val="none"/>
                <w:lang w:val="en-US" w:eastAsia="zh-CN"/>
              </w:rPr>
              <w:t>2</w:t>
            </w:r>
            <w:r>
              <w:rPr>
                <w:rFonts w:hint="eastAsia" w:ascii="宋体" w:hAnsi="宋体" w:eastAsia="宋体" w:cs="宋体"/>
                <w:color w:val="auto"/>
                <w:spacing w:val="0"/>
                <w:w w:val="100"/>
                <w:sz w:val="22"/>
                <w:szCs w:val="22"/>
                <w:highlight w:val="none"/>
                <w:lang w:val="en-US"/>
              </w:rPr>
              <w:t>分；每有一项内容不完整、不满足需求、无针对性、逻辑错误扣</w:t>
            </w:r>
            <w:r>
              <w:rPr>
                <w:rFonts w:hint="eastAsia" w:ascii="宋体" w:hAnsi="宋体" w:eastAsia="宋体" w:cs="宋体"/>
                <w:color w:val="auto"/>
                <w:spacing w:val="0"/>
                <w:w w:val="100"/>
                <w:sz w:val="22"/>
                <w:szCs w:val="22"/>
                <w:highlight w:val="none"/>
                <w:lang w:val="en-US" w:eastAsia="zh-CN"/>
              </w:rPr>
              <w:t>1</w:t>
            </w:r>
            <w:r>
              <w:rPr>
                <w:rFonts w:hint="eastAsia" w:ascii="宋体" w:hAnsi="宋体" w:eastAsia="宋体" w:cs="宋体"/>
                <w:color w:val="auto"/>
                <w:spacing w:val="0"/>
                <w:w w:val="100"/>
                <w:sz w:val="22"/>
                <w:szCs w:val="22"/>
                <w:highlight w:val="none"/>
                <w:lang w:val="en-US"/>
              </w:rPr>
              <w:t>分；扣完为止</w:t>
            </w:r>
            <w:r>
              <w:rPr>
                <w:rFonts w:hint="eastAsia" w:ascii="宋体" w:hAnsi="宋体" w:eastAsia="宋体" w:cs="宋体"/>
                <w:color w:val="auto"/>
                <w:spacing w:val="0"/>
                <w:w w:val="100"/>
                <w:sz w:val="22"/>
                <w:szCs w:val="22"/>
                <w:highlight w:val="none"/>
                <w:lang w:val="en-US" w:eastAsia="zh-CN"/>
              </w:rPr>
              <w:t>，</w:t>
            </w:r>
            <w:r>
              <w:rPr>
                <w:rFonts w:hint="eastAsia" w:ascii="宋体" w:hAnsi="宋体" w:eastAsia="宋体" w:cs="宋体"/>
                <w:color w:val="auto"/>
                <w:spacing w:val="0"/>
                <w:w w:val="100"/>
                <w:sz w:val="22"/>
                <w:szCs w:val="22"/>
                <w:highlight w:val="none"/>
                <w:lang w:val="en-US"/>
              </w:rPr>
              <w:t>未提供不得分</w:t>
            </w:r>
            <w:r>
              <w:rPr>
                <w:rFonts w:hint="eastAsia" w:ascii="宋体" w:hAnsi="宋体" w:eastAsia="宋体" w:cs="宋体"/>
                <w:color w:val="auto"/>
                <w:spacing w:val="0"/>
                <w:w w:val="100"/>
                <w:sz w:val="22"/>
                <w:szCs w:val="22"/>
                <w:highlight w:val="none"/>
                <w:lang w:val="en-US" w:eastAsia="zh-CN"/>
              </w:rPr>
              <w:t>。</w:t>
            </w:r>
          </w:p>
        </w:tc>
        <w:tc>
          <w:tcPr>
            <w:tcW w:w="65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301ABD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10</w:t>
            </w:r>
          </w:p>
        </w:tc>
      </w:tr>
      <w:tr w14:paraId="77CCF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999" w:hRule="atLeast"/>
          <w:jc w:val="center"/>
        </w:trPr>
        <w:tc>
          <w:tcPr>
            <w:tcW w:w="727" w:type="dxa"/>
            <w:vMerge w:val="continue"/>
            <w:tcBorders>
              <w:left w:val="single" w:color="auto" w:sz="4" w:space="0"/>
              <w:right w:val="single" w:color="auto" w:sz="4" w:space="0"/>
            </w:tcBorders>
            <w:shd w:val="clear" w:color="auto" w:fill="auto"/>
            <w:tcMar>
              <w:top w:w="15" w:type="dxa"/>
              <w:left w:w="15" w:type="dxa"/>
              <w:right w:w="15" w:type="dxa"/>
            </w:tcMar>
            <w:vAlign w:val="center"/>
          </w:tcPr>
          <w:p w14:paraId="57AF0F7D">
            <w:pPr>
              <w:keepNext w:val="0"/>
              <w:keepLines w:val="0"/>
              <w:suppressLineNumbers w:val="0"/>
              <w:shd w:val="clear"/>
              <w:spacing w:before="0" w:beforeAutospacing="0" w:after="0" w:afterAutospacing="0"/>
              <w:ind w:left="0" w:right="0"/>
              <w:rPr>
                <w:rFonts w:hint="eastAsia" w:ascii="宋体" w:hAnsi="宋体" w:eastAsia="宋体" w:cs="宋体"/>
                <w:color w:val="auto"/>
                <w:sz w:val="22"/>
                <w:szCs w:val="22"/>
                <w:highlight w:val="none"/>
              </w:rPr>
            </w:pPr>
          </w:p>
        </w:tc>
        <w:tc>
          <w:tcPr>
            <w:tcW w:w="77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F89C83C">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leftChars="0" w:right="0" w:rightChars="0"/>
              <w:jc w:val="center"/>
              <w:textAlignment w:val="center"/>
              <w:rPr>
                <w:rFonts w:hint="eastAsia" w:ascii="宋体" w:hAnsi="宋体" w:eastAsia="宋体" w:cs="宋体"/>
                <w:color w:val="auto"/>
                <w:kern w:val="2"/>
                <w:sz w:val="22"/>
                <w:szCs w:val="22"/>
                <w:highlight w:val="none"/>
                <w:lang w:val="en-US" w:eastAsia="zh-CN" w:bidi="ar"/>
              </w:rPr>
            </w:pPr>
            <w:r>
              <w:rPr>
                <w:rFonts w:hint="eastAsia" w:ascii="宋体" w:hAnsi="宋体" w:eastAsia="宋体" w:cs="宋体"/>
                <w:color w:val="auto"/>
                <w:kern w:val="2"/>
                <w:sz w:val="22"/>
                <w:szCs w:val="22"/>
                <w:highlight w:val="none"/>
                <w:lang w:val="en-US" w:eastAsia="zh-CN" w:bidi="ar"/>
              </w:rPr>
              <w:t>保障</w:t>
            </w:r>
          </w:p>
          <w:p w14:paraId="016717C0">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leftChars="0" w:right="0" w:rightChars="0"/>
              <w:jc w:val="center"/>
              <w:textAlignment w:val="center"/>
              <w:rPr>
                <w:rFonts w:hint="eastAsia" w:ascii="宋体" w:hAnsi="宋体" w:eastAsia="宋体" w:cs="宋体"/>
                <w:color w:val="auto"/>
                <w:kern w:val="2"/>
                <w:sz w:val="22"/>
                <w:szCs w:val="22"/>
                <w:highlight w:val="none"/>
                <w:lang w:val="en-US" w:eastAsia="zh-CN" w:bidi="ar"/>
              </w:rPr>
            </w:pPr>
            <w:r>
              <w:rPr>
                <w:rFonts w:hint="eastAsia" w:ascii="宋体" w:hAnsi="宋体" w:eastAsia="宋体" w:cs="宋体"/>
                <w:color w:val="auto"/>
                <w:kern w:val="2"/>
                <w:sz w:val="22"/>
                <w:szCs w:val="22"/>
                <w:highlight w:val="none"/>
                <w:lang w:val="en-US" w:eastAsia="zh-CN" w:bidi="ar"/>
              </w:rPr>
              <w:t>承诺</w:t>
            </w:r>
          </w:p>
        </w:tc>
        <w:tc>
          <w:tcPr>
            <w:tcW w:w="68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D2E3601">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exact"/>
              <w:ind w:left="0" w:right="0" w:firstLine="440" w:firstLineChars="200"/>
              <w:jc w:val="left"/>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2"/>
                <w:sz w:val="22"/>
                <w:szCs w:val="22"/>
                <w:highlight w:val="none"/>
                <w:lang w:val="en-US" w:eastAsia="zh-CN" w:bidi="ar"/>
              </w:rPr>
              <w:t>1.保障按月结算服务人员薪资，且</w:t>
            </w:r>
            <w:r>
              <w:rPr>
                <w:rFonts w:hint="eastAsia" w:ascii="宋体" w:hAnsi="宋体" w:eastAsia="宋体" w:cs="宋体"/>
                <w:color w:val="auto"/>
                <w:kern w:val="0"/>
                <w:sz w:val="22"/>
                <w:szCs w:val="22"/>
                <w:highlight w:val="none"/>
                <w:lang w:val="en-US" w:eastAsia="zh-CN" w:bidi="ar"/>
              </w:rPr>
              <w:t>保障服务人员薪资待遇水平不低于采购需求中参考标准，依法签订劳动合同、足额缴纳社保，无克扣拖欠工资，独立承担用工责任。此项满分7分；</w:t>
            </w:r>
          </w:p>
          <w:p w14:paraId="21A4B916">
            <w:pPr>
              <w:keepNext w:val="0"/>
              <w:keepLines w:val="0"/>
              <w:pageBreakBefore w:val="0"/>
              <w:widowControl/>
              <w:suppressLineNumbers w:val="0"/>
              <w:kinsoku/>
              <w:wordWrap/>
              <w:overflowPunct/>
              <w:topLinePunct w:val="0"/>
              <w:bidi w:val="0"/>
              <w:adjustRightInd/>
              <w:snapToGrid/>
              <w:spacing w:before="0" w:beforeAutospacing="0" w:after="0" w:afterAutospacing="0" w:line="360" w:lineRule="exact"/>
              <w:ind w:left="0" w:right="0" w:firstLine="440" w:firstLineChars="200"/>
              <w:jc w:val="left"/>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2"/>
                <w:sz w:val="22"/>
                <w:szCs w:val="22"/>
                <w:highlight w:val="none"/>
                <w:lang w:val="en-US" w:eastAsia="zh-CN" w:bidi="ar"/>
              </w:rPr>
              <w:t>2.制定并推行服务人员待遇优化相关举措，此项满分4分，举措具备落地可行性即可得分，无相关举措或方案无法落地均不得分。</w:t>
            </w:r>
          </w:p>
          <w:p w14:paraId="6907E40F">
            <w:pPr>
              <w:pStyle w:val="10"/>
              <w:keepNext w:val="0"/>
              <w:keepLines w:val="0"/>
              <w:pageBreakBefore w:val="0"/>
              <w:widowControl/>
              <w:suppressLineNumbers w:val="0"/>
              <w:kinsoku/>
              <w:wordWrap/>
              <w:overflowPunct/>
              <w:topLinePunct w:val="0"/>
              <w:bidi w:val="0"/>
              <w:adjustRightInd/>
              <w:snapToGrid/>
              <w:spacing w:before="0" w:beforeAutospacing="0" w:after="0" w:afterAutospacing="0" w:line="360" w:lineRule="exact"/>
              <w:ind w:left="0" w:right="0" w:firstLine="440" w:firstLineChars="200"/>
              <w:rPr>
                <w:rFonts w:hint="eastAsia" w:ascii="宋体" w:hAnsi="宋体" w:eastAsia="宋体" w:cs="宋体"/>
                <w:color w:val="auto"/>
                <w:kern w:val="2"/>
                <w:sz w:val="22"/>
                <w:szCs w:val="22"/>
                <w:highlight w:val="none"/>
                <w:lang w:val="zh-CN" w:eastAsia="zh-CN" w:bidi="ar"/>
              </w:rPr>
            </w:pPr>
            <w:r>
              <w:rPr>
                <w:rFonts w:hint="eastAsia" w:ascii="宋体" w:hAnsi="宋体" w:eastAsia="宋体" w:cs="宋体"/>
                <w:color w:val="auto"/>
                <w:kern w:val="2"/>
                <w:sz w:val="22"/>
                <w:szCs w:val="22"/>
                <w:highlight w:val="none"/>
                <w:lang w:val="en-US" w:eastAsia="zh-CN" w:bidi="ar"/>
              </w:rPr>
              <w:t>注：须出具承诺函，未提供承诺函不得分。</w:t>
            </w:r>
          </w:p>
        </w:tc>
        <w:tc>
          <w:tcPr>
            <w:tcW w:w="65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6AD36F6">
            <w:pPr>
              <w:keepNext w:val="0"/>
              <w:keepLines w:val="0"/>
              <w:widowControl/>
              <w:suppressLineNumbers w:val="0"/>
              <w:shd w:val="clear"/>
              <w:spacing w:before="0" w:beforeAutospacing="0" w:after="0" w:afterAutospacing="0"/>
              <w:ind w:left="0" w:leftChars="0" w:right="0" w:rightChars="0"/>
              <w:jc w:val="center"/>
              <w:textAlignment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2"/>
                <w:sz w:val="22"/>
                <w:szCs w:val="22"/>
                <w:highlight w:val="none"/>
                <w:lang w:val="en-US" w:eastAsia="zh-CN" w:bidi="ar-SA"/>
              </w:rPr>
              <w:t>11</w:t>
            </w:r>
          </w:p>
        </w:tc>
      </w:tr>
      <w:tr w14:paraId="229CE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637" w:hRule="atLeast"/>
          <w:jc w:val="center"/>
        </w:trPr>
        <w:tc>
          <w:tcPr>
            <w:tcW w:w="727" w:type="dxa"/>
            <w:vMerge w:val="continue"/>
            <w:tcBorders>
              <w:left w:val="single" w:color="auto" w:sz="4" w:space="0"/>
              <w:right w:val="single" w:color="auto" w:sz="4" w:space="0"/>
            </w:tcBorders>
            <w:shd w:val="clear" w:color="auto" w:fill="auto"/>
            <w:tcMar>
              <w:top w:w="15" w:type="dxa"/>
              <w:left w:w="15" w:type="dxa"/>
              <w:right w:w="15" w:type="dxa"/>
            </w:tcMar>
            <w:vAlign w:val="center"/>
          </w:tcPr>
          <w:p w14:paraId="3187D129">
            <w:pPr>
              <w:keepNext w:val="0"/>
              <w:keepLines w:val="0"/>
              <w:suppressLineNumbers w:val="0"/>
              <w:shd w:val="clear"/>
              <w:spacing w:before="0" w:beforeAutospacing="0" w:after="0" w:afterAutospacing="0"/>
              <w:ind w:left="0" w:right="0"/>
              <w:rPr>
                <w:rFonts w:hint="eastAsia" w:ascii="宋体" w:hAnsi="宋体" w:eastAsia="宋体" w:cs="宋体"/>
                <w:color w:val="auto"/>
                <w:sz w:val="22"/>
                <w:szCs w:val="22"/>
                <w:highlight w:val="none"/>
              </w:rPr>
            </w:pPr>
          </w:p>
        </w:tc>
        <w:tc>
          <w:tcPr>
            <w:tcW w:w="77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613469C">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right="0"/>
              <w:jc w:val="center"/>
              <w:textAlignment w:val="center"/>
              <w:rPr>
                <w:rFonts w:hint="eastAsia" w:ascii="宋体" w:hAnsi="宋体" w:eastAsia="宋体" w:cs="宋体"/>
                <w:color w:val="auto"/>
                <w:sz w:val="22"/>
                <w:szCs w:val="22"/>
                <w:highlight w:val="none"/>
                <w:lang w:val="en-US"/>
              </w:rPr>
            </w:pPr>
            <w:r>
              <w:rPr>
                <w:rFonts w:hint="eastAsia" w:ascii="宋体" w:hAnsi="宋体" w:eastAsia="宋体" w:cs="宋体"/>
                <w:color w:val="auto"/>
                <w:kern w:val="2"/>
                <w:sz w:val="22"/>
                <w:szCs w:val="22"/>
                <w:highlight w:val="none"/>
                <w:lang w:val="en-US" w:eastAsia="zh-CN" w:bidi="ar"/>
              </w:rPr>
              <w:t>服务</w:t>
            </w:r>
          </w:p>
          <w:p w14:paraId="26715818">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right="0"/>
              <w:jc w:val="center"/>
              <w:textAlignment w:val="center"/>
              <w:rPr>
                <w:rFonts w:hint="eastAsia" w:ascii="宋体" w:hAnsi="宋体" w:eastAsia="宋体" w:cs="宋体"/>
                <w:color w:val="auto"/>
                <w:sz w:val="22"/>
                <w:szCs w:val="22"/>
                <w:highlight w:val="none"/>
                <w:lang w:val="en-US"/>
              </w:rPr>
            </w:pPr>
            <w:r>
              <w:rPr>
                <w:rFonts w:hint="eastAsia" w:ascii="宋体" w:hAnsi="宋体" w:eastAsia="宋体" w:cs="宋体"/>
                <w:color w:val="auto"/>
                <w:kern w:val="2"/>
                <w:sz w:val="22"/>
                <w:szCs w:val="22"/>
                <w:highlight w:val="none"/>
                <w:lang w:val="en-US" w:eastAsia="zh-CN" w:bidi="ar"/>
              </w:rPr>
              <w:t>承诺</w:t>
            </w:r>
          </w:p>
        </w:tc>
        <w:tc>
          <w:tcPr>
            <w:tcW w:w="68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AF12000">
            <w:pPr>
              <w:keepNext w:val="0"/>
              <w:keepLines w:val="0"/>
              <w:pageBreakBefore w:val="0"/>
              <w:widowControl/>
              <w:suppressLineNumbers w:val="0"/>
              <w:shd w:val="clear"/>
              <w:kinsoku/>
              <w:wordWrap/>
              <w:overflowPunct/>
              <w:topLinePunct w:val="0"/>
              <w:bidi w:val="0"/>
              <w:adjustRightInd/>
              <w:snapToGrid/>
              <w:spacing w:before="0" w:beforeAutospacing="0" w:after="0" w:afterAutospacing="0" w:line="360" w:lineRule="exact"/>
              <w:ind w:left="0" w:right="0" w:firstLine="440" w:firstLineChars="200"/>
              <w:jc w:val="left"/>
              <w:textAlignment w:val="center"/>
              <w:rPr>
                <w:rFonts w:hint="eastAsia" w:ascii="宋体" w:hAnsi="宋体" w:eastAsia="宋体" w:cs="宋体"/>
                <w:color w:val="auto"/>
                <w:sz w:val="22"/>
                <w:szCs w:val="22"/>
                <w:highlight w:val="none"/>
                <w:lang w:val="en-US"/>
              </w:rPr>
            </w:pPr>
            <w:r>
              <w:rPr>
                <w:rFonts w:hint="eastAsia" w:ascii="宋体" w:hAnsi="宋体" w:eastAsia="宋体" w:cs="宋体"/>
                <w:color w:val="auto"/>
                <w:kern w:val="2"/>
                <w:sz w:val="22"/>
                <w:szCs w:val="22"/>
                <w:highlight w:val="none"/>
                <w:lang w:val="en-US" w:eastAsia="zh-CN" w:bidi="ar"/>
              </w:rPr>
              <w:t>投标方承诺中标后办理所投食堂经营场所公众责任险及食品安全责任险保额均不低于500万元保险得1分。提供在本次招标文件发布之日前，为现正在经营单个项目购买的公众责任险及食品安全责任险保单，每提供一个得1分，最高得3分。</w:t>
            </w:r>
          </w:p>
        </w:tc>
        <w:tc>
          <w:tcPr>
            <w:tcW w:w="65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019C33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w:t>
            </w:r>
          </w:p>
        </w:tc>
      </w:tr>
    </w:tbl>
    <w:p w14:paraId="6AB43A00">
      <w:pPr>
        <w:rPr>
          <w:rFonts w:hint="default" w:ascii="Times New Roman" w:hAnsi="Times New Roman" w:cs="Times New Roman"/>
          <w:b/>
          <w:color w:val="auto"/>
          <w:sz w:val="24"/>
          <w:highlight w:val="none"/>
        </w:rPr>
      </w:pPr>
    </w:p>
    <w:p w14:paraId="4F282F18">
      <w:pPr>
        <w:spacing w:line="440" w:lineRule="exact"/>
        <w:ind w:firstLine="482" w:firstLineChars="200"/>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22.详细评审</w:t>
      </w:r>
    </w:p>
    <w:p w14:paraId="6590D978">
      <w:pPr>
        <w:spacing w:line="440" w:lineRule="exact"/>
        <w:ind w:firstLine="472" w:firstLineChars="200"/>
        <w:rPr>
          <w:rFonts w:hint="default" w:ascii="Times New Roman" w:hAnsi="Times New Roman" w:cs="Times New Roman"/>
          <w:color w:val="auto"/>
          <w:sz w:val="24"/>
          <w:highlight w:val="none"/>
        </w:rPr>
      </w:pPr>
      <w:r>
        <w:rPr>
          <w:rFonts w:hint="default" w:ascii="Times New Roman" w:hAnsi="Times New Roman" w:cs="Times New Roman"/>
          <w:color w:val="auto"/>
          <w:spacing w:val="-2"/>
          <w:sz w:val="24"/>
          <w:highlight w:val="none"/>
        </w:rPr>
        <w:t>22.1</w:t>
      </w:r>
      <w:r>
        <w:rPr>
          <w:rFonts w:hint="eastAsia" w:cs="Times New Roman"/>
          <w:color w:val="auto"/>
          <w:spacing w:val="-2"/>
          <w:sz w:val="24"/>
          <w:highlight w:val="none"/>
          <w:lang w:val="en-US" w:eastAsia="zh-CN"/>
        </w:rPr>
        <w:t xml:space="preserve">  </w:t>
      </w:r>
      <w:r>
        <w:rPr>
          <w:rFonts w:hint="default" w:ascii="Times New Roman" w:hAnsi="Times New Roman" w:cs="Times New Roman"/>
          <w:color w:val="auto"/>
          <w:spacing w:val="-2"/>
          <w:sz w:val="24"/>
          <w:highlight w:val="none"/>
        </w:rPr>
        <w:t>经初步评审合格的</w:t>
      </w:r>
      <w:r>
        <w:rPr>
          <w:rFonts w:hint="default" w:ascii="Times New Roman" w:hAnsi="Times New Roman" w:cs="Times New Roman"/>
          <w:color w:val="auto"/>
          <w:spacing w:val="-2"/>
          <w:sz w:val="24"/>
          <w:highlight w:val="none"/>
          <w:lang w:eastAsia="zh-CN"/>
        </w:rPr>
        <w:t>投标文件</w:t>
      </w:r>
      <w:r>
        <w:rPr>
          <w:rFonts w:hint="default" w:ascii="Times New Roman" w:hAnsi="Times New Roman" w:cs="Times New Roman"/>
          <w:color w:val="auto"/>
          <w:spacing w:val="-2"/>
          <w:sz w:val="24"/>
          <w:highlight w:val="none"/>
        </w:rPr>
        <w:t>，</w:t>
      </w:r>
      <w:r>
        <w:rPr>
          <w:rFonts w:hint="default" w:ascii="Times New Roman" w:hAnsi="Times New Roman" w:cs="Times New Roman"/>
          <w:color w:val="auto"/>
          <w:spacing w:val="-2"/>
          <w:sz w:val="24"/>
          <w:highlight w:val="none"/>
          <w:lang w:eastAsia="zh-CN"/>
        </w:rPr>
        <w:t>评标委员会</w:t>
      </w:r>
      <w:r>
        <w:rPr>
          <w:rFonts w:hint="default" w:ascii="Times New Roman" w:hAnsi="Times New Roman" w:cs="Times New Roman"/>
          <w:color w:val="auto"/>
          <w:spacing w:val="-2"/>
          <w:sz w:val="24"/>
          <w:highlight w:val="none"/>
        </w:rPr>
        <w:t>应当根据</w:t>
      </w:r>
      <w:r>
        <w:rPr>
          <w:rFonts w:hint="default" w:ascii="Times New Roman" w:hAnsi="Times New Roman" w:cs="Times New Roman"/>
          <w:color w:val="auto"/>
          <w:spacing w:val="-2"/>
          <w:sz w:val="24"/>
          <w:highlight w:val="none"/>
          <w:lang w:eastAsia="zh-CN"/>
        </w:rPr>
        <w:t>公开招标文件</w:t>
      </w:r>
      <w:r>
        <w:rPr>
          <w:rFonts w:hint="default" w:ascii="Times New Roman" w:hAnsi="Times New Roman" w:cs="Times New Roman"/>
          <w:color w:val="auto"/>
          <w:spacing w:val="-2"/>
          <w:sz w:val="24"/>
          <w:highlight w:val="none"/>
        </w:rPr>
        <w:t>确定的评标标准和方法，对</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所有投标产品的</w:t>
      </w:r>
      <w:r>
        <w:rPr>
          <w:rFonts w:hint="default" w:ascii="Times New Roman" w:hAnsi="Times New Roman" w:cs="Times New Roman"/>
          <w:color w:val="auto"/>
          <w:spacing w:val="-2"/>
          <w:sz w:val="24"/>
          <w:highlight w:val="none"/>
        </w:rPr>
        <w:t>技术和商务部分进行详细评审</w:t>
      </w:r>
      <w:r>
        <w:rPr>
          <w:rFonts w:hint="default" w:ascii="Times New Roman" w:hAnsi="Times New Roman" w:cs="Times New Roman"/>
          <w:color w:val="auto"/>
          <w:sz w:val="24"/>
          <w:highlight w:val="none"/>
        </w:rPr>
        <w:t>。</w:t>
      </w:r>
    </w:p>
    <w:p w14:paraId="5427B0EE">
      <w:pPr>
        <w:spacing w:line="440" w:lineRule="exact"/>
        <w:ind w:firstLine="472" w:firstLineChars="200"/>
        <w:rPr>
          <w:rFonts w:hint="default" w:ascii="Times New Roman" w:hAnsi="Times New Roman" w:cs="Times New Roman"/>
          <w:color w:val="auto"/>
          <w:spacing w:val="-2"/>
          <w:sz w:val="24"/>
          <w:highlight w:val="none"/>
        </w:rPr>
      </w:pPr>
      <w:r>
        <w:rPr>
          <w:rFonts w:hint="default" w:ascii="Times New Roman" w:hAnsi="Times New Roman" w:cs="Times New Roman"/>
          <w:color w:val="auto"/>
          <w:spacing w:val="-2"/>
          <w:sz w:val="24"/>
          <w:highlight w:val="none"/>
        </w:rPr>
        <w:t>22.2</w:t>
      </w:r>
      <w:r>
        <w:rPr>
          <w:rFonts w:hint="eastAsia" w:cs="Times New Roman"/>
          <w:color w:val="auto"/>
          <w:spacing w:val="-2"/>
          <w:sz w:val="24"/>
          <w:highlight w:val="none"/>
          <w:lang w:val="en-US" w:eastAsia="zh-CN"/>
        </w:rPr>
        <w:t xml:space="preserve">  </w:t>
      </w:r>
      <w:r>
        <w:rPr>
          <w:rFonts w:hint="default" w:ascii="Times New Roman" w:hAnsi="Times New Roman" w:cs="Times New Roman"/>
          <w:color w:val="auto"/>
          <w:spacing w:val="-2"/>
          <w:sz w:val="24"/>
          <w:highlight w:val="none"/>
        </w:rPr>
        <w:t>在评审过程中，为了</w:t>
      </w:r>
      <w:r>
        <w:rPr>
          <w:rFonts w:hint="default" w:ascii="Times New Roman" w:hAnsi="Times New Roman" w:cs="Times New Roman"/>
          <w:color w:val="auto"/>
          <w:spacing w:val="-2"/>
          <w:sz w:val="24"/>
          <w:highlight w:val="none"/>
          <w:lang w:eastAsia="zh-CN"/>
        </w:rPr>
        <w:t>有助</w:t>
      </w:r>
      <w:r>
        <w:rPr>
          <w:rFonts w:hint="eastAsia" w:cs="Times New Roman"/>
          <w:color w:val="auto"/>
          <w:spacing w:val="-2"/>
          <w:sz w:val="24"/>
          <w:highlight w:val="none"/>
          <w:lang w:eastAsia="zh-CN"/>
        </w:rPr>
        <w:t>于对</w:t>
      </w:r>
      <w:r>
        <w:rPr>
          <w:rFonts w:hint="default" w:ascii="Times New Roman" w:hAnsi="Times New Roman" w:cs="Times New Roman"/>
          <w:color w:val="auto"/>
          <w:spacing w:val="-2"/>
          <w:sz w:val="24"/>
          <w:highlight w:val="none"/>
          <w:lang w:eastAsia="zh-CN"/>
        </w:rPr>
        <w:t>投标文件</w:t>
      </w:r>
      <w:r>
        <w:rPr>
          <w:rFonts w:hint="default" w:ascii="Times New Roman" w:hAnsi="Times New Roman" w:cs="Times New Roman"/>
          <w:color w:val="auto"/>
          <w:spacing w:val="-2"/>
          <w:sz w:val="24"/>
          <w:highlight w:val="none"/>
        </w:rPr>
        <w:t>进行审查、评估，</w:t>
      </w:r>
      <w:r>
        <w:rPr>
          <w:rFonts w:hint="default" w:ascii="Times New Roman" w:hAnsi="Times New Roman" w:cs="Times New Roman"/>
          <w:color w:val="auto"/>
          <w:spacing w:val="-2"/>
          <w:sz w:val="24"/>
          <w:highlight w:val="none"/>
          <w:lang w:eastAsia="zh-CN"/>
        </w:rPr>
        <w:t>投标供应商</w:t>
      </w:r>
      <w:r>
        <w:rPr>
          <w:rFonts w:hint="default" w:ascii="Times New Roman" w:hAnsi="Times New Roman" w:cs="Times New Roman"/>
          <w:color w:val="auto"/>
          <w:spacing w:val="-2"/>
          <w:sz w:val="24"/>
          <w:highlight w:val="none"/>
        </w:rPr>
        <w:t>有责任按照</w:t>
      </w:r>
      <w:r>
        <w:rPr>
          <w:rFonts w:hint="eastAsia" w:cs="Times New Roman"/>
          <w:color w:val="auto"/>
          <w:spacing w:val="-2"/>
          <w:sz w:val="24"/>
          <w:highlight w:val="none"/>
          <w:lang w:eastAsia="zh-CN"/>
        </w:rPr>
        <w:t>采购人或者采购代理机构</w:t>
      </w:r>
      <w:r>
        <w:rPr>
          <w:rFonts w:hint="default" w:ascii="Times New Roman" w:hAnsi="Times New Roman" w:cs="Times New Roman"/>
          <w:color w:val="auto"/>
          <w:spacing w:val="-2"/>
          <w:sz w:val="24"/>
          <w:highlight w:val="none"/>
        </w:rPr>
        <w:t>通知的时间、地点指派专人进行答疑和澄清。</w:t>
      </w:r>
      <w:r>
        <w:rPr>
          <w:rFonts w:hint="default" w:ascii="Times New Roman" w:hAnsi="Times New Roman" w:cs="Times New Roman"/>
          <w:color w:val="auto"/>
          <w:spacing w:val="-2"/>
          <w:sz w:val="24"/>
          <w:highlight w:val="none"/>
          <w:lang w:eastAsia="zh-CN"/>
        </w:rPr>
        <w:t>评标委员会</w:t>
      </w:r>
      <w:r>
        <w:rPr>
          <w:rFonts w:hint="default" w:ascii="Times New Roman" w:hAnsi="Times New Roman" w:cs="Times New Roman"/>
          <w:color w:val="auto"/>
          <w:spacing w:val="-2"/>
          <w:sz w:val="24"/>
          <w:highlight w:val="none"/>
        </w:rPr>
        <w:t>可能要求</w:t>
      </w:r>
      <w:r>
        <w:rPr>
          <w:rFonts w:hint="default" w:ascii="Times New Roman" w:hAnsi="Times New Roman" w:cs="Times New Roman"/>
          <w:color w:val="auto"/>
          <w:spacing w:val="-2"/>
          <w:sz w:val="24"/>
          <w:highlight w:val="none"/>
          <w:lang w:eastAsia="zh-CN"/>
        </w:rPr>
        <w:t>投标供应商</w:t>
      </w:r>
      <w:r>
        <w:rPr>
          <w:rFonts w:hint="default" w:ascii="Times New Roman" w:hAnsi="Times New Roman" w:cs="Times New Roman"/>
          <w:color w:val="auto"/>
          <w:spacing w:val="-2"/>
          <w:sz w:val="24"/>
          <w:highlight w:val="none"/>
        </w:rPr>
        <w:t>就</w:t>
      </w:r>
      <w:r>
        <w:rPr>
          <w:rFonts w:hint="default" w:ascii="Times New Roman" w:hAnsi="Times New Roman" w:cs="Times New Roman"/>
          <w:color w:val="auto"/>
          <w:spacing w:val="-2"/>
          <w:sz w:val="24"/>
          <w:highlight w:val="none"/>
          <w:lang w:eastAsia="zh-CN"/>
        </w:rPr>
        <w:t>投标文件</w:t>
      </w:r>
      <w:r>
        <w:rPr>
          <w:rFonts w:hint="default" w:ascii="Times New Roman" w:hAnsi="Times New Roman" w:cs="Times New Roman"/>
          <w:color w:val="auto"/>
          <w:spacing w:val="-2"/>
          <w:sz w:val="24"/>
          <w:highlight w:val="none"/>
        </w:rPr>
        <w:t>中的内容进行答辩，</w:t>
      </w:r>
      <w:r>
        <w:rPr>
          <w:rFonts w:hint="default" w:ascii="Times New Roman" w:hAnsi="Times New Roman" w:cs="Times New Roman"/>
          <w:color w:val="auto"/>
          <w:spacing w:val="-2"/>
          <w:sz w:val="24"/>
          <w:highlight w:val="none"/>
          <w:lang w:eastAsia="zh-CN"/>
        </w:rPr>
        <w:t>投标供应商</w:t>
      </w:r>
      <w:r>
        <w:rPr>
          <w:rFonts w:hint="default" w:ascii="Times New Roman" w:hAnsi="Times New Roman" w:cs="Times New Roman"/>
          <w:color w:val="auto"/>
          <w:spacing w:val="-2"/>
          <w:sz w:val="24"/>
          <w:highlight w:val="none"/>
        </w:rPr>
        <w:t>应按要求进行答辩。</w:t>
      </w:r>
    </w:p>
    <w:p w14:paraId="53A55C25">
      <w:pPr>
        <w:spacing w:line="440" w:lineRule="exact"/>
        <w:ind w:firstLine="472" w:firstLineChars="200"/>
        <w:rPr>
          <w:rFonts w:hint="default" w:ascii="Times New Roman" w:hAnsi="Times New Roman" w:cs="Times New Roman"/>
          <w:color w:val="auto"/>
          <w:spacing w:val="-2"/>
          <w:sz w:val="24"/>
          <w:highlight w:val="none"/>
        </w:rPr>
      </w:pPr>
      <w:r>
        <w:rPr>
          <w:rFonts w:hint="default" w:ascii="Times New Roman" w:hAnsi="Times New Roman" w:cs="Times New Roman"/>
          <w:color w:val="auto"/>
          <w:spacing w:val="-2"/>
          <w:sz w:val="24"/>
          <w:highlight w:val="none"/>
        </w:rPr>
        <w:t>22.3</w:t>
      </w:r>
      <w:r>
        <w:rPr>
          <w:rFonts w:hint="eastAsia" w:cs="Times New Roman"/>
          <w:color w:val="auto"/>
          <w:spacing w:val="-2"/>
          <w:sz w:val="24"/>
          <w:highlight w:val="none"/>
          <w:lang w:val="en-US" w:eastAsia="zh-CN"/>
        </w:rPr>
        <w:t xml:space="preserve">  </w:t>
      </w:r>
      <w:r>
        <w:rPr>
          <w:rFonts w:hint="default" w:ascii="Times New Roman" w:hAnsi="Times New Roman" w:cs="Times New Roman"/>
          <w:color w:val="auto"/>
          <w:spacing w:val="-2"/>
          <w:sz w:val="24"/>
          <w:highlight w:val="none"/>
        </w:rPr>
        <w:t>采用综合评分法衡量</w:t>
      </w:r>
      <w:r>
        <w:rPr>
          <w:rFonts w:hint="default" w:ascii="Times New Roman" w:hAnsi="Times New Roman" w:cs="Times New Roman"/>
          <w:color w:val="auto"/>
          <w:spacing w:val="-2"/>
          <w:sz w:val="24"/>
          <w:highlight w:val="none"/>
          <w:lang w:eastAsia="zh-CN"/>
        </w:rPr>
        <w:t>投标文件</w:t>
      </w:r>
      <w:r>
        <w:rPr>
          <w:rFonts w:hint="default" w:ascii="Times New Roman" w:hAnsi="Times New Roman" w:cs="Times New Roman"/>
          <w:color w:val="auto"/>
          <w:spacing w:val="-2"/>
          <w:sz w:val="24"/>
          <w:highlight w:val="none"/>
        </w:rPr>
        <w:t>在是否最大限度地满足</w:t>
      </w:r>
      <w:r>
        <w:rPr>
          <w:rFonts w:hint="default" w:ascii="Times New Roman" w:hAnsi="Times New Roman" w:cs="Times New Roman"/>
          <w:color w:val="auto"/>
          <w:spacing w:val="-2"/>
          <w:sz w:val="24"/>
          <w:highlight w:val="none"/>
          <w:lang w:eastAsia="zh-CN"/>
        </w:rPr>
        <w:t>公开招标文件</w:t>
      </w:r>
      <w:r>
        <w:rPr>
          <w:rFonts w:hint="default" w:ascii="Times New Roman" w:hAnsi="Times New Roman" w:cs="Times New Roman"/>
          <w:color w:val="auto"/>
          <w:spacing w:val="-2"/>
          <w:sz w:val="24"/>
          <w:highlight w:val="none"/>
        </w:rPr>
        <w:t>实质性要求前提下，按照</w:t>
      </w:r>
      <w:r>
        <w:rPr>
          <w:rFonts w:hint="default" w:ascii="Times New Roman" w:hAnsi="Times New Roman" w:cs="Times New Roman"/>
          <w:color w:val="auto"/>
          <w:spacing w:val="-2"/>
          <w:sz w:val="24"/>
          <w:highlight w:val="none"/>
          <w:lang w:eastAsia="zh-CN"/>
        </w:rPr>
        <w:t>公开招标文件</w:t>
      </w:r>
      <w:r>
        <w:rPr>
          <w:rFonts w:hint="default" w:ascii="Times New Roman" w:hAnsi="Times New Roman" w:cs="Times New Roman"/>
          <w:color w:val="auto"/>
          <w:spacing w:val="-2"/>
          <w:sz w:val="24"/>
          <w:highlight w:val="none"/>
        </w:rPr>
        <w:t>中规定的各项因素进行综合评审后，依据得分高低，依次确定为中标候选</w:t>
      </w:r>
      <w:r>
        <w:rPr>
          <w:rFonts w:hint="eastAsia" w:cs="Times New Roman"/>
          <w:color w:val="auto"/>
          <w:spacing w:val="-2"/>
          <w:sz w:val="24"/>
          <w:highlight w:val="none"/>
          <w:lang w:eastAsia="zh-CN"/>
        </w:rPr>
        <w:t>供应商</w:t>
      </w:r>
      <w:r>
        <w:rPr>
          <w:rFonts w:hint="default" w:ascii="Times New Roman" w:hAnsi="Times New Roman" w:cs="Times New Roman"/>
          <w:color w:val="auto"/>
          <w:spacing w:val="-2"/>
          <w:sz w:val="24"/>
          <w:highlight w:val="none"/>
        </w:rPr>
        <w:t>。</w:t>
      </w:r>
    </w:p>
    <w:p w14:paraId="5BD70224">
      <w:pPr>
        <w:spacing w:line="440" w:lineRule="exact"/>
        <w:ind w:firstLine="472" w:firstLineChars="200"/>
        <w:rPr>
          <w:rFonts w:hint="default" w:ascii="Times New Roman" w:hAnsi="Times New Roman" w:cs="Times New Roman"/>
          <w:color w:val="auto"/>
          <w:spacing w:val="-2"/>
          <w:sz w:val="24"/>
          <w:highlight w:val="none"/>
        </w:rPr>
      </w:pPr>
      <w:r>
        <w:rPr>
          <w:rFonts w:hint="default" w:ascii="Times New Roman" w:hAnsi="Times New Roman" w:cs="Times New Roman"/>
          <w:color w:val="auto"/>
          <w:spacing w:val="-2"/>
          <w:sz w:val="24"/>
          <w:highlight w:val="none"/>
        </w:rPr>
        <w:t>提供相同品牌产品且通过资格审查、符合性审查的不同</w:t>
      </w:r>
      <w:r>
        <w:rPr>
          <w:rFonts w:hint="default" w:ascii="Times New Roman" w:hAnsi="Times New Roman" w:cs="Times New Roman"/>
          <w:color w:val="auto"/>
          <w:spacing w:val="-2"/>
          <w:sz w:val="24"/>
          <w:highlight w:val="none"/>
          <w:lang w:eastAsia="zh-CN"/>
        </w:rPr>
        <w:t>投标供应商</w:t>
      </w:r>
      <w:r>
        <w:rPr>
          <w:rFonts w:hint="default" w:ascii="Times New Roman" w:hAnsi="Times New Roman" w:cs="Times New Roman"/>
          <w:color w:val="auto"/>
          <w:spacing w:val="-2"/>
          <w:sz w:val="24"/>
          <w:highlight w:val="none"/>
        </w:rPr>
        <w:t>参加同一合同项下投标的，按一家</w:t>
      </w:r>
      <w:r>
        <w:rPr>
          <w:rFonts w:hint="default" w:ascii="Times New Roman" w:hAnsi="Times New Roman" w:cs="Times New Roman"/>
          <w:color w:val="auto"/>
          <w:spacing w:val="-2"/>
          <w:sz w:val="24"/>
          <w:highlight w:val="none"/>
          <w:lang w:eastAsia="zh-CN"/>
        </w:rPr>
        <w:t>投标供应商</w:t>
      </w:r>
      <w:r>
        <w:rPr>
          <w:rFonts w:hint="default" w:ascii="Times New Roman" w:hAnsi="Times New Roman" w:cs="Times New Roman"/>
          <w:color w:val="auto"/>
          <w:spacing w:val="-2"/>
          <w:sz w:val="24"/>
          <w:highlight w:val="none"/>
        </w:rPr>
        <w:t>计算，评审后得分最高的同品牌</w:t>
      </w:r>
      <w:r>
        <w:rPr>
          <w:rFonts w:hint="default" w:ascii="Times New Roman" w:hAnsi="Times New Roman" w:cs="Times New Roman"/>
          <w:color w:val="auto"/>
          <w:spacing w:val="-2"/>
          <w:sz w:val="24"/>
          <w:highlight w:val="none"/>
          <w:lang w:eastAsia="zh-CN"/>
        </w:rPr>
        <w:t>投标供应商</w:t>
      </w:r>
      <w:r>
        <w:rPr>
          <w:rFonts w:hint="default" w:ascii="Times New Roman" w:hAnsi="Times New Roman" w:cs="Times New Roman"/>
          <w:color w:val="auto"/>
          <w:spacing w:val="-2"/>
          <w:sz w:val="24"/>
          <w:highlight w:val="none"/>
        </w:rPr>
        <w:t>获得</w:t>
      </w:r>
      <w:r>
        <w:rPr>
          <w:rFonts w:hint="default" w:ascii="Times New Roman" w:hAnsi="Times New Roman" w:cs="Times New Roman"/>
          <w:color w:val="auto"/>
          <w:spacing w:val="-2"/>
          <w:sz w:val="24"/>
          <w:highlight w:val="none"/>
          <w:lang w:eastAsia="zh-CN"/>
        </w:rPr>
        <w:t>中标</w:t>
      </w:r>
      <w:r>
        <w:rPr>
          <w:rFonts w:hint="eastAsia" w:cs="Times New Roman"/>
          <w:color w:val="auto"/>
          <w:spacing w:val="-2"/>
          <w:sz w:val="24"/>
          <w:highlight w:val="none"/>
          <w:lang w:eastAsia="zh-CN"/>
        </w:rPr>
        <w:t>供应商</w:t>
      </w:r>
      <w:r>
        <w:rPr>
          <w:rFonts w:hint="default" w:ascii="Times New Roman" w:hAnsi="Times New Roman" w:cs="Times New Roman"/>
          <w:color w:val="auto"/>
          <w:spacing w:val="-2"/>
          <w:sz w:val="24"/>
          <w:highlight w:val="none"/>
        </w:rPr>
        <w:t>推荐资格；评审得分相同的，由采购人或者采购人委托</w:t>
      </w:r>
      <w:r>
        <w:rPr>
          <w:rFonts w:hint="default" w:ascii="Times New Roman" w:hAnsi="Times New Roman" w:cs="Times New Roman"/>
          <w:color w:val="auto"/>
          <w:spacing w:val="-2"/>
          <w:sz w:val="24"/>
          <w:highlight w:val="none"/>
          <w:lang w:eastAsia="zh-CN"/>
        </w:rPr>
        <w:t>评标委员会</w:t>
      </w:r>
      <w:r>
        <w:rPr>
          <w:rFonts w:hint="default" w:ascii="Times New Roman" w:hAnsi="Times New Roman" w:cs="Times New Roman"/>
          <w:color w:val="auto"/>
          <w:spacing w:val="-2"/>
          <w:sz w:val="24"/>
          <w:highlight w:val="none"/>
        </w:rPr>
        <w:t>按照</w:t>
      </w:r>
      <w:r>
        <w:rPr>
          <w:rFonts w:hint="default" w:ascii="Times New Roman" w:hAnsi="Times New Roman" w:cs="Times New Roman"/>
          <w:color w:val="auto"/>
          <w:spacing w:val="-2"/>
          <w:sz w:val="24"/>
          <w:highlight w:val="none"/>
          <w:lang w:eastAsia="zh-CN"/>
        </w:rPr>
        <w:t>公开招标文件</w:t>
      </w:r>
      <w:r>
        <w:rPr>
          <w:rFonts w:hint="default" w:ascii="Times New Roman" w:hAnsi="Times New Roman" w:cs="Times New Roman"/>
          <w:color w:val="auto"/>
          <w:spacing w:val="-2"/>
          <w:sz w:val="24"/>
          <w:highlight w:val="none"/>
        </w:rPr>
        <w:t>规定的方式确定一个</w:t>
      </w:r>
      <w:r>
        <w:rPr>
          <w:rFonts w:hint="default" w:ascii="Times New Roman" w:hAnsi="Times New Roman" w:cs="Times New Roman"/>
          <w:color w:val="auto"/>
          <w:spacing w:val="-2"/>
          <w:sz w:val="24"/>
          <w:highlight w:val="none"/>
          <w:lang w:eastAsia="zh-CN"/>
        </w:rPr>
        <w:t>投标供应商</w:t>
      </w:r>
      <w:r>
        <w:rPr>
          <w:rFonts w:hint="default" w:ascii="Times New Roman" w:hAnsi="Times New Roman" w:cs="Times New Roman"/>
          <w:color w:val="auto"/>
          <w:spacing w:val="-2"/>
          <w:sz w:val="24"/>
          <w:highlight w:val="none"/>
        </w:rPr>
        <w:t>获得</w:t>
      </w:r>
      <w:r>
        <w:rPr>
          <w:rFonts w:hint="default" w:ascii="Times New Roman" w:hAnsi="Times New Roman" w:cs="Times New Roman"/>
          <w:color w:val="auto"/>
          <w:spacing w:val="-2"/>
          <w:sz w:val="24"/>
          <w:highlight w:val="none"/>
          <w:lang w:eastAsia="zh-CN"/>
        </w:rPr>
        <w:t>中标</w:t>
      </w:r>
      <w:r>
        <w:rPr>
          <w:rFonts w:hint="eastAsia" w:cs="Times New Roman"/>
          <w:color w:val="auto"/>
          <w:spacing w:val="-2"/>
          <w:sz w:val="24"/>
          <w:highlight w:val="none"/>
          <w:lang w:eastAsia="zh-CN"/>
        </w:rPr>
        <w:t>供应商</w:t>
      </w:r>
      <w:r>
        <w:rPr>
          <w:rFonts w:hint="default" w:ascii="Times New Roman" w:hAnsi="Times New Roman" w:cs="Times New Roman"/>
          <w:color w:val="auto"/>
          <w:spacing w:val="-2"/>
          <w:sz w:val="24"/>
          <w:highlight w:val="none"/>
        </w:rPr>
        <w:t>推荐资格，</w:t>
      </w:r>
      <w:r>
        <w:rPr>
          <w:rFonts w:hint="default" w:ascii="Times New Roman" w:hAnsi="Times New Roman" w:cs="Times New Roman"/>
          <w:color w:val="auto"/>
          <w:spacing w:val="-2"/>
          <w:sz w:val="24"/>
          <w:highlight w:val="none"/>
          <w:lang w:eastAsia="zh-CN"/>
        </w:rPr>
        <w:t>公开招标文件</w:t>
      </w:r>
      <w:r>
        <w:rPr>
          <w:rFonts w:hint="default" w:ascii="Times New Roman" w:hAnsi="Times New Roman" w:cs="Times New Roman"/>
          <w:color w:val="auto"/>
          <w:spacing w:val="-2"/>
          <w:sz w:val="24"/>
          <w:highlight w:val="none"/>
        </w:rPr>
        <w:t>未规定的采取随机抽取方式确定，其他同品牌</w:t>
      </w:r>
      <w:r>
        <w:rPr>
          <w:rFonts w:hint="default" w:ascii="Times New Roman" w:hAnsi="Times New Roman" w:cs="Times New Roman"/>
          <w:color w:val="auto"/>
          <w:spacing w:val="-2"/>
          <w:sz w:val="24"/>
          <w:highlight w:val="none"/>
          <w:lang w:eastAsia="zh-CN"/>
        </w:rPr>
        <w:t>投标供应商</w:t>
      </w:r>
      <w:r>
        <w:rPr>
          <w:rFonts w:hint="default" w:ascii="Times New Roman" w:hAnsi="Times New Roman" w:cs="Times New Roman"/>
          <w:color w:val="auto"/>
          <w:spacing w:val="-2"/>
          <w:sz w:val="24"/>
          <w:highlight w:val="none"/>
        </w:rPr>
        <w:t>不作为中标候选</w:t>
      </w:r>
      <w:r>
        <w:rPr>
          <w:rFonts w:hint="eastAsia" w:cs="Times New Roman"/>
          <w:color w:val="auto"/>
          <w:spacing w:val="-2"/>
          <w:sz w:val="24"/>
          <w:highlight w:val="none"/>
          <w:lang w:eastAsia="zh-CN"/>
        </w:rPr>
        <w:t>供应商</w:t>
      </w:r>
      <w:r>
        <w:rPr>
          <w:rFonts w:hint="default" w:ascii="Times New Roman" w:hAnsi="Times New Roman" w:cs="Times New Roman"/>
          <w:color w:val="auto"/>
          <w:spacing w:val="-2"/>
          <w:sz w:val="24"/>
          <w:highlight w:val="none"/>
        </w:rPr>
        <w:t>。</w:t>
      </w:r>
    </w:p>
    <w:p w14:paraId="634BFCD8">
      <w:pPr>
        <w:spacing w:line="440" w:lineRule="exact"/>
        <w:ind w:firstLine="472" w:firstLineChars="200"/>
        <w:rPr>
          <w:rFonts w:hint="default" w:ascii="Times New Roman" w:hAnsi="Times New Roman" w:cs="Times New Roman"/>
          <w:color w:val="auto"/>
          <w:spacing w:val="-2"/>
          <w:sz w:val="24"/>
          <w:highlight w:val="none"/>
        </w:rPr>
      </w:pPr>
      <w:r>
        <w:rPr>
          <w:rFonts w:hint="default" w:ascii="Times New Roman" w:hAnsi="Times New Roman" w:cs="Times New Roman"/>
          <w:color w:val="auto"/>
          <w:spacing w:val="-2"/>
          <w:sz w:val="24"/>
          <w:highlight w:val="none"/>
        </w:rPr>
        <w:t>非单一产品采购项目，采购人应当根据采购项目技术构成、产品价格比重等合理确定核心产品，并在</w:t>
      </w:r>
      <w:r>
        <w:rPr>
          <w:rFonts w:hint="default" w:ascii="Times New Roman" w:hAnsi="Times New Roman" w:cs="Times New Roman"/>
          <w:color w:val="auto"/>
          <w:spacing w:val="-2"/>
          <w:sz w:val="24"/>
          <w:highlight w:val="none"/>
          <w:lang w:eastAsia="zh-CN"/>
        </w:rPr>
        <w:t>公开招标文件</w:t>
      </w:r>
      <w:r>
        <w:rPr>
          <w:rFonts w:hint="default" w:ascii="Times New Roman" w:hAnsi="Times New Roman" w:cs="Times New Roman"/>
          <w:color w:val="auto"/>
          <w:spacing w:val="-2"/>
          <w:sz w:val="24"/>
          <w:highlight w:val="none"/>
        </w:rPr>
        <w:t>中载明。多家</w:t>
      </w:r>
      <w:r>
        <w:rPr>
          <w:rFonts w:hint="default" w:ascii="Times New Roman" w:hAnsi="Times New Roman" w:cs="Times New Roman"/>
          <w:color w:val="auto"/>
          <w:spacing w:val="-2"/>
          <w:sz w:val="24"/>
          <w:highlight w:val="none"/>
          <w:lang w:eastAsia="zh-CN"/>
        </w:rPr>
        <w:t>投标供应商</w:t>
      </w:r>
      <w:r>
        <w:rPr>
          <w:rFonts w:hint="default" w:ascii="Times New Roman" w:hAnsi="Times New Roman" w:cs="Times New Roman"/>
          <w:color w:val="auto"/>
          <w:spacing w:val="-2"/>
          <w:sz w:val="24"/>
          <w:highlight w:val="none"/>
        </w:rPr>
        <w:t>提供的核心产品品牌相同的，按前款规定处理。</w:t>
      </w:r>
    </w:p>
    <w:p w14:paraId="3F7312A3">
      <w:pPr>
        <w:spacing w:line="440" w:lineRule="exact"/>
        <w:ind w:firstLine="472" w:firstLineChars="200"/>
        <w:rPr>
          <w:rFonts w:hint="default" w:ascii="Times New Roman" w:hAnsi="Times New Roman" w:cs="Times New Roman"/>
          <w:color w:val="auto"/>
          <w:spacing w:val="-2"/>
          <w:sz w:val="24"/>
          <w:highlight w:val="none"/>
        </w:rPr>
      </w:pPr>
      <w:r>
        <w:rPr>
          <w:rFonts w:hint="default" w:ascii="Times New Roman" w:hAnsi="Times New Roman" w:cs="Times New Roman"/>
          <w:color w:val="auto"/>
          <w:spacing w:val="-2"/>
          <w:sz w:val="24"/>
          <w:highlight w:val="none"/>
        </w:rPr>
        <w:t>22.3.1</w:t>
      </w:r>
      <w:r>
        <w:rPr>
          <w:rFonts w:hint="eastAsia" w:cs="Times New Roman"/>
          <w:color w:val="auto"/>
          <w:spacing w:val="-2"/>
          <w:sz w:val="24"/>
          <w:highlight w:val="none"/>
          <w:lang w:val="en-US" w:eastAsia="zh-CN"/>
        </w:rPr>
        <w:t xml:space="preserve">  </w:t>
      </w:r>
      <w:r>
        <w:rPr>
          <w:rFonts w:hint="default" w:ascii="Times New Roman" w:hAnsi="Times New Roman" w:cs="Times New Roman"/>
          <w:color w:val="auto"/>
          <w:spacing w:val="-2"/>
          <w:sz w:val="24"/>
          <w:highlight w:val="none"/>
        </w:rPr>
        <w:t>当</w:t>
      </w:r>
      <w:r>
        <w:rPr>
          <w:rFonts w:hint="default" w:ascii="Times New Roman" w:hAnsi="Times New Roman" w:cs="Times New Roman"/>
          <w:color w:val="auto"/>
          <w:spacing w:val="-2"/>
          <w:sz w:val="24"/>
          <w:highlight w:val="none"/>
          <w:lang w:eastAsia="zh-CN"/>
        </w:rPr>
        <w:t>投标供应商</w:t>
      </w:r>
      <w:r>
        <w:rPr>
          <w:rFonts w:hint="default" w:ascii="Times New Roman" w:hAnsi="Times New Roman" w:cs="Times New Roman"/>
          <w:color w:val="auto"/>
          <w:spacing w:val="-2"/>
          <w:sz w:val="24"/>
          <w:highlight w:val="none"/>
        </w:rPr>
        <w:t>总得分相同时，以投标价格低者排位在前。</w:t>
      </w:r>
    </w:p>
    <w:p w14:paraId="654468D1">
      <w:pPr>
        <w:spacing w:line="440" w:lineRule="exact"/>
        <w:ind w:firstLine="472" w:firstLineChars="200"/>
        <w:rPr>
          <w:rFonts w:hint="default" w:ascii="Times New Roman" w:hAnsi="Times New Roman" w:cs="Times New Roman"/>
          <w:color w:val="auto"/>
          <w:spacing w:val="-2"/>
          <w:sz w:val="24"/>
          <w:highlight w:val="none"/>
        </w:rPr>
      </w:pPr>
      <w:r>
        <w:rPr>
          <w:rFonts w:hint="default" w:ascii="Times New Roman" w:hAnsi="Times New Roman" w:cs="Times New Roman"/>
          <w:color w:val="auto"/>
          <w:spacing w:val="-2"/>
          <w:sz w:val="24"/>
          <w:highlight w:val="none"/>
        </w:rPr>
        <w:t>22.4</w:t>
      </w:r>
      <w:r>
        <w:rPr>
          <w:rFonts w:hint="eastAsia" w:cs="Times New Roman"/>
          <w:color w:val="auto"/>
          <w:spacing w:val="-2"/>
          <w:sz w:val="24"/>
          <w:highlight w:val="none"/>
          <w:lang w:val="en-US" w:eastAsia="zh-CN"/>
        </w:rPr>
        <w:t xml:space="preserve">  </w:t>
      </w:r>
      <w:r>
        <w:rPr>
          <w:rFonts w:hint="default" w:ascii="Times New Roman" w:hAnsi="Times New Roman" w:cs="Times New Roman"/>
          <w:color w:val="auto"/>
          <w:spacing w:val="-2"/>
          <w:sz w:val="24"/>
          <w:highlight w:val="none"/>
        </w:rPr>
        <w:t>根据综合评分法完成评标后，</w:t>
      </w:r>
      <w:r>
        <w:rPr>
          <w:rFonts w:hint="default" w:ascii="Times New Roman" w:hAnsi="Times New Roman" w:cs="Times New Roman"/>
          <w:color w:val="auto"/>
          <w:spacing w:val="-2"/>
          <w:sz w:val="24"/>
          <w:highlight w:val="none"/>
          <w:lang w:eastAsia="zh-CN"/>
        </w:rPr>
        <w:t>评标委员会</w:t>
      </w:r>
      <w:r>
        <w:rPr>
          <w:rFonts w:hint="default" w:ascii="Times New Roman" w:hAnsi="Times New Roman" w:cs="Times New Roman"/>
          <w:color w:val="auto"/>
          <w:spacing w:val="-2"/>
          <w:sz w:val="24"/>
          <w:highlight w:val="none"/>
        </w:rPr>
        <w:t>应当拟定一份书面评标报告提交</w:t>
      </w:r>
      <w:r>
        <w:rPr>
          <w:rFonts w:hint="eastAsia" w:cs="Times New Roman"/>
          <w:color w:val="auto"/>
          <w:spacing w:val="-2"/>
          <w:sz w:val="24"/>
          <w:highlight w:val="none"/>
          <w:lang w:eastAsia="zh-CN"/>
        </w:rPr>
        <w:t>采购人或者采购代理机构</w:t>
      </w:r>
      <w:r>
        <w:rPr>
          <w:rFonts w:hint="default" w:ascii="Times New Roman" w:hAnsi="Times New Roman" w:cs="Times New Roman"/>
          <w:color w:val="auto"/>
          <w:spacing w:val="-2"/>
          <w:sz w:val="24"/>
          <w:highlight w:val="none"/>
        </w:rPr>
        <w:t>。</w:t>
      </w:r>
    </w:p>
    <w:p w14:paraId="2CF8D659">
      <w:pPr>
        <w:spacing w:line="440" w:lineRule="exact"/>
        <w:jc w:val="center"/>
        <w:rPr>
          <w:rFonts w:hint="default" w:ascii="Times New Roman" w:hAnsi="Times New Roman" w:cs="Times New Roman"/>
          <w:color w:val="auto"/>
          <w:spacing w:val="-2"/>
          <w:sz w:val="24"/>
          <w:highlight w:val="none"/>
        </w:rPr>
      </w:pPr>
    </w:p>
    <w:p w14:paraId="626AB5C1">
      <w:pPr>
        <w:spacing w:line="440" w:lineRule="exact"/>
        <w:rPr>
          <w:rFonts w:hint="default" w:ascii="Times New Roman" w:hAnsi="Times New Roman" w:cs="Times New Roman"/>
          <w:b/>
          <w:color w:val="auto"/>
          <w:highlight w:val="none"/>
        </w:rPr>
      </w:pPr>
    </w:p>
    <w:p w14:paraId="7C977A40">
      <w:pPr>
        <w:spacing w:line="440" w:lineRule="exact"/>
        <w:jc w:val="center"/>
        <w:outlineLvl w:val="1"/>
        <w:rPr>
          <w:rFonts w:hint="default" w:ascii="Times New Roman" w:hAnsi="Times New Roman" w:cs="Times New Roman"/>
          <w:b/>
          <w:color w:val="auto"/>
          <w:sz w:val="32"/>
          <w:szCs w:val="32"/>
          <w:highlight w:val="none"/>
        </w:rPr>
      </w:pPr>
      <w:bookmarkStart w:id="37" w:name="_Toc21730"/>
      <w:bookmarkStart w:id="38" w:name="_Toc3777"/>
      <w:bookmarkStart w:id="39" w:name="_Toc5430"/>
      <w:r>
        <w:rPr>
          <w:rFonts w:hint="default" w:ascii="Times New Roman" w:hAnsi="Times New Roman" w:cs="Times New Roman"/>
          <w:b/>
          <w:color w:val="auto"/>
          <w:sz w:val="32"/>
          <w:szCs w:val="32"/>
          <w:highlight w:val="none"/>
        </w:rPr>
        <w:t>第七章定　标</w:t>
      </w:r>
      <w:bookmarkEnd w:id="37"/>
      <w:bookmarkEnd w:id="38"/>
      <w:bookmarkEnd w:id="39"/>
    </w:p>
    <w:p w14:paraId="230889A0">
      <w:pPr>
        <w:spacing w:line="440" w:lineRule="exact"/>
        <w:ind w:firstLine="482" w:firstLineChars="200"/>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23.定标标准</w:t>
      </w:r>
    </w:p>
    <w:p w14:paraId="4224BE89">
      <w:pPr>
        <w:spacing w:line="440" w:lineRule="exact"/>
        <w:ind w:firstLine="472" w:firstLineChars="200"/>
        <w:rPr>
          <w:rFonts w:hint="default" w:ascii="Times New Roman" w:hAnsi="Times New Roman" w:cs="Times New Roman"/>
          <w:color w:val="auto"/>
          <w:spacing w:val="-2"/>
          <w:sz w:val="24"/>
          <w:highlight w:val="none"/>
        </w:rPr>
      </w:pPr>
      <w:r>
        <w:rPr>
          <w:rFonts w:hint="default" w:ascii="Times New Roman" w:hAnsi="Times New Roman" w:cs="Times New Roman"/>
          <w:color w:val="auto"/>
          <w:spacing w:val="-2"/>
          <w:sz w:val="24"/>
          <w:highlight w:val="none"/>
        </w:rPr>
        <w:t>23.1　合同将授予被确定为实质性响应</w:t>
      </w:r>
      <w:r>
        <w:rPr>
          <w:rFonts w:hint="default" w:ascii="Times New Roman" w:hAnsi="Times New Roman" w:cs="Times New Roman"/>
          <w:color w:val="auto"/>
          <w:spacing w:val="-2"/>
          <w:sz w:val="24"/>
          <w:highlight w:val="none"/>
          <w:lang w:eastAsia="zh-CN"/>
        </w:rPr>
        <w:t>公开招标文件</w:t>
      </w:r>
      <w:r>
        <w:rPr>
          <w:rFonts w:hint="default" w:ascii="Times New Roman" w:hAnsi="Times New Roman" w:cs="Times New Roman"/>
          <w:color w:val="auto"/>
          <w:spacing w:val="-2"/>
          <w:sz w:val="24"/>
          <w:highlight w:val="none"/>
        </w:rPr>
        <w:t>要求，经评定认为具备履行合同能力、报价合理、技术和商务条件都符合</w:t>
      </w:r>
      <w:r>
        <w:rPr>
          <w:rFonts w:hint="default" w:ascii="Times New Roman" w:hAnsi="Times New Roman" w:cs="Times New Roman"/>
          <w:color w:val="auto"/>
          <w:spacing w:val="-2"/>
          <w:sz w:val="24"/>
          <w:highlight w:val="none"/>
          <w:lang w:eastAsia="zh-CN"/>
        </w:rPr>
        <w:t>公开招标文件</w:t>
      </w:r>
      <w:r>
        <w:rPr>
          <w:rFonts w:hint="default" w:ascii="Times New Roman" w:hAnsi="Times New Roman" w:cs="Times New Roman"/>
          <w:color w:val="auto"/>
          <w:spacing w:val="-2"/>
          <w:sz w:val="24"/>
          <w:highlight w:val="none"/>
        </w:rPr>
        <w:t>要求的，得分最高的</w:t>
      </w:r>
      <w:r>
        <w:rPr>
          <w:rFonts w:hint="default" w:ascii="Times New Roman" w:hAnsi="Times New Roman" w:cs="Times New Roman"/>
          <w:color w:val="auto"/>
          <w:spacing w:val="-2"/>
          <w:sz w:val="24"/>
          <w:highlight w:val="none"/>
          <w:lang w:eastAsia="zh-CN"/>
        </w:rPr>
        <w:t>投标供应商</w:t>
      </w:r>
      <w:r>
        <w:rPr>
          <w:rFonts w:hint="default" w:ascii="Times New Roman" w:hAnsi="Times New Roman" w:cs="Times New Roman"/>
          <w:color w:val="auto"/>
          <w:spacing w:val="-2"/>
          <w:sz w:val="24"/>
          <w:highlight w:val="none"/>
        </w:rPr>
        <w:t>。</w:t>
      </w:r>
    </w:p>
    <w:p w14:paraId="6F126D13">
      <w:pPr>
        <w:spacing w:line="440" w:lineRule="exact"/>
        <w:ind w:firstLine="472" w:firstLineChars="200"/>
        <w:rPr>
          <w:rFonts w:hint="default" w:ascii="Times New Roman" w:hAnsi="Times New Roman" w:cs="Times New Roman"/>
          <w:color w:val="auto"/>
          <w:spacing w:val="-2"/>
          <w:sz w:val="24"/>
          <w:highlight w:val="none"/>
        </w:rPr>
      </w:pPr>
      <w:r>
        <w:rPr>
          <w:rFonts w:hint="default" w:ascii="Times New Roman" w:hAnsi="Times New Roman" w:cs="Times New Roman"/>
          <w:color w:val="auto"/>
          <w:spacing w:val="-2"/>
          <w:sz w:val="24"/>
          <w:highlight w:val="none"/>
        </w:rPr>
        <w:t>23.2　如果确定</w:t>
      </w:r>
      <w:r>
        <w:rPr>
          <w:rFonts w:hint="default" w:ascii="Times New Roman" w:hAnsi="Times New Roman" w:cs="Times New Roman"/>
          <w:color w:val="auto"/>
          <w:spacing w:val="-2"/>
          <w:sz w:val="24"/>
          <w:highlight w:val="none"/>
          <w:lang w:eastAsia="zh-CN"/>
        </w:rPr>
        <w:t>中标</w:t>
      </w:r>
      <w:r>
        <w:rPr>
          <w:rFonts w:hint="eastAsia" w:cs="Times New Roman"/>
          <w:color w:val="auto"/>
          <w:spacing w:val="-2"/>
          <w:sz w:val="24"/>
          <w:highlight w:val="none"/>
          <w:lang w:eastAsia="zh-CN"/>
        </w:rPr>
        <w:t>供应商</w:t>
      </w:r>
      <w:r>
        <w:rPr>
          <w:rFonts w:hint="default" w:ascii="Times New Roman" w:hAnsi="Times New Roman" w:cs="Times New Roman"/>
          <w:color w:val="auto"/>
          <w:spacing w:val="-2"/>
          <w:sz w:val="24"/>
          <w:highlight w:val="none"/>
        </w:rPr>
        <w:t>没有条件圆满履行合同，</w:t>
      </w:r>
      <w:r>
        <w:rPr>
          <w:rFonts w:hint="eastAsia" w:cs="Times New Roman"/>
          <w:color w:val="auto"/>
          <w:spacing w:val="-2"/>
          <w:sz w:val="24"/>
          <w:highlight w:val="none"/>
          <w:lang w:eastAsia="zh-CN"/>
        </w:rPr>
        <w:t>采购人或者采购代理机构</w:t>
      </w:r>
      <w:r>
        <w:rPr>
          <w:rFonts w:hint="default" w:ascii="Times New Roman" w:hAnsi="Times New Roman" w:cs="Times New Roman"/>
          <w:color w:val="auto"/>
          <w:spacing w:val="-2"/>
          <w:sz w:val="24"/>
          <w:highlight w:val="none"/>
        </w:rPr>
        <w:t>有权按照</w:t>
      </w:r>
      <w:r>
        <w:rPr>
          <w:rFonts w:hint="default" w:ascii="Times New Roman" w:hAnsi="Times New Roman" w:cs="Times New Roman"/>
          <w:color w:val="auto"/>
          <w:spacing w:val="-2"/>
          <w:sz w:val="24"/>
          <w:highlight w:val="none"/>
          <w:lang w:eastAsia="zh-CN"/>
        </w:rPr>
        <w:t>投标供应商</w:t>
      </w:r>
      <w:r>
        <w:rPr>
          <w:rFonts w:hint="default" w:ascii="Times New Roman" w:hAnsi="Times New Roman" w:cs="Times New Roman"/>
          <w:color w:val="auto"/>
          <w:spacing w:val="-2"/>
          <w:sz w:val="24"/>
          <w:highlight w:val="none"/>
        </w:rPr>
        <w:t>的得分高低把合同授予下一个中标候选</w:t>
      </w:r>
      <w:r>
        <w:rPr>
          <w:rFonts w:hint="eastAsia" w:cs="Times New Roman"/>
          <w:color w:val="auto"/>
          <w:spacing w:val="-2"/>
          <w:sz w:val="24"/>
          <w:highlight w:val="none"/>
          <w:lang w:eastAsia="zh-CN"/>
        </w:rPr>
        <w:t>供应商</w:t>
      </w:r>
      <w:r>
        <w:rPr>
          <w:rFonts w:hint="default" w:ascii="Times New Roman" w:hAnsi="Times New Roman" w:cs="Times New Roman"/>
          <w:color w:val="auto"/>
          <w:spacing w:val="-2"/>
          <w:sz w:val="24"/>
          <w:highlight w:val="none"/>
        </w:rPr>
        <w:t>。</w:t>
      </w:r>
    </w:p>
    <w:p w14:paraId="24C54449">
      <w:pPr>
        <w:spacing w:line="440" w:lineRule="exact"/>
        <w:ind w:firstLine="482" w:firstLineChars="200"/>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24.接受和拒绝任何或所有投标的</w:t>
      </w:r>
      <w:r>
        <w:rPr>
          <w:rFonts w:hint="default" w:ascii="Times New Roman" w:hAnsi="Times New Roman" w:cs="Times New Roman"/>
          <w:b/>
          <w:color w:val="auto"/>
          <w:sz w:val="24"/>
          <w:highlight w:val="none"/>
          <w:lang w:eastAsia="zh-CN"/>
        </w:rPr>
        <w:t>权利</w:t>
      </w:r>
    </w:p>
    <w:p w14:paraId="43C0A0C8">
      <w:pPr>
        <w:spacing w:line="440" w:lineRule="exact"/>
        <w:ind w:firstLine="472" w:firstLineChars="200"/>
        <w:rPr>
          <w:rFonts w:hint="default" w:ascii="Times New Roman" w:hAnsi="Times New Roman" w:cs="Times New Roman"/>
          <w:color w:val="auto"/>
          <w:spacing w:val="-2"/>
          <w:sz w:val="24"/>
          <w:highlight w:val="none"/>
        </w:rPr>
      </w:pPr>
      <w:r>
        <w:rPr>
          <w:rFonts w:hint="default" w:ascii="Times New Roman" w:hAnsi="Times New Roman" w:cs="Times New Roman"/>
          <w:color w:val="auto"/>
          <w:spacing w:val="-2"/>
          <w:sz w:val="24"/>
          <w:highlight w:val="none"/>
        </w:rPr>
        <w:t>24.1　为维护国家利益，</w:t>
      </w:r>
      <w:r>
        <w:rPr>
          <w:rFonts w:hint="eastAsia" w:cs="Times New Roman"/>
          <w:color w:val="auto"/>
          <w:spacing w:val="-2"/>
          <w:sz w:val="24"/>
          <w:highlight w:val="none"/>
          <w:lang w:eastAsia="zh-CN"/>
        </w:rPr>
        <w:t>采购人或者采购代理机构</w:t>
      </w:r>
      <w:r>
        <w:rPr>
          <w:rFonts w:hint="default" w:ascii="Times New Roman" w:hAnsi="Times New Roman" w:cs="Times New Roman"/>
          <w:color w:val="auto"/>
          <w:spacing w:val="-2"/>
          <w:sz w:val="24"/>
          <w:highlight w:val="none"/>
        </w:rPr>
        <w:t>在授予合同之前仍有选择或拒绝任何全部</w:t>
      </w:r>
      <w:r>
        <w:rPr>
          <w:rFonts w:hint="eastAsia" w:cs="Times New Roman"/>
          <w:color w:val="auto"/>
          <w:spacing w:val="-2"/>
          <w:sz w:val="24"/>
          <w:highlight w:val="none"/>
          <w:lang w:eastAsia="zh-CN"/>
        </w:rPr>
        <w:t>投标的权利</w:t>
      </w:r>
      <w:r>
        <w:rPr>
          <w:rFonts w:hint="default" w:ascii="Times New Roman" w:hAnsi="Times New Roman" w:cs="Times New Roman"/>
          <w:color w:val="auto"/>
          <w:spacing w:val="-2"/>
          <w:sz w:val="24"/>
          <w:highlight w:val="none"/>
        </w:rPr>
        <w:t>。</w:t>
      </w:r>
    </w:p>
    <w:p w14:paraId="63982838">
      <w:pPr>
        <w:spacing w:line="440" w:lineRule="exact"/>
        <w:ind w:firstLine="482" w:firstLineChars="200"/>
        <w:rPr>
          <w:rFonts w:hint="default" w:ascii="Times New Roman" w:hAnsi="Times New Roman" w:eastAsia="宋体" w:cs="Times New Roman"/>
          <w:b/>
          <w:color w:val="auto"/>
          <w:sz w:val="24"/>
          <w:highlight w:val="none"/>
          <w:lang w:eastAsia="zh-CN"/>
        </w:rPr>
      </w:pPr>
      <w:r>
        <w:rPr>
          <w:rFonts w:hint="default" w:ascii="Times New Roman" w:hAnsi="Times New Roman" w:cs="Times New Roman"/>
          <w:b/>
          <w:color w:val="auto"/>
          <w:sz w:val="24"/>
          <w:highlight w:val="none"/>
        </w:rPr>
        <w:t>25.</w:t>
      </w:r>
      <w:r>
        <w:rPr>
          <w:rFonts w:hint="default" w:ascii="Times New Roman" w:hAnsi="Times New Roman" w:cs="Times New Roman"/>
          <w:b/>
          <w:color w:val="auto"/>
          <w:sz w:val="24"/>
          <w:highlight w:val="none"/>
          <w:lang w:eastAsia="zh-CN"/>
        </w:rPr>
        <w:t>中标通知书</w:t>
      </w:r>
    </w:p>
    <w:p w14:paraId="56E650D5">
      <w:pPr>
        <w:spacing w:line="440" w:lineRule="exact"/>
        <w:ind w:firstLine="472" w:firstLineChars="200"/>
        <w:rPr>
          <w:rFonts w:hint="default" w:ascii="Times New Roman" w:hAnsi="Times New Roman" w:cs="Times New Roman"/>
          <w:color w:val="auto"/>
          <w:spacing w:val="-2"/>
          <w:sz w:val="24"/>
          <w:highlight w:val="none"/>
        </w:rPr>
      </w:pPr>
      <w:r>
        <w:rPr>
          <w:rFonts w:hint="default" w:ascii="Times New Roman" w:hAnsi="Times New Roman" w:cs="Times New Roman"/>
          <w:color w:val="auto"/>
          <w:spacing w:val="-2"/>
          <w:sz w:val="24"/>
          <w:highlight w:val="none"/>
        </w:rPr>
        <w:t>25.1</w:t>
      </w:r>
      <w:r>
        <w:rPr>
          <w:rFonts w:hint="eastAsia" w:cs="Times New Roman"/>
          <w:color w:val="auto"/>
          <w:spacing w:val="-2"/>
          <w:sz w:val="24"/>
          <w:highlight w:val="none"/>
          <w:lang w:val="en-US" w:eastAsia="zh-CN"/>
        </w:rPr>
        <w:t xml:space="preserve">  </w:t>
      </w:r>
      <w:r>
        <w:rPr>
          <w:rFonts w:hint="default" w:ascii="Times New Roman" w:hAnsi="Times New Roman" w:cs="Times New Roman"/>
          <w:color w:val="auto"/>
          <w:spacing w:val="-2"/>
          <w:sz w:val="24"/>
          <w:highlight w:val="none"/>
        </w:rPr>
        <w:t>中标结果确定后，</w:t>
      </w:r>
      <w:r>
        <w:rPr>
          <w:rFonts w:hint="eastAsia" w:cs="Times New Roman"/>
          <w:color w:val="auto"/>
          <w:spacing w:val="-2"/>
          <w:sz w:val="24"/>
          <w:highlight w:val="none"/>
          <w:lang w:eastAsia="zh-CN"/>
        </w:rPr>
        <w:t>采购人或者采购代理机构</w:t>
      </w:r>
      <w:r>
        <w:rPr>
          <w:rFonts w:hint="default" w:ascii="Times New Roman" w:hAnsi="Times New Roman" w:cs="Times New Roman"/>
          <w:color w:val="auto"/>
          <w:spacing w:val="-2"/>
          <w:sz w:val="24"/>
          <w:highlight w:val="none"/>
        </w:rPr>
        <w:t>将以书面形式发出《</w:t>
      </w:r>
      <w:r>
        <w:rPr>
          <w:rFonts w:hint="default" w:ascii="Times New Roman" w:hAnsi="Times New Roman" w:cs="Times New Roman"/>
          <w:color w:val="auto"/>
          <w:spacing w:val="-2"/>
          <w:sz w:val="24"/>
          <w:highlight w:val="none"/>
          <w:lang w:eastAsia="zh-CN"/>
        </w:rPr>
        <w:t>中标通知书</w:t>
      </w:r>
      <w:r>
        <w:rPr>
          <w:rFonts w:hint="default" w:ascii="Times New Roman" w:hAnsi="Times New Roman" w:cs="Times New Roman"/>
          <w:color w:val="auto"/>
          <w:spacing w:val="-2"/>
          <w:sz w:val="24"/>
          <w:highlight w:val="none"/>
        </w:rPr>
        <w:t>》，但发出时间不超过</w:t>
      </w:r>
      <w:r>
        <w:rPr>
          <w:rFonts w:hint="default" w:ascii="Times New Roman" w:hAnsi="Times New Roman" w:cs="Times New Roman"/>
          <w:color w:val="auto"/>
          <w:spacing w:val="-2"/>
          <w:sz w:val="24"/>
          <w:highlight w:val="none"/>
          <w:lang w:eastAsia="zh-CN"/>
        </w:rPr>
        <w:t>投标有效期</w:t>
      </w:r>
      <w:r>
        <w:rPr>
          <w:rFonts w:hint="default" w:ascii="Times New Roman" w:hAnsi="Times New Roman" w:cs="Times New Roman"/>
          <w:color w:val="auto"/>
          <w:spacing w:val="-2"/>
          <w:sz w:val="24"/>
          <w:highlight w:val="none"/>
        </w:rPr>
        <w:t>，《</w:t>
      </w:r>
      <w:r>
        <w:rPr>
          <w:rFonts w:hint="default" w:ascii="Times New Roman" w:hAnsi="Times New Roman" w:cs="Times New Roman"/>
          <w:color w:val="auto"/>
          <w:spacing w:val="-2"/>
          <w:sz w:val="24"/>
          <w:highlight w:val="none"/>
          <w:lang w:eastAsia="zh-CN"/>
        </w:rPr>
        <w:t>中标通知书</w:t>
      </w:r>
      <w:r>
        <w:rPr>
          <w:rFonts w:hint="default" w:ascii="Times New Roman" w:hAnsi="Times New Roman" w:cs="Times New Roman"/>
          <w:color w:val="auto"/>
          <w:spacing w:val="-2"/>
          <w:sz w:val="24"/>
          <w:highlight w:val="none"/>
        </w:rPr>
        <w:t>》一经发出即发生法律效力。</w:t>
      </w:r>
    </w:p>
    <w:p w14:paraId="2BD8A796">
      <w:pPr>
        <w:spacing w:line="440" w:lineRule="exact"/>
        <w:ind w:firstLine="472" w:firstLineChars="200"/>
        <w:rPr>
          <w:rFonts w:hint="default" w:ascii="Times New Roman" w:hAnsi="Times New Roman" w:cs="Times New Roman"/>
          <w:color w:val="auto"/>
          <w:spacing w:val="-2"/>
          <w:sz w:val="24"/>
          <w:highlight w:val="none"/>
        </w:rPr>
      </w:pPr>
      <w:r>
        <w:rPr>
          <w:rFonts w:hint="default" w:ascii="Times New Roman" w:hAnsi="Times New Roman" w:cs="Times New Roman"/>
          <w:color w:val="auto"/>
          <w:spacing w:val="-2"/>
          <w:sz w:val="24"/>
          <w:highlight w:val="none"/>
        </w:rPr>
        <w:t>25.2</w:t>
      </w:r>
      <w:r>
        <w:rPr>
          <w:rFonts w:hint="eastAsia" w:cs="Times New Roman"/>
          <w:color w:val="auto"/>
          <w:spacing w:val="-2"/>
          <w:sz w:val="24"/>
          <w:highlight w:val="none"/>
          <w:lang w:val="en-US" w:eastAsia="zh-CN"/>
        </w:rPr>
        <w:t xml:space="preserve">  </w:t>
      </w:r>
      <w:r>
        <w:rPr>
          <w:rFonts w:hint="default" w:ascii="Times New Roman" w:hAnsi="Times New Roman" w:cs="Times New Roman"/>
          <w:color w:val="auto"/>
          <w:spacing w:val="-2"/>
          <w:sz w:val="24"/>
          <w:highlight w:val="none"/>
        </w:rPr>
        <w:t>《</w:t>
      </w:r>
      <w:r>
        <w:rPr>
          <w:rFonts w:hint="default" w:ascii="Times New Roman" w:hAnsi="Times New Roman" w:cs="Times New Roman"/>
          <w:color w:val="auto"/>
          <w:spacing w:val="-2"/>
          <w:sz w:val="24"/>
          <w:highlight w:val="none"/>
          <w:lang w:eastAsia="zh-CN"/>
        </w:rPr>
        <w:t>中标通知书</w:t>
      </w:r>
      <w:r>
        <w:rPr>
          <w:rFonts w:hint="default" w:ascii="Times New Roman" w:hAnsi="Times New Roman" w:cs="Times New Roman"/>
          <w:color w:val="auto"/>
          <w:spacing w:val="-2"/>
          <w:sz w:val="24"/>
          <w:highlight w:val="none"/>
        </w:rPr>
        <w:t>》将作为签订合同的依据。</w:t>
      </w:r>
    </w:p>
    <w:p w14:paraId="290BB669">
      <w:pPr>
        <w:spacing w:line="440" w:lineRule="exact"/>
        <w:ind w:firstLine="472" w:firstLineChars="200"/>
        <w:rPr>
          <w:rFonts w:hint="default" w:ascii="Times New Roman" w:hAnsi="Times New Roman" w:cs="Times New Roman"/>
          <w:color w:val="auto"/>
          <w:spacing w:val="-2"/>
          <w:sz w:val="24"/>
          <w:highlight w:val="none"/>
        </w:rPr>
      </w:pPr>
      <w:r>
        <w:rPr>
          <w:rFonts w:hint="default" w:ascii="Times New Roman" w:hAnsi="Times New Roman" w:cs="Times New Roman"/>
          <w:color w:val="auto"/>
          <w:spacing w:val="-2"/>
          <w:sz w:val="24"/>
          <w:highlight w:val="none"/>
        </w:rPr>
        <w:t>25.3</w:t>
      </w:r>
      <w:r>
        <w:rPr>
          <w:rFonts w:hint="eastAsia" w:cs="Times New Roman"/>
          <w:color w:val="auto"/>
          <w:spacing w:val="-2"/>
          <w:sz w:val="24"/>
          <w:highlight w:val="none"/>
          <w:lang w:val="en-US" w:eastAsia="zh-CN"/>
        </w:rPr>
        <w:t xml:space="preserve">  </w:t>
      </w:r>
      <w:r>
        <w:rPr>
          <w:rFonts w:hint="default" w:ascii="Times New Roman" w:hAnsi="Times New Roman" w:cs="Times New Roman"/>
          <w:color w:val="auto"/>
          <w:spacing w:val="-2"/>
          <w:sz w:val="24"/>
          <w:highlight w:val="none"/>
          <w:lang w:eastAsia="zh-CN"/>
        </w:rPr>
        <w:t>中标</w:t>
      </w:r>
      <w:r>
        <w:rPr>
          <w:rFonts w:hint="eastAsia" w:cs="Times New Roman"/>
          <w:color w:val="auto"/>
          <w:spacing w:val="-2"/>
          <w:sz w:val="24"/>
          <w:highlight w:val="none"/>
          <w:lang w:eastAsia="zh-CN"/>
        </w:rPr>
        <w:t>供应商</w:t>
      </w:r>
      <w:r>
        <w:rPr>
          <w:rFonts w:hint="default" w:ascii="Times New Roman" w:hAnsi="Times New Roman" w:cs="Times New Roman"/>
          <w:color w:val="auto"/>
          <w:spacing w:val="-2"/>
          <w:sz w:val="24"/>
          <w:highlight w:val="none"/>
        </w:rPr>
        <w:t>在领取《</w:t>
      </w:r>
      <w:r>
        <w:rPr>
          <w:rFonts w:hint="default" w:ascii="Times New Roman" w:hAnsi="Times New Roman" w:cs="Times New Roman"/>
          <w:color w:val="auto"/>
          <w:spacing w:val="-2"/>
          <w:sz w:val="24"/>
          <w:highlight w:val="none"/>
          <w:lang w:eastAsia="zh-CN"/>
        </w:rPr>
        <w:t>中标通知书</w:t>
      </w:r>
      <w:r>
        <w:rPr>
          <w:rFonts w:hint="default" w:ascii="Times New Roman" w:hAnsi="Times New Roman" w:cs="Times New Roman"/>
          <w:color w:val="auto"/>
          <w:spacing w:val="-2"/>
          <w:sz w:val="24"/>
          <w:highlight w:val="none"/>
        </w:rPr>
        <w:t>》时，必须按</w:t>
      </w:r>
      <w:r>
        <w:rPr>
          <w:rFonts w:hint="default" w:ascii="Times New Roman" w:hAnsi="Times New Roman" w:cs="Times New Roman"/>
          <w:color w:val="auto"/>
          <w:spacing w:val="-2"/>
          <w:sz w:val="24"/>
          <w:highlight w:val="none"/>
          <w:lang w:eastAsia="zh-CN"/>
        </w:rPr>
        <w:t>公开招标文件</w:t>
      </w:r>
      <w:r>
        <w:rPr>
          <w:rFonts w:hint="default" w:ascii="Times New Roman" w:hAnsi="Times New Roman" w:cs="Times New Roman"/>
          <w:color w:val="auto"/>
          <w:spacing w:val="-2"/>
          <w:sz w:val="24"/>
          <w:highlight w:val="none"/>
        </w:rPr>
        <w:t>规定向</w:t>
      </w:r>
      <w:r>
        <w:rPr>
          <w:rFonts w:hint="default" w:ascii="Times New Roman" w:hAnsi="Times New Roman" w:cs="Times New Roman"/>
          <w:color w:val="auto"/>
          <w:spacing w:val="-2"/>
          <w:sz w:val="24"/>
          <w:highlight w:val="none"/>
          <w:lang w:eastAsia="zh-CN"/>
        </w:rPr>
        <w:t>采购代理机构</w:t>
      </w:r>
      <w:r>
        <w:rPr>
          <w:rFonts w:hint="default" w:ascii="Times New Roman" w:hAnsi="Times New Roman" w:cs="Times New Roman"/>
          <w:color w:val="auto"/>
          <w:spacing w:val="-2"/>
          <w:sz w:val="24"/>
          <w:highlight w:val="none"/>
        </w:rPr>
        <w:t>缴纳招标代理服务费。</w:t>
      </w:r>
    </w:p>
    <w:p w14:paraId="776F7EB2">
      <w:pPr>
        <w:spacing w:line="440" w:lineRule="exact"/>
        <w:ind w:firstLine="370" w:firstLineChars="180"/>
        <w:rPr>
          <w:rFonts w:hint="default" w:ascii="Times New Roman" w:hAnsi="Times New Roman" w:cs="Times New Roman"/>
          <w:color w:val="auto"/>
          <w:spacing w:val="-2"/>
          <w:highlight w:val="none"/>
        </w:rPr>
      </w:pPr>
    </w:p>
    <w:p w14:paraId="393A510A">
      <w:pPr>
        <w:spacing w:line="440" w:lineRule="exact"/>
        <w:ind w:firstLine="643" w:firstLineChars="200"/>
        <w:jc w:val="center"/>
        <w:outlineLvl w:val="1"/>
        <w:rPr>
          <w:rFonts w:hint="default" w:ascii="Times New Roman" w:hAnsi="Times New Roman" w:cs="Times New Roman"/>
          <w:b/>
          <w:color w:val="auto"/>
          <w:sz w:val="32"/>
          <w:szCs w:val="32"/>
          <w:highlight w:val="none"/>
        </w:rPr>
      </w:pPr>
      <w:bookmarkStart w:id="40" w:name="_Toc8597"/>
      <w:bookmarkStart w:id="41" w:name="_Toc507513106"/>
      <w:bookmarkStart w:id="42" w:name="_Toc16347"/>
      <w:bookmarkStart w:id="43" w:name="_Toc18131"/>
      <w:r>
        <w:rPr>
          <w:rFonts w:hint="default" w:ascii="Times New Roman" w:hAnsi="Times New Roman" w:cs="Times New Roman"/>
          <w:b/>
          <w:color w:val="auto"/>
          <w:sz w:val="32"/>
          <w:szCs w:val="32"/>
          <w:highlight w:val="none"/>
        </w:rPr>
        <w:t>第八章授予合同</w:t>
      </w:r>
      <w:bookmarkEnd w:id="40"/>
      <w:bookmarkEnd w:id="41"/>
      <w:bookmarkEnd w:id="42"/>
      <w:bookmarkEnd w:id="43"/>
    </w:p>
    <w:p w14:paraId="74F1773A">
      <w:pPr>
        <w:spacing w:line="440" w:lineRule="exact"/>
        <w:ind w:firstLine="482" w:firstLineChars="200"/>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26.签订合同</w:t>
      </w:r>
    </w:p>
    <w:p w14:paraId="744D4586">
      <w:pPr>
        <w:spacing w:line="440" w:lineRule="exact"/>
        <w:ind w:firstLine="472" w:firstLineChars="200"/>
        <w:rPr>
          <w:rFonts w:hint="default" w:ascii="Times New Roman" w:hAnsi="Times New Roman" w:cs="Times New Roman"/>
          <w:color w:val="auto"/>
          <w:spacing w:val="-2"/>
          <w:sz w:val="24"/>
          <w:highlight w:val="none"/>
        </w:rPr>
      </w:pPr>
      <w:r>
        <w:rPr>
          <w:rFonts w:hint="default" w:ascii="Times New Roman" w:hAnsi="Times New Roman" w:cs="Times New Roman"/>
          <w:color w:val="auto"/>
          <w:spacing w:val="-2"/>
          <w:sz w:val="24"/>
          <w:highlight w:val="none"/>
        </w:rPr>
        <w:t>26.1</w:t>
      </w:r>
      <w:r>
        <w:rPr>
          <w:rFonts w:hint="eastAsia" w:cs="Times New Roman"/>
          <w:color w:val="auto"/>
          <w:spacing w:val="-2"/>
          <w:sz w:val="24"/>
          <w:highlight w:val="none"/>
          <w:lang w:val="en-US" w:eastAsia="zh-CN"/>
        </w:rPr>
        <w:t xml:space="preserve">  </w:t>
      </w:r>
      <w:r>
        <w:rPr>
          <w:rFonts w:hint="default" w:ascii="Times New Roman" w:hAnsi="Times New Roman" w:cs="Times New Roman"/>
          <w:color w:val="auto"/>
          <w:spacing w:val="-2"/>
          <w:sz w:val="24"/>
          <w:highlight w:val="none"/>
          <w:lang w:eastAsia="zh-CN"/>
        </w:rPr>
        <w:t>中标</w:t>
      </w:r>
      <w:r>
        <w:rPr>
          <w:rFonts w:hint="eastAsia" w:cs="Times New Roman"/>
          <w:color w:val="auto"/>
          <w:spacing w:val="-2"/>
          <w:sz w:val="24"/>
          <w:highlight w:val="none"/>
          <w:lang w:eastAsia="zh-CN"/>
        </w:rPr>
        <w:t>供应商</w:t>
      </w:r>
      <w:r>
        <w:rPr>
          <w:rFonts w:hint="default" w:ascii="Times New Roman" w:hAnsi="Times New Roman" w:cs="Times New Roman"/>
          <w:color w:val="auto"/>
          <w:spacing w:val="-2"/>
          <w:sz w:val="24"/>
          <w:highlight w:val="none"/>
        </w:rPr>
        <w:t>收到</w:t>
      </w:r>
      <w:r>
        <w:rPr>
          <w:rFonts w:hint="eastAsia" w:cs="Times New Roman"/>
          <w:color w:val="auto"/>
          <w:spacing w:val="-2"/>
          <w:sz w:val="24"/>
          <w:highlight w:val="none"/>
          <w:lang w:eastAsia="zh-CN"/>
        </w:rPr>
        <w:t>采购人或者采购代理机构</w:t>
      </w:r>
      <w:r>
        <w:rPr>
          <w:rFonts w:hint="default" w:ascii="Times New Roman" w:hAnsi="Times New Roman" w:cs="Times New Roman"/>
          <w:color w:val="auto"/>
          <w:spacing w:val="-2"/>
          <w:sz w:val="24"/>
          <w:highlight w:val="none"/>
        </w:rPr>
        <w:t>的《</w:t>
      </w:r>
      <w:r>
        <w:rPr>
          <w:rFonts w:hint="default" w:ascii="Times New Roman" w:hAnsi="Times New Roman" w:cs="Times New Roman"/>
          <w:color w:val="auto"/>
          <w:spacing w:val="-2"/>
          <w:sz w:val="24"/>
          <w:highlight w:val="none"/>
          <w:lang w:eastAsia="zh-CN"/>
        </w:rPr>
        <w:t>中标通知书</w:t>
      </w:r>
      <w:r>
        <w:rPr>
          <w:rFonts w:hint="default" w:ascii="Times New Roman" w:hAnsi="Times New Roman" w:cs="Times New Roman"/>
          <w:color w:val="auto"/>
          <w:spacing w:val="-2"/>
          <w:sz w:val="24"/>
          <w:highlight w:val="none"/>
        </w:rPr>
        <w:t>》后三十日内，按照</w:t>
      </w:r>
      <w:r>
        <w:rPr>
          <w:rFonts w:hint="default" w:ascii="Times New Roman" w:hAnsi="Times New Roman" w:cs="Times New Roman"/>
          <w:color w:val="auto"/>
          <w:spacing w:val="-2"/>
          <w:sz w:val="24"/>
          <w:highlight w:val="none"/>
          <w:lang w:eastAsia="zh-CN"/>
        </w:rPr>
        <w:t>公开招标文件</w:t>
      </w:r>
      <w:r>
        <w:rPr>
          <w:rFonts w:hint="default" w:ascii="Times New Roman" w:hAnsi="Times New Roman" w:cs="Times New Roman"/>
          <w:color w:val="auto"/>
          <w:spacing w:val="-2"/>
          <w:sz w:val="24"/>
          <w:highlight w:val="none"/>
        </w:rPr>
        <w:t>和</w:t>
      </w:r>
      <w:r>
        <w:rPr>
          <w:rFonts w:hint="default" w:ascii="Times New Roman" w:hAnsi="Times New Roman" w:cs="Times New Roman"/>
          <w:color w:val="auto"/>
          <w:spacing w:val="-2"/>
          <w:sz w:val="24"/>
          <w:highlight w:val="none"/>
          <w:lang w:eastAsia="zh-CN"/>
        </w:rPr>
        <w:t>中标</w:t>
      </w:r>
      <w:r>
        <w:rPr>
          <w:rFonts w:hint="eastAsia" w:cs="Times New Roman"/>
          <w:color w:val="auto"/>
          <w:spacing w:val="-2"/>
          <w:sz w:val="24"/>
          <w:highlight w:val="none"/>
          <w:lang w:eastAsia="zh-CN"/>
        </w:rPr>
        <w:t>供应商</w:t>
      </w:r>
      <w:r>
        <w:rPr>
          <w:rFonts w:hint="default" w:ascii="Times New Roman" w:hAnsi="Times New Roman" w:cs="Times New Roman"/>
          <w:color w:val="auto"/>
          <w:spacing w:val="-2"/>
          <w:sz w:val="24"/>
          <w:highlight w:val="none"/>
          <w:lang w:eastAsia="zh-CN"/>
        </w:rPr>
        <w:t>投标文件</w:t>
      </w:r>
      <w:r>
        <w:rPr>
          <w:rFonts w:hint="default" w:ascii="Times New Roman" w:hAnsi="Times New Roman" w:cs="Times New Roman"/>
          <w:color w:val="auto"/>
          <w:spacing w:val="-2"/>
          <w:sz w:val="24"/>
          <w:highlight w:val="none"/>
        </w:rPr>
        <w:t>中的约定与采购人签订书面合同，所签订的合同不得对</w:t>
      </w:r>
      <w:r>
        <w:rPr>
          <w:rFonts w:hint="default" w:ascii="Times New Roman" w:hAnsi="Times New Roman" w:cs="Times New Roman"/>
          <w:color w:val="auto"/>
          <w:spacing w:val="-2"/>
          <w:sz w:val="24"/>
          <w:highlight w:val="none"/>
          <w:lang w:eastAsia="zh-CN"/>
        </w:rPr>
        <w:t>公开招标文件</w:t>
      </w:r>
      <w:r>
        <w:rPr>
          <w:rFonts w:hint="default" w:ascii="Times New Roman" w:hAnsi="Times New Roman" w:cs="Times New Roman"/>
          <w:color w:val="auto"/>
          <w:spacing w:val="-2"/>
          <w:sz w:val="24"/>
          <w:highlight w:val="none"/>
        </w:rPr>
        <w:t>和</w:t>
      </w:r>
      <w:r>
        <w:rPr>
          <w:rFonts w:hint="default" w:ascii="Times New Roman" w:hAnsi="Times New Roman" w:cs="Times New Roman"/>
          <w:color w:val="auto"/>
          <w:spacing w:val="-2"/>
          <w:sz w:val="24"/>
          <w:highlight w:val="none"/>
          <w:lang w:eastAsia="zh-CN"/>
        </w:rPr>
        <w:t>中标</w:t>
      </w:r>
      <w:r>
        <w:rPr>
          <w:rFonts w:hint="eastAsia" w:cs="Times New Roman"/>
          <w:color w:val="auto"/>
          <w:spacing w:val="-2"/>
          <w:sz w:val="24"/>
          <w:highlight w:val="none"/>
          <w:lang w:eastAsia="zh-CN"/>
        </w:rPr>
        <w:t>供应商</w:t>
      </w:r>
      <w:r>
        <w:rPr>
          <w:rFonts w:hint="default" w:ascii="Times New Roman" w:hAnsi="Times New Roman" w:cs="Times New Roman"/>
          <w:color w:val="auto"/>
          <w:spacing w:val="-2"/>
          <w:sz w:val="24"/>
          <w:highlight w:val="none"/>
        </w:rPr>
        <w:t>的</w:t>
      </w:r>
      <w:r>
        <w:rPr>
          <w:rFonts w:hint="default" w:ascii="Times New Roman" w:hAnsi="Times New Roman" w:cs="Times New Roman"/>
          <w:color w:val="auto"/>
          <w:spacing w:val="-2"/>
          <w:sz w:val="24"/>
          <w:highlight w:val="none"/>
          <w:lang w:eastAsia="zh-CN"/>
        </w:rPr>
        <w:t>投标文件</w:t>
      </w:r>
      <w:r>
        <w:rPr>
          <w:rFonts w:hint="default" w:ascii="Times New Roman" w:hAnsi="Times New Roman" w:cs="Times New Roman"/>
          <w:color w:val="auto"/>
          <w:spacing w:val="-2"/>
          <w:sz w:val="24"/>
          <w:highlight w:val="none"/>
        </w:rPr>
        <w:t>作实质性修改。</w:t>
      </w:r>
    </w:p>
    <w:p w14:paraId="1C76C7C8">
      <w:pPr>
        <w:spacing w:line="440" w:lineRule="exact"/>
        <w:ind w:firstLine="472" w:firstLineChars="200"/>
        <w:rPr>
          <w:rFonts w:hint="default" w:ascii="Times New Roman" w:hAnsi="Times New Roman" w:cs="Times New Roman"/>
          <w:color w:val="auto"/>
          <w:spacing w:val="-2"/>
          <w:sz w:val="24"/>
          <w:highlight w:val="none"/>
        </w:rPr>
      </w:pPr>
      <w:r>
        <w:rPr>
          <w:rFonts w:hint="default" w:ascii="Times New Roman" w:hAnsi="Times New Roman" w:cs="Times New Roman"/>
          <w:color w:val="auto"/>
          <w:spacing w:val="-2"/>
          <w:sz w:val="24"/>
          <w:highlight w:val="none"/>
        </w:rPr>
        <w:t>26.2</w:t>
      </w:r>
      <w:r>
        <w:rPr>
          <w:rFonts w:hint="eastAsia" w:cs="Times New Roman"/>
          <w:color w:val="auto"/>
          <w:spacing w:val="-2"/>
          <w:sz w:val="24"/>
          <w:highlight w:val="none"/>
          <w:lang w:val="en-US" w:eastAsia="zh-CN"/>
        </w:rPr>
        <w:t xml:space="preserve">  </w:t>
      </w:r>
      <w:r>
        <w:rPr>
          <w:rFonts w:hint="eastAsia" w:cs="Times New Roman"/>
          <w:color w:val="auto"/>
          <w:spacing w:val="-2"/>
          <w:sz w:val="24"/>
          <w:highlight w:val="none"/>
          <w:lang w:eastAsia="zh-CN"/>
        </w:rPr>
        <w:t>采购人或者采购代理机构</w:t>
      </w:r>
      <w:r>
        <w:rPr>
          <w:rFonts w:hint="default" w:ascii="Times New Roman" w:hAnsi="Times New Roman" w:cs="Times New Roman"/>
          <w:color w:val="auto"/>
          <w:spacing w:val="-2"/>
          <w:sz w:val="24"/>
          <w:highlight w:val="none"/>
        </w:rPr>
        <w:t>在授予合同时，有权对</w:t>
      </w:r>
      <w:r>
        <w:rPr>
          <w:rFonts w:hint="default" w:ascii="Times New Roman" w:hAnsi="Times New Roman" w:cs="Times New Roman"/>
          <w:color w:val="auto"/>
          <w:spacing w:val="-2"/>
          <w:sz w:val="24"/>
          <w:highlight w:val="none"/>
          <w:lang w:eastAsia="zh-CN"/>
        </w:rPr>
        <w:t>公开招标文件</w:t>
      </w:r>
      <w:r>
        <w:rPr>
          <w:rFonts w:hint="default" w:ascii="Times New Roman" w:hAnsi="Times New Roman" w:cs="Times New Roman"/>
          <w:color w:val="auto"/>
          <w:spacing w:val="-2"/>
          <w:sz w:val="24"/>
          <w:highlight w:val="none"/>
        </w:rPr>
        <w:t>中规定的货物和服务的数量在10%的幅度内予以增加</w:t>
      </w:r>
      <w:r>
        <w:rPr>
          <w:rFonts w:hint="default" w:ascii="Times New Roman" w:hAnsi="Times New Roman" w:cs="Times New Roman"/>
          <w:color w:val="auto"/>
          <w:spacing w:val="-2"/>
          <w:sz w:val="24"/>
          <w:highlight w:val="none"/>
          <w:lang w:val="en-US" w:eastAsia="zh-CN"/>
        </w:rPr>
        <w:t>或调整</w:t>
      </w:r>
      <w:r>
        <w:rPr>
          <w:rFonts w:hint="default" w:ascii="Times New Roman" w:hAnsi="Times New Roman" w:cs="Times New Roman"/>
          <w:color w:val="auto"/>
          <w:spacing w:val="-2"/>
          <w:sz w:val="24"/>
          <w:highlight w:val="none"/>
        </w:rPr>
        <w:t>。</w:t>
      </w:r>
    </w:p>
    <w:p w14:paraId="2B767CE9">
      <w:pPr>
        <w:spacing w:line="440" w:lineRule="exact"/>
        <w:ind w:firstLine="472" w:firstLineChars="200"/>
        <w:rPr>
          <w:rFonts w:hint="default" w:ascii="Times New Roman" w:hAnsi="Times New Roman" w:cs="Times New Roman"/>
          <w:color w:val="auto"/>
          <w:spacing w:val="-2"/>
          <w:sz w:val="24"/>
          <w:highlight w:val="none"/>
        </w:rPr>
      </w:pPr>
      <w:r>
        <w:rPr>
          <w:rFonts w:hint="default" w:ascii="Times New Roman" w:hAnsi="Times New Roman" w:cs="Times New Roman"/>
          <w:color w:val="auto"/>
          <w:spacing w:val="-2"/>
          <w:sz w:val="24"/>
          <w:highlight w:val="none"/>
        </w:rPr>
        <w:t>26.3</w:t>
      </w:r>
      <w:r>
        <w:rPr>
          <w:rFonts w:hint="eastAsia" w:cs="Times New Roman"/>
          <w:color w:val="auto"/>
          <w:spacing w:val="-2"/>
          <w:sz w:val="24"/>
          <w:highlight w:val="none"/>
          <w:lang w:val="en-US" w:eastAsia="zh-CN"/>
        </w:rPr>
        <w:t xml:space="preserve">  </w:t>
      </w:r>
      <w:r>
        <w:rPr>
          <w:rFonts w:hint="default" w:ascii="Times New Roman" w:hAnsi="Times New Roman" w:cs="Times New Roman"/>
          <w:color w:val="auto"/>
          <w:spacing w:val="-2"/>
          <w:sz w:val="24"/>
          <w:highlight w:val="none"/>
        </w:rPr>
        <w:t>如</w:t>
      </w:r>
      <w:r>
        <w:rPr>
          <w:rFonts w:hint="default" w:ascii="Times New Roman" w:hAnsi="Times New Roman" w:cs="Times New Roman"/>
          <w:color w:val="auto"/>
          <w:spacing w:val="-2"/>
          <w:sz w:val="24"/>
          <w:highlight w:val="none"/>
          <w:lang w:eastAsia="zh-CN"/>
        </w:rPr>
        <w:t>中标</w:t>
      </w:r>
      <w:r>
        <w:rPr>
          <w:rFonts w:hint="eastAsia" w:cs="Times New Roman"/>
          <w:color w:val="auto"/>
          <w:spacing w:val="-2"/>
          <w:sz w:val="24"/>
          <w:highlight w:val="none"/>
          <w:lang w:eastAsia="zh-CN"/>
        </w:rPr>
        <w:t>供应商</w:t>
      </w:r>
      <w:r>
        <w:rPr>
          <w:rFonts w:hint="default" w:ascii="Times New Roman" w:hAnsi="Times New Roman" w:cs="Times New Roman"/>
          <w:color w:val="auto"/>
          <w:spacing w:val="-2"/>
          <w:sz w:val="24"/>
          <w:highlight w:val="none"/>
        </w:rPr>
        <w:t>拒签合同，则按违约处理。</w:t>
      </w:r>
    </w:p>
    <w:p w14:paraId="0D0C41E5">
      <w:pPr>
        <w:spacing w:line="440" w:lineRule="exact"/>
        <w:ind w:firstLine="472" w:firstLineChars="200"/>
        <w:rPr>
          <w:rFonts w:hint="default" w:ascii="Times New Roman" w:hAnsi="Times New Roman" w:cs="Times New Roman"/>
          <w:color w:val="auto"/>
          <w:spacing w:val="-2"/>
          <w:sz w:val="24"/>
          <w:highlight w:val="none"/>
        </w:rPr>
      </w:pPr>
      <w:r>
        <w:rPr>
          <w:rFonts w:hint="default" w:ascii="Times New Roman" w:hAnsi="Times New Roman" w:cs="Times New Roman"/>
          <w:color w:val="auto"/>
          <w:spacing w:val="-2"/>
          <w:sz w:val="24"/>
          <w:highlight w:val="none"/>
        </w:rPr>
        <w:t>26.4</w:t>
      </w:r>
      <w:r>
        <w:rPr>
          <w:rFonts w:hint="eastAsia" w:cs="Times New Roman"/>
          <w:color w:val="auto"/>
          <w:spacing w:val="-2"/>
          <w:sz w:val="24"/>
          <w:highlight w:val="none"/>
          <w:lang w:val="en-US" w:eastAsia="zh-CN"/>
        </w:rPr>
        <w:t xml:space="preserve">  </w:t>
      </w:r>
      <w:r>
        <w:rPr>
          <w:rFonts w:hint="default" w:ascii="Times New Roman" w:hAnsi="Times New Roman" w:cs="Times New Roman"/>
          <w:color w:val="auto"/>
          <w:spacing w:val="-2"/>
          <w:sz w:val="24"/>
          <w:highlight w:val="none"/>
          <w:lang w:eastAsia="zh-CN"/>
        </w:rPr>
        <w:t>公开招标文件</w:t>
      </w:r>
      <w:r>
        <w:rPr>
          <w:rFonts w:hint="default" w:ascii="Times New Roman" w:hAnsi="Times New Roman" w:cs="Times New Roman"/>
          <w:color w:val="auto"/>
          <w:spacing w:val="-2"/>
          <w:sz w:val="24"/>
          <w:highlight w:val="none"/>
        </w:rPr>
        <w:t>、</w:t>
      </w:r>
      <w:r>
        <w:rPr>
          <w:rFonts w:hint="default" w:ascii="Times New Roman" w:hAnsi="Times New Roman" w:cs="Times New Roman"/>
          <w:color w:val="auto"/>
          <w:spacing w:val="-2"/>
          <w:sz w:val="24"/>
          <w:highlight w:val="none"/>
          <w:lang w:eastAsia="zh-CN"/>
        </w:rPr>
        <w:t>中标</w:t>
      </w:r>
      <w:r>
        <w:rPr>
          <w:rFonts w:hint="eastAsia" w:cs="Times New Roman"/>
          <w:color w:val="auto"/>
          <w:spacing w:val="-2"/>
          <w:sz w:val="24"/>
          <w:highlight w:val="none"/>
          <w:lang w:eastAsia="zh-CN"/>
        </w:rPr>
        <w:t>供应商</w:t>
      </w:r>
      <w:r>
        <w:rPr>
          <w:rFonts w:hint="default" w:ascii="Times New Roman" w:hAnsi="Times New Roman" w:cs="Times New Roman"/>
          <w:color w:val="auto"/>
          <w:spacing w:val="-2"/>
          <w:sz w:val="24"/>
          <w:highlight w:val="none"/>
        </w:rPr>
        <w:t>的</w:t>
      </w:r>
      <w:r>
        <w:rPr>
          <w:rFonts w:hint="default" w:ascii="Times New Roman" w:hAnsi="Times New Roman" w:cs="Times New Roman"/>
          <w:color w:val="auto"/>
          <w:spacing w:val="-2"/>
          <w:sz w:val="24"/>
          <w:highlight w:val="none"/>
          <w:lang w:eastAsia="zh-CN"/>
        </w:rPr>
        <w:t>投标文件</w:t>
      </w:r>
      <w:r>
        <w:rPr>
          <w:rFonts w:hint="default" w:ascii="Times New Roman" w:hAnsi="Times New Roman" w:cs="Times New Roman"/>
          <w:color w:val="auto"/>
          <w:spacing w:val="-2"/>
          <w:sz w:val="24"/>
          <w:highlight w:val="none"/>
        </w:rPr>
        <w:t>及其澄清文件等，均为签订合同的依据。</w:t>
      </w:r>
    </w:p>
    <w:p w14:paraId="2DE0A801">
      <w:pPr>
        <w:spacing w:line="440" w:lineRule="exact"/>
        <w:ind w:firstLine="472" w:firstLineChars="200"/>
        <w:rPr>
          <w:rFonts w:hint="default" w:ascii="Times New Roman" w:hAnsi="Times New Roman" w:cs="Times New Roman"/>
          <w:color w:val="auto"/>
          <w:spacing w:val="-2"/>
          <w:sz w:val="24"/>
          <w:highlight w:val="none"/>
        </w:rPr>
      </w:pPr>
      <w:r>
        <w:rPr>
          <w:rFonts w:hint="default" w:ascii="Times New Roman" w:hAnsi="Times New Roman" w:cs="Times New Roman"/>
          <w:color w:val="auto"/>
          <w:spacing w:val="-2"/>
          <w:sz w:val="24"/>
          <w:highlight w:val="none"/>
        </w:rPr>
        <w:t>26.5</w:t>
      </w:r>
      <w:r>
        <w:rPr>
          <w:rFonts w:hint="eastAsia" w:cs="Times New Roman"/>
          <w:color w:val="auto"/>
          <w:spacing w:val="-2"/>
          <w:sz w:val="24"/>
          <w:highlight w:val="none"/>
          <w:lang w:val="en-US" w:eastAsia="zh-CN"/>
        </w:rPr>
        <w:t xml:space="preserve">  </w:t>
      </w:r>
      <w:r>
        <w:rPr>
          <w:rFonts w:hint="default" w:ascii="Times New Roman" w:hAnsi="Times New Roman" w:cs="Times New Roman"/>
          <w:color w:val="auto"/>
          <w:spacing w:val="-2"/>
          <w:sz w:val="24"/>
          <w:highlight w:val="none"/>
        </w:rPr>
        <w:t>不允许</w:t>
      </w:r>
      <w:r>
        <w:rPr>
          <w:rFonts w:hint="default" w:ascii="Times New Roman" w:hAnsi="Times New Roman" w:cs="Times New Roman"/>
          <w:color w:val="auto"/>
          <w:spacing w:val="-2"/>
          <w:sz w:val="24"/>
          <w:highlight w:val="none"/>
          <w:lang w:eastAsia="zh-CN"/>
        </w:rPr>
        <w:t>中标</w:t>
      </w:r>
      <w:r>
        <w:rPr>
          <w:rFonts w:hint="eastAsia" w:cs="Times New Roman"/>
          <w:color w:val="auto"/>
          <w:spacing w:val="-2"/>
          <w:sz w:val="24"/>
          <w:highlight w:val="none"/>
          <w:lang w:eastAsia="zh-CN"/>
        </w:rPr>
        <w:t>供应商</w:t>
      </w:r>
      <w:r>
        <w:rPr>
          <w:rFonts w:hint="default" w:ascii="Times New Roman" w:hAnsi="Times New Roman" w:cs="Times New Roman"/>
          <w:color w:val="auto"/>
          <w:spacing w:val="-2"/>
          <w:sz w:val="24"/>
          <w:highlight w:val="none"/>
        </w:rPr>
        <w:t>将中标项目分包或转交他人承担。</w:t>
      </w:r>
    </w:p>
    <w:p w14:paraId="066FB618">
      <w:pPr>
        <w:spacing w:line="440" w:lineRule="exact"/>
        <w:ind w:firstLine="472" w:firstLineChars="200"/>
        <w:rPr>
          <w:rFonts w:hint="default" w:ascii="Times New Roman" w:hAnsi="Times New Roman" w:cs="Times New Roman"/>
          <w:color w:val="auto"/>
          <w:spacing w:val="-2"/>
          <w:sz w:val="24"/>
          <w:highlight w:val="none"/>
        </w:rPr>
      </w:pPr>
      <w:r>
        <w:rPr>
          <w:rFonts w:hint="default" w:ascii="Times New Roman" w:hAnsi="Times New Roman" w:cs="Times New Roman"/>
          <w:color w:val="auto"/>
          <w:spacing w:val="-2"/>
          <w:sz w:val="24"/>
          <w:highlight w:val="none"/>
          <w:lang w:val="en-US" w:eastAsia="zh-CN"/>
        </w:rPr>
        <w:t>26.6</w:t>
      </w:r>
      <w:r>
        <w:rPr>
          <w:rFonts w:hint="eastAsia" w:cs="Times New Roman"/>
          <w:color w:val="auto"/>
          <w:spacing w:val="-2"/>
          <w:sz w:val="24"/>
          <w:highlight w:val="none"/>
          <w:lang w:val="en-US" w:eastAsia="zh-CN"/>
        </w:rPr>
        <w:t xml:space="preserve">  </w:t>
      </w:r>
      <w:r>
        <w:rPr>
          <w:rFonts w:hint="default" w:ascii="Times New Roman" w:hAnsi="Times New Roman" w:cs="Times New Roman"/>
          <w:color w:val="auto"/>
          <w:spacing w:val="-2"/>
          <w:sz w:val="24"/>
          <w:highlight w:val="none"/>
          <w:lang w:eastAsia="zh-CN"/>
        </w:rPr>
        <w:t>投标供应商</w:t>
      </w:r>
      <w:r>
        <w:rPr>
          <w:rFonts w:hint="default" w:ascii="Times New Roman" w:hAnsi="Times New Roman" w:cs="Times New Roman"/>
          <w:color w:val="auto"/>
          <w:spacing w:val="-2"/>
          <w:sz w:val="24"/>
          <w:highlight w:val="none"/>
        </w:rPr>
        <w:t>低价恶意中标不能按要求</w:t>
      </w:r>
      <w:r>
        <w:rPr>
          <w:rFonts w:hint="default" w:ascii="Times New Roman" w:hAnsi="Times New Roman" w:cs="Times New Roman"/>
          <w:color w:val="auto"/>
          <w:spacing w:val="-2"/>
          <w:sz w:val="24"/>
          <w:highlight w:val="none"/>
          <w:lang w:val="en-US" w:eastAsia="zh-CN"/>
        </w:rPr>
        <w:t>提供服务</w:t>
      </w:r>
      <w:r>
        <w:rPr>
          <w:rFonts w:hint="default" w:ascii="Times New Roman" w:hAnsi="Times New Roman" w:cs="Times New Roman"/>
          <w:color w:val="auto"/>
          <w:spacing w:val="-2"/>
          <w:sz w:val="24"/>
          <w:highlight w:val="none"/>
        </w:rPr>
        <w:t>的，五年内禁止参加新疆农业大学的任何招标活动。</w:t>
      </w:r>
    </w:p>
    <w:p w14:paraId="7D5E9D01">
      <w:pPr>
        <w:spacing w:line="440" w:lineRule="exact"/>
        <w:ind w:firstLine="472" w:firstLineChars="200"/>
        <w:rPr>
          <w:rFonts w:hint="default" w:ascii="Times New Roman" w:hAnsi="Times New Roman" w:cs="Times New Roman"/>
          <w:bCs/>
          <w:color w:val="auto"/>
          <w:spacing w:val="-2"/>
          <w:sz w:val="24"/>
          <w:highlight w:val="none"/>
          <w:lang w:eastAsia="zh-CN"/>
        </w:rPr>
      </w:pPr>
      <w:r>
        <w:rPr>
          <w:rFonts w:hint="default" w:ascii="Times New Roman" w:hAnsi="Times New Roman" w:cs="Times New Roman"/>
          <w:bCs/>
          <w:color w:val="auto"/>
          <w:spacing w:val="-2"/>
          <w:sz w:val="24"/>
          <w:highlight w:val="none"/>
          <w:lang w:val="en-US" w:eastAsia="zh-CN"/>
        </w:rPr>
        <w:t>26.7</w:t>
      </w:r>
      <w:r>
        <w:rPr>
          <w:rFonts w:hint="eastAsia" w:cs="Times New Roman"/>
          <w:bCs/>
          <w:color w:val="auto"/>
          <w:spacing w:val="-2"/>
          <w:sz w:val="24"/>
          <w:highlight w:val="none"/>
          <w:lang w:val="en-US" w:eastAsia="zh-CN"/>
        </w:rPr>
        <w:t xml:space="preserve">  </w:t>
      </w:r>
      <w:r>
        <w:rPr>
          <w:rFonts w:hint="default" w:ascii="Times New Roman" w:hAnsi="Times New Roman" w:cs="Times New Roman"/>
          <w:bCs/>
          <w:color w:val="auto"/>
          <w:spacing w:val="-2"/>
          <w:sz w:val="24"/>
          <w:highlight w:val="none"/>
        </w:rPr>
        <w:t>合同签订、货物（服务）交付采购人使用后，采购人将依据采购文件中采购需求及中标（成交）</w:t>
      </w:r>
      <w:r>
        <w:rPr>
          <w:rFonts w:hint="eastAsia" w:cs="Times New Roman"/>
          <w:bCs/>
          <w:color w:val="auto"/>
          <w:spacing w:val="-2"/>
          <w:sz w:val="24"/>
          <w:highlight w:val="none"/>
          <w:lang w:eastAsia="zh-CN"/>
        </w:rPr>
        <w:t>供应商</w:t>
      </w:r>
      <w:r>
        <w:rPr>
          <w:rFonts w:hint="default" w:ascii="Times New Roman" w:hAnsi="Times New Roman" w:cs="Times New Roman"/>
          <w:bCs/>
          <w:color w:val="auto"/>
          <w:spacing w:val="-2"/>
          <w:sz w:val="24"/>
          <w:highlight w:val="none"/>
        </w:rPr>
        <w:t>投标（响应）文件中的响应内容组织项目履约验收</w:t>
      </w:r>
      <w:r>
        <w:rPr>
          <w:rFonts w:hint="default" w:ascii="Times New Roman" w:hAnsi="Times New Roman" w:cs="Times New Roman"/>
          <w:bCs/>
          <w:color w:val="auto"/>
          <w:spacing w:val="-2"/>
          <w:sz w:val="24"/>
          <w:highlight w:val="none"/>
          <w:lang w:eastAsia="zh-CN"/>
        </w:rPr>
        <w:t>。</w:t>
      </w:r>
      <w:bookmarkStart w:id="44" w:name="_Toc89792138"/>
    </w:p>
    <w:p w14:paraId="21737A0E">
      <w:pPr>
        <w:rPr>
          <w:rFonts w:hint="default" w:ascii="Times New Roman" w:hAnsi="Times New Roman" w:cs="Times New Roman"/>
          <w:bCs/>
          <w:color w:val="auto"/>
          <w:spacing w:val="-2"/>
          <w:sz w:val="24"/>
          <w:highlight w:val="none"/>
          <w:lang w:eastAsia="zh-CN"/>
        </w:rPr>
      </w:pPr>
      <w:r>
        <w:rPr>
          <w:rFonts w:hint="default" w:ascii="Times New Roman" w:hAnsi="Times New Roman" w:cs="Times New Roman"/>
          <w:bCs/>
          <w:color w:val="auto"/>
          <w:spacing w:val="-2"/>
          <w:sz w:val="24"/>
          <w:highlight w:val="none"/>
          <w:lang w:eastAsia="zh-CN"/>
        </w:rPr>
        <w:br w:type="page"/>
      </w:r>
    </w:p>
    <w:p w14:paraId="627C6FE2">
      <w:pPr>
        <w:keepNext w:val="0"/>
        <w:keepLines w:val="0"/>
        <w:pageBreakBefore w:val="0"/>
        <w:widowControl w:val="0"/>
        <w:kinsoku/>
        <w:wordWrap/>
        <w:overflowPunct/>
        <w:topLinePunct w:val="0"/>
        <w:autoSpaceDE/>
        <w:autoSpaceDN/>
        <w:bidi w:val="0"/>
        <w:adjustRightInd/>
        <w:snapToGrid/>
        <w:spacing w:line="360" w:lineRule="auto"/>
        <w:ind w:firstLine="643" w:firstLineChars="200"/>
        <w:jc w:val="center"/>
        <w:textAlignment w:val="auto"/>
        <w:outlineLvl w:val="0"/>
        <w:rPr>
          <w:rFonts w:hint="default" w:ascii="Times New Roman" w:hAnsi="Times New Roman" w:cs="Times New Roman"/>
          <w:b/>
          <w:color w:val="auto"/>
          <w:sz w:val="32"/>
          <w:highlight w:val="none"/>
        </w:rPr>
      </w:pPr>
      <w:bookmarkStart w:id="45" w:name="_Toc16457"/>
      <w:r>
        <w:rPr>
          <w:rFonts w:hint="default" w:ascii="Times New Roman" w:hAnsi="Times New Roman" w:cs="Times New Roman"/>
          <w:b/>
          <w:color w:val="auto"/>
          <w:sz w:val="32"/>
          <w:szCs w:val="32"/>
          <w:highlight w:val="none"/>
        </w:rPr>
        <w:t>第四部分</w:t>
      </w:r>
      <w:r>
        <w:rPr>
          <w:rFonts w:hint="default" w:ascii="Times New Roman" w:hAnsi="Times New Roman" w:cs="Times New Roman"/>
          <w:b/>
          <w:color w:val="auto"/>
          <w:sz w:val="32"/>
          <w:highlight w:val="none"/>
        </w:rPr>
        <w:t>采购需求</w:t>
      </w:r>
      <w:bookmarkEnd w:id="44"/>
      <w:bookmarkEnd w:id="45"/>
    </w:p>
    <w:p w14:paraId="6D4D96CC">
      <w:pPr>
        <w:shd w:val="clear"/>
        <w:spacing w:line="440" w:lineRule="exact"/>
        <w:ind w:firstLine="482" w:firstLineChars="200"/>
        <w:jc w:val="both"/>
        <w:rPr>
          <w:rFonts w:hint="default" w:ascii="Times New Roman" w:hAnsi="Times New Roman" w:cs="Times New Roman"/>
          <w:b/>
          <w:bCs/>
          <w:color w:val="auto"/>
          <w:kern w:val="2"/>
          <w:sz w:val="24"/>
          <w:szCs w:val="24"/>
          <w:highlight w:val="none"/>
          <w:lang w:bidi="ar"/>
        </w:rPr>
      </w:pPr>
      <w:r>
        <w:rPr>
          <w:rFonts w:hint="default" w:ascii="Times New Roman" w:hAnsi="Times New Roman" w:cs="Times New Roman"/>
          <w:b/>
          <w:color w:val="auto"/>
          <w:kern w:val="2"/>
          <w:sz w:val="24"/>
          <w:szCs w:val="24"/>
          <w:highlight w:val="none"/>
          <w:lang w:bidi="ar"/>
        </w:rPr>
        <w:t>一、</w:t>
      </w:r>
      <w:r>
        <w:rPr>
          <w:rFonts w:hint="default" w:ascii="Times New Roman" w:hAnsi="Times New Roman" w:cs="Times New Roman"/>
          <w:b/>
          <w:bCs/>
          <w:color w:val="auto"/>
          <w:kern w:val="2"/>
          <w:sz w:val="24"/>
          <w:szCs w:val="24"/>
          <w:highlight w:val="none"/>
          <w:lang w:bidi="ar"/>
        </w:rPr>
        <w:t>本项目服务团队配置要求：</w:t>
      </w:r>
    </w:p>
    <w:tbl>
      <w:tblPr>
        <w:tblStyle w:val="27"/>
        <w:tblpPr w:leftFromText="180" w:rightFromText="180" w:vertAnchor="text" w:horzAnchor="page" w:tblpX="1590" w:tblpY="921"/>
        <w:tblOverlap w:val="never"/>
        <w:tblW w:w="85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04"/>
        <w:gridCol w:w="1695"/>
        <w:gridCol w:w="1785"/>
        <w:gridCol w:w="1800"/>
        <w:gridCol w:w="1410"/>
      </w:tblGrid>
      <w:tr w14:paraId="551FF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6" w:hRule="atLeast"/>
        </w:trPr>
        <w:tc>
          <w:tcPr>
            <w:tcW w:w="1904" w:type="dxa"/>
            <w:tcBorders>
              <w:top w:val="single" w:color="000000" w:sz="4" w:space="0"/>
              <w:left w:val="single" w:color="000000" w:sz="4" w:space="0"/>
              <w:bottom w:val="single" w:color="000000" w:sz="4" w:space="0"/>
              <w:right w:val="single" w:color="000000" w:sz="4" w:space="0"/>
            </w:tcBorders>
            <w:noWrap w:val="0"/>
            <w:vAlign w:val="center"/>
          </w:tcPr>
          <w:p w14:paraId="0F62303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黑体" w:cs="Times New Roman"/>
                <w:b/>
                <w:bCs/>
                <w:i w:val="0"/>
                <w:iCs w:val="0"/>
                <w:color w:val="auto"/>
                <w:sz w:val="21"/>
                <w:szCs w:val="21"/>
                <w:highlight w:val="none"/>
                <w:u w:val="none"/>
                <w:lang w:val="en-US" w:eastAsia="zh-CN"/>
              </w:rPr>
            </w:pPr>
            <w:r>
              <w:rPr>
                <w:rFonts w:hint="eastAsia" w:eastAsia="黑体" w:cs="Times New Roman"/>
                <w:b/>
                <w:bCs/>
                <w:i w:val="0"/>
                <w:iCs w:val="0"/>
                <w:color w:val="auto"/>
                <w:sz w:val="21"/>
                <w:szCs w:val="21"/>
                <w:highlight w:val="none"/>
                <w:u w:val="none"/>
                <w:lang w:val="en-US" w:eastAsia="zh-CN"/>
              </w:rPr>
              <w:t>服务内容</w:t>
            </w:r>
          </w:p>
        </w:tc>
        <w:tc>
          <w:tcPr>
            <w:tcW w:w="1695" w:type="dxa"/>
            <w:tcBorders>
              <w:top w:val="single" w:color="000000" w:sz="4" w:space="0"/>
              <w:left w:val="single" w:color="000000" w:sz="4" w:space="0"/>
              <w:bottom w:val="single" w:color="000000" w:sz="4" w:space="0"/>
              <w:right w:val="single" w:color="000000" w:sz="4" w:space="0"/>
            </w:tcBorders>
            <w:noWrap w:val="0"/>
            <w:vAlign w:val="center"/>
          </w:tcPr>
          <w:p w14:paraId="74A9F5A6">
            <w:pPr>
              <w:keepNext w:val="0"/>
              <w:keepLines w:val="0"/>
              <w:widowControl/>
              <w:suppressLineNumbers w:val="0"/>
              <w:spacing w:before="0" w:beforeAutospacing="0" w:after="0" w:afterAutospacing="0"/>
              <w:ind w:left="0" w:right="0"/>
              <w:jc w:val="center"/>
              <w:textAlignment w:val="center"/>
              <w:rPr>
                <w:rFonts w:hint="eastAsia" w:eastAsia="黑体" w:cs="Times New Roman"/>
                <w:b/>
                <w:bCs/>
                <w:i w:val="0"/>
                <w:iCs w:val="0"/>
                <w:color w:val="auto"/>
                <w:kern w:val="0"/>
                <w:sz w:val="21"/>
                <w:szCs w:val="21"/>
                <w:highlight w:val="none"/>
                <w:u w:val="none"/>
                <w:lang w:val="en-US" w:eastAsia="zh-CN" w:bidi="ar"/>
              </w:rPr>
            </w:pPr>
            <w:r>
              <w:rPr>
                <w:rFonts w:hint="eastAsia" w:eastAsia="黑体" w:cs="Times New Roman"/>
                <w:b/>
                <w:bCs/>
                <w:i w:val="0"/>
                <w:iCs w:val="0"/>
                <w:color w:val="auto"/>
                <w:kern w:val="0"/>
                <w:sz w:val="21"/>
                <w:szCs w:val="21"/>
                <w:highlight w:val="none"/>
                <w:u w:val="none"/>
                <w:lang w:val="en-US" w:eastAsia="zh-CN" w:bidi="ar"/>
              </w:rPr>
              <w:t>第一标段（</w:t>
            </w:r>
            <w:r>
              <w:rPr>
                <w:rFonts w:hint="default" w:ascii="Times New Roman" w:hAnsi="Times New Roman" w:eastAsia="黑体" w:cs="Times New Roman"/>
                <w:b/>
                <w:bCs/>
                <w:i w:val="0"/>
                <w:iCs w:val="0"/>
                <w:color w:val="auto"/>
                <w:kern w:val="0"/>
                <w:sz w:val="21"/>
                <w:szCs w:val="21"/>
                <w:highlight w:val="none"/>
                <w:u w:val="none"/>
                <w:lang w:val="en-US" w:eastAsia="zh-CN" w:bidi="ar"/>
              </w:rPr>
              <w:t>禾园一餐厅</w:t>
            </w:r>
            <w:r>
              <w:rPr>
                <w:rFonts w:hint="eastAsia" w:eastAsia="黑体" w:cs="Times New Roman"/>
                <w:b/>
                <w:bCs/>
                <w:i w:val="0"/>
                <w:iCs w:val="0"/>
                <w:color w:val="auto"/>
                <w:kern w:val="0"/>
                <w:sz w:val="21"/>
                <w:szCs w:val="21"/>
                <w:highlight w:val="none"/>
                <w:u w:val="none"/>
                <w:lang w:val="en-US" w:eastAsia="zh-CN" w:bidi="ar"/>
              </w:rPr>
              <w:t>）服务</w:t>
            </w:r>
          </w:p>
          <w:p w14:paraId="6F317D5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黑体" w:cs="Times New Roman"/>
                <w:b/>
                <w:bCs/>
                <w:i w:val="0"/>
                <w:iCs w:val="0"/>
                <w:color w:val="auto"/>
                <w:sz w:val="21"/>
                <w:szCs w:val="21"/>
                <w:highlight w:val="none"/>
                <w:u w:val="none"/>
              </w:rPr>
            </w:pPr>
            <w:r>
              <w:rPr>
                <w:rFonts w:hint="eastAsia" w:eastAsia="黑体" w:cs="Times New Roman"/>
                <w:b/>
                <w:bCs/>
                <w:i w:val="0"/>
                <w:iCs w:val="0"/>
                <w:color w:val="auto"/>
                <w:kern w:val="0"/>
                <w:sz w:val="21"/>
                <w:szCs w:val="21"/>
                <w:highlight w:val="none"/>
                <w:u w:val="none"/>
                <w:lang w:val="en-US" w:eastAsia="zh-CN" w:bidi="ar"/>
              </w:rPr>
              <w:t>最低</w:t>
            </w:r>
            <w:r>
              <w:rPr>
                <w:rFonts w:hint="default" w:ascii="Times New Roman" w:hAnsi="Times New Roman" w:eastAsia="黑体" w:cs="Times New Roman"/>
                <w:b/>
                <w:bCs/>
                <w:i w:val="0"/>
                <w:iCs w:val="0"/>
                <w:color w:val="auto"/>
                <w:kern w:val="0"/>
                <w:sz w:val="21"/>
                <w:szCs w:val="21"/>
                <w:highlight w:val="none"/>
                <w:u w:val="none"/>
                <w:lang w:val="en-US" w:eastAsia="zh-CN" w:bidi="ar"/>
              </w:rPr>
              <w:t>人数</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27E47E16">
            <w:pPr>
              <w:keepNext w:val="0"/>
              <w:keepLines w:val="0"/>
              <w:widowControl/>
              <w:suppressLineNumbers w:val="0"/>
              <w:spacing w:before="0" w:beforeAutospacing="0" w:after="0" w:afterAutospacing="0"/>
              <w:ind w:left="0" w:right="0"/>
              <w:jc w:val="center"/>
              <w:textAlignment w:val="center"/>
              <w:rPr>
                <w:rFonts w:hint="eastAsia" w:eastAsia="黑体" w:cs="Times New Roman"/>
                <w:b/>
                <w:bCs/>
                <w:i w:val="0"/>
                <w:iCs w:val="0"/>
                <w:color w:val="auto"/>
                <w:kern w:val="0"/>
                <w:sz w:val="21"/>
                <w:szCs w:val="21"/>
                <w:highlight w:val="none"/>
                <w:u w:val="none"/>
                <w:lang w:val="en-US" w:eastAsia="zh-CN" w:bidi="ar"/>
              </w:rPr>
            </w:pPr>
            <w:r>
              <w:rPr>
                <w:rFonts w:hint="eastAsia" w:eastAsia="黑体" w:cs="Times New Roman"/>
                <w:b/>
                <w:bCs/>
                <w:i w:val="0"/>
                <w:iCs w:val="0"/>
                <w:color w:val="auto"/>
                <w:kern w:val="0"/>
                <w:sz w:val="21"/>
                <w:szCs w:val="21"/>
                <w:highlight w:val="none"/>
                <w:u w:val="none"/>
                <w:lang w:val="en-US" w:eastAsia="zh-CN" w:bidi="ar"/>
              </w:rPr>
              <w:t>第二标段（</w:t>
            </w:r>
            <w:r>
              <w:rPr>
                <w:rFonts w:hint="default" w:ascii="Times New Roman" w:hAnsi="Times New Roman" w:eastAsia="黑体" w:cs="Times New Roman"/>
                <w:b/>
                <w:bCs/>
                <w:i w:val="0"/>
                <w:iCs w:val="0"/>
                <w:color w:val="auto"/>
                <w:kern w:val="0"/>
                <w:sz w:val="21"/>
                <w:szCs w:val="21"/>
                <w:highlight w:val="none"/>
                <w:u w:val="none"/>
                <w:lang w:val="en-US" w:eastAsia="zh-CN" w:bidi="ar"/>
              </w:rPr>
              <w:t>禾园二餐厅</w:t>
            </w:r>
            <w:r>
              <w:rPr>
                <w:rFonts w:hint="eastAsia" w:eastAsia="黑体" w:cs="Times New Roman"/>
                <w:b/>
                <w:bCs/>
                <w:i w:val="0"/>
                <w:iCs w:val="0"/>
                <w:color w:val="auto"/>
                <w:kern w:val="0"/>
                <w:sz w:val="21"/>
                <w:szCs w:val="21"/>
                <w:highlight w:val="none"/>
                <w:u w:val="none"/>
                <w:lang w:val="en-US" w:eastAsia="zh-CN" w:bidi="ar"/>
              </w:rPr>
              <w:t>）服务</w:t>
            </w:r>
          </w:p>
          <w:p w14:paraId="233B1E0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黑体" w:cs="Times New Roman"/>
                <w:b/>
                <w:bCs/>
                <w:i w:val="0"/>
                <w:iCs w:val="0"/>
                <w:color w:val="auto"/>
                <w:sz w:val="21"/>
                <w:szCs w:val="21"/>
                <w:highlight w:val="none"/>
                <w:u w:val="none"/>
              </w:rPr>
            </w:pPr>
            <w:r>
              <w:rPr>
                <w:rFonts w:hint="eastAsia" w:eastAsia="黑体" w:cs="Times New Roman"/>
                <w:b/>
                <w:bCs/>
                <w:i w:val="0"/>
                <w:iCs w:val="0"/>
                <w:color w:val="auto"/>
                <w:kern w:val="0"/>
                <w:sz w:val="21"/>
                <w:szCs w:val="21"/>
                <w:highlight w:val="none"/>
                <w:u w:val="none"/>
                <w:lang w:val="en-US" w:eastAsia="zh-CN" w:bidi="ar"/>
              </w:rPr>
              <w:t>最低</w:t>
            </w:r>
            <w:r>
              <w:rPr>
                <w:rFonts w:hint="default" w:ascii="Times New Roman" w:hAnsi="Times New Roman" w:eastAsia="黑体" w:cs="Times New Roman"/>
                <w:b/>
                <w:bCs/>
                <w:i w:val="0"/>
                <w:iCs w:val="0"/>
                <w:color w:val="auto"/>
                <w:kern w:val="0"/>
                <w:sz w:val="21"/>
                <w:szCs w:val="21"/>
                <w:highlight w:val="none"/>
                <w:u w:val="none"/>
                <w:lang w:val="en-US" w:eastAsia="zh-CN" w:bidi="ar"/>
              </w:rPr>
              <w:t>人数</w:t>
            </w: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5F5007DE">
            <w:pPr>
              <w:keepNext w:val="0"/>
              <w:keepLines w:val="0"/>
              <w:widowControl/>
              <w:suppressLineNumbers w:val="0"/>
              <w:spacing w:before="0" w:beforeAutospacing="0" w:after="0" w:afterAutospacing="0"/>
              <w:ind w:left="0" w:right="0"/>
              <w:jc w:val="center"/>
              <w:textAlignment w:val="center"/>
              <w:rPr>
                <w:rFonts w:hint="eastAsia" w:eastAsia="黑体" w:cs="Times New Roman"/>
                <w:b/>
                <w:bCs/>
                <w:i w:val="0"/>
                <w:iCs w:val="0"/>
                <w:color w:val="auto"/>
                <w:kern w:val="0"/>
                <w:sz w:val="21"/>
                <w:szCs w:val="21"/>
                <w:highlight w:val="none"/>
                <w:u w:val="none"/>
                <w:lang w:val="en-US" w:eastAsia="zh-CN" w:bidi="ar"/>
              </w:rPr>
            </w:pPr>
            <w:r>
              <w:rPr>
                <w:rFonts w:hint="eastAsia" w:eastAsia="黑体" w:cs="Times New Roman"/>
                <w:b/>
                <w:bCs/>
                <w:i w:val="0"/>
                <w:iCs w:val="0"/>
                <w:color w:val="auto"/>
                <w:kern w:val="0"/>
                <w:sz w:val="21"/>
                <w:szCs w:val="21"/>
                <w:highlight w:val="none"/>
                <w:u w:val="none"/>
                <w:lang w:val="en-US" w:eastAsia="zh-CN" w:bidi="ar"/>
              </w:rPr>
              <w:t>第三标段（</w:t>
            </w:r>
            <w:r>
              <w:rPr>
                <w:rFonts w:hint="default" w:ascii="Times New Roman" w:hAnsi="Times New Roman" w:eastAsia="黑体" w:cs="Times New Roman"/>
                <w:b/>
                <w:bCs/>
                <w:i w:val="0"/>
                <w:iCs w:val="0"/>
                <w:color w:val="auto"/>
                <w:kern w:val="0"/>
                <w:sz w:val="21"/>
                <w:szCs w:val="21"/>
                <w:highlight w:val="none"/>
                <w:u w:val="none"/>
                <w:lang w:val="en-US" w:eastAsia="zh-CN" w:bidi="ar"/>
              </w:rPr>
              <w:t>学苑二楼餐厅</w:t>
            </w:r>
            <w:r>
              <w:rPr>
                <w:rFonts w:hint="eastAsia" w:eastAsia="黑体" w:cs="Times New Roman"/>
                <w:b/>
                <w:bCs/>
                <w:i w:val="0"/>
                <w:iCs w:val="0"/>
                <w:color w:val="auto"/>
                <w:kern w:val="0"/>
                <w:sz w:val="21"/>
                <w:szCs w:val="21"/>
                <w:highlight w:val="none"/>
                <w:u w:val="none"/>
                <w:lang w:val="en-US" w:eastAsia="zh-CN" w:bidi="ar"/>
              </w:rPr>
              <w:t>）服务</w:t>
            </w:r>
          </w:p>
          <w:p w14:paraId="47B55E6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黑体" w:cs="Times New Roman"/>
                <w:b/>
                <w:bCs/>
                <w:i w:val="0"/>
                <w:iCs w:val="0"/>
                <w:color w:val="auto"/>
                <w:sz w:val="21"/>
                <w:szCs w:val="21"/>
                <w:highlight w:val="none"/>
                <w:u w:val="none"/>
              </w:rPr>
            </w:pPr>
            <w:r>
              <w:rPr>
                <w:rFonts w:hint="eastAsia" w:eastAsia="黑体" w:cs="Times New Roman"/>
                <w:b/>
                <w:bCs/>
                <w:i w:val="0"/>
                <w:iCs w:val="0"/>
                <w:color w:val="auto"/>
                <w:kern w:val="0"/>
                <w:sz w:val="21"/>
                <w:szCs w:val="21"/>
                <w:highlight w:val="none"/>
                <w:u w:val="none"/>
                <w:lang w:val="en-US" w:eastAsia="zh-CN" w:bidi="ar"/>
              </w:rPr>
              <w:t>最低</w:t>
            </w:r>
            <w:r>
              <w:rPr>
                <w:rFonts w:hint="default" w:ascii="Times New Roman" w:hAnsi="Times New Roman" w:eastAsia="黑体" w:cs="Times New Roman"/>
                <w:b/>
                <w:bCs/>
                <w:i w:val="0"/>
                <w:iCs w:val="0"/>
                <w:color w:val="auto"/>
                <w:kern w:val="0"/>
                <w:sz w:val="21"/>
                <w:szCs w:val="21"/>
                <w:highlight w:val="none"/>
                <w:u w:val="none"/>
                <w:lang w:val="en-US" w:eastAsia="zh-CN" w:bidi="ar"/>
              </w:rPr>
              <w:t>人数</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28981D5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黑体" w:cs="Times New Roman"/>
                <w:b/>
                <w:bCs/>
                <w:i w:val="0"/>
                <w:iCs w:val="0"/>
                <w:color w:val="auto"/>
                <w:sz w:val="21"/>
                <w:szCs w:val="21"/>
                <w:highlight w:val="none"/>
                <w:u w:val="none"/>
                <w:lang w:val="en-US" w:eastAsia="zh-CN"/>
              </w:rPr>
            </w:pPr>
            <w:r>
              <w:rPr>
                <w:rFonts w:hint="eastAsia" w:eastAsia="黑体" w:cs="Times New Roman"/>
                <w:b/>
                <w:bCs/>
                <w:i w:val="0"/>
                <w:iCs w:val="0"/>
                <w:color w:val="auto"/>
                <w:sz w:val="21"/>
                <w:szCs w:val="21"/>
                <w:highlight w:val="none"/>
                <w:u w:val="none"/>
                <w:lang w:val="en-US" w:eastAsia="zh-CN"/>
              </w:rPr>
              <w:t>小计</w:t>
            </w:r>
          </w:p>
        </w:tc>
      </w:tr>
      <w:tr w14:paraId="7A1F4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904" w:type="dxa"/>
            <w:tcBorders>
              <w:top w:val="single" w:color="000000" w:sz="4" w:space="0"/>
              <w:left w:val="single" w:color="000000" w:sz="4" w:space="0"/>
              <w:bottom w:val="single" w:color="000000" w:sz="4" w:space="0"/>
              <w:right w:val="single" w:color="000000" w:sz="4" w:space="0"/>
            </w:tcBorders>
            <w:noWrap w:val="0"/>
            <w:vAlign w:val="center"/>
          </w:tcPr>
          <w:p w14:paraId="154A960F">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lang w:val="en-US" w:eastAsia="zh-CN"/>
              </w:rPr>
            </w:pPr>
            <w:r>
              <w:rPr>
                <w:rFonts w:hint="default" w:ascii="Times New Roman" w:hAnsi="Times New Roman" w:cs="Times New Roman"/>
                <w:color w:val="auto"/>
                <w:szCs w:val="20"/>
                <w:highlight w:val="none"/>
                <w:lang w:val="en-US" w:eastAsia="zh-CN"/>
              </w:rPr>
              <w:t>项目</w:t>
            </w:r>
            <w:r>
              <w:rPr>
                <w:rFonts w:hint="eastAsia" w:cs="Times New Roman"/>
                <w:color w:val="auto"/>
                <w:szCs w:val="20"/>
                <w:highlight w:val="none"/>
                <w:lang w:val="en-US" w:eastAsia="zh-CN"/>
              </w:rPr>
              <w:t>管理服务</w:t>
            </w:r>
          </w:p>
        </w:tc>
        <w:tc>
          <w:tcPr>
            <w:tcW w:w="1695" w:type="dxa"/>
            <w:tcBorders>
              <w:top w:val="single" w:color="000000" w:sz="4" w:space="0"/>
              <w:left w:val="single" w:color="000000" w:sz="4" w:space="0"/>
              <w:bottom w:val="single" w:color="000000" w:sz="4" w:space="0"/>
              <w:right w:val="single" w:color="000000" w:sz="4" w:space="0"/>
            </w:tcBorders>
            <w:noWrap w:val="0"/>
            <w:vAlign w:val="center"/>
          </w:tcPr>
          <w:p w14:paraId="6E86BEB0">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lang w:val="en-US" w:eastAsia="zh-CN"/>
              </w:rPr>
            </w:pPr>
            <w:r>
              <w:rPr>
                <w:rFonts w:hint="default" w:ascii="Times New Roman" w:hAnsi="Times New Roman" w:cs="Times New Roman"/>
                <w:color w:val="auto"/>
                <w:szCs w:val="20"/>
                <w:highlight w:val="none"/>
                <w:lang w:val="en-US" w:eastAsia="zh-CN"/>
              </w:rPr>
              <w:t>1</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1FC50C36">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lang w:val="en-US" w:eastAsia="zh-CN"/>
              </w:rPr>
            </w:pPr>
            <w:r>
              <w:rPr>
                <w:rFonts w:hint="default" w:ascii="Times New Roman" w:hAnsi="Times New Roman" w:cs="Times New Roman"/>
                <w:color w:val="auto"/>
                <w:szCs w:val="20"/>
                <w:highlight w:val="none"/>
                <w:lang w:val="en-US" w:eastAsia="zh-CN"/>
              </w:rPr>
              <w:t>1</w:t>
            </w: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6F877799">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lang w:val="en-US" w:eastAsia="zh-CN"/>
              </w:rPr>
            </w:pPr>
            <w:r>
              <w:rPr>
                <w:rFonts w:hint="default" w:ascii="Times New Roman" w:hAnsi="Times New Roman" w:cs="Times New Roman"/>
                <w:color w:val="auto"/>
                <w:szCs w:val="20"/>
                <w:highlight w:val="none"/>
                <w:lang w:val="en-US" w:eastAsia="zh-CN"/>
              </w:rPr>
              <w:t>1</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6D22BE33">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lang w:val="en-US" w:eastAsia="zh-CN"/>
              </w:rPr>
            </w:pPr>
            <w:r>
              <w:rPr>
                <w:rFonts w:hint="default" w:ascii="Times New Roman" w:hAnsi="Times New Roman" w:cs="Times New Roman"/>
                <w:color w:val="auto"/>
                <w:szCs w:val="20"/>
                <w:highlight w:val="none"/>
                <w:shd w:val="clear"/>
                <w:lang w:val="en-US" w:eastAsia="zh-CN"/>
              </w:rPr>
              <w:t>3</w:t>
            </w:r>
          </w:p>
        </w:tc>
      </w:tr>
      <w:tr w14:paraId="75599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904" w:type="dxa"/>
            <w:tcBorders>
              <w:top w:val="single" w:color="000000" w:sz="4" w:space="0"/>
              <w:left w:val="single" w:color="000000" w:sz="4" w:space="0"/>
              <w:bottom w:val="single" w:color="000000" w:sz="4" w:space="0"/>
              <w:right w:val="single" w:color="000000" w:sz="4" w:space="0"/>
            </w:tcBorders>
            <w:noWrap w:val="0"/>
            <w:vAlign w:val="center"/>
          </w:tcPr>
          <w:p w14:paraId="74A260D7">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lang w:val="en-US"/>
              </w:rPr>
            </w:pPr>
            <w:r>
              <w:rPr>
                <w:rFonts w:hint="default" w:ascii="Times New Roman" w:hAnsi="Times New Roman" w:cs="Times New Roman"/>
                <w:color w:val="auto"/>
                <w:szCs w:val="20"/>
                <w:highlight w:val="none"/>
                <w:lang w:val="en-US" w:eastAsia="zh-CN"/>
              </w:rPr>
              <w:t>餐厅</w:t>
            </w:r>
            <w:r>
              <w:rPr>
                <w:rFonts w:hint="eastAsia" w:cs="Times New Roman"/>
                <w:color w:val="auto"/>
                <w:szCs w:val="20"/>
                <w:highlight w:val="none"/>
                <w:lang w:val="en-US" w:eastAsia="zh-CN"/>
              </w:rPr>
              <w:t>管理服务</w:t>
            </w:r>
          </w:p>
        </w:tc>
        <w:tc>
          <w:tcPr>
            <w:tcW w:w="1695" w:type="dxa"/>
            <w:tcBorders>
              <w:top w:val="single" w:color="000000" w:sz="4" w:space="0"/>
              <w:left w:val="single" w:color="000000" w:sz="4" w:space="0"/>
              <w:bottom w:val="single" w:color="000000" w:sz="4" w:space="0"/>
              <w:right w:val="single" w:color="000000" w:sz="4" w:space="0"/>
            </w:tcBorders>
            <w:noWrap w:val="0"/>
            <w:vAlign w:val="center"/>
          </w:tcPr>
          <w:p w14:paraId="128A86E8">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lang w:val="en-US" w:eastAsia="zh-CN"/>
              </w:rPr>
              <w:t>1</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2DBB0460">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lang w:val="en-US" w:eastAsia="zh-CN"/>
              </w:rPr>
              <w:t>1</w:t>
            </w: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53B12DF3">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lang w:val="en-US" w:eastAsia="zh-CN"/>
              </w:rPr>
              <w:t>1</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32FC1868">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shd w:val="clear"/>
                <w:lang w:val="en-US" w:eastAsia="zh-CN"/>
              </w:rPr>
              <w:t>3</w:t>
            </w:r>
          </w:p>
        </w:tc>
      </w:tr>
      <w:tr w14:paraId="0CDCB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904" w:type="dxa"/>
            <w:tcBorders>
              <w:top w:val="single" w:color="000000" w:sz="4" w:space="0"/>
              <w:left w:val="single" w:color="000000" w:sz="4" w:space="0"/>
              <w:bottom w:val="single" w:color="000000" w:sz="4" w:space="0"/>
              <w:right w:val="single" w:color="000000" w:sz="4" w:space="0"/>
            </w:tcBorders>
            <w:noWrap w:val="0"/>
            <w:vAlign w:val="center"/>
          </w:tcPr>
          <w:p w14:paraId="048B90D1">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lang w:val="en-US"/>
              </w:rPr>
            </w:pPr>
            <w:r>
              <w:rPr>
                <w:rFonts w:hint="default" w:ascii="Times New Roman" w:hAnsi="Times New Roman" w:cs="Times New Roman"/>
                <w:color w:val="auto"/>
                <w:szCs w:val="20"/>
                <w:highlight w:val="none"/>
                <w:lang w:val="en-US" w:eastAsia="zh-CN"/>
              </w:rPr>
              <w:t>库</w:t>
            </w:r>
            <w:r>
              <w:rPr>
                <w:rFonts w:hint="eastAsia" w:cs="Times New Roman"/>
                <w:color w:val="auto"/>
                <w:szCs w:val="20"/>
                <w:highlight w:val="none"/>
                <w:lang w:val="en-US" w:eastAsia="zh-CN"/>
              </w:rPr>
              <w:t>房管理服务</w:t>
            </w:r>
          </w:p>
        </w:tc>
        <w:tc>
          <w:tcPr>
            <w:tcW w:w="1695" w:type="dxa"/>
            <w:tcBorders>
              <w:top w:val="single" w:color="000000" w:sz="4" w:space="0"/>
              <w:left w:val="single" w:color="000000" w:sz="4" w:space="0"/>
              <w:bottom w:val="single" w:color="000000" w:sz="4" w:space="0"/>
              <w:right w:val="single" w:color="000000" w:sz="4" w:space="0"/>
            </w:tcBorders>
            <w:noWrap w:val="0"/>
            <w:vAlign w:val="center"/>
          </w:tcPr>
          <w:p w14:paraId="5A161501">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Cs w:val="20"/>
                <w:highlight w:val="none"/>
                <w:lang w:val="en-US" w:eastAsia="zh-CN"/>
              </w:rPr>
            </w:pPr>
            <w:r>
              <w:rPr>
                <w:rFonts w:hint="default" w:ascii="Times New Roman" w:hAnsi="Times New Roman" w:cs="Times New Roman"/>
                <w:color w:val="auto"/>
                <w:szCs w:val="20"/>
                <w:highlight w:val="none"/>
                <w:lang w:val="en-US" w:eastAsia="zh-CN"/>
              </w:rPr>
              <w:t>2</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14BF3BC3">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lang w:val="en-US" w:eastAsia="zh-CN"/>
              </w:rPr>
              <w:t>1</w:t>
            </w: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0470347B">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lang w:val="en-US" w:eastAsia="zh-CN"/>
              </w:rPr>
              <w:t>1</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2BC4C6DC">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Cs w:val="20"/>
                <w:highlight w:val="none"/>
                <w:lang w:val="en-US" w:eastAsia="zh-CN"/>
              </w:rPr>
            </w:pPr>
            <w:r>
              <w:rPr>
                <w:rFonts w:hint="default" w:ascii="Times New Roman" w:hAnsi="Times New Roman" w:cs="Times New Roman"/>
                <w:color w:val="auto"/>
                <w:szCs w:val="20"/>
                <w:highlight w:val="none"/>
                <w:shd w:val="clear"/>
                <w:lang w:val="en-US" w:eastAsia="zh-CN"/>
              </w:rPr>
              <w:t>4</w:t>
            </w:r>
          </w:p>
        </w:tc>
      </w:tr>
      <w:tr w14:paraId="6296E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904" w:type="dxa"/>
            <w:tcBorders>
              <w:top w:val="single" w:color="000000" w:sz="4" w:space="0"/>
              <w:left w:val="single" w:color="000000" w:sz="4" w:space="0"/>
              <w:bottom w:val="single" w:color="000000" w:sz="4" w:space="0"/>
              <w:right w:val="single" w:color="000000" w:sz="4" w:space="0"/>
            </w:tcBorders>
            <w:noWrap w:val="0"/>
            <w:vAlign w:val="center"/>
          </w:tcPr>
          <w:p w14:paraId="29CF788D">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lang w:val="en-US" w:eastAsia="zh-CN"/>
              </w:rPr>
              <w:t>食品安全</w:t>
            </w:r>
            <w:r>
              <w:rPr>
                <w:rFonts w:hint="eastAsia" w:cs="Times New Roman"/>
                <w:color w:val="auto"/>
                <w:szCs w:val="20"/>
                <w:highlight w:val="none"/>
                <w:lang w:val="en-US" w:eastAsia="zh-CN"/>
              </w:rPr>
              <w:t>服务</w:t>
            </w:r>
          </w:p>
        </w:tc>
        <w:tc>
          <w:tcPr>
            <w:tcW w:w="1695" w:type="dxa"/>
            <w:tcBorders>
              <w:top w:val="single" w:color="000000" w:sz="4" w:space="0"/>
              <w:left w:val="single" w:color="000000" w:sz="4" w:space="0"/>
              <w:bottom w:val="single" w:color="000000" w:sz="4" w:space="0"/>
              <w:right w:val="single" w:color="000000" w:sz="4" w:space="0"/>
            </w:tcBorders>
            <w:noWrap w:val="0"/>
            <w:vAlign w:val="center"/>
          </w:tcPr>
          <w:p w14:paraId="38015DE9">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lang w:val="en-US" w:eastAsia="zh-CN"/>
              </w:rPr>
              <w:t>2</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7A6FDEA8">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lang w:val="en-US" w:eastAsia="zh-CN"/>
              </w:rPr>
              <w:t>2</w:t>
            </w: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395BDECC">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lang w:val="en-US" w:eastAsia="zh-CN"/>
              </w:rPr>
              <w:t>1</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4753B410">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shd w:val="clear"/>
                <w:lang w:val="en-US" w:eastAsia="zh-CN"/>
              </w:rPr>
              <w:t>5</w:t>
            </w:r>
          </w:p>
        </w:tc>
      </w:tr>
      <w:tr w14:paraId="34649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904" w:type="dxa"/>
            <w:tcBorders>
              <w:top w:val="single" w:color="000000" w:sz="4" w:space="0"/>
              <w:left w:val="single" w:color="000000" w:sz="4" w:space="0"/>
              <w:bottom w:val="single" w:color="000000" w:sz="4" w:space="0"/>
              <w:right w:val="single" w:color="000000" w:sz="4" w:space="0"/>
            </w:tcBorders>
            <w:noWrap w:val="0"/>
            <w:vAlign w:val="center"/>
          </w:tcPr>
          <w:p w14:paraId="1DE470A1">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lang w:val="en-US"/>
              </w:rPr>
            </w:pPr>
            <w:r>
              <w:rPr>
                <w:rFonts w:hint="default" w:ascii="Times New Roman" w:hAnsi="Times New Roman" w:cs="Times New Roman"/>
                <w:color w:val="auto"/>
                <w:szCs w:val="20"/>
                <w:highlight w:val="none"/>
                <w:lang w:val="en-US" w:eastAsia="zh-CN"/>
              </w:rPr>
              <w:t>厨师</w:t>
            </w:r>
            <w:r>
              <w:rPr>
                <w:rFonts w:hint="eastAsia" w:cs="Times New Roman"/>
                <w:color w:val="auto"/>
                <w:szCs w:val="20"/>
                <w:highlight w:val="none"/>
                <w:lang w:val="en-US" w:eastAsia="zh-CN"/>
              </w:rPr>
              <w:t>服务</w:t>
            </w:r>
          </w:p>
        </w:tc>
        <w:tc>
          <w:tcPr>
            <w:tcW w:w="1695" w:type="dxa"/>
            <w:tcBorders>
              <w:top w:val="single" w:color="000000" w:sz="4" w:space="0"/>
              <w:left w:val="single" w:color="000000" w:sz="4" w:space="0"/>
              <w:bottom w:val="single" w:color="000000" w:sz="4" w:space="0"/>
              <w:right w:val="single" w:color="000000" w:sz="4" w:space="0"/>
            </w:tcBorders>
            <w:noWrap w:val="0"/>
            <w:vAlign w:val="center"/>
          </w:tcPr>
          <w:p w14:paraId="1C55924A">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lang w:val="en-US"/>
              </w:rPr>
            </w:pPr>
            <w:r>
              <w:rPr>
                <w:rFonts w:hint="default" w:ascii="Times New Roman" w:hAnsi="Times New Roman" w:cs="Times New Roman"/>
                <w:color w:val="auto"/>
                <w:szCs w:val="20"/>
                <w:highlight w:val="none"/>
                <w:lang w:val="en-US" w:eastAsia="zh-CN"/>
              </w:rPr>
              <w:t>15</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57E58A70">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lang w:val="en-US"/>
              </w:rPr>
            </w:pPr>
            <w:r>
              <w:rPr>
                <w:rFonts w:hint="default" w:ascii="Times New Roman" w:hAnsi="Times New Roman" w:cs="Times New Roman"/>
                <w:color w:val="auto"/>
                <w:szCs w:val="20"/>
                <w:highlight w:val="none"/>
                <w:lang w:val="en-US" w:eastAsia="zh-CN"/>
              </w:rPr>
              <w:t>12</w:t>
            </w: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3B58CCA7">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lang w:val="en-US"/>
              </w:rPr>
            </w:pPr>
            <w:r>
              <w:rPr>
                <w:rFonts w:hint="default" w:ascii="Times New Roman" w:hAnsi="Times New Roman" w:cs="Times New Roman"/>
                <w:color w:val="auto"/>
                <w:szCs w:val="20"/>
                <w:highlight w:val="none"/>
                <w:lang w:val="en-US" w:eastAsia="zh-CN"/>
              </w:rPr>
              <w:t>12</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4E70A246">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Cs w:val="20"/>
                <w:highlight w:val="none"/>
                <w:lang w:val="en-US" w:eastAsia="zh-CN"/>
              </w:rPr>
            </w:pPr>
            <w:r>
              <w:rPr>
                <w:rFonts w:hint="default" w:ascii="Times New Roman" w:hAnsi="Times New Roman" w:cs="Times New Roman"/>
                <w:color w:val="auto"/>
                <w:szCs w:val="20"/>
                <w:highlight w:val="none"/>
                <w:shd w:val="clear"/>
                <w:lang w:val="en-US" w:eastAsia="zh-CN"/>
              </w:rPr>
              <w:t>39</w:t>
            </w:r>
          </w:p>
        </w:tc>
      </w:tr>
      <w:tr w14:paraId="38147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904" w:type="dxa"/>
            <w:tcBorders>
              <w:top w:val="single" w:color="000000" w:sz="4" w:space="0"/>
              <w:left w:val="single" w:color="000000" w:sz="4" w:space="0"/>
              <w:bottom w:val="single" w:color="000000" w:sz="4" w:space="0"/>
              <w:right w:val="single" w:color="000000" w:sz="4" w:space="0"/>
            </w:tcBorders>
            <w:noWrap w:val="0"/>
            <w:vAlign w:val="center"/>
          </w:tcPr>
          <w:p w14:paraId="0ADAC21F">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lang w:val="en-US" w:eastAsia="zh-CN"/>
              </w:rPr>
              <w:t>厨工</w:t>
            </w:r>
            <w:r>
              <w:rPr>
                <w:rFonts w:hint="eastAsia" w:cs="Times New Roman"/>
                <w:color w:val="auto"/>
                <w:szCs w:val="20"/>
                <w:highlight w:val="none"/>
                <w:lang w:val="en-US" w:eastAsia="zh-CN"/>
              </w:rPr>
              <w:t>服务</w:t>
            </w:r>
          </w:p>
        </w:tc>
        <w:tc>
          <w:tcPr>
            <w:tcW w:w="1695" w:type="dxa"/>
            <w:tcBorders>
              <w:top w:val="single" w:color="000000" w:sz="4" w:space="0"/>
              <w:left w:val="single" w:color="000000" w:sz="4" w:space="0"/>
              <w:bottom w:val="single" w:color="000000" w:sz="4" w:space="0"/>
              <w:right w:val="single" w:color="000000" w:sz="4" w:space="0"/>
            </w:tcBorders>
            <w:noWrap w:val="0"/>
            <w:vAlign w:val="center"/>
          </w:tcPr>
          <w:p w14:paraId="7D558542">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Cs w:val="20"/>
                <w:highlight w:val="none"/>
                <w:lang w:val="en-US" w:eastAsia="zh-CN"/>
              </w:rPr>
            </w:pPr>
            <w:r>
              <w:rPr>
                <w:rFonts w:hint="default" w:ascii="Times New Roman" w:hAnsi="Times New Roman" w:cs="Times New Roman"/>
                <w:color w:val="auto"/>
                <w:szCs w:val="20"/>
                <w:highlight w:val="none"/>
                <w:lang w:val="en-US" w:eastAsia="zh-CN"/>
              </w:rPr>
              <w:t>35</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7ACB052C">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Cs w:val="20"/>
                <w:highlight w:val="none"/>
                <w:lang w:val="en-US" w:eastAsia="zh-CN"/>
              </w:rPr>
            </w:pPr>
            <w:r>
              <w:rPr>
                <w:rFonts w:hint="default" w:ascii="Times New Roman" w:hAnsi="Times New Roman" w:cs="Times New Roman"/>
                <w:color w:val="auto"/>
                <w:szCs w:val="20"/>
                <w:highlight w:val="none"/>
                <w:lang w:val="en-US" w:eastAsia="zh-CN"/>
              </w:rPr>
              <w:t>30</w:t>
            </w: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207D8447">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Cs w:val="20"/>
                <w:highlight w:val="none"/>
                <w:lang w:val="en-US" w:eastAsia="zh-CN"/>
              </w:rPr>
            </w:pPr>
            <w:r>
              <w:rPr>
                <w:rFonts w:hint="default" w:ascii="Times New Roman" w:hAnsi="Times New Roman" w:cs="Times New Roman"/>
                <w:color w:val="auto"/>
                <w:szCs w:val="20"/>
                <w:highlight w:val="none"/>
                <w:lang w:val="en-US" w:eastAsia="zh-CN"/>
              </w:rPr>
              <w:t>9</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6F1EF43A">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Cs w:val="20"/>
                <w:highlight w:val="none"/>
                <w:lang w:val="en-US" w:eastAsia="zh-CN"/>
              </w:rPr>
            </w:pPr>
            <w:r>
              <w:rPr>
                <w:rFonts w:hint="default" w:ascii="Times New Roman" w:hAnsi="Times New Roman" w:cs="Times New Roman"/>
                <w:color w:val="auto"/>
                <w:szCs w:val="20"/>
                <w:highlight w:val="none"/>
                <w:shd w:val="clear"/>
                <w:lang w:val="en-US" w:eastAsia="zh-CN"/>
              </w:rPr>
              <w:t>74</w:t>
            </w:r>
          </w:p>
        </w:tc>
      </w:tr>
      <w:tr w14:paraId="093F5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904" w:type="dxa"/>
            <w:tcBorders>
              <w:top w:val="single" w:color="000000" w:sz="4" w:space="0"/>
              <w:left w:val="single" w:color="000000" w:sz="4" w:space="0"/>
              <w:bottom w:val="single" w:color="000000" w:sz="4" w:space="0"/>
              <w:right w:val="single" w:color="000000" w:sz="4" w:space="0"/>
            </w:tcBorders>
            <w:noWrap w:val="0"/>
            <w:vAlign w:val="center"/>
          </w:tcPr>
          <w:p w14:paraId="32DDD884">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lang w:val="en-US" w:eastAsia="zh-CN"/>
              </w:rPr>
              <w:t>保洁</w:t>
            </w:r>
            <w:r>
              <w:rPr>
                <w:rFonts w:hint="eastAsia" w:cs="Times New Roman"/>
                <w:color w:val="auto"/>
                <w:szCs w:val="20"/>
                <w:highlight w:val="none"/>
                <w:lang w:val="en-US" w:eastAsia="zh-CN"/>
              </w:rPr>
              <w:t>服务</w:t>
            </w:r>
          </w:p>
        </w:tc>
        <w:tc>
          <w:tcPr>
            <w:tcW w:w="1695" w:type="dxa"/>
            <w:tcBorders>
              <w:top w:val="single" w:color="000000" w:sz="4" w:space="0"/>
              <w:left w:val="single" w:color="000000" w:sz="4" w:space="0"/>
              <w:bottom w:val="single" w:color="000000" w:sz="4" w:space="0"/>
              <w:right w:val="single" w:color="000000" w:sz="4" w:space="0"/>
            </w:tcBorders>
            <w:noWrap w:val="0"/>
            <w:vAlign w:val="center"/>
          </w:tcPr>
          <w:p w14:paraId="57E94626">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Cs w:val="20"/>
                <w:highlight w:val="none"/>
                <w:lang w:val="en-US" w:eastAsia="zh-CN"/>
              </w:rPr>
            </w:pPr>
            <w:r>
              <w:rPr>
                <w:rFonts w:hint="default" w:ascii="Times New Roman" w:hAnsi="Times New Roman" w:cs="Times New Roman"/>
                <w:color w:val="auto"/>
                <w:szCs w:val="20"/>
                <w:highlight w:val="none"/>
                <w:lang w:val="en-US" w:eastAsia="zh-CN"/>
              </w:rPr>
              <w:t>8</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412754B9">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Cs w:val="20"/>
                <w:highlight w:val="none"/>
                <w:lang w:val="en-US" w:eastAsia="zh-CN"/>
              </w:rPr>
            </w:pPr>
            <w:r>
              <w:rPr>
                <w:rFonts w:hint="default" w:ascii="Times New Roman" w:hAnsi="Times New Roman" w:cs="Times New Roman"/>
                <w:color w:val="auto"/>
                <w:szCs w:val="20"/>
                <w:highlight w:val="none"/>
                <w:lang w:val="en-US" w:eastAsia="zh-CN"/>
              </w:rPr>
              <w:t>8</w:t>
            </w: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3E8636D4">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Cs w:val="20"/>
                <w:highlight w:val="none"/>
                <w:lang w:val="en-US" w:eastAsia="zh-CN"/>
              </w:rPr>
            </w:pPr>
            <w:r>
              <w:rPr>
                <w:rFonts w:hint="default" w:ascii="Times New Roman" w:hAnsi="Times New Roman" w:cs="Times New Roman"/>
                <w:color w:val="auto"/>
                <w:szCs w:val="20"/>
                <w:highlight w:val="none"/>
                <w:lang w:val="en-US" w:eastAsia="zh-CN"/>
              </w:rPr>
              <w:t>6</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33D40560">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Cs w:val="20"/>
                <w:highlight w:val="none"/>
                <w:lang w:val="en-US" w:eastAsia="zh-CN"/>
              </w:rPr>
            </w:pPr>
            <w:r>
              <w:rPr>
                <w:rFonts w:hint="default" w:ascii="Times New Roman" w:hAnsi="Times New Roman" w:cs="Times New Roman"/>
                <w:color w:val="auto"/>
                <w:szCs w:val="20"/>
                <w:highlight w:val="none"/>
                <w:lang w:val="en-US" w:eastAsia="zh-CN"/>
              </w:rPr>
              <w:t>22</w:t>
            </w:r>
          </w:p>
        </w:tc>
      </w:tr>
      <w:tr w14:paraId="5888B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904" w:type="dxa"/>
            <w:tcBorders>
              <w:top w:val="single" w:color="000000" w:sz="4" w:space="0"/>
              <w:left w:val="single" w:color="000000" w:sz="4" w:space="0"/>
              <w:bottom w:val="single" w:color="000000" w:sz="4" w:space="0"/>
              <w:right w:val="single" w:color="000000" w:sz="4" w:space="0"/>
            </w:tcBorders>
            <w:noWrap w:val="0"/>
            <w:vAlign w:val="center"/>
          </w:tcPr>
          <w:p w14:paraId="093B1A3D">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lang w:val="en-US" w:eastAsia="zh-CN"/>
              </w:rPr>
              <w:t>值班</w:t>
            </w:r>
            <w:r>
              <w:rPr>
                <w:rFonts w:hint="eastAsia" w:cs="Times New Roman"/>
                <w:color w:val="auto"/>
                <w:szCs w:val="20"/>
                <w:highlight w:val="none"/>
                <w:lang w:val="en-US" w:eastAsia="zh-CN"/>
              </w:rPr>
              <w:t>服务</w:t>
            </w:r>
          </w:p>
        </w:tc>
        <w:tc>
          <w:tcPr>
            <w:tcW w:w="1695" w:type="dxa"/>
            <w:tcBorders>
              <w:top w:val="single" w:color="000000" w:sz="4" w:space="0"/>
              <w:left w:val="single" w:color="000000" w:sz="4" w:space="0"/>
              <w:bottom w:val="single" w:color="000000" w:sz="4" w:space="0"/>
              <w:right w:val="single" w:color="000000" w:sz="4" w:space="0"/>
            </w:tcBorders>
            <w:noWrap w:val="0"/>
            <w:vAlign w:val="center"/>
          </w:tcPr>
          <w:p w14:paraId="7CE3C350">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Cs w:val="20"/>
                <w:highlight w:val="none"/>
                <w:lang w:val="en-US" w:eastAsia="zh-CN"/>
              </w:rPr>
            </w:pPr>
            <w:r>
              <w:rPr>
                <w:rFonts w:hint="eastAsia" w:cs="Times New Roman"/>
                <w:color w:val="auto"/>
                <w:szCs w:val="20"/>
                <w:highlight w:val="none"/>
                <w:lang w:val="en-US" w:eastAsia="zh-CN"/>
              </w:rPr>
              <w:t>6</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76743E82">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Cs w:val="20"/>
                <w:highlight w:val="none"/>
                <w:lang w:val="en-US" w:eastAsia="zh-CN"/>
              </w:rPr>
            </w:pPr>
            <w:r>
              <w:rPr>
                <w:rFonts w:hint="default" w:ascii="Times New Roman" w:hAnsi="Times New Roman" w:cs="Times New Roman"/>
                <w:color w:val="auto"/>
                <w:szCs w:val="20"/>
                <w:highlight w:val="none"/>
                <w:lang w:val="en-US" w:eastAsia="zh-CN"/>
              </w:rPr>
              <w:t>0</w:t>
            </w: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48200062">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lang w:val="en-US" w:eastAsia="zh-CN"/>
              </w:rPr>
              <w:t>0</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6407ED62">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Cs w:val="20"/>
                <w:highlight w:val="none"/>
                <w:lang w:val="en-US" w:eastAsia="zh-CN"/>
              </w:rPr>
            </w:pPr>
            <w:r>
              <w:rPr>
                <w:rFonts w:hint="eastAsia" w:cs="Times New Roman"/>
                <w:color w:val="auto"/>
                <w:szCs w:val="20"/>
                <w:highlight w:val="none"/>
                <w:lang w:val="en-US" w:eastAsia="zh-CN"/>
              </w:rPr>
              <w:t>6</w:t>
            </w:r>
          </w:p>
        </w:tc>
      </w:tr>
      <w:tr w14:paraId="20BEE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904" w:type="dxa"/>
            <w:tcBorders>
              <w:top w:val="single" w:color="000000" w:sz="4" w:space="0"/>
              <w:left w:val="single" w:color="000000" w:sz="4" w:space="0"/>
              <w:bottom w:val="single" w:color="000000" w:sz="4" w:space="0"/>
              <w:right w:val="single" w:color="000000" w:sz="4" w:space="0"/>
            </w:tcBorders>
            <w:noWrap w:val="0"/>
            <w:vAlign w:val="center"/>
          </w:tcPr>
          <w:p w14:paraId="723DF060">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Cs w:val="20"/>
                <w:highlight w:val="none"/>
                <w:lang w:val="en-US" w:eastAsia="zh-CN"/>
              </w:rPr>
            </w:pPr>
            <w:r>
              <w:rPr>
                <w:rFonts w:hint="eastAsia" w:cs="Times New Roman"/>
                <w:color w:val="auto"/>
                <w:szCs w:val="20"/>
                <w:highlight w:val="none"/>
                <w:lang w:val="en-US" w:eastAsia="zh-CN"/>
              </w:rPr>
              <w:t>包厢服务</w:t>
            </w:r>
          </w:p>
        </w:tc>
        <w:tc>
          <w:tcPr>
            <w:tcW w:w="1695" w:type="dxa"/>
            <w:tcBorders>
              <w:top w:val="single" w:color="000000" w:sz="4" w:space="0"/>
              <w:left w:val="single" w:color="000000" w:sz="4" w:space="0"/>
              <w:bottom w:val="single" w:color="000000" w:sz="4" w:space="0"/>
              <w:right w:val="single" w:color="000000" w:sz="4" w:space="0"/>
            </w:tcBorders>
            <w:noWrap w:val="0"/>
            <w:vAlign w:val="center"/>
          </w:tcPr>
          <w:p w14:paraId="63AE13E3">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lang w:val="en-US" w:eastAsia="zh-CN"/>
              </w:rPr>
              <w:t>0</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37BD02A3">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lang w:val="en-US" w:eastAsia="zh-CN"/>
              </w:rPr>
              <w:t>0</w:t>
            </w: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2B9BEEB9">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lang w:val="en-US" w:eastAsia="zh-CN"/>
              </w:rPr>
              <w:t>1</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5ADFCB5A">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lang w:val="en-US" w:eastAsia="zh-CN"/>
              </w:rPr>
              <w:t>1</w:t>
            </w:r>
          </w:p>
        </w:tc>
      </w:tr>
      <w:tr w14:paraId="1FDE6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1904" w:type="dxa"/>
            <w:tcBorders>
              <w:top w:val="single" w:color="000000" w:sz="4" w:space="0"/>
              <w:left w:val="single" w:color="000000" w:sz="4" w:space="0"/>
              <w:bottom w:val="single" w:color="000000" w:sz="4" w:space="0"/>
              <w:right w:val="single" w:color="000000" w:sz="4" w:space="0"/>
            </w:tcBorders>
            <w:noWrap w:val="0"/>
            <w:vAlign w:val="center"/>
          </w:tcPr>
          <w:p w14:paraId="56B7ACA8">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Cs w:val="20"/>
                <w:highlight w:val="none"/>
                <w:lang w:val="en-US" w:eastAsia="zh-CN"/>
              </w:rPr>
            </w:pPr>
            <w:r>
              <w:rPr>
                <w:rFonts w:hint="default" w:ascii="Times New Roman" w:hAnsi="Times New Roman" w:cs="Times New Roman"/>
                <w:color w:val="auto"/>
                <w:szCs w:val="20"/>
                <w:highlight w:val="none"/>
                <w:lang w:val="en-US" w:eastAsia="zh-CN"/>
              </w:rPr>
              <w:t>洗碗</w:t>
            </w:r>
            <w:r>
              <w:rPr>
                <w:rFonts w:hint="eastAsia" w:cs="Times New Roman"/>
                <w:color w:val="auto"/>
                <w:szCs w:val="20"/>
                <w:highlight w:val="none"/>
                <w:lang w:val="en-US" w:eastAsia="zh-CN"/>
              </w:rPr>
              <w:t>服务</w:t>
            </w:r>
          </w:p>
        </w:tc>
        <w:tc>
          <w:tcPr>
            <w:tcW w:w="1695" w:type="dxa"/>
            <w:tcBorders>
              <w:top w:val="single" w:color="000000" w:sz="4" w:space="0"/>
              <w:left w:val="single" w:color="000000" w:sz="4" w:space="0"/>
              <w:bottom w:val="single" w:color="000000" w:sz="4" w:space="0"/>
              <w:right w:val="single" w:color="000000" w:sz="4" w:space="0"/>
            </w:tcBorders>
            <w:noWrap w:val="0"/>
            <w:vAlign w:val="center"/>
          </w:tcPr>
          <w:p w14:paraId="3B2E6F81">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Cs w:val="20"/>
                <w:highlight w:val="none"/>
                <w:lang w:val="en-US" w:eastAsia="zh-CN"/>
              </w:rPr>
            </w:pPr>
            <w:r>
              <w:rPr>
                <w:rFonts w:hint="eastAsia" w:cs="Times New Roman"/>
                <w:color w:val="auto"/>
                <w:szCs w:val="20"/>
                <w:highlight w:val="none"/>
                <w:lang w:val="en-US" w:eastAsia="zh-CN"/>
              </w:rPr>
              <w:t>0</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5122A076">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Cs w:val="20"/>
                <w:highlight w:val="none"/>
                <w:lang w:val="en-US" w:eastAsia="zh-CN"/>
              </w:rPr>
            </w:pPr>
            <w:r>
              <w:rPr>
                <w:rFonts w:hint="default" w:ascii="Times New Roman" w:hAnsi="Times New Roman" w:cs="Times New Roman"/>
                <w:color w:val="auto"/>
                <w:szCs w:val="20"/>
                <w:highlight w:val="none"/>
                <w:lang w:val="en-US" w:eastAsia="zh-CN"/>
              </w:rPr>
              <w:t>23</w:t>
            </w: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46AEFF48">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Cs w:val="20"/>
                <w:highlight w:val="none"/>
                <w:lang w:val="en-US" w:eastAsia="zh-CN"/>
              </w:rPr>
            </w:pPr>
            <w:r>
              <w:rPr>
                <w:rFonts w:hint="eastAsia" w:cs="Times New Roman"/>
                <w:color w:val="auto"/>
                <w:szCs w:val="20"/>
                <w:highlight w:val="none"/>
                <w:lang w:val="en-US" w:eastAsia="zh-CN"/>
              </w:rPr>
              <w:t>0</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212DF985">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Cs w:val="20"/>
                <w:highlight w:val="none"/>
                <w:lang w:val="en-US" w:eastAsia="zh-CN"/>
              </w:rPr>
            </w:pPr>
            <w:r>
              <w:rPr>
                <w:rFonts w:hint="default" w:ascii="Times New Roman" w:hAnsi="Times New Roman" w:cs="Times New Roman"/>
                <w:color w:val="auto"/>
                <w:szCs w:val="20"/>
                <w:highlight w:val="none"/>
                <w:lang w:val="en-US" w:eastAsia="zh-CN"/>
              </w:rPr>
              <w:t>23</w:t>
            </w:r>
          </w:p>
        </w:tc>
      </w:tr>
      <w:tr w14:paraId="5F036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1904" w:type="dxa"/>
            <w:tcBorders>
              <w:top w:val="single" w:color="000000" w:sz="4" w:space="0"/>
              <w:left w:val="single" w:color="000000" w:sz="4" w:space="0"/>
              <w:bottom w:val="single" w:color="000000" w:sz="4" w:space="0"/>
              <w:right w:val="single" w:color="000000" w:sz="4" w:space="0"/>
            </w:tcBorders>
            <w:noWrap w:val="0"/>
            <w:vAlign w:val="center"/>
          </w:tcPr>
          <w:p w14:paraId="0D6E2919">
            <w:pPr>
              <w:keepNext w:val="0"/>
              <w:keepLines w:val="0"/>
              <w:suppressLineNumbers w:val="0"/>
              <w:bidi w:val="0"/>
              <w:spacing w:before="0" w:beforeAutospacing="0" w:after="0" w:afterAutospacing="0"/>
              <w:ind w:left="0" w:right="0"/>
              <w:jc w:val="center"/>
              <w:rPr>
                <w:rFonts w:hint="eastAsia" w:cs="Times New Roman"/>
                <w:color w:val="auto"/>
                <w:szCs w:val="20"/>
                <w:highlight w:val="none"/>
                <w:lang w:val="en-US" w:eastAsia="zh-CN"/>
              </w:rPr>
            </w:pPr>
            <w:r>
              <w:rPr>
                <w:rFonts w:hint="default" w:ascii="Times New Roman" w:hAnsi="Times New Roman" w:cs="Times New Roman"/>
                <w:color w:val="auto"/>
                <w:szCs w:val="20"/>
                <w:highlight w:val="none"/>
                <w:lang w:val="en-US" w:eastAsia="zh-CN"/>
              </w:rPr>
              <w:t>米饭</w:t>
            </w:r>
            <w:r>
              <w:rPr>
                <w:rFonts w:hint="eastAsia" w:cs="Times New Roman"/>
                <w:color w:val="auto"/>
                <w:szCs w:val="20"/>
                <w:highlight w:val="none"/>
                <w:lang w:val="en-US" w:eastAsia="zh-CN"/>
              </w:rPr>
              <w:t>生产线</w:t>
            </w:r>
          </w:p>
          <w:p w14:paraId="0B3EE55B">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Cs w:val="20"/>
                <w:highlight w:val="none"/>
                <w:lang w:val="en-US" w:eastAsia="zh-CN"/>
              </w:rPr>
            </w:pPr>
            <w:r>
              <w:rPr>
                <w:rFonts w:hint="eastAsia" w:cs="Times New Roman"/>
                <w:color w:val="auto"/>
                <w:szCs w:val="20"/>
                <w:highlight w:val="none"/>
                <w:lang w:val="en-US" w:eastAsia="zh-CN"/>
              </w:rPr>
              <w:t>操作服务</w:t>
            </w:r>
          </w:p>
        </w:tc>
        <w:tc>
          <w:tcPr>
            <w:tcW w:w="1695" w:type="dxa"/>
            <w:tcBorders>
              <w:top w:val="single" w:color="000000" w:sz="4" w:space="0"/>
              <w:left w:val="single" w:color="000000" w:sz="4" w:space="0"/>
              <w:bottom w:val="single" w:color="000000" w:sz="4" w:space="0"/>
              <w:right w:val="single" w:color="000000" w:sz="4" w:space="0"/>
            </w:tcBorders>
            <w:noWrap w:val="0"/>
            <w:vAlign w:val="center"/>
          </w:tcPr>
          <w:p w14:paraId="1507DFC4">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lang w:val="en-US" w:eastAsia="zh-CN"/>
              </w:rPr>
            </w:pPr>
            <w:r>
              <w:rPr>
                <w:rFonts w:hint="default" w:ascii="Times New Roman" w:hAnsi="Times New Roman" w:cs="Times New Roman"/>
                <w:color w:val="auto"/>
                <w:szCs w:val="20"/>
                <w:highlight w:val="none"/>
                <w:lang w:val="en-US" w:eastAsia="zh-CN"/>
              </w:rPr>
              <w:t>5</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780EC5A7">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lang w:val="en-US" w:eastAsia="zh-CN"/>
              </w:rPr>
            </w:pPr>
            <w:r>
              <w:rPr>
                <w:rFonts w:hint="eastAsia" w:cs="Times New Roman"/>
                <w:color w:val="auto"/>
                <w:szCs w:val="20"/>
                <w:highlight w:val="none"/>
                <w:lang w:val="en-US" w:eastAsia="zh-CN"/>
              </w:rPr>
              <w:t>0</w:t>
            </w: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66CC2CD1">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lang w:val="en-US" w:eastAsia="zh-CN"/>
              </w:rPr>
            </w:pPr>
            <w:r>
              <w:rPr>
                <w:rFonts w:hint="eastAsia" w:cs="Times New Roman"/>
                <w:color w:val="auto"/>
                <w:szCs w:val="20"/>
                <w:highlight w:val="none"/>
                <w:lang w:val="en-US" w:eastAsia="zh-CN"/>
              </w:rPr>
              <w:t>0</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2C40BD97">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Cs w:val="20"/>
                <w:highlight w:val="none"/>
                <w:lang w:val="en-US" w:eastAsia="zh-CN"/>
              </w:rPr>
            </w:pPr>
            <w:r>
              <w:rPr>
                <w:rFonts w:hint="default" w:ascii="Times New Roman" w:hAnsi="Times New Roman" w:cs="Times New Roman"/>
                <w:color w:val="auto"/>
                <w:szCs w:val="20"/>
                <w:highlight w:val="none"/>
                <w:lang w:val="en-US" w:eastAsia="zh-CN"/>
              </w:rPr>
              <w:t>5</w:t>
            </w:r>
          </w:p>
        </w:tc>
      </w:tr>
      <w:tr w14:paraId="79F57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1904" w:type="dxa"/>
            <w:tcBorders>
              <w:top w:val="single" w:color="000000" w:sz="4" w:space="0"/>
              <w:left w:val="single" w:color="000000" w:sz="4" w:space="0"/>
              <w:bottom w:val="single" w:color="000000" w:sz="4" w:space="0"/>
              <w:right w:val="single" w:color="000000" w:sz="4" w:space="0"/>
            </w:tcBorders>
            <w:noWrap w:val="0"/>
            <w:vAlign w:val="center"/>
          </w:tcPr>
          <w:p w14:paraId="30C20718">
            <w:pPr>
              <w:keepNext w:val="0"/>
              <w:keepLines w:val="0"/>
              <w:suppressLineNumbers w:val="0"/>
              <w:bidi w:val="0"/>
              <w:spacing w:before="0" w:beforeAutospacing="0" w:after="0" w:afterAutospacing="0"/>
              <w:ind w:left="0" w:right="0"/>
              <w:jc w:val="center"/>
              <w:rPr>
                <w:rFonts w:hint="eastAsia" w:cs="Times New Roman"/>
                <w:b/>
                <w:bCs/>
                <w:color w:val="auto"/>
                <w:szCs w:val="20"/>
                <w:highlight w:val="none"/>
                <w:lang w:val="en-US" w:eastAsia="zh-CN"/>
              </w:rPr>
            </w:pPr>
            <w:r>
              <w:rPr>
                <w:rFonts w:hint="eastAsia" w:cs="Times New Roman"/>
                <w:b/>
                <w:bCs/>
                <w:color w:val="auto"/>
                <w:szCs w:val="20"/>
                <w:highlight w:val="none"/>
                <w:lang w:val="en-US" w:eastAsia="zh-CN"/>
              </w:rPr>
              <w:t>合计</w:t>
            </w:r>
          </w:p>
        </w:tc>
        <w:tc>
          <w:tcPr>
            <w:tcW w:w="1695" w:type="dxa"/>
            <w:tcBorders>
              <w:top w:val="single" w:color="000000" w:sz="4" w:space="0"/>
              <w:left w:val="single" w:color="000000" w:sz="4" w:space="0"/>
              <w:bottom w:val="single" w:color="000000" w:sz="4" w:space="0"/>
              <w:right w:val="single" w:color="000000" w:sz="4" w:space="0"/>
            </w:tcBorders>
            <w:noWrap w:val="0"/>
            <w:vAlign w:val="center"/>
          </w:tcPr>
          <w:p w14:paraId="1A8005AC">
            <w:pPr>
              <w:keepNext w:val="0"/>
              <w:keepLines w:val="0"/>
              <w:suppressLineNumbers w:val="0"/>
              <w:bidi w:val="0"/>
              <w:spacing w:before="0" w:beforeAutospacing="0" w:after="0" w:afterAutospacing="0"/>
              <w:ind w:left="0" w:right="0"/>
              <w:jc w:val="center"/>
              <w:rPr>
                <w:rFonts w:hint="default" w:ascii="Times New Roman" w:hAnsi="Times New Roman" w:cs="Times New Roman"/>
                <w:b/>
                <w:bCs/>
                <w:color w:val="auto"/>
                <w:szCs w:val="20"/>
                <w:highlight w:val="none"/>
                <w:lang w:val="en-US" w:eastAsia="zh-CN"/>
              </w:rPr>
            </w:pPr>
            <w:r>
              <w:rPr>
                <w:rFonts w:hint="eastAsia" w:cs="Times New Roman"/>
                <w:b/>
                <w:bCs/>
                <w:color w:val="auto"/>
                <w:szCs w:val="20"/>
                <w:highlight w:val="none"/>
                <w:lang w:val="en-US" w:eastAsia="zh-CN"/>
              </w:rPr>
              <w:t>75</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02596177">
            <w:pPr>
              <w:keepNext w:val="0"/>
              <w:keepLines w:val="0"/>
              <w:suppressLineNumbers w:val="0"/>
              <w:bidi w:val="0"/>
              <w:spacing w:before="0" w:beforeAutospacing="0" w:after="0" w:afterAutospacing="0"/>
              <w:ind w:left="0" w:right="0"/>
              <w:jc w:val="center"/>
              <w:rPr>
                <w:rFonts w:hint="default" w:cs="Times New Roman"/>
                <w:b/>
                <w:bCs/>
                <w:color w:val="auto"/>
                <w:szCs w:val="20"/>
                <w:highlight w:val="none"/>
                <w:lang w:val="en-US" w:eastAsia="zh-CN"/>
              </w:rPr>
            </w:pPr>
            <w:r>
              <w:rPr>
                <w:rFonts w:hint="eastAsia" w:cs="Times New Roman"/>
                <w:b/>
                <w:bCs/>
                <w:color w:val="auto"/>
                <w:szCs w:val="20"/>
                <w:highlight w:val="none"/>
                <w:lang w:val="en-US" w:eastAsia="zh-CN"/>
              </w:rPr>
              <w:t>78</w:t>
            </w: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6B49252A">
            <w:pPr>
              <w:keepNext w:val="0"/>
              <w:keepLines w:val="0"/>
              <w:suppressLineNumbers w:val="0"/>
              <w:bidi w:val="0"/>
              <w:spacing w:before="0" w:beforeAutospacing="0" w:after="0" w:afterAutospacing="0"/>
              <w:ind w:left="0" w:right="0"/>
              <w:jc w:val="center"/>
              <w:rPr>
                <w:rFonts w:hint="default" w:cs="Times New Roman"/>
                <w:b/>
                <w:bCs/>
                <w:color w:val="auto"/>
                <w:szCs w:val="20"/>
                <w:highlight w:val="none"/>
                <w:lang w:val="en-US" w:eastAsia="zh-CN"/>
              </w:rPr>
            </w:pPr>
            <w:r>
              <w:rPr>
                <w:rFonts w:hint="eastAsia" w:cs="Times New Roman"/>
                <w:b/>
                <w:bCs/>
                <w:color w:val="auto"/>
                <w:szCs w:val="20"/>
                <w:highlight w:val="none"/>
                <w:lang w:val="en-US" w:eastAsia="zh-CN"/>
              </w:rPr>
              <w:t>32</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2E17BEC4">
            <w:pPr>
              <w:keepNext w:val="0"/>
              <w:keepLines w:val="0"/>
              <w:suppressLineNumbers w:val="0"/>
              <w:bidi w:val="0"/>
              <w:spacing w:before="0" w:beforeAutospacing="0" w:after="0" w:afterAutospacing="0"/>
              <w:ind w:left="0" w:right="0"/>
              <w:jc w:val="center"/>
              <w:rPr>
                <w:rFonts w:hint="default" w:ascii="Times New Roman" w:hAnsi="Times New Roman" w:cs="Times New Roman"/>
                <w:b/>
                <w:bCs/>
                <w:color w:val="auto"/>
                <w:szCs w:val="20"/>
                <w:highlight w:val="none"/>
                <w:lang w:val="en-US" w:eastAsia="zh-CN"/>
              </w:rPr>
            </w:pPr>
            <w:r>
              <w:rPr>
                <w:rFonts w:hint="eastAsia" w:cs="Times New Roman"/>
                <w:b/>
                <w:bCs/>
                <w:color w:val="auto"/>
                <w:szCs w:val="20"/>
                <w:highlight w:val="none"/>
                <w:lang w:val="en-US" w:eastAsia="zh-CN"/>
              </w:rPr>
              <w:t>185</w:t>
            </w:r>
          </w:p>
        </w:tc>
      </w:tr>
    </w:tbl>
    <w:p w14:paraId="559F43E5">
      <w:pPr>
        <w:shd w:val="clear"/>
        <w:spacing w:line="440" w:lineRule="exact"/>
        <w:ind w:firstLine="480" w:firstLineChars="200"/>
        <w:jc w:val="both"/>
        <w:rPr>
          <w:rFonts w:hint="default" w:ascii="Times New Roman" w:hAnsi="Times New Roman" w:eastAsia="宋体" w:cs="Times New Roman"/>
          <w:color w:val="auto"/>
          <w:kern w:val="2"/>
          <w:sz w:val="24"/>
          <w:szCs w:val="24"/>
          <w:highlight w:val="none"/>
          <w:lang w:val="en-US" w:eastAsia="zh-CN" w:bidi="ar"/>
        </w:rPr>
      </w:pPr>
      <w:r>
        <w:rPr>
          <w:rFonts w:hint="default" w:ascii="Times New Roman" w:hAnsi="Times New Roman" w:eastAsia="宋体" w:cs="Times New Roman"/>
          <w:color w:val="auto"/>
          <w:kern w:val="2"/>
          <w:sz w:val="24"/>
          <w:szCs w:val="24"/>
          <w:highlight w:val="none"/>
          <w:lang w:bidi="ar"/>
        </w:rPr>
        <w:t>本项目各标段</w:t>
      </w:r>
      <w:r>
        <w:rPr>
          <w:rFonts w:hint="eastAsia" w:cs="Times New Roman"/>
          <w:color w:val="auto"/>
          <w:kern w:val="2"/>
          <w:sz w:val="24"/>
          <w:szCs w:val="24"/>
          <w:highlight w:val="none"/>
          <w:lang w:val="en-US" w:eastAsia="zh-CN" w:bidi="ar"/>
        </w:rPr>
        <w:t>服务</w:t>
      </w:r>
      <w:r>
        <w:rPr>
          <w:rFonts w:hint="default" w:ascii="Times New Roman" w:hAnsi="Times New Roman" w:eastAsia="宋体" w:cs="Times New Roman"/>
          <w:color w:val="auto"/>
          <w:kern w:val="2"/>
          <w:sz w:val="24"/>
          <w:szCs w:val="24"/>
          <w:highlight w:val="none"/>
          <w:lang w:bidi="ar"/>
        </w:rPr>
        <w:t>人员岗位配置明细如下，实际</w:t>
      </w:r>
      <w:r>
        <w:rPr>
          <w:rFonts w:hint="eastAsia" w:cs="Times New Roman"/>
          <w:color w:val="auto"/>
          <w:kern w:val="2"/>
          <w:sz w:val="24"/>
          <w:szCs w:val="24"/>
          <w:highlight w:val="none"/>
          <w:lang w:val="en-US" w:eastAsia="zh-CN" w:bidi="ar"/>
        </w:rPr>
        <w:t>服务</w:t>
      </w:r>
      <w:r>
        <w:rPr>
          <w:rFonts w:hint="default" w:ascii="Times New Roman" w:hAnsi="Times New Roman" w:eastAsia="宋体" w:cs="Times New Roman"/>
          <w:color w:val="auto"/>
          <w:kern w:val="2"/>
          <w:sz w:val="24"/>
          <w:szCs w:val="24"/>
          <w:highlight w:val="none"/>
          <w:lang w:bidi="ar"/>
        </w:rPr>
        <w:t>人数及各岗位人数将根据工作需求进行适当调整，项目整体岗位总人数不</w:t>
      </w:r>
      <w:r>
        <w:rPr>
          <w:rFonts w:hint="default" w:ascii="Times New Roman" w:hAnsi="Times New Roman" w:eastAsia="宋体" w:cs="Times New Roman"/>
          <w:color w:val="auto"/>
          <w:kern w:val="2"/>
          <w:sz w:val="24"/>
          <w:szCs w:val="24"/>
          <w:highlight w:val="none"/>
          <w:lang w:eastAsia="zh-CN" w:bidi="ar"/>
        </w:rPr>
        <w:t>低于</w:t>
      </w:r>
      <w:r>
        <w:rPr>
          <w:rFonts w:hint="default" w:ascii="Times New Roman" w:hAnsi="Times New Roman" w:cs="Times New Roman"/>
          <w:color w:val="auto"/>
          <w:kern w:val="2"/>
          <w:sz w:val="24"/>
          <w:szCs w:val="24"/>
          <w:highlight w:val="none"/>
          <w:lang w:val="en-US" w:eastAsia="zh-CN" w:bidi="ar"/>
        </w:rPr>
        <w:t>185</w:t>
      </w:r>
      <w:r>
        <w:rPr>
          <w:rFonts w:hint="default" w:ascii="Times New Roman" w:hAnsi="Times New Roman" w:eastAsia="宋体" w:cs="Times New Roman"/>
          <w:color w:val="auto"/>
          <w:kern w:val="2"/>
          <w:sz w:val="24"/>
          <w:szCs w:val="24"/>
          <w:highlight w:val="none"/>
          <w:lang w:bidi="ar"/>
        </w:rPr>
        <w:t>人。</w:t>
      </w:r>
    </w:p>
    <w:p w14:paraId="5EAA0A7D">
      <w:pPr>
        <w:spacing w:line="48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cs="Times New Roman"/>
          <w:color w:val="auto"/>
          <w:sz w:val="24"/>
          <w:szCs w:val="24"/>
          <w:highlight w:val="none"/>
          <w:lang w:eastAsia="zh-CN"/>
        </w:rPr>
        <w:t>一</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工作条件</w:t>
      </w:r>
    </w:p>
    <w:p w14:paraId="09A3BEA6">
      <w:pPr>
        <w:spacing w:line="480" w:lineRule="exact"/>
        <w:ind w:firstLine="480" w:firstLineChars="200"/>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按照国家《餐饮服务通用卫生规范》《餐饮服务食品安全操作规范》</w:t>
      </w:r>
      <w:r>
        <w:rPr>
          <w:rFonts w:hint="eastAsia" w:cs="Times New Roman"/>
          <w:color w:val="auto"/>
          <w:sz w:val="24"/>
          <w:szCs w:val="24"/>
          <w:highlight w:val="none"/>
          <w:lang w:val="en-US" w:eastAsia="zh-CN"/>
        </w:rPr>
        <w:t>相关要求</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采购人的标段现场</w:t>
      </w:r>
      <w:r>
        <w:rPr>
          <w:rFonts w:hint="default" w:ascii="Times New Roman" w:hAnsi="Times New Roman" w:eastAsia="宋体" w:cs="Times New Roman"/>
          <w:color w:val="auto"/>
          <w:sz w:val="24"/>
          <w:szCs w:val="24"/>
          <w:highlight w:val="none"/>
        </w:rPr>
        <w:t>配备有完善的功能区，</w:t>
      </w:r>
      <w:r>
        <w:rPr>
          <w:rFonts w:hint="eastAsia" w:cs="Times New Roman"/>
          <w:color w:val="auto"/>
          <w:sz w:val="24"/>
          <w:szCs w:val="24"/>
          <w:highlight w:val="none"/>
          <w:lang w:val="en-US" w:eastAsia="zh-CN"/>
        </w:rPr>
        <w:t>运行正常的</w:t>
      </w:r>
      <w:r>
        <w:rPr>
          <w:rFonts w:hint="default" w:ascii="Times New Roman" w:hAnsi="Times New Roman" w:eastAsia="宋体" w:cs="Times New Roman"/>
          <w:color w:val="auto"/>
          <w:sz w:val="24"/>
          <w:szCs w:val="24"/>
          <w:highlight w:val="none"/>
        </w:rPr>
        <w:t>消防、水电暖气供应系统等设施设备</w:t>
      </w:r>
      <w:r>
        <w:rPr>
          <w:rFonts w:hint="eastAsia" w:cs="Times New Roman"/>
          <w:color w:val="auto"/>
          <w:sz w:val="24"/>
          <w:szCs w:val="24"/>
          <w:highlight w:val="none"/>
          <w:lang w:eastAsia="zh-CN"/>
        </w:rPr>
        <w:t>。</w:t>
      </w:r>
    </w:p>
    <w:p w14:paraId="321C0865">
      <w:pPr>
        <w:spacing w:line="48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cs="Times New Roman"/>
          <w:color w:val="auto"/>
          <w:sz w:val="24"/>
          <w:szCs w:val="24"/>
          <w:highlight w:val="none"/>
          <w:lang w:eastAsia="zh-CN"/>
        </w:rPr>
        <w:t>二</w:t>
      </w:r>
      <w:r>
        <w:rPr>
          <w:rFonts w:hint="default" w:ascii="Times New Roman" w:hAnsi="Times New Roman" w:eastAsia="宋体" w:cs="Times New Roman"/>
          <w:color w:val="auto"/>
          <w:sz w:val="24"/>
          <w:szCs w:val="24"/>
          <w:highlight w:val="none"/>
          <w:lang w:eastAsia="zh-CN"/>
        </w:rPr>
        <w:t>）</w:t>
      </w:r>
      <w:r>
        <w:rPr>
          <w:rFonts w:hint="eastAsia" w:cs="Times New Roman"/>
          <w:color w:val="auto"/>
          <w:sz w:val="24"/>
          <w:szCs w:val="24"/>
          <w:highlight w:val="none"/>
          <w:lang w:val="en-US" w:eastAsia="zh-CN"/>
        </w:rPr>
        <w:t>对投标供应商的</w:t>
      </w:r>
      <w:r>
        <w:rPr>
          <w:rFonts w:hint="default" w:ascii="Times New Roman" w:hAnsi="Times New Roman" w:eastAsia="宋体" w:cs="Times New Roman"/>
          <w:color w:val="auto"/>
          <w:sz w:val="24"/>
          <w:szCs w:val="24"/>
          <w:highlight w:val="none"/>
          <w:lang w:eastAsia="zh-CN"/>
        </w:rPr>
        <w:t>要求</w:t>
      </w:r>
    </w:p>
    <w:p w14:paraId="4E5FB6C3">
      <w:pPr>
        <w:spacing w:line="480" w:lineRule="exact"/>
        <w:ind w:firstLine="480" w:firstLineChars="200"/>
        <w:rPr>
          <w:rFonts w:hint="eastAsia" w:cs="Times New Roman"/>
          <w:color w:val="auto"/>
          <w:sz w:val="24"/>
          <w:szCs w:val="24"/>
          <w:highlight w:val="none"/>
          <w:lang w:eastAsia="zh-CN"/>
        </w:rPr>
      </w:pPr>
      <w:r>
        <w:rPr>
          <w:rFonts w:hint="eastAsia" w:cs="Times New Roman"/>
          <w:color w:val="auto"/>
          <w:sz w:val="24"/>
          <w:szCs w:val="24"/>
          <w:highlight w:val="none"/>
          <w:lang w:val="en-US" w:eastAsia="zh-CN"/>
        </w:rPr>
        <w:t>1.投标供应商须</w:t>
      </w:r>
      <w:r>
        <w:rPr>
          <w:rFonts w:hint="eastAsia" w:cs="Times New Roman"/>
          <w:color w:val="auto"/>
          <w:sz w:val="24"/>
          <w:szCs w:val="24"/>
          <w:highlight w:val="none"/>
          <w:lang w:eastAsia="zh-CN"/>
        </w:rPr>
        <w:t>按照</w:t>
      </w:r>
      <w:r>
        <w:rPr>
          <w:rFonts w:hint="eastAsia" w:cs="Times New Roman"/>
          <w:color w:val="auto"/>
          <w:sz w:val="24"/>
          <w:szCs w:val="24"/>
          <w:highlight w:val="none"/>
          <w:lang w:val="en-US" w:eastAsia="zh-CN"/>
        </w:rPr>
        <w:t>项目要求提供</w:t>
      </w:r>
      <w:r>
        <w:rPr>
          <w:rFonts w:hint="eastAsia" w:cs="Times New Roman"/>
          <w:color w:val="auto"/>
          <w:sz w:val="24"/>
          <w:szCs w:val="24"/>
          <w:highlight w:val="none"/>
          <w:lang w:eastAsia="zh-CN"/>
        </w:rPr>
        <w:t>符合要求的</w:t>
      </w:r>
      <w:r>
        <w:rPr>
          <w:rFonts w:hint="eastAsia" w:cs="Times New Roman"/>
          <w:color w:val="auto"/>
          <w:sz w:val="24"/>
          <w:szCs w:val="24"/>
          <w:highlight w:val="none"/>
          <w:lang w:val="en-US" w:eastAsia="zh-CN"/>
        </w:rPr>
        <w:t>服务人员工装</w:t>
      </w:r>
      <w:r>
        <w:rPr>
          <w:rFonts w:hint="eastAsia" w:cs="Times New Roman"/>
          <w:color w:val="auto"/>
          <w:sz w:val="24"/>
          <w:szCs w:val="24"/>
          <w:highlight w:val="none"/>
          <w:lang w:eastAsia="zh-CN"/>
        </w:rPr>
        <w:t>和宿舍。</w:t>
      </w:r>
    </w:p>
    <w:p w14:paraId="42663F92">
      <w:pPr>
        <w:spacing w:line="480" w:lineRule="exact"/>
        <w:ind w:firstLine="480" w:firstLineChars="200"/>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2.服务</w:t>
      </w:r>
      <w:r>
        <w:rPr>
          <w:rFonts w:hint="default" w:ascii="Times New Roman" w:hAnsi="Times New Roman" w:eastAsia="宋体" w:cs="Times New Roman"/>
          <w:color w:val="auto"/>
          <w:sz w:val="24"/>
          <w:szCs w:val="24"/>
          <w:highlight w:val="none"/>
        </w:rPr>
        <w:t>人员须持有食品卫生类健康证，符合餐饮行业的健康标准。</w:t>
      </w:r>
    </w:p>
    <w:p w14:paraId="3B3A83E5">
      <w:pPr>
        <w:spacing w:line="480" w:lineRule="exact"/>
        <w:ind w:firstLine="480" w:firstLineChars="200"/>
        <w:rPr>
          <w:rFonts w:hint="default" w:ascii="Times New Roman" w:hAnsi="Times New Roman" w:eastAsia="宋体" w:cs="Times New Roman"/>
          <w:bCs/>
          <w:color w:val="auto"/>
          <w:sz w:val="24"/>
          <w:szCs w:val="24"/>
          <w:highlight w:val="none"/>
        </w:rPr>
      </w:pPr>
      <w:r>
        <w:rPr>
          <w:rFonts w:hint="eastAsia" w:cs="Times New Roman"/>
          <w:color w:val="auto"/>
          <w:sz w:val="24"/>
          <w:highlight w:val="none"/>
          <w:lang w:val="en-US" w:eastAsia="zh-CN"/>
        </w:rPr>
        <w:t>3.</w:t>
      </w:r>
      <w:r>
        <w:rPr>
          <w:rFonts w:hint="eastAsia" w:cs="Times New Roman"/>
          <w:bCs/>
          <w:color w:val="auto"/>
          <w:sz w:val="24"/>
          <w:szCs w:val="24"/>
          <w:highlight w:val="none"/>
          <w:lang w:val="en-US" w:eastAsia="zh-CN"/>
        </w:rPr>
        <w:t>服务</w:t>
      </w:r>
      <w:r>
        <w:rPr>
          <w:rFonts w:hint="default" w:ascii="Times New Roman" w:hAnsi="Times New Roman" w:eastAsia="宋体" w:cs="Times New Roman"/>
          <w:bCs/>
          <w:color w:val="auto"/>
          <w:sz w:val="24"/>
          <w:szCs w:val="24"/>
          <w:highlight w:val="none"/>
        </w:rPr>
        <w:t>人员在使用期间如遇到与采购人需求不符合的，</w:t>
      </w:r>
      <w:r>
        <w:rPr>
          <w:rFonts w:hint="eastAsia" w:cs="Times New Roman"/>
          <w:bCs/>
          <w:color w:val="auto"/>
          <w:sz w:val="24"/>
          <w:szCs w:val="24"/>
          <w:highlight w:val="none"/>
          <w:lang w:val="en-US" w:eastAsia="zh-CN"/>
        </w:rPr>
        <w:t>投标</w:t>
      </w:r>
      <w:r>
        <w:rPr>
          <w:rFonts w:hint="default" w:ascii="Times New Roman" w:hAnsi="Times New Roman" w:eastAsia="宋体" w:cs="Times New Roman"/>
          <w:bCs/>
          <w:color w:val="auto"/>
          <w:sz w:val="24"/>
          <w:szCs w:val="24"/>
          <w:highlight w:val="none"/>
        </w:rPr>
        <w:t>供应商能在短时间内协调解决。</w:t>
      </w:r>
    </w:p>
    <w:p w14:paraId="3223AE42">
      <w:pPr>
        <w:spacing w:line="480" w:lineRule="exact"/>
        <w:ind w:firstLine="480" w:firstLineChars="200"/>
        <w:rPr>
          <w:rFonts w:hint="default" w:ascii="Times New Roman" w:hAnsi="Times New Roman" w:eastAsia="宋体" w:cs="Times New Roman"/>
          <w:bCs/>
          <w:color w:val="auto"/>
          <w:sz w:val="24"/>
          <w:szCs w:val="24"/>
          <w:highlight w:val="none"/>
        </w:rPr>
      </w:pPr>
      <w:r>
        <w:rPr>
          <w:rFonts w:hint="eastAsia" w:cs="Times New Roman"/>
          <w:color w:val="auto"/>
          <w:sz w:val="24"/>
          <w:highlight w:val="none"/>
          <w:lang w:val="en-US" w:eastAsia="zh-CN"/>
        </w:rPr>
        <w:t>4.投标</w:t>
      </w:r>
      <w:r>
        <w:rPr>
          <w:rFonts w:hint="default" w:ascii="Times New Roman" w:hAnsi="Times New Roman" w:eastAsia="宋体" w:cs="Times New Roman"/>
          <w:bCs/>
          <w:color w:val="auto"/>
          <w:sz w:val="24"/>
          <w:szCs w:val="24"/>
          <w:highlight w:val="none"/>
        </w:rPr>
        <w:t>供应商能够解决</w:t>
      </w:r>
      <w:r>
        <w:rPr>
          <w:rFonts w:hint="eastAsia" w:cs="Times New Roman"/>
          <w:bCs/>
          <w:color w:val="auto"/>
          <w:sz w:val="24"/>
          <w:szCs w:val="24"/>
          <w:highlight w:val="none"/>
          <w:lang w:val="en-US" w:eastAsia="zh-CN"/>
        </w:rPr>
        <w:t>劳动</w:t>
      </w:r>
      <w:r>
        <w:rPr>
          <w:rFonts w:hint="default" w:ascii="Times New Roman" w:hAnsi="Times New Roman" w:eastAsia="宋体" w:cs="Times New Roman"/>
          <w:bCs/>
          <w:color w:val="auto"/>
          <w:sz w:val="24"/>
          <w:szCs w:val="24"/>
          <w:highlight w:val="none"/>
        </w:rPr>
        <w:t>纠纷如工伤等，解决采购人后顾之忧（一切纠纷与采购人无关）。</w:t>
      </w:r>
    </w:p>
    <w:p w14:paraId="4BF95AF0">
      <w:pPr>
        <w:spacing w:line="480" w:lineRule="exact"/>
        <w:ind w:firstLine="480" w:firstLineChars="200"/>
        <w:rPr>
          <w:rFonts w:hint="default" w:ascii="Times New Roman" w:hAnsi="Times New Roman" w:eastAsia="宋体" w:cs="Times New Roman"/>
          <w:color w:val="auto"/>
          <w:sz w:val="24"/>
          <w:szCs w:val="24"/>
          <w:highlight w:val="none"/>
        </w:rPr>
      </w:pPr>
      <w:r>
        <w:rPr>
          <w:rFonts w:hint="eastAsia" w:cs="Times New Roman"/>
          <w:color w:val="auto"/>
          <w:sz w:val="24"/>
          <w:highlight w:val="none"/>
          <w:lang w:val="en-US" w:eastAsia="zh-CN"/>
        </w:rPr>
        <w:t>5.</w:t>
      </w:r>
      <w:r>
        <w:rPr>
          <w:rFonts w:hint="default" w:ascii="Times New Roman" w:hAnsi="Times New Roman" w:eastAsia="宋体" w:cs="Times New Roman"/>
          <w:color w:val="auto"/>
          <w:sz w:val="24"/>
          <w:szCs w:val="24"/>
          <w:highlight w:val="none"/>
        </w:rPr>
        <w:t>每个合同期内无服务不达标验收案例</w:t>
      </w:r>
      <w:r>
        <w:rPr>
          <w:rFonts w:hint="default" w:ascii="Times New Roman" w:hAnsi="Times New Roman" w:cs="Times New Roman"/>
          <w:color w:val="auto"/>
          <w:sz w:val="24"/>
          <w:szCs w:val="24"/>
          <w:highlight w:val="none"/>
          <w:lang w:eastAsia="zh-CN"/>
        </w:rPr>
        <w:t>，</w:t>
      </w:r>
      <w:r>
        <w:rPr>
          <w:rFonts w:hint="eastAsia" w:cs="Times New Roman"/>
          <w:color w:val="auto"/>
          <w:sz w:val="24"/>
          <w:szCs w:val="24"/>
          <w:highlight w:val="none"/>
          <w:lang w:val="en-US" w:eastAsia="zh-CN"/>
        </w:rPr>
        <w:t>投标供应商年度</w:t>
      </w:r>
      <w:r>
        <w:rPr>
          <w:rFonts w:hint="default" w:ascii="Times New Roman" w:hAnsi="Times New Roman" w:eastAsia="宋体" w:cs="Times New Roman"/>
          <w:color w:val="auto"/>
          <w:sz w:val="24"/>
          <w:szCs w:val="24"/>
          <w:highlight w:val="none"/>
        </w:rPr>
        <w:t>考核通过</w:t>
      </w:r>
      <w:r>
        <w:rPr>
          <w:rFonts w:hint="eastAsia" w:eastAsia="宋体" w:cs="Times New Roman"/>
          <w:color w:val="auto"/>
          <w:sz w:val="24"/>
          <w:szCs w:val="24"/>
          <w:highlight w:val="none"/>
          <w:lang w:val="en-US" w:eastAsia="zh-CN"/>
        </w:rPr>
        <w:t>后，且</w:t>
      </w:r>
      <w:r>
        <w:rPr>
          <w:rFonts w:hint="default" w:ascii="Times New Roman" w:hAnsi="Times New Roman" w:eastAsia="宋体" w:cs="Times New Roman"/>
          <w:color w:val="auto"/>
          <w:sz w:val="24"/>
          <w:szCs w:val="24"/>
          <w:highlight w:val="none"/>
        </w:rPr>
        <w:t>协商同意，方可办理下一年度合同续签手续，合同累计总期限不得超过</w:t>
      </w:r>
      <w:r>
        <w:rPr>
          <w:rFonts w:hint="eastAsia" w:cs="Times New Roman"/>
          <w:color w:val="auto"/>
          <w:sz w:val="24"/>
          <w:szCs w:val="24"/>
          <w:highlight w:val="none"/>
          <w:lang w:val="en-US" w:eastAsia="zh-CN"/>
        </w:rPr>
        <w:t>两年六个月</w:t>
      </w:r>
      <w:r>
        <w:rPr>
          <w:rFonts w:hint="default" w:ascii="Times New Roman" w:hAnsi="Times New Roman" w:eastAsia="宋体" w:cs="Times New Roman"/>
          <w:color w:val="auto"/>
          <w:sz w:val="24"/>
          <w:szCs w:val="24"/>
          <w:highlight w:val="none"/>
        </w:rPr>
        <w:t>。</w:t>
      </w:r>
    </w:p>
    <w:p w14:paraId="306733C9">
      <w:pPr>
        <w:spacing w:line="480" w:lineRule="exact"/>
        <w:ind w:firstLine="480" w:firstLineChars="200"/>
        <w:rPr>
          <w:rFonts w:hint="default" w:ascii="Times New Roman" w:hAnsi="Times New Roman" w:eastAsia="宋体" w:cs="Times New Roman"/>
          <w:color w:val="auto"/>
          <w:sz w:val="24"/>
          <w:szCs w:val="24"/>
          <w:highlight w:val="none"/>
        </w:rPr>
      </w:pPr>
      <w:r>
        <w:rPr>
          <w:rFonts w:hint="eastAsia" w:cs="Times New Roman"/>
          <w:color w:val="auto"/>
          <w:sz w:val="24"/>
          <w:highlight w:val="none"/>
          <w:lang w:val="en-US" w:eastAsia="zh-CN"/>
        </w:rPr>
        <w:t>6.投标供应商做</w:t>
      </w:r>
      <w:r>
        <w:rPr>
          <w:rFonts w:hint="default" w:ascii="Times New Roman" w:hAnsi="Times New Roman" w:eastAsia="宋体" w:cs="Times New Roman"/>
          <w:color w:val="auto"/>
          <w:sz w:val="24"/>
          <w:szCs w:val="24"/>
          <w:highlight w:val="none"/>
        </w:rPr>
        <w:t>人员调整及新增人员须满足以下要求：严格进行政治审查；每年开展一次健康体检。</w:t>
      </w:r>
    </w:p>
    <w:p w14:paraId="6C63EE17">
      <w:pPr>
        <w:spacing w:line="480" w:lineRule="exact"/>
        <w:ind w:firstLine="480" w:firstLineChars="200"/>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highlight w:val="none"/>
          <w:lang w:val="en-US" w:eastAsia="zh-CN"/>
        </w:rPr>
        <w:t>7.投标</w:t>
      </w:r>
      <w:r>
        <w:rPr>
          <w:rFonts w:hint="default" w:ascii="Times New Roman" w:hAnsi="Times New Roman" w:eastAsia="宋体" w:cs="Times New Roman"/>
          <w:color w:val="auto"/>
          <w:sz w:val="24"/>
          <w:szCs w:val="24"/>
          <w:highlight w:val="none"/>
          <w:lang w:val="en-US" w:eastAsia="zh-CN"/>
        </w:rPr>
        <w:t>供应商派驻</w:t>
      </w:r>
      <w:r>
        <w:rPr>
          <w:rFonts w:hint="eastAsia" w:cs="Times New Roman"/>
          <w:color w:val="auto"/>
          <w:sz w:val="24"/>
          <w:szCs w:val="24"/>
          <w:highlight w:val="none"/>
          <w:lang w:val="en-US" w:eastAsia="zh-CN"/>
        </w:rPr>
        <w:t>服务团队</w:t>
      </w:r>
      <w:r>
        <w:rPr>
          <w:rFonts w:hint="default" w:ascii="Times New Roman" w:hAnsi="Times New Roman" w:eastAsia="宋体" w:cs="Times New Roman"/>
          <w:color w:val="auto"/>
          <w:sz w:val="24"/>
          <w:szCs w:val="24"/>
          <w:highlight w:val="none"/>
          <w:lang w:val="en-US" w:eastAsia="zh-CN"/>
        </w:rPr>
        <w:t>在服务期间，需规范对采购人现有设施设备的维护与使用，严格按照采购人相关操作规程进行操作</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做好日常维护。因</w:t>
      </w:r>
      <w:r>
        <w:rPr>
          <w:rFonts w:hint="eastAsia" w:cs="Times New Roman"/>
          <w:color w:val="auto"/>
          <w:sz w:val="24"/>
          <w:szCs w:val="24"/>
          <w:highlight w:val="none"/>
          <w:lang w:val="en-US" w:eastAsia="zh-CN"/>
        </w:rPr>
        <w:t>服务团队</w:t>
      </w:r>
      <w:r>
        <w:rPr>
          <w:rFonts w:hint="default" w:ascii="Times New Roman" w:hAnsi="Times New Roman" w:eastAsia="宋体" w:cs="Times New Roman"/>
          <w:color w:val="auto"/>
          <w:sz w:val="24"/>
          <w:szCs w:val="24"/>
          <w:highlight w:val="none"/>
          <w:lang w:val="en-US" w:eastAsia="zh-CN"/>
        </w:rPr>
        <w:t>人为操作不当、管理不善或未按要求进行维护与使用，造成设备损坏的，由</w:t>
      </w:r>
      <w:r>
        <w:rPr>
          <w:rFonts w:hint="eastAsia" w:cs="Times New Roman"/>
          <w:color w:val="auto"/>
          <w:sz w:val="24"/>
          <w:szCs w:val="24"/>
          <w:highlight w:val="none"/>
          <w:lang w:val="en-US" w:eastAsia="zh-CN"/>
        </w:rPr>
        <w:t>投标</w:t>
      </w:r>
      <w:r>
        <w:rPr>
          <w:rFonts w:hint="default" w:ascii="Times New Roman" w:hAnsi="Times New Roman" w:eastAsia="宋体" w:cs="Times New Roman"/>
          <w:color w:val="auto"/>
          <w:sz w:val="24"/>
          <w:szCs w:val="24"/>
          <w:highlight w:val="none"/>
          <w:lang w:val="en-US" w:eastAsia="zh-CN"/>
        </w:rPr>
        <w:t>供应商负责维修或照价赔偿。</w:t>
      </w:r>
    </w:p>
    <w:p w14:paraId="0E06DCA0">
      <w:pPr>
        <w:spacing w:line="480" w:lineRule="exact"/>
        <w:ind w:firstLine="480" w:firstLineChars="200"/>
        <w:rPr>
          <w:rFonts w:hint="default" w:ascii="Times New Roman" w:hAnsi="Times New Roman" w:eastAsia="宋体" w:cs="Times New Roman"/>
          <w:color w:val="auto"/>
          <w:sz w:val="24"/>
          <w:szCs w:val="24"/>
          <w:highlight w:val="none"/>
        </w:rPr>
      </w:pPr>
      <w:r>
        <w:rPr>
          <w:rFonts w:hint="eastAsia" w:cs="Times New Roman"/>
          <w:color w:val="auto"/>
          <w:sz w:val="24"/>
          <w:highlight w:val="none"/>
          <w:lang w:val="en-US" w:eastAsia="zh-CN"/>
        </w:rPr>
        <w:t>8.投标</w:t>
      </w:r>
      <w:r>
        <w:rPr>
          <w:rFonts w:hint="default" w:ascii="Times New Roman" w:hAnsi="Times New Roman" w:eastAsia="宋体" w:cs="Times New Roman"/>
          <w:color w:val="auto"/>
          <w:sz w:val="24"/>
          <w:szCs w:val="24"/>
          <w:highlight w:val="none"/>
          <w:lang w:val="en-US" w:eastAsia="zh-CN"/>
        </w:rPr>
        <w:t>供应商须严格遵守《中华人民共和国劳动合同法》《中华人民共和国社会保险法》等相关法律法规，依法与</w:t>
      </w:r>
      <w:r>
        <w:rPr>
          <w:rFonts w:hint="eastAsia" w:cs="Times New Roman"/>
          <w:color w:val="auto"/>
          <w:sz w:val="24"/>
          <w:szCs w:val="24"/>
          <w:highlight w:val="none"/>
          <w:lang w:val="en-US" w:eastAsia="zh-CN"/>
        </w:rPr>
        <w:t>服务人员</w:t>
      </w:r>
      <w:r>
        <w:rPr>
          <w:rFonts w:hint="default" w:ascii="Times New Roman" w:hAnsi="Times New Roman" w:eastAsia="宋体" w:cs="Times New Roman"/>
          <w:color w:val="auto"/>
          <w:sz w:val="24"/>
          <w:szCs w:val="24"/>
          <w:highlight w:val="none"/>
          <w:lang w:val="en-US" w:eastAsia="zh-CN"/>
        </w:rPr>
        <w:t>建立合法劳动关系，履行用人单位全部义务，</w:t>
      </w:r>
      <w:r>
        <w:rPr>
          <w:rFonts w:hint="eastAsia" w:cs="Times New Roman"/>
          <w:color w:val="auto"/>
          <w:sz w:val="24"/>
          <w:szCs w:val="24"/>
          <w:highlight w:val="none"/>
          <w:lang w:val="en-US" w:eastAsia="zh-CN"/>
        </w:rPr>
        <w:t>按月结算服务人员待遇，</w:t>
      </w:r>
      <w:r>
        <w:rPr>
          <w:rFonts w:hint="default" w:ascii="Times New Roman" w:hAnsi="Times New Roman" w:eastAsia="宋体" w:cs="Times New Roman"/>
          <w:color w:val="auto"/>
          <w:sz w:val="24"/>
          <w:szCs w:val="24"/>
          <w:highlight w:val="none"/>
          <w:lang w:val="en-US" w:eastAsia="zh-CN"/>
        </w:rPr>
        <w:t>不得克扣、拖欠</w:t>
      </w:r>
      <w:r>
        <w:rPr>
          <w:rFonts w:hint="eastAsia" w:cs="Times New Roman"/>
          <w:color w:val="auto"/>
          <w:sz w:val="24"/>
          <w:szCs w:val="24"/>
          <w:highlight w:val="none"/>
          <w:lang w:val="en-US" w:eastAsia="zh-CN"/>
        </w:rPr>
        <w:t>服务人员薪酬；</w:t>
      </w:r>
      <w:r>
        <w:rPr>
          <w:rFonts w:hint="eastAsia" w:eastAsia="宋体" w:cs="Times New Roman"/>
          <w:color w:val="auto"/>
          <w:sz w:val="24"/>
          <w:szCs w:val="24"/>
          <w:highlight w:val="none"/>
          <w:lang w:val="en-US" w:eastAsia="zh-CN"/>
        </w:rPr>
        <w:t>且</w:t>
      </w:r>
      <w:r>
        <w:rPr>
          <w:rFonts w:hint="default" w:ascii="Times New Roman" w:hAnsi="Times New Roman" w:eastAsia="宋体" w:cs="Times New Roman"/>
          <w:color w:val="auto"/>
          <w:sz w:val="24"/>
          <w:szCs w:val="24"/>
          <w:highlight w:val="none"/>
          <w:lang w:val="en-US" w:eastAsia="zh-CN"/>
        </w:rPr>
        <w:t>负责</w:t>
      </w:r>
      <w:r>
        <w:rPr>
          <w:rFonts w:hint="eastAsia" w:cs="Times New Roman"/>
          <w:color w:val="auto"/>
          <w:sz w:val="24"/>
          <w:szCs w:val="24"/>
          <w:highlight w:val="none"/>
          <w:lang w:val="en-US" w:eastAsia="zh-CN"/>
        </w:rPr>
        <w:t>服务人员</w:t>
      </w:r>
      <w:r>
        <w:rPr>
          <w:rFonts w:hint="default" w:ascii="Times New Roman" w:hAnsi="Times New Roman" w:eastAsia="宋体" w:cs="Times New Roman"/>
          <w:color w:val="auto"/>
          <w:sz w:val="24"/>
          <w:szCs w:val="24"/>
          <w:highlight w:val="none"/>
          <w:lang w:val="en-US" w:eastAsia="zh-CN"/>
        </w:rPr>
        <w:t>的招聘、劳动合同签订、考勤、考核、奖惩、解聘等全部用工管理工作，承担全部用工责任。</w:t>
      </w:r>
    </w:p>
    <w:p w14:paraId="147BF4B8">
      <w:pPr>
        <w:spacing w:line="480" w:lineRule="exact"/>
        <w:ind w:firstLine="480" w:firstLineChars="200"/>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9.投标</w:t>
      </w:r>
      <w:r>
        <w:rPr>
          <w:rFonts w:hint="default" w:ascii="Times New Roman" w:hAnsi="Times New Roman" w:eastAsia="宋体" w:cs="Times New Roman"/>
          <w:color w:val="auto"/>
          <w:sz w:val="24"/>
          <w:szCs w:val="24"/>
          <w:highlight w:val="none"/>
          <w:lang w:val="en-US" w:eastAsia="zh-CN"/>
        </w:rPr>
        <w:t>供应商须保障</w:t>
      </w:r>
      <w:r>
        <w:rPr>
          <w:rFonts w:hint="eastAsia" w:cs="Times New Roman"/>
          <w:color w:val="auto"/>
          <w:sz w:val="24"/>
          <w:szCs w:val="24"/>
          <w:highlight w:val="none"/>
          <w:lang w:val="en-US" w:eastAsia="zh-CN"/>
        </w:rPr>
        <w:t>服务人员</w:t>
      </w:r>
      <w:r>
        <w:rPr>
          <w:rFonts w:hint="default" w:ascii="Times New Roman" w:hAnsi="Times New Roman" w:eastAsia="宋体" w:cs="Times New Roman"/>
          <w:color w:val="auto"/>
          <w:sz w:val="24"/>
          <w:szCs w:val="24"/>
          <w:highlight w:val="none"/>
          <w:lang w:val="en-US" w:eastAsia="zh-CN"/>
        </w:rPr>
        <w:t>的</w:t>
      </w:r>
      <w:r>
        <w:rPr>
          <w:rFonts w:hint="eastAsia" w:cs="Times New Roman"/>
          <w:color w:val="auto"/>
          <w:sz w:val="24"/>
          <w:szCs w:val="24"/>
          <w:highlight w:val="none"/>
          <w:lang w:val="en-US" w:eastAsia="zh-CN"/>
        </w:rPr>
        <w:t>待遇</w:t>
      </w:r>
      <w:r>
        <w:rPr>
          <w:rFonts w:hint="default" w:ascii="Times New Roman" w:hAnsi="Times New Roman" w:eastAsia="宋体" w:cs="Times New Roman"/>
          <w:color w:val="auto"/>
          <w:sz w:val="24"/>
          <w:szCs w:val="24"/>
          <w:highlight w:val="none"/>
          <w:lang w:val="en-US" w:eastAsia="zh-CN"/>
        </w:rPr>
        <w:t>、社会保险</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养老保险、医疗保险、失业保险、工伤保险、生育保险及其他相关薪酬福利待遇，其标准不得低于采购人</w:t>
      </w:r>
      <w:r>
        <w:rPr>
          <w:rFonts w:hint="eastAsia" w:cs="Times New Roman"/>
          <w:color w:val="auto"/>
          <w:sz w:val="24"/>
          <w:szCs w:val="24"/>
          <w:highlight w:val="none"/>
          <w:lang w:val="en-US" w:eastAsia="zh-CN"/>
        </w:rPr>
        <w:t>提供的待遇参考范围，</w:t>
      </w:r>
      <w:r>
        <w:rPr>
          <w:rFonts w:hint="default" w:ascii="Times New Roman" w:hAnsi="Times New Roman" w:eastAsia="宋体" w:cs="Times New Roman"/>
          <w:color w:val="auto"/>
          <w:sz w:val="24"/>
          <w:szCs w:val="24"/>
          <w:highlight w:val="none"/>
          <w:lang w:val="en-US" w:eastAsia="zh-CN"/>
        </w:rPr>
        <w:t>且不得低于当地最低工资标准及相关法律法规规定的最低保障标准。寒暑假期间，食堂未在岗员工仅发放基本工资，在岗值守人员按实际考勤结算薪酬，</w:t>
      </w:r>
      <w:r>
        <w:rPr>
          <w:rFonts w:hint="eastAsia" w:cs="Times New Roman"/>
          <w:color w:val="auto"/>
          <w:sz w:val="24"/>
          <w:szCs w:val="24"/>
          <w:highlight w:val="none"/>
          <w:lang w:val="en-US" w:eastAsia="zh-CN"/>
        </w:rPr>
        <w:t>中标</w:t>
      </w:r>
      <w:r>
        <w:rPr>
          <w:rFonts w:hint="default" w:ascii="Times New Roman" w:hAnsi="Times New Roman" w:eastAsia="宋体" w:cs="Times New Roman"/>
          <w:color w:val="auto"/>
          <w:sz w:val="24"/>
          <w:szCs w:val="24"/>
          <w:highlight w:val="none"/>
          <w:lang w:val="en-US" w:eastAsia="zh-CN"/>
        </w:rPr>
        <w:t>供应商须严格遵守劳动法规，保障用工合规。</w:t>
      </w:r>
    </w:p>
    <w:p w14:paraId="0FCA1F18">
      <w:pPr>
        <w:shd w:val="clear"/>
        <w:spacing w:line="440" w:lineRule="exact"/>
        <w:ind w:firstLine="482" w:firstLineChars="200"/>
        <w:jc w:val="both"/>
        <w:rPr>
          <w:rFonts w:hint="default" w:ascii="Times New Roman" w:hAnsi="Times New Roman" w:cs="Times New Roman"/>
          <w:color w:val="auto"/>
          <w:sz w:val="24"/>
          <w:szCs w:val="24"/>
          <w:highlight w:val="none"/>
        </w:rPr>
      </w:pPr>
      <w:r>
        <w:rPr>
          <w:rFonts w:hint="default" w:ascii="Times New Roman" w:hAnsi="Times New Roman" w:cs="Times New Roman"/>
          <w:b/>
          <w:bCs/>
          <w:color w:val="auto"/>
          <w:kern w:val="2"/>
          <w:sz w:val="24"/>
          <w:szCs w:val="24"/>
          <w:highlight w:val="none"/>
          <w:lang w:bidi="ar"/>
        </w:rPr>
        <w:t>二、服务地点：</w:t>
      </w:r>
      <w:r>
        <w:rPr>
          <w:rFonts w:hint="default" w:ascii="Times New Roman" w:hAnsi="Times New Roman" w:cs="Times New Roman"/>
          <w:color w:val="auto"/>
          <w:kern w:val="2"/>
          <w:sz w:val="24"/>
          <w:szCs w:val="24"/>
          <w:highlight w:val="none"/>
          <w:lang w:bidi="ar"/>
        </w:rPr>
        <w:t>新疆农业大学</w:t>
      </w:r>
      <w:r>
        <w:rPr>
          <w:rFonts w:hint="default" w:ascii="Times New Roman" w:hAnsi="Times New Roman" w:cs="Times New Roman"/>
          <w:color w:val="auto"/>
          <w:kern w:val="2"/>
          <w:sz w:val="24"/>
          <w:szCs w:val="24"/>
          <w:highlight w:val="none"/>
          <w:lang w:val="en-US" w:eastAsia="zh-CN" w:bidi="ar"/>
        </w:rPr>
        <w:t>老满城校区禾园一餐厅、禾园二餐厅和学苑二楼餐厅</w:t>
      </w:r>
      <w:r>
        <w:rPr>
          <w:rFonts w:hint="default" w:ascii="Times New Roman" w:hAnsi="Times New Roman" w:cs="Times New Roman"/>
          <w:color w:val="auto"/>
          <w:kern w:val="2"/>
          <w:sz w:val="24"/>
          <w:szCs w:val="24"/>
          <w:highlight w:val="none"/>
          <w:lang w:bidi="ar"/>
        </w:rPr>
        <w:t>。</w:t>
      </w:r>
    </w:p>
    <w:p w14:paraId="72EABB05">
      <w:pPr>
        <w:pStyle w:val="7"/>
        <w:widowControl/>
        <w:shd w:val="clear"/>
        <w:spacing w:line="440" w:lineRule="exact"/>
        <w:ind w:firstLine="482" w:firstLineChars="200"/>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三、经营和服务内容：</w:t>
      </w:r>
    </w:p>
    <w:p w14:paraId="0C76ECC8">
      <w:pPr>
        <w:shd w:val="clear"/>
        <w:spacing w:line="440" w:lineRule="exact"/>
        <w:ind w:firstLine="480" w:firstLineChars="200"/>
        <w:jc w:val="both"/>
        <w:rPr>
          <w:rFonts w:hint="default" w:ascii="Times New Roman" w:hAnsi="Times New Roman" w:eastAsia="宋体" w:cs="Times New Roman"/>
          <w:color w:val="auto"/>
          <w:kern w:val="2"/>
          <w:sz w:val="24"/>
          <w:szCs w:val="24"/>
          <w:highlight w:val="none"/>
          <w:lang w:bidi="ar"/>
        </w:rPr>
      </w:pPr>
      <w:r>
        <w:rPr>
          <w:rFonts w:hint="default" w:ascii="Times New Roman" w:hAnsi="Times New Roman" w:eastAsia="宋体" w:cs="Times New Roman"/>
          <w:color w:val="auto"/>
          <w:kern w:val="2"/>
          <w:sz w:val="24"/>
          <w:szCs w:val="24"/>
          <w:highlight w:val="none"/>
          <w:lang w:bidi="ar"/>
        </w:rPr>
        <w:t>第一标段：</w:t>
      </w:r>
      <w:r>
        <w:rPr>
          <w:rFonts w:hint="default" w:ascii="Times New Roman" w:hAnsi="Times New Roman" w:cs="Times New Roman"/>
          <w:color w:val="auto"/>
          <w:kern w:val="2"/>
          <w:sz w:val="24"/>
          <w:szCs w:val="24"/>
          <w:highlight w:val="none"/>
          <w:lang w:eastAsia="zh-CN" w:bidi="ar"/>
        </w:rPr>
        <w:t>禾园一</w:t>
      </w:r>
      <w:r>
        <w:rPr>
          <w:rFonts w:hint="default" w:ascii="Times New Roman" w:hAnsi="Times New Roman" w:eastAsia="宋体" w:cs="Times New Roman"/>
          <w:color w:val="auto"/>
          <w:kern w:val="2"/>
          <w:sz w:val="24"/>
          <w:szCs w:val="24"/>
          <w:highlight w:val="none"/>
          <w:lang w:bidi="ar"/>
        </w:rPr>
        <w:t>餐厅</w:t>
      </w:r>
      <w:r>
        <w:rPr>
          <w:rFonts w:hint="default" w:ascii="Times New Roman" w:hAnsi="Times New Roman" w:cs="Times New Roman"/>
          <w:color w:val="auto"/>
          <w:kern w:val="2"/>
          <w:sz w:val="24"/>
          <w:szCs w:val="24"/>
          <w:highlight w:val="none"/>
          <w:lang w:eastAsia="zh-CN" w:bidi="ar"/>
        </w:rPr>
        <w:t>，</w:t>
      </w:r>
      <w:r>
        <w:rPr>
          <w:rFonts w:hint="default" w:ascii="Times New Roman" w:hAnsi="Times New Roman" w:eastAsia="宋体" w:cs="Times New Roman"/>
          <w:color w:val="auto"/>
          <w:kern w:val="2"/>
          <w:sz w:val="24"/>
          <w:szCs w:val="24"/>
          <w:highlight w:val="none"/>
          <w:lang w:bidi="ar"/>
        </w:rPr>
        <w:t>服务范围为餐饮服务（早、中、晚餐等），面积约为</w:t>
      </w:r>
      <w:r>
        <w:rPr>
          <w:rFonts w:hint="default" w:ascii="Times New Roman" w:hAnsi="Times New Roman" w:cs="Times New Roman"/>
          <w:color w:val="auto"/>
          <w:kern w:val="2"/>
          <w:sz w:val="24"/>
          <w:szCs w:val="24"/>
          <w:highlight w:val="none"/>
          <w:lang w:val="en-US" w:eastAsia="zh-CN" w:bidi="ar"/>
        </w:rPr>
        <w:t>5750</w:t>
      </w:r>
      <w:r>
        <w:rPr>
          <w:rFonts w:hint="default" w:ascii="Times New Roman" w:hAnsi="Times New Roman" w:eastAsia="宋体" w:cs="Times New Roman"/>
          <w:color w:val="auto"/>
          <w:kern w:val="2"/>
          <w:sz w:val="24"/>
          <w:szCs w:val="24"/>
          <w:highlight w:val="none"/>
          <w:lang w:bidi="ar"/>
        </w:rPr>
        <w:t>平方米，预算金额</w:t>
      </w:r>
      <w:r>
        <w:rPr>
          <w:rFonts w:hint="default" w:ascii="Times New Roman" w:hAnsi="Times New Roman" w:cs="Times New Roman"/>
          <w:color w:val="auto"/>
          <w:kern w:val="2"/>
          <w:sz w:val="24"/>
          <w:szCs w:val="24"/>
          <w:highlight w:val="none"/>
          <w:lang w:val="en-US" w:eastAsia="zh-CN" w:bidi="ar"/>
        </w:rPr>
        <w:t>375万</w:t>
      </w:r>
      <w:r>
        <w:rPr>
          <w:rFonts w:hint="default" w:ascii="Times New Roman" w:hAnsi="Times New Roman" w:eastAsia="宋体" w:cs="Times New Roman"/>
          <w:color w:val="auto"/>
          <w:kern w:val="2"/>
          <w:sz w:val="24"/>
          <w:szCs w:val="24"/>
          <w:highlight w:val="none"/>
          <w:lang w:bidi="ar"/>
        </w:rPr>
        <w:t>元，</w:t>
      </w:r>
      <w:r>
        <w:rPr>
          <w:rFonts w:hint="eastAsia" w:cs="Times New Roman"/>
          <w:color w:val="auto"/>
          <w:kern w:val="2"/>
          <w:sz w:val="24"/>
          <w:szCs w:val="24"/>
          <w:highlight w:val="none"/>
          <w:lang w:val="en-US" w:eastAsia="zh-CN" w:bidi="ar"/>
        </w:rPr>
        <w:t>投标</w:t>
      </w:r>
      <w:r>
        <w:rPr>
          <w:rFonts w:hint="default" w:ascii="Times New Roman" w:hAnsi="Times New Roman" w:eastAsia="宋体" w:cs="Times New Roman"/>
          <w:color w:val="auto"/>
          <w:kern w:val="2"/>
          <w:sz w:val="24"/>
          <w:szCs w:val="24"/>
          <w:highlight w:val="none"/>
          <w:lang w:bidi="ar"/>
        </w:rPr>
        <w:t>供应商以餐饮服务团队方式提供一日三餐</w:t>
      </w:r>
      <w:r>
        <w:rPr>
          <w:rFonts w:hint="default" w:ascii="Times New Roman" w:hAnsi="Times New Roman" w:cs="Times New Roman"/>
          <w:color w:val="auto"/>
          <w:kern w:val="0"/>
          <w:sz w:val="24"/>
          <w:szCs w:val="24"/>
          <w:highlight w:val="none"/>
        </w:rPr>
        <w:t>中华传统美食及新疆特色</w:t>
      </w:r>
      <w:r>
        <w:rPr>
          <w:rFonts w:hint="default" w:ascii="Times New Roman" w:hAnsi="Times New Roman" w:cs="Times New Roman"/>
          <w:color w:val="auto"/>
          <w:kern w:val="0"/>
          <w:sz w:val="24"/>
          <w:szCs w:val="24"/>
          <w:highlight w:val="none"/>
          <w:lang w:val="en-US" w:eastAsia="zh-CN"/>
        </w:rPr>
        <w:t>美食</w:t>
      </w:r>
      <w:r>
        <w:rPr>
          <w:rFonts w:hint="default" w:ascii="Times New Roman" w:hAnsi="Times New Roman" w:eastAsia="宋体" w:cs="Times New Roman"/>
          <w:color w:val="auto"/>
          <w:kern w:val="2"/>
          <w:sz w:val="24"/>
          <w:szCs w:val="24"/>
          <w:highlight w:val="none"/>
          <w:lang w:bidi="ar"/>
        </w:rPr>
        <w:t>。</w:t>
      </w:r>
    </w:p>
    <w:p w14:paraId="36C844D6">
      <w:pPr>
        <w:shd w:val="clear"/>
        <w:spacing w:line="440" w:lineRule="exact"/>
        <w:ind w:firstLine="480" w:firstLineChars="200"/>
        <w:jc w:val="both"/>
        <w:rPr>
          <w:rFonts w:hint="default" w:ascii="Times New Roman" w:hAnsi="Times New Roman" w:eastAsia="宋体" w:cs="Times New Roman"/>
          <w:color w:val="auto"/>
          <w:kern w:val="2"/>
          <w:sz w:val="24"/>
          <w:szCs w:val="24"/>
          <w:highlight w:val="none"/>
          <w:lang w:bidi="ar"/>
        </w:rPr>
      </w:pPr>
      <w:r>
        <w:rPr>
          <w:rFonts w:hint="default" w:ascii="Times New Roman" w:hAnsi="Times New Roman" w:eastAsia="宋体" w:cs="Times New Roman"/>
          <w:color w:val="auto"/>
          <w:kern w:val="2"/>
          <w:sz w:val="24"/>
          <w:szCs w:val="24"/>
          <w:highlight w:val="none"/>
          <w:lang w:bidi="ar"/>
        </w:rPr>
        <w:t>第二标段：</w:t>
      </w:r>
      <w:r>
        <w:rPr>
          <w:rFonts w:hint="default" w:ascii="Times New Roman" w:hAnsi="Times New Roman" w:cs="Times New Roman"/>
          <w:color w:val="auto"/>
          <w:kern w:val="2"/>
          <w:sz w:val="24"/>
          <w:szCs w:val="24"/>
          <w:highlight w:val="none"/>
          <w:lang w:eastAsia="zh-CN" w:bidi="ar"/>
        </w:rPr>
        <w:t>禾园二</w:t>
      </w:r>
      <w:r>
        <w:rPr>
          <w:rFonts w:hint="default" w:ascii="Times New Roman" w:hAnsi="Times New Roman" w:eastAsia="宋体" w:cs="Times New Roman"/>
          <w:color w:val="auto"/>
          <w:kern w:val="2"/>
          <w:sz w:val="24"/>
          <w:szCs w:val="24"/>
          <w:highlight w:val="none"/>
          <w:lang w:bidi="ar"/>
        </w:rPr>
        <w:t>餐厅</w:t>
      </w:r>
      <w:r>
        <w:rPr>
          <w:rFonts w:hint="default" w:ascii="Times New Roman" w:hAnsi="Times New Roman" w:cs="Times New Roman"/>
          <w:color w:val="auto"/>
          <w:kern w:val="2"/>
          <w:sz w:val="24"/>
          <w:szCs w:val="24"/>
          <w:highlight w:val="none"/>
          <w:lang w:eastAsia="zh-CN" w:bidi="ar"/>
        </w:rPr>
        <w:t>，</w:t>
      </w:r>
      <w:r>
        <w:rPr>
          <w:rFonts w:hint="default" w:ascii="Times New Roman" w:hAnsi="Times New Roman" w:eastAsia="宋体" w:cs="Times New Roman"/>
          <w:color w:val="auto"/>
          <w:kern w:val="2"/>
          <w:sz w:val="24"/>
          <w:szCs w:val="24"/>
          <w:highlight w:val="none"/>
          <w:lang w:bidi="ar"/>
        </w:rPr>
        <w:t>服务范围为餐饮服务（早、中、晚餐等），面积约为</w:t>
      </w:r>
      <w:r>
        <w:rPr>
          <w:rFonts w:hint="default" w:ascii="Times New Roman" w:hAnsi="Times New Roman" w:cs="Times New Roman"/>
          <w:color w:val="auto"/>
          <w:kern w:val="2"/>
          <w:sz w:val="24"/>
          <w:szCs w:val="24"/>
          <w:highlight w:val="none"/>
          <w:lang w:val="en-US" w:eastAsia="zh-CN" w:bidi="ar"/>
        </w:rPr>
        <w:t>5000</w:t>
      </w:r>
      <w:r>
        <w:rPr>
          <w:rFonts w:hint="default" w:ascii="Times New Roman" w:hAnsi="Times New Roman" w:eastAsia="宋体" w:cs="Times New Roman"/>
          <w:color w:val="auto"/>
          <w:kern w:val="2"/>
          <w:sz w:val="24"/>
          <w:szCs w:val="24"/>
          <w:highlight w:val="none"/>
          <w:lang w:bidi="ar"/>
        </w:rPr>
        <w:t>平方米，预算金额</w:t>
      </w:r>
      <w:r>
        <w:rPr>
          <w:rFonts w:hint="default" w:ascii="Times New Roman" w:hAnsi="Times New Roman" w:cs="Times New Roman"/>
          <w:color w:val="auto"/>
          <w:kern w:val="2"/>
          <w:sz w:val="24"/>
          <w:szCs w:val="24"/>
          <w:highlight w:val="none"/>
          <w:lang w:val="en-US" w:eastAsia="zh-CN" w:bidi="ar"/>
        </w:rPr>
        <w:t>380</w:t>
      </w:r>
      <w:r>
        <w:rPr>
          <w:rFonts w:hint="default" w:ascii="Times New Roman" w:hAnsi="Times New Roman" w:eastAsia="宋体" w:cs="Times New Roman"/>
          <w:color w:val="auto"/>
          <w:kern w:val="2"/>
          <w:sz w:val="24"/>
          <w:szCs w:val="24"/>
          <w:highlight w:val="none"/>
          <w:lang w:bidi="ar"/>
        </w:rPr>
        <w:t>万元，</w:t>
      </w:r>
      <w:r>
        <w:rPr>
          <w:rFonts w:hint="eastAsia" w:cs="Times New Roman"/>
          <w:color w:val="auto"/>
          <w:kern w:val="2"/>
          <w:sz w:val="24"/>
          <w:szCs w:val="24"/>
          <w:highlight w:val="none"/>
          <w:lang w:val="en-US" w:eastAsia="zh-CN" w:bidi="ar"/>
        </w:rPr>
        <w:t>投标</w:t>
      </w:r>
      <w:r>
        <w:rPr>
          <w:rFonts w:hint="default" w:ascii="Times New Roman" w:hAnsi="Times New Roman" w:eastAsia="宋体" w:cs="Times New Roman"/>
          <w:color w:val="auto"/>
          <w:kern w:val="2"/>
          <w:sz w:val="24"/>
          <w:szCs w:val="24"/>
          <w:highlight w:val="none"/>
          <w:lang w:bidi="ar"/>
        </w:rPr>
        <w:t>供应商以餐饮服务团队方式提供一日三餐</w:t>
      </w:r>
      <w:r>
        <w:rPr>
          <w:rFonts w:hint="default" w:ascii="Times New Roman" w:hAnsi="Times New Roman" w:cs="Times New Roman"/>
          <w:color w:val="auto"/>
          <w:kern w:val="0"/>
          <w:sz w:val="24"/>
          <w:szCs w:val="24"/>
          <w:highlight w:val="none"/>
        </w:rPr>
        <w:t>中华传统美食及新疆特色</w:t>
      </w:r>
      <w:r>
        <w:rPr>
          <w:rFonts w:hint="default" w:ascii="Times New Roman" w:hAnsi="Times New Roman" w:cs="Times New Roman"/>
          <w:color w:val="auto"/>
          <w:kern w:val="0"/>
          <w:sz w:val="24"/>
          <w:szCs w:val="24"/>
          <w:highlight w:val="none"/>
          <w:lang w:val="en-US" w:eastAsia="zh-CN"/>
        </w:rPr>
        <w:t>美食</w:t>
      </w:r>
      <w:r>
        <w:rPr>
          <w:rFonts w:hint="default" w:ascii="Times New Roman" w:hAnsi="Times New Roman" w:eastAsia="宋体" w:cs="Times New Roman"/>
          <w:color w:val="auto"/>
          <w:kern w:val="2"/>
          <w:sz w:val="24"/>
          <w:szCs w:val="24"/>
          <w:highlight w:val="none"/>
          <w:lang w:bidi="ar"/>
        </w:rPr>
        <w:t>。</w:t>
      </w:r>
    </w:p>
    <w:p w14:paraId="6FACFC72">
      <w:pPr>
        <w:shd w:val="clear"/>
        <w:spacing w:line="440" w:lineRule="exact"/>
        <w:ind w:firstLine="480" w:firstLineChars="200"/>
        <w:jc w:val="both"/>
        <w:rPr>
          <w:rFonts w:hint="default" w:ascii="Times New Roman" w:hAnsi="Times New Roman" w:eastAsia="宋体" w:cs="Times New Roman"/>
          <w:color w:val="auto"/>
          <w:kern w:val="2"/>
          <w:sz w:val="24"/>
          <w:szCs w:val="24"/>
          <w:highlight w:val="none"/>
          <w:lang w:bidi="ar"/>
        </w:rPr>
      </w:pPr>
      <w:r>
        <w:rPr>
          <w:rFonts w:hint="default" w:ascii="Times New Roman" w:hAnsi="Times New Roman" w:eastAsia="宋体" w:cs="Times New Roman"/>
          <w:color w:val="auto"/>
          <w:kern w:val="2"/>
          <w:sz w:val="24"/>
          <w:szCs w:val="24"/>
          <w:highlight w:val="none"/>
          <w:lang w:bidi="ar"/>
        </w:rPr>
        <w:t>第</w:t>
      </w:r>
      <w:r>
        <w:rPr>
          <w:rFonts w:hint="default" w:ascii="Times New Roman" w:hAnsi="Times New Roman" w:eastAsia="宋体" w:cs="Times New Roman"/>
          <w:color w:val="auto"/>
          <w:kern w:val="2"/>
          <w:sz w:val="24"/>
          <w:szCs w:val="24"/>
          <w:highlight w:val="none"/>
          <w:lang w:eastAsia="zh-CN" w:bidi="ar"/>
        </w:rPr>
        <w:t>三</w:t>
      </w:r>
      <w:r>
        <w:rPr>
          <w:rFonts w:hint="default" w:ascii="Times New Roman" w:hAnsi="Times New Roman" w:eastAsia="宋体" w:cs="Times New Roman"/>
          <w:color w:val="auto"/>
          <w:kern w:val="2"/>
          <w:sz w:val="24"/>
          <w:szCs w:val="24"/>
          <w:highlight w:val="none"/>
          <w:lang w:bidi="ar"/>
        </w:rPr>
        <w:t>标段：</w:t>
      </w:r>
      <w:r>
        <w:rPr>
          <w:rFonts w:hint="default" w:ascii="Times New Roman" w:hAnsi="Times New Roman" w:eastAsia="宋体" w:cs="Times New Roman"/>
          <w:color w:val="auto"/>
          <w:kern w:val="2"/>
          <w:sz w:val="24"/>
          <w:szCs w:val="24"/>
          <w:highlight w:val="none"/>
          <w:lang w:eastAsia="zh-CN" w:bidi="ar"/>
        </w:rPr>
        <w:t>学苑二楼</w:t>
      </w:r>
      <w:r>
        <w:rPr>
          <w:rFonts w:hint="default" w:ascii="Times New Roman" w:hAnsi="Times New Roman" w:eastAsia="宋体" w:cs="Times New Roman"/>
          <w:color w:val="auto"/>
          <w:kern w:val="2"/>
          <w:sz w:val="24"/>
          <w:szCs w:val="24"/>
          <w:highlight w:val="none"/>
          <w:lang w:bidi="ar"/>
        </w:rPr>
        <w:t>餐厅</w:t>
      </w:r>
      <w:r>
        <w:rPr>
          <w:rFonts w:hint="default" w:ascii="Times New Roman" w:hAnsi="Times New Roman" w:cs="Times New Roman"/>
          <w:color w:val="auto"/>
          <w:kern w:val="2"/>
          <w:sz w:val="24"/>
          <w:szCs w:val="24"/>
          <w:highlight w:val="none"/>
          <w:lang w:eastAsia="zh-CN" w:bidi="ar"/>
        </w:rPr>
        <w:t>，</w:t>
      </w:r>
      <w:r>
        <w:rPr>
          <w:rFonts w:hint="default" w:ascii="Times New Roman" w:hAnsi="Times New Roman" w:eastAsia="宋体" w:cs="Times New Roman"/>
          <w:color w:val="auto"/>
          <w:kern w:val="2"/>
          <w:sz w:val="24"/>
          <w:szCs w:val="24"/>
          <w:highlight w:val="none"/>
          <w:lang w:bidi="ar"/>
        </w:rPr>
        <w:t>服务范围为餐饮服务（早、中、晚餐全体师生均可就餐，其中早餐、晚餐以学生为主，午餐以教师为主）</w:t>
      </w:r>
      <w:r>
        <w:rPr>
          <w:rFonts w:hint="default" w:ascii="Times New Roman" w:hAnsi="Times New Roman" w:cs="Times New Roman"/>
          <w:color w:val="auto"/>
          <w:kern w:val="0"/>
          <w:sz w:val="24"/>
          <w:szCs w:val="24"/>
          <w:highlight w:val="none"/>
        </w:rPr>
        <w:t>，</w:t>
      </w:r>
      <w:r>
        <w:rPr>
          <w:rFonts w:hint="default" w:ascii="Times New Roman" w:hAnsi="Times New Roman" w:eastAsia="宋体" w:cs="Times New Roman"/>
          <w:color w:val="auto"/>
          <w:kern w:val="2"/>
          <w:sz w:val="24"/>
          <w:szCs w:val="24"/>
          <w:highlight w:val="none"/>
          <w:lang w:bidi="ar"/>
        </w:rPr>
        <w:t>面积约为</w:t>
      </w:r>
      <w:r>
        <w:rPr>
          <w:rFonts w:hint="default" w:ascii="Times New Roman" w:hAnsi="Times New Roman" w:eastAsia="宋体" w:cs="Times New Roman"/>
          <w:color w:val="auto"/>
          <w:kern w:val="2"/>
          <w:sz w:val="24"/>
          <w:szCs w:val="24"/>
          <w:highlight w:val="none"/>
          <w:lang w:val="en-US" w:eastAsia="zh-CN" w:bidi="ar"/>
        </w:rPr>
        <w:t>2098</w:t>
      </w:r>
      <w:r>
        <w:rPr>
          <w:rFonts w:hint="default" w:ascii="Times New Roman" w:hAnsi="Times New Roman" w:eastAsia="宋体" w:cs="Times New Roman"/>
          <w:color w:val="auto"/>
          <w:kern w:val="2"/>
          <w:sz w:val="24"/>
          <w:szCs w:val="24"/>
          <w:highlight w:val="none"/>
          <w:lang w:bidi="ar"/>
        </w:rPr>
        <w:t>平方米，预算金额</w:t>
      </w:r>
      <w:r>
        <w:rPr>
          <w:rFonts w:hint="default" w:ascii="Times New Roman" w:hAnsi="Times New Roman" w:cs="Times New Roman"/>
          <w:color w:val="auto"/>
          <w:kern w:val="2"/>
          <w:sz w:val="24"/>
          <w:szCs w:val="24"/>
          <w:highlight w:val="none"/>
          <w:lang w:val="en-US" w:eastAsia="zh-CN" w:bidi="ar"/>
        </w:rPr>
        <w:t>155</w:t>
      </w:r>
      <w:r>
        <w:rPr>
          <w:rFonts w:hint="default" w:ascii="Times New Roman" w:hAnsi="Times New Roman" w:eastAsia="宋体" w:cs="Times New Roman"/>
          <w:color w:val="auto"/>
          <w:kern w:val="2"/>
          <w:sz w:val="24"/>
          <w:szCs w:val="24"/>
          <w:highlight w:val="none"/>
          <w:lang w:bidi="ar"/>
        </w:rPr>
        <w:t>万元，</w:t>
      </w:r>
      <w:r>
        <w:rPr>
          <w:rFonts w:hint="eastAsia" w:cs="Times New Roman"/>
          <w:color w:val="auto"/>
          <w:kern w:val="2"/>
          <w:sz w:val="24"/>
          <w:szCs w:val="24"/>
          <w:highlight w:val="none"/>
          <w:lang w:val="en-US" w:eastAsia="zh-CN" w:bidi="ar"/>
        </w:rPr>
        <w:t>投标</w:t>
      </w:r>
      <w:r>
        <w:rPr>
          <w:rFonts w:hint="default" w:ascii="Times New Roman" w:hAnsi="Times New Roman" w:eastAsia="宋体" w:cs="Times New Roman"/>
          <w:color w:val="auto"/>
          <w:kern w:val="2"/>
          <w:sz w:val="24"/>
          <w:szCs w:val="24"/>
          <w:highlight w:val="none"/>
          <w:lang w:bidi="ar"/>
        </w:rPr>
        <w:t>供应商以餐饮服务团队方式提供一日三餐</w:t>
      </w:r>
      <w:r>
        <w:rPr>
          <w:rFonts w:hint="default" w:ascii="Times New Roman" w:hAnsi="Times New Roman" w:cs="Times New Roman"/>
          <w:color w:val="auto"/>
          <w:kern w:val="0"/>
          <w:sz w:val="24"/>
          <w:szCs w:val="24"/>
          <w:highlight w:val="none"/>
        </w:rPr>
        <w:t>中华传统美食及新疆特色</w:t>
      </w:r>
      <w:r>
        <w:rPr>
          <w:rFonts w:hint="default" w:ascii="Times New Roman" w:hAnsi="Times New Roman" w:cs="Times New Roman"/>
          <w:color w:val="auto"/>
          <w:kern w:val="0"/>
          <w:sz w:val="24"/>
          <w:szCs w:val="24"/>
          <w:highlight w:val="none"/>
          <w:lang w:val="en-US" w:eastAsia="zh-CN"/>
        </w:rPr>
        <w:t>美食</w:t>
      </w:r>
      <w:r>
        <w:rPr>
          <w:rFonts w:hint="default" w:ascii="Times New Roman" w:hAnsi="Times New Roman" w:eastAsia="宋体" w:cs="Times New Roman"/>
          <w:color w:val="auto"/>
          <w:kern w:val="2"/>
          <w:sz w:val="24"/>
          <w:szCs w:val="24"/>
          <w:highlight w:val="none"/>
          <w:lang w:bidi="ar"/>
        </w:rPr>
        <w:t>。</w:t>
      </w:r>
    </w:p>
    <w:p w14:paraId="3C87FA1C">
      <w:pPr>
        <w:pStyle w:val="7"/>
        <w:widowControl/>
        <w:shd w:val="clear"/>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四、餐饮服务期限</w:t>
      </w:r>
    </w:p>
    <w:p w14:paraId="06005EF6">
      <w:pPr>
        <w:pStyle w:val="7"/>
        <w:widowControl/>
        <w:shd w:val="clear"/>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自合同签订之日起</w:t>
      </w:r>
      <w:r>
        <w:rPr>
          <w:rFonts w:hint="eastAsia" w:cs="Times New Roman"/>
          <w:color w:val="auto"/>
          <w:sz w:val="24"/>
          <w:highlight w:val="none"/>
          <w:lang w:val="en-US" w:eastAsia="zh-CN"/>
        </w:rPr>
        <w:t>两年六个月</w:t>
      </w:r>
      <w:r>
        <w:rPr>
          <w:rFonts w:hint="default" w:ascii="Times New Roman" w:hAnsi="Times New Roman" w:cs="Times New Roman"/>
          <w:color w:val="auto"/>
          <w:sz w:val="24"/>
          <w:highlight w:val="none"/>
        </w:rPr>
        <w:t>（合同一年一签。在预算有保障的前提下，购买内容相对固定、价格变化幅度小的，经年度验收或者考核合格后续签下一年合同</w:t>
      </w:r>
      <w:r>
        <w:rPr>
          <w:rFonts w:hint="eastAsia" w:cs="Times New Roman"/>
          <w:color w:val="auto"/>
          <w:sz w:val="24"/>
          <w:highlight w:val="none"/>
          <w:lang w:eastAsia="zh-CN"/>
        </w:rPr>
        <w:t>，总期限不超过两年六个月</w:t>
      </w:r>
      <w:r>
        <w:rPr>
          <w:rFonts w:hint="default" w:ascii="Times New Roman" w:hAnsi="Times New Roman" w:cs="Times New Roman"/>
          <w:color w:val="auto"/>
          <w:sz w:val="24"/>
          <w:highlight w:val="none"/>
        </w:rPr>
        <w:t>）。</w:t>
      </w:r>
    </w:p>
    <w:p w14:paraId="6F253F27">
      <w:pPr>
        <w:pStyle w:val="7"/>
        <w:widowControl/>
        <w:shd w:val="clear"/>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采用固定周期和不定期考核相结合。如无违法、违规、违约行为和安全责任事故，且每年综合管理考核及满意度调查都达80分以上，方可继续履行下一年度合同，否则采购人有权终止合同并重新选择服务单位。</w:t>
      </w:r>
    </w:p>
    <w:p w14:paraId="3B14409E">
      <w:pPr>
        <w:pStyle w:val="7"/>
        <w:widowControl/>
        <w:shd w:val="clear"/>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五、合作方式</w:t>
      </w:r>
    </w:p>
    <w:p w14:paraId="473B1CF5">
      <w:pPr>
        <w:pStyle w:val="7"/>
        <w:widowControl/>
        <w:shd w:val="clea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w:t>
      </w:r>
      <w:r>
        <w:rPr>
          <w:rFonts w:hint="eastAsia" w:cs="Times New Roman"/>
          <w:color w:val="auto"/>
          <w:sz w:val="24"/>
          <w:highlight w:val="none"/>
          <w:lang w:eastAsia="zh-CN"/>
        </w:rPr>
        <w:t>采购人</w:t>
      </w:r>
      <w:r>
        <w:rPr>
          <w:rFonts w:hint="default" w:ascii="Times New Roman" w:hAnsi="Times New Roman" w:eastAsia="宋体" w:cs="Times New Roman"/>
          <w:color w:val="auto"/>
          <w:sz w:val="24"/>
          <w:highlight w:val="none"/>
        </w:rPr>
        <w:t>授权后勤服务处饮食中心履行监督管理职能。</w:t>
      </w:r>
    </w:p>
    <w:p w14:paraId="4F3BCDA0">
      <w:pPr>
        <w:pStyle w:val="7"/>
        <w:widowControl/>
        <w:shd w:val="clea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2.</w:t>
      </w:r>
      <w:r>
        <w:rPr>
          <w:rFonts w:hint="eastAsia" w:cs="Times New Roman"/>
          <w:color w:val="auto"/>
          <w:sz w:val="24"/>
          <w:highlight w:val="none"/>
          <w:lang w:val="en-US" w:eastAsia="zh-CN"/>
        </w:rPr>
        <w:t>采购人</w:t>
      </w:r>
      <w:r>
        <w:rPr>
          <w:rFonts w:hint="default" w:ascii="Times New Roman" w:hAnsi="Times New Roman" w:eastAsia="宋体" w:cs="Times New Roman"/>
          <w:color w:val="auto"/>
          <w:sz w:val="24"/>
          <w:highlight w:val="none"/>
        </w:rPr>
        <w:t>提供经营</w:t>
      </w:r>
      <w:r>
        <w:rPr>
          <w:rFonts w:hint="default" w:ascii="Times New Roman" w:hAnsi="Times New Roman" w:eastAsia="宋体" w:cs="Times New Roman"/>
          <w:color w:val="auto"/>
          <w:sz w:val="24"/>
          <w:highlight w:val="none"/>
          <w:lang w:val="en-US" w:eastAsia="zh-CN"/>
        </w:rPr>
        <w:t>场</w:t>
      </w:r>
      <w:r>
        <w:rPr>
          <w:rFonts w:hint="default" w:ascii="Times New Roman" w:hAnsi="Times New Roman" w:eastAsia="宋体" w:cs="Times New Roman"/>
          <w:color w:val="auto"/>
          <w:sz w:val="24"/>
          <w:highlight w:val="none"/>
        </w:rPr>
        <w:t>所需基本条件，</w:t>
      </w:r>
      <w:r>
        <w:rPr>
          <w:rFonts w:hint="default" w:ascii="Times New Roman" w:hAnsi="Times New Roman" w:eastAsia="宋体" w:cs="Times New Roman"/>
          <w:color w:val="auto"/>
          <w:sz w:val="24"/>
          <w:highlight w:val="none"/>
          <w:lang w:val="en-US" w:eastAsia="zh-CN"/>
        </w:rPr>
        <w:t>在第一个合同经营期</w:t>
      </w:r>
      <w:r>
        <w:rPr>
          <w:rFonts w:hint="eastAsia" w:cs="Times New Roman"/>
          <w:color w:val="auto"/>
          <w:sz w:val="24"/>
          <w:highlight w:val="none"/>
          <w:lang w:val="en-US" w:eastAsia="zh-CN"/>
        </w:rPr>
        <w:t>内</w:t>
      </w:r>
      <w:r>
        <w:rPr>
          <w:rFonts w:hint="default" w:ascii="Times New Roman" w:hAnsi="Times New Roman" w:eastAsia="宋体" w:cs="Times New Roman"/>
          <w:color w:val="auto"/>
          <w:sz w:val="24"/>
          <w:highlight w:val="none"/>
          <w:lang w:val="en-US" w:eastAsia="zh-CN"/>
        </w:rPr>
        <w:t>完成餐厅基本运营修缮工作，并承担相应费用；同时</w:t>
      </w:r>
      <w:r>
        <w:rPr>
          <w:rFonts w:hint="default" w:ascii="Times New Roman" w:hAnsi="Times New Roman" w:eastAsia="宋体" w:cs="Times New Roman"/>
          <w:color w:val="auto"/>
          <w:sz w:val="24"/>
          <w:highlight w:val="none"/>
        </w:rPr>
        <w:t>提供</w:t>
      </w:r>
      <w:r>
        <w:rPr>
          <w:rFonts w:hint="eastAsia" w:cs="Times New Roman"/>
          <w:color w:val="auto"/>
          <w:sz w:val="24"/>
          <w:highlight w:val="none"/>
          <w:lang w:eastAsia="zh-CN"/>
        </w:rPr>
        <w:t>中标供应商</w:t>
      </w:r>
      <w:r>
        <w:rPr>
          <w:rFonts w:hint="default" w:ascii="Times New Roman" w:hAnsi="Times New Roman" w:eastAsia="宋体" w:cs="Times New Roman"/>
          <w:color w:val="auto"/>
          <w:sz w:val="24"/>
          <w:highlight w:val="none"/>
        </w:rPr>
        <w:t>经营所需</w:t>
      </w:r>
      <w:r>
        <w:rPr>
          <w:rFonts w:hint="default" w:ascii="Times New Roman" w:hAnsi="Times New Roman" w:eastAsia="宋体" w:cs="Times New Roman"/>
          <w:color w:val="auto"/>
          <w:sz w:val="24"/>
          <w:highlight w:val="none"/>
          <w:lang w:val="en-US" w:eastAsia="zh-CN"/>
        </w:rPr>
        <w:t>①后厨所需的炉灶②后厨的烟罩排烟系统，③消防基础设施及维保④就餐大厅的就餐座椅⑤</w:t>
      </w:r>
      <w:r>
        <w:rPr>
          <w:rFonts w:hint="default" w:ascii="Times New Roman" w:hAnsi="Times New Roman" w:eastAsia="宋体" w:cs="Times New Roman"/>
          <w:color w:val="auto"/>
          <w:sz w:val="24"/>
          <w:highlight w:val="none"/>
        </w:rPr>
        <w:t>供水、供电、供气、供暖正常检修或相关设备出现意外等情况外，确保水、电、天然气及暖气的供应。</w:t>
      </w:r>
    </w:p>
    <w:p w14:paraId="7640A426">
      <w:pPr>
        <w:pStyle w:val="7"/>
        <w:widowControl/>
        <w:shd w:val="clear"/>
        <w:spacing w:line="440" w:lineRule="exact"/>
        <w:rPr>
          <w:rFonts w:hint="default" w:ascii="Times New Roman" w:hAnsi="Times New Roman" w:eastAsia="宋体" w:cs="Times New Roman"/>
          <w:color w:val="auto"/>
          <w:sz w:val="24"/>
          <w:highlight w:val="none"/>
          <w:lang w:val="en-US"/>
        </w:rPr>
      </w:pPr>
      <w:r>
        <w:rPr>
          <w:rFonts w:hint="default" w:ascii="Times New Roman" w:hAnsi="Times New Roman" w:eastAsia="宋体" w:cs="Times New Roman"/>
          <w:color w:val="auto"/>
          <w:sz w:val="24"/>
          <w:highlight w:val="none"/>
        </w:rPr>
        <w:t>3.在经营期间，</w:t>
      </w:r>
      <w:r>
        <w:rPr>
          <w:rFonts w:hint="eastAsia" w:cs="Times New Roman"/>
          <w:color w:val="auto"/>
          <w:sz w:val="24"/>
          <w:highlight w:val="none"/>
          <w:lang w:val="en-US" w:eastAsia="zh-CN"/>
        </w:rPr>
        <w:t>投标</w:t>
      </w:r>
      <w:r>
        <w:rPr>
          <w:rFonts w:hint="eastAsia" w:cs="Times New Roman"/>
          <w:color w:val="auto"/>
          <w:sz w:val="24"/>
          <w:highlight w:val="none"/>
          <w:lang w:eastAsia="zh-CN"/>
        </w:rPr>
        <w:t>供应商</w:t>
      </w:r>
      <w:r>
        <w:rPr>
          <w:rFonts w:hint="default" w:ascii="Times New Roman" w:hAnsi="Times New Roman" w:eastAsia="宋体" w:cs="Times New Roman"/>
          <w:color w:val="auto"/>
          <w:sz w:val="24"/>
          <w:highlight w:val="none"/>
          <w:lang w:val="en-US" w:eastAsia="zh-CN"/>
        </w:rPr>
        <w:t>按照投标文件中服务质量升级方案</w:t>
      </w:r>
      <w:r>
        <w:rPr>
          <w:rFonts w:hint="eastAsia" w:cs="Times New Roman"/>
          <w:color w:val="auto"/>
          <w:sz w:val="24"/>
          <w:highlight w:val="none"/>
          <w:lang w:val="en-US" w:eastAsia="zh-CN"/>
        </w:rPr>
        <w:t>，须</w:t>
      </w:r>
      <w:r>
        <w:rPr>
          <w:rFonts w:hint="default" w:ascii="Times New Roman" w:hAnsi="Times New Roman" w:eastAsia="宋体" w:cs="Times New Roman"/>
          <w:color w:val="auto"/>
          <w:sz w:val="24"/>
          <w:highlight w:val="none"/>
          <w:lang w:val="en-US" w:eastAsia="zh-CN"/>
        </w:rPr>
        <w:t>在第一个合同经营期</w:t>
      </w:r>
      <w:r>
        <w:rPr>
          <w:rFonts w:hint="eastAsia" w:cs="Times New Roman"/>
          <w:color w:val="auto"/>
          <w:sz w:val="24"/>
          <w:highlight w:val="none"/>
          <w:lang w:val="en-US" w:eastAsia="zh-CN"/>
        </w:rPr>
        <w:t>内</w:t>
      </w:r>
      <w:r>
        <w:rPr>
          <w:rFonts w:hint="default" w:ascii="Times New Roman" w:hAnsi="Times New Roman" w:eastAsia="宋体" w:cs="Times New Roman"/>
          <w:color w:val="auto"/>
          <w:sz w:val="24"/>
          <w:highlight w:val="none"/>
          <w:lang w:val="en-US" w:eastAsia="zh-CN"/>
        </w:rPr>
        <w:t>完</w:t>
      </w:r>
      <w:r>
        <w:rPr>
          <w:rFonts w:hint="default" w:ascii="Times New Roman" w:hAnsi="Times New Roman" w:cs="Times New Roman"/>
          <w:color w:val="auto"/>
          <w:sz w:val="24"/>
          <w:highlight w:val="none"/>
          <w:lang w:val="en-US" w:eastAsia="zh-CN"/>
        </w:rPr>
        <w:t>成对</w:t>
      </w:r>
      <w:r>
        <w:rPr>
          <w:rFonts w:hint="default" w:ascii="Times New Roman" w:hAnsi="Times New Roman" w:eastAsia="宋体" w:cs="Times New Roman"/>
          <w:color w:val="auto"/>
          <w:sz w:val="24"/>
          <w:highlight w:val="none"/>
          <w:lang w:val="en-US" w:eastAsia="zh-CN"/>
        </w:rPr>
        <w:t>餐厅经营场地现有的装修装潢升级</w:t>
      </w:r>
      <w:r>
        <w:rPr>
          <w:rFonts w:hint="eastAsia" w:cs="Times New Roman"/>
          <w:color w:val="auto"/>
          <w:sz w:val="24"/>
          <w:highlight w:val="none"/>
          <w:lang w:val="en-US" w:eastAsia="zh-CN"/>
        </w:rPr>
        <w:t>工作；且</w:t>
      </w:r>
      <w:r>
        <w:rPr>
          <w:rFonts w:hint="default" w:ascii="Times New Roman" w:hAnsi="Times New Roman" w:eastAsia="宋体" w:cs="Times New Roman"/>
          <w:color w:val="auto"/>
          <w:sz w:val="24"/>
          <w:highlight w:val="none"/>
          <w:lang w:val="en-US" w:eastAsia="zh-CN"/>
        </w:rPr>
        <w:t>升级方案需要征得</w:t>
      </w:r>
      <w:r>
        <w:rPr>
          <w:rFonts w:hint="eastAsia" w:cs="Times New Roman"/>
          <w:color w:val="auto"/>
          <w:sz w:val="24"/>
          <w:highlight w:val="none"/>
          <w:lang w:val="en-US" w:eastAsia="zh-CN"/>
        </w:rPr>
        <w:t>采购人</w:t>
      </w:r>
      <w:r>
        <w:rPr>
          <w:rFonts w:hint="default" w:ascii="Times New Roman" w:hAnsi="Times New Roman" w:eastAsia="宋体" w:cs="Times New Roman"/>
          <w:color w:val="auto"/>
          <w:sz w:val="24"/>
          <w:highlight w:val="none"/>
          <w:lang w:val="en-US" w:eastAsia="zh-CN"/>
        </w:rPr>
        <w:t>书面同意后实施，并</w:t>
      </w:r>
      <w:r>
        <w:rPr>
          <w:rFonts w:hint="default" w:ascii="Times New Roman" w:hAnsi="Times New Roman" w:eastAsia="宋体" w:cs="Times New Roman"/>
          <w:color w:val="auto"/>
          <w:sz w:val="24"/>
          <w:highlight w:val="none"/>
        </w:rPr>
        <w:t>自行购置</w:t>
      </w:r>
      <w:r>
        <w:rPr>
          <w:rFonts w:hint="default" w:ascii="Times New Roman" w:hAnsi="Times New Roman" w:eastAsia="宋体" w:cs="Times New Roman"/>
          <w:color w:val="auto"/>
          <w:sz w:val="24"/>
          <w:highlight w:val="none"/>
          <w:lang w:val="en-US" w:eastAsia="zh-CN"/>
        </w:rPr>
        <w:t>中标</w:t>
      </w:r>
      <w:r>
        <w:rPr>
          <w:rFonts w:hint="default" w:ascii="Times New Roman" w:hAnsi="Times New Roman" w:eastAsia="宋体" w:cs="Times New Roman"/>
          <w:color w:val="auto"/>
          <w:sz w:val="24"/>
          <w:highlight w:val="none"/>
        </w:rPr>
        <w:t>餐厅开餐所需的</w:t>
      </w:r>
      <w:r>
        <w:rPr>
          <w:rFonts w:hint="default" w:ascii="Times New Roman" w:hAnsi="Times New Roman" w:eastAsia="宋体" w:cs="Times New Roman"/>
          <w:color w:val="auto"/>
          <w:sz w:val="24"/>
          <w:highlight w:val="none"/>
          <w:lang w:val="en-US" w:eastAsia="zh-CN"/>
        </w:rPr>
        <w:t>除炉灶以外所需的后厨用具</w:t>
      </w:r>
      <w:r>
        <w:rPr>
          <w:rFonts w:hint="eastAsia" w:cs="Times New Roman"/>
          <w:color w:val="auto"/>
          <w:sz w:val="24"/>
          <w:highlight w:val="none"/>
          <w:lang w:val="en-US" w:eastAsia="zh-CN"/>
        </w:rPr>
        <w:t>、</w:t>
      </w:r>
      <w:r>
        <w:rPr>
          <w:rFonts w:hint="default" w:ascii="Times New Roman" w:hAnsi="Times New Roman" w:eastAsia="宋体" w:cs="Times New Roman"/>
          <w:color w:val="auto"/>
          <w:sz w:val="24"/>
          <w:highlight w:val="none"/>
        </w:rPr>
        <w:t>餐具</w:t>
      </w:r>
      <w:r>
        <w:rPr>
          <w:rFonts w:hint="default" w:ascii="Times New Roman" w:hAnsi="Times New Roman" w:eastAsia="宋体" w:cs="Times New Roman"/>
          <w:color w:val="auto"/>
          <w:sz w:val="24"/>
          <w:highlight w:val="none"/>
          <w:lang w:val="en-US" w:eastAsia="zh-CN"/>
        </w:rPr>
        <w:t>等设备，</w:t>
      </w:r>
      <w:r>
        <w:rPr>
          <w:rFonts w:hint="default" w:ascii="Times New Roman" w:hAnsi="Times New Roman" w:eastAsia="宋体" w:cs="Times New Roman"/>
          <w:color w:val="auto"/>
          <w:sz w:val="24"/>
          <w:highlight w:val="none"/>
        </w:rPr>
        <w:t>并承担后厨设备设施故障维修</w:t>
      </w:r>
      <w:r>
        <w:rPr>
          <w:rFonts w:hint="default" w:ascii="Times New Roman" w:hAnsi="Times New Roman" w:eastAsia="宋体" w:cs="Times New Roman"/>
          <w:color w:val="auto"/>
          <w:sz w:val="24"/>
          <w:highlight w:val="none"/>
          <w:lang w:val="en-US" w:eastAsia="zh-CN"/>
        </w:rPr>
        <w:t>及保养</w:t>
      </w:r>
      <w:r>
        <w:rPr>
          <w:rFonts w:hint="default" w:ascii="Times New Roman" w:hAnsi="Times New Roman" w:eastAsia="宋体" w:cs="Times New Roman"/>
          <w:color w:val="auto"/>
          <w:sz w:val="24"/>
          <w:highlight w:val="none"/>
        </w:rPr>
        <w:t>的费</w:t>
      </w:r>
      <w:r>
        <w:rPr>
          <w:rFonts w:hint="default" w:ascii="Times New Roman" w:hAnsi="Times New Roman" w:eastAsia="宋体" w:cs="Times New Roman"/>
          <w:color w:val="auto"/>
          <w:sz w:val="24"/>
          <w:highlight w:val="none"/>
          <w:lang w:val="en-US" w:eastAsia="zh-CN"/>
        </w:rPr>
        <w:t>用</w:t>
      </w:r>
      <w:r>
        <w:rPr>
          <w:rFonts w:hint="default" w:ascii="Times New Roman" w:hAnsi="Times New Roman" w:eastAsia="宋体" w:cs="Times New Roman"/>
          <w:color w:val="auto"/>
          <w:sz w:val="24"/>
          <w:highlight w:val="none"/>
        </w:rPr>
        <w:t>。</w:t>
      </w:r>
    </w:p>
    <w:p w14:paraId="2C959196">
      <w:pPr>
        <w:pStyle w:val="7"/>
        <w:widowControl/>
        <w:shd w:val="clea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w:t>
      </w:r>
      <w:r>
        <w:rPr>
          <w:rFonts w:hint="eastAsia" w:cs="Times New Roman"/>
          <w:color w:val="auto"/>
          <w:sz w:val="24"/>
          <w:highlight w:val="none"/>
          <w:lang w:val="en-US" w:eastAsia="zh-CN"/>
        </w:rPr>
        <w:t>投标</w:t>
      </w:r>
      <w:r>
        <w:rPr>
          <w:rFonts w:hint="eastAsia" w:cs="Times New Roman"/>
          <w:color w:val="auto"/>
          <w:sz w:val="24"/>
          <w:highlight w:val="none"/>
          <w:lang w:eastAsia="zh-CN"/>
        </w:rPr>
        <w:t>供应商</w:t>
      </w:r>
      <w:r>
        <w:rPr>
          <w:rFonts w:hint="default" w:ascii="Times New Roman" w:hAnsi="Times New Roman" w:eastAsia="宋体" w:cs="Times New Roman"/>
          <w:color w:val="auto"/>
          <w:sz w:val="24"/>
          <w:highlight w:val="none"/>
        </w:rPr>
        <w:t>需要执行学校统一采购、统一配送、统一核算，严禁自行购买食材。</w:t>
      </w:r>
    </w:p>
    <w:p w14:paraId="3E9903AF">
      <w:pPr>
        <w:pStyle w:val="7"/>
        <w:widowControl/>
        <w:shd w:val="clear"/>
        <w:spacing w:line="440" w:lineRule="exact"/>
        <w:rPr>
          <w:rFonts w:hint="default" w:ascii="Times New Roman" w:hAnsi="Times New Roman" w:cs="Times New Roman"/>
          <w:b/>
          <w:color w:val="auto"/>
          <w:sz w:val="24"/>
          <w:highlight w:val="none"/>
        </w:rPr>
      </w:pPr>
      <w:r>
        <w:rPr>
          <w:rFonts w:hint="default" w:ascii="Times New Roman" w:hAnsi="Times New Roman" w:cs="Times New Roman"/>
          <w:color w:val="auto"/>
          <w:spacing w:val="-2"/>
          <w:sz w:val="24"/>
          <w:highlight w:val="none"/>
        </w:rPr>
        <w:t>★</w:t>
      </w:r>
      <w:r>
        <w:rPr>
          <w:rFonts w:hint="default" w:ascii="Times New Roman" w:hAnsi="Times New Roman" w:cs="Times New Roman"/>
          <w:b/>
          <w:color w:val="auto"/>
          <w:sz w:val="24"/>
          <w:highlight w:val="none"/>
        </w:rPr>
        <w:t>六、财务核算</w:t>
      </w:r>
    </w:p>
    <w:p w14:paraId="3B2C90C2">
      <w:pPr>
        <w:numPr>
          <w:ilvl w:val="0"/>
          <w:numId w:val="0"/>
        </w:numPr>
        <w:shd w:val="clear"/>
        <w:spacing w:line="440" w:lineRule="exact"/>
        <w:ind w:firstLine="480" w:firstLineChars="200"/>
        <w:jc w:val="both"/>
        <w:rPr>
          <w:rFonts w:hint="default" w:ascii="Times New Roman" w:hAnsi="Times New Roman" w:eastAsia="仿宋_GB2312" w:cs="Times New Roman"/>
          <w:color w:val="auto"/>
          <w:sz w:val="24"/>
          <w:szCs w:val="24"/>
          <w:highlight w:val="none"/>
        </w:rPr>
      </w:pPr>
      <w:r>
        <w:rPr>
          <w:rFonts w:hint="eastAsia" w:cs="Times New Roman"/>
          <w:b w:val="0"/>
          <w:bCs/>
          <w:color w:val="auto"/>
          <w:sz w:val="24"/>
          <w:highlight w:val="none"/>
          <w:lang w:val="en-US" w:eastAsia="zh-CN"/>
        </w:rPr>
        <w:t>1.</w:t>
      </w:r>
      <w:r>
        <w:rPr>
          <w:rFonts w:hint="eastAsia" w:cs="Times New Roman"/>
          <w:color w:val="auto"/>
          <w:sz w:val="24"/>
          <w:highlight w:val="none"/>
          <w:lang w:val="en-US" w:eastAsia="zh-CN"/>
        </w:rPr>
        <w:t>投标</w:t>
      </w:r>
      <w:r>
        <w:rPr>
          <w:rFonts w:hint="eastAsia" w:cs="Times New Roman"/>
          <w:color w:val="auto"/>
          <w:sz w:val="24"/>
          <w:highlight w:val="none"/>
          <w:lang w:eastAsia="zh-CN"/>
        </w:rPr>
        <w:t>供应商</w:t>
      </w:r>
      <w:r>
        <w:rPr>
          <w:rFonts w:hint="default" w:ascii="Times New Roman" w:hAnsi="Times New Roman" w:eastAsia="宋体" w:cs="Times New Roman"/>
          <w:color w:val="auto"/>
          <w:sz w:val="24"/>
          <w:highlight w:val="none"/>
        </w:rPr>
        <w:t>遵守学校财务管理关于校园托管餐厅的统一规定，使用校园一卡通收费系统，结算/核算工作要求内容真实合法，程序符合规定，不得使用其他未经允许的收款方式。</w:t>
      </w:r>
      <w:r>
        <w:rPr>
          <w:rFonts w:hint="default" w:ascii="Times New Roman" w:hAnsi="Times New Roman" w:cs="Times New Roman"/>
          <w:color w:val="auto"/>
          <w:kern w:val="2"/>
          <w:sz w:val="24"/>
          <w:szCs w:val="24"/>
          <w:highlight w:val="none"/>
          <w:lang w:bidi="ar"/>
        </w:rPr>
        <w:t>由财务处统一结算，后勤服务处饮食中心完成二级财务核算工作。</w:t>
      </w:r>
    </w:p>
    <w:p w14:paraId="5C637504">
      <w:pPr>
        <w:shd w:val="clear"/>
        <w:spacing w:line="440" w:lineRule="exact"/>
        <w:ind w:firstLine="480" w:firstLineChars="200"/>
        <w:jc w:val="both"/>
        <w:rPr>
          <w:rFonts w:hint="default" w:ascii="Times New Roman" w:hAnsi="Times New Roman" w:cs="Times New Roman"/>
          <w:color w:val="auto"/>
          <w:kern w:val="2"/>
          <w:sz w:val="24"/>
          <w:szCs w:val="24"/>
          <w:highlight w:val="none"/>
          <w:lang w:bidi="ar"/>
        </w:rPr>
      </w:pPr>
      <w:r>
        <w:rPr>
          <w:rFonts w:hint="default" w:ascii="Times New Roman" w:hAnsi="Times New Roman" w:eastAsia="仿宋_GB2312" w:cs="Times New Roman"/>
          <w:color w:val="auto"/>
          <w:kern w:val="2"/>
          <w:sz w:val="24"/>
          <w:szCs w:val="24"/>
          <w:highlight w:val="none"/>
          <w:lang w:bidi="ar"/>
        </w:rPr>
        <w:t>2.</w:t>
      </w:r>
      <w:r>
        <w:rPr>
          <w:rFonts w:hint="default" w:ascii="Times New Roman" w:hAnsi="Times New Roman" w:cs="Times New Roman"/>
          <w:color w:val="auto"/>
          <w:kern w:val="2"/>
          <w:sz w:val="24"/>
          <w:szCs w:val="24"/>
          <w:highlight w:val="none"/>
          <w:lang w:bidi="ar"/>
        </w:rPr>
        <w:t>收入方式。一卡通、校内转账所取得收入和承接团体用餐取得的经营收入（包括校外团体）。</w:t>
      </w:r>
    </w:p>
    <w:p w14:paraId="0C358210">
      <w:pPr>
        <w:shd w:val="clear"/>
        <w:spacing w:line="440" w:lineRule="exact"/>
        <w:ind w:firstLine="480" w:firstLineChars="200"/>
        <w:jc w:val="both"/>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kern w:val="2"/>
          <w:sz w:val="24"/>
          <w:szCs w:val="24"/>
          <w:highlight w:val="none"/>
          <w:lang w:bidi="ar"/>
        </w:rPr>
        <w:t>3.</w:t>
      </w:r>
      <w:r>
        <w:rPr>
          <w:rFonts w:hint="default" w:ascii="Times New Roman" w:hAnsi="Times New Roman" w:cs="Times New Roman"/>
          <w:color w:val="auto"/>
          <w:kern w:val="2"/>
          <w:sz w:val="24"/>
          <w:szCs w:val="24"/>
          <w:highlight w:val="none"/>
          <w:lang w:bidi="ar"/>
        </w:rPr>
        <w:t>餐饮服务费支付比例：第一标段：餐饮服务支付比例不得高于占每期收入的</w:t>
      </w:r>
      <w:r>
        <w:rPr>
          <w:rFonts w:hint="default" w:ascii="Times New Roman" w:hAnsi="Times New Roman" w:cs="Times New Roman"/>
          <w:color w:val="auto"/>
          <w:kern w:val="2"/>
          <w:sz w:val="24"/>
          <w:szCs w:val="24"/>
          <w:highlight w:val="none"/>
          <w:lang w:val="en-US" w:eastAsia="zh-CN" w:bidi="ar"/>
        </w:rPr>
        <w:t>51</w:t>
      </w:r>
      <w:r>
        <w:rPr>
          <w:rFonts w:hint="default" w:ascii="Times New Roman" w:hAnsi="Times New Roman" w:cs="Times New Roman"/>
          <w:color w:val="auto"/>
          <w:kern w:val="2"/>
          <w:sz w:val="24"/>
          <w:szCs w:val="24"/>
          <w:highlight w:val="none"/>
          <w:lang w:bidi="ar"/>
        </w:rPr>
        <w:t>%</w:t>
      </w:r>
      <w:r>
        <w:rPr>
          <w:rFonts w:hint="default" w:ascii="Times New Roman" w:hAnsi="Times New Roman" w:cs="Times New Roman"/>
          <w:color w:val="auto"/>
          <w:kern w:val="2"/>
          <w:sz w:val="24"/>
          <w:szCs w:val="24"/>
          <w:highlight w:val="none"/>
          <w:lang w:eastAsia="zh-CN" w:bidi="ar"/>
        </w:rPr>
        <w:t>（</w:t>
      </w:r>
      <w:r>
        <w:rPr>
          <w:rFonts w:hint="default" w:ascii="Times New Roman" w:hAnsi="Times New Roman" w:cs="Times New Roman"/>
          <w:color w:val="auto"/>
          <w:kern w:val="2"/>
          <w:sz w:val="24"/>
          <w:szCs w:val="24"/>
          <w:highlight w:val="none"/>
          <w:lang w:val="en-US" w:eastAsia="zh-CN" w:bidi="ar"/>
        </w:rPr>
        <w:t>含51%）（</w:t>
      </w:r>
      <w:r>
        <w:rPr>
          <w:rFonts w:hint="default" w:ascii="Times New Roman" w:hAnsi="Times New Roman" w:cs="Times New Roman"/>
          <w:color w:val="auto"/>
          <w:kern w:val="2"/>
          <w:sz w:val="24"/>
          <w:szCs w:val="24"/>
          <w:highlight w:val="none"/>
          <w:lang w:bidi="ar"/>
        </w:rPr>
        <w:t>根据实际</w:t>
      </w:r>
      <w:r>
        <w:rPr>
          <w:rFonts w:hint="default" w:ascii="Times New Roman" w:hAnsi="Times New Roman" w:cs="Times New Roman"/>
          <w:color w:val="auto"/>
          <w:kern w:val="2"/>
          <w:sz w:val="24"/>
          <w:szCs w:val="24"/>
          <w:highlight w:val="none"/>
          <w:lang w:val="en-US" w:eastAsia="zh-CN" w:bidi="ar"/>
        </w:rPr>
        <w:t>中标</w:t>
      </w:r>
      <w:r>
        <w:rPr>
          <w:rFonts w:hint="default" w:ascii="Times New Roman" w:hAnsi="Times New Roman" w:cs="Times New Roman"/>
          <w:color w:val="auto"/>
          <w:kern w:val="2"/>
          <w:sz w:val="24"/>
          <w:szCs w:val="24"/>
          <w:highlight w:val="none"/>
          <w:lang w:bidi="ar"/>
        </w:rPr>
        <w:t>报价执行），第二标段：餐饮服务支付比例不得高于占每期收入的</w:t>
      </w:r>
      <w:r>
        <w:rPr>
          <w:rFonts w:hint="default" w:ascii="Times New Roman" w:hAnsi="Times New Roman" w:cs="Times New Roman"/>
          <w:color w:val="auto"/>
          <w:kern w:val="2"/>
          <w:sz w:val="24"/>
          <w:szCs w:val="24"/>
          <w:highlight w:val="none"/>
          <w:lang w:val="en-US" w:eastAsia="zh-CN" w:bidi="ar"/>
        </w:rPr>
        <w:t>63</w:t>
      </w:r>
      <w:r>
        <w:rPr>
          <w:rFonts w:hint="eastAsia" w:cs="Times New Roman"/>
          <w:color w:val="auto"/>
          <w:kern w:val="2"/>
          <w:sz w:val="24"/>
          <w:szCs w:val="24"/>
          <w:highlight w:val="none"/>
          <w:lang w:val="en-US" w:eastAsia="zh-CN" w:bidi="ar"/>
        </w:rPr>
        <w:t>.5</w:t>
      </w:r>
      <w:r>
        <w:rPr>
          <w:rFonts w:hint="default" w:ascii="Times New Roman" w:hAnsi="Times New Roman" w:cs="Times New Roman"/>
          <w:color w:val="auto"/>
          <w:kern w:val="2"/>
          <w:sz w:val="24"/>
          <w:szCs w:val="24"/>
          <w:highlight w:val="none"/>
          <w:lang w:bidi="ar"/>
        </w:rPr>
        <w:t>%</w:t>
      </w:r>
      <w:r>
        <w:rPr>
          <w:rFonts w:hint="default" w:ascii="Times New Roman" w:hAnsi="Times New Roman" w:cs="Times New Roman"/>
          <w:color w:val="auto"/>
          <w:kern w:val="2"/>
          <w:sz w:val="24"/>
          <w:szCs w:val="24"/>
          <w:highlight w:val="none"/>
          <w:lang w:eastAsia="zh-CN" w:bidi="ar"/>
        </w:rPr>
        <w:t>（</w:t>
      </w:r>
      <w:r>
        <w:rPr>
          <w:rFonts w:hint="default" w:ascii="Times New Roman" w:hAnsi="Times New Roman" w:cs="Times New Roman"/>
          <w:color w:val="auto"/>
          <w:kern w:val="2"/>
          <w:sz w:val="24"/>
          <w:szCs w:val="24"/>
          <w:highlight w:val="none"/>
          <w:lang w:val="en-US" w:eastAsia="zh-CN" w:bidi="ar"/>
        </w:rPr>
        <w:t>含63</w:t>
      </w:r>
      <w:r>
        <w:rPr>
          <w:rFonts w:hint="eastAsia" w:cs="Times New Roman"/>
          <w:color w:val="auto"/>
          <w:kern w:val="2"/>
          <w:sz w:val="24"/>
          <w:szCs w:val="24"/>
          <w:highlight w:val="none"/>
          <w:lang w:val="en-US" w:eastAsia="zh-CN" w:bidi="ar"/>
        </w:rPr>
        <w:t>.5</w:t>
      </w:r>
      <w:r>
        <w:rPr>
          <w:rFonts w:hint="default" w:ascii="Times New Roman" w:hAnsi="Times New Roman" w:cs="Times New Roman"/>
          <w:color w:val="auto"/>
          <w:kern w:val="2"/>
          <w:sz w:val="24"/>
          <w:szCs w:val="24"/>
          <w:highlight w:val="none"/>
          <w:lang w:val="en-US" w:eastAsia="zh-CN" w:bidi="ar"/>
        </w:rPr>
        <w:t>%）</w:t>
      </w:r>
      <w:r>
        <w:rPr>
          <w:rFonts w:hint="default" w:ascii="Times New Roman" w:hAnsi="Times New Roman" w:cs="Times New Roman"/>
          <w:color w:val="auto"/>
          <w:kern w:val="2"/>
          <w:sz w:val="24"/>
          <w:szCs w:val="24"/>
          <w:highlight w:val="none"/>
          <w:lang w:bidi="ar"/>
        </w:rPr>
        <w:t>（根据实际</w:t>
      </w:r>
      <w:r>
        <w:rPr>
          <w:rFonts w:hint="default" w:ascii="Times New Roman" w:hAnsi="Times New Roman" w:cs="Times New Roman"/>
          <w:color w:val="auto"/>
          <w:kern w:val="2"/>
          <w:sz w:val="24"/>
          <w:szCs w:val="24"/>
          <w:highlight w:val="none"/>
          <w:lang w:val="en-US" w:eastAsia="zh-CN" w:bidi="ar"/>
        </w:rPr>
        <w:t>中标</w:t>
      </w:r>
      <w:r>
        <w:rPr>
          <w:rFonts w:hint="default" w:ascii="Times New Roman" w:hAnsi="Times New Roman" w:cs="Times New Roman"/>
          <w:color w:val="auto"/>
          <w:kern w:val="2"/>
          <w:sz w:val="24"/>
          <w:szCs w:val="24"/>
          <w:highlight w:val="none"/>
          <w:lang w:bidi="ar"/>
        </w:rPr>
        <w:t>报价执行）。第</w:t>
      </w:r>
      <w:r>
        <w:rPr>
          <w:rFonts w:hint="default" w:ascii="Times New Roman" w:hAnsi="Times New Roman" w:cs="Times New Roman"/>
          <w:color w:val="auto"/>
          <w:kern w:val="2"/>
          <w:sz w:val="24"/>
          <w:szCs w:val="24"/>
          <w:highlight w:val="none"/>
          <w:lang w:val="en-US" w:eastAsia="zh-CN" w:bidi="ar"/>
        </w:rPr>
        <w:t>三</w:t>
      </w:r>
      <w:r>
        <w:rPr>
          <w:rFonts w:hint="default" w:ascii="Times New Roman" w:hAnsi="Times New Roman" w:cs="Times New Roman"/>
          <w:color w:val="auto"/>
          <w:kern w:val="2"/>
          <w:sz w:val="24"/>
          <w:szCs w:val="24"/>
          <w:highlight w:val="none"/>
          <w:lang w:bidi="ar"/>
        </w:rPr>
        <w:t>标段：餐饮服务支付比例不得高于占每期收入的</w:t>
      </w:r>
      <w:r>
        <w:rPr>
          <w:rFonts w:hint="default" w:ascii="Times New Roman" w:hAnsi="Times New Roman" w:cs="Times New Roman"/>
          <w:color w:val="auto"/>
          <w:kern w:val="2"/>
          <w:sz w:val="24"/>
          <w:szCs w:val="24"/>
          <w:highlight w:val="none"/>
          <w:lang w:val="en-US" w:eastAsia="zh-CN" w:bidi="ar"/>
        </w:rPr>
        <w:t>52</w:t>
      </w:r>
      <w:r>
        <w:rPr>
          <w:rFonts w:hint="default" w:ascii="Times New Roman" w:hAnsi="Times New Roman" w:cs="Times New Roman"/>
          <w:color w:val="auto"/>
          <w:kern w:val="2"/>
          <w:sz w:val="24"/>
          <w:szCs w:val="24"/>
          <w:highlight w:val="none"/>
          <w:lang w:bidi="ar"/>
        </w:rPr>
        <w:t>%</w:t>
      </w:r>
      <w:r>
        <w:rPr>
          <w:rFonts w:hint="default" w:ascii="Times New Roman" w:hAnsi="Times New Roman" w:cs="Times New Roman"/>
          <w:color w:val="auto"/>
          <w:kern w:val="2"/>
          <w:sz w:val="24"/>
          <w:szCs w:val="24"/>
          <w:highlight w:val="none"/>
          <w:lang w:eastAsia="zh-CN" w:bidi="ar"/>
        </w:rPr>
        <w:t>（</w:t>
      </w:r>
      <w:r>
        <w:rPr>
          <w:rFonts w:hint="default" w:ascii="Times New Roman" w:hAnsi="Times New Roman" w:cs="Times New Roman"/>
          <w:color w:val="auto"/>
          <w:kern w:val="2"/>
          <w:sz w:val="24"/>
          <w:szCs w:val="24"/>
          <w:highlight w:val="none"/>
          <w:lang w:val="en-US" w:eastAsia="zh-CN" w:bidi="ar"/>
        </w:rPr>
        <w:t>含52%）</w:t>
      </w:r>
      <w:r>
        <w:rPr>
          <w:rFonts w:hint="default" w:ascii="Times New Roman" w:hAnsi="Times New Roman" w:cs="Times New Roman"/>
          <w:color w:val="auto"/>
          <w:kern w:val="2"/>
          <w:sz w:val="24"/>
          <w:szCs w:val="24"/>
          <w:highlight w:val="none"/>
          <w:lang w:bidi="ar"/>
        </w:rPr>
        <w:t>（根据实际</w:t>
      </w:r>
      <w:r>
        <w:rPr>
          <w:rFonts w:hint="default" w:ascii="Times New Roman" w:hAnsi="Times New Roman" w:cs="Times New Roman"/>
          <w:color w:val="auto"/>
          <w:kern w:val="2"/>
          <w:sz w:val="24"/>
          <w:szCs w:val="24"/>
          <w:highlight w:val="none"/>
          <w:lang w:val="en-US" w:eastAsia="zh-CN" w:bidi="ar"/>
        </w:rPr>
        <w:t>中标</w:t>
      </w:r>
      <w:r>
        <w:rPr>
          <w:rFonts w:hint="default" w:ascii="Times New Roman" w:hAnsi="Times New Roman" w:cs="Times New Roman"/>
          <w:color w:val="auto"/>
          <w:kern w:val="2"/>
          <w:sz w:val="24"/>
          <w:szCs w:val="24"/>
          <w:highlight w:val="none"/>
          <w:lang w:bidi="ar"/>
        </w:rPr>
        <w:t>报价执行）。</w:t>
      </w:r>
    </w:p>
    <w:p w14:paraId="4D9A9C20">
      <w:pPr>
        <w:shd w:val="clear"/>
        <w:spacing w:line="440" w:lineRule="exact"/>
        <w:ind w:firstLine="480" w:firstLineChars="200"/>
        <w:jc w:val="both"/>
        <w:rPr>
          <w:rFonts w:hint="default" w:ascii="Times New Roman" w:hAnsi="Times New Roman" w:cs="Times New Roman"/>
          <w:b/>
          <w:bCs/>
          <w:color w:val="auto"/>
          <w:kern w:val="2"/>
          <w:sz w:val="24"/>
          <w:szCs w:val="24"/>
          <w:highlight w:val="none"/>
          <w:lang w:val="en-US" w:eastAsia="zh-CN" w:bidi="ar"/>
        </w:rPr>
      </w:pPr>
      <w:r>
        <w:rPr>
          <w:rFonts w:hint="default" w:ascii="Times New Roman" w:hAnsi="Times New Roman" w:eastAsia="仿宋_GB2312" w:cs="Times New Roman"/>
          <w:color w:val="auto"/>
          <w:kern w:val="2"/>
          <w:sz w:val="24"/>
          <w:szCs w:val="24"/>
          <w:highlight w:val="none"/>
          <w:lang w:bidi="ar"/>
        </w:rPr>
        <w:t>4.</w:t>
      </w:r>
      <w:r>
        <w:rPr>
          <w:rFonts w:hint="default" w:ascii="Times New Roman" w:hAnsi="Times New Roman" w:cs="Times New Roman"/>
          <w:color w:val="auto"/>
          <w:kern w:val="2"/>
          <w:sz w:val="24"/>
          <w:szCs w:val="24"/>
          <w:highlight w:val="none"/>
          <w:lang w:bidi="ar"/>
        </w:rPr>
        <w:t>核算方式。每年按照</w:t>
      </w:r>
      <w:r>
        <w:rPr>
          <w:rFonts w:hint="default" w:ascii="Times New Roman" w:hAnsi="Times New Roman" w:eastAsia="仿宋_GB2312" w:cs="Times New Roman"/>
          <w:color w:val="auto"/>
          <w:kern w:val="2"/>
          <w:sz w:val="24"/>
          <w:szCs w:val="24"/>
          <w:highlight w:val="none"/>
          <w:lang w:bidi="ar"/>
        </w:rPr>
        <w:t>8</w:t>
      </w:r>
      <w:r>
        <w:rPr>
          <w:rFonts w:hint="default" w:ascii="Times New Roman" w:hAnsi="Times New Roman" w:cs="Times New Roman"/>
          <w:color w:val="auto"/>
          <w:kern w:val="2"/>
          <w:sz w:val="24"/>
          <w:szCs w:val="24"/>
          <w:highlight w:val="none"/>
          <w:lang w:bidi="ar"/>
        </w:rPr>
        <w:t>个周期结算账目，执行</w:t>
      </w:r>
      <w:r>
        <w:rPr>
          <w:rFonts w:hint="default" w:ascii="Times New Roman" w:hAnsi="Times New Roman" w:cs="Times New Roman"/>
          <w:color w:val="auto"/>
          <w:kern w:val="2"/>
          <w:sz w:val="24"/>
          <w:szCs w:val="24"/>
          <w:highlight w:val="none"/>
          <w:lang w:eastAsia="zh-CN" w:bidi="ar"/>
        </w:rPr>
        <w:t>：</w:t>
      </w:r>
      <w:r>
        <w:rPr>
          <w:rFonts w:hint="default" w:ascii="Times New Roman" w:hAnsi="Times New Roman" w:cs="Times New Roman"/>
          <w:color w:val="auto"/>
          <w:kern w:val="2"/>
          <w:sz w:val="24"/>
          <w:szCs w:val="24"/>
          <w:highlight w:val="none"/>
          <w:lang w:val="en-US" w:eastAsia="zh-CN" w:bidi="ar"/>
        </w:rPr>
        <w:t>①餐饮服务费②</w:t>
      </w:r>
      <w:r>
        <w:rPr>
          <w:rFonts w:hint="default" w:ascii="Times New Roman" w:hAnsi="Times New Roman" w:cs="Times New Roman"/>
          <w:color w:val="auto"/>
          <w:kern w:val="2"/>
          <w:sz w:val="24"/>
          <w:szCs w:val="24"/>
          <w:highlight w:val="none"/>
          <w:lang w:bidi="ar"/>
        </w:rPr>
        <w:t>每期食材消耗（含调味品）</w:t>
      </w:r>
      <w:r>
        <w:rPr>
          <w:rFonts w:hint="default" w:ascii="Times New Roman" w:hAnsi="Times New Roman" w:cs="Times New Roman"/>
          <w:color w:val="auto"/>
          <w:kern w:val="2"/>
          <w:sz w:val="24"/>
          <w:szCs w:val="24"/>
          <w:highlight w:val="none"/>
          <w:lang w:val="en-US" w:eastAsia="zh-CN" w:bidi="ar"/>
        </w:rPr>
        <w:t>基础占比③其他消耗（</w:t>
      </w:r>
      <w:r>
        <w:rPr>
          <w:rFonts w:hint="default" w:ascii="Times New Roman" w:hAnsi="Times New Roman" w:cs="Times New Roman"/>
          <w:color w:val="auto"/>
          <w:kern w:val="2"/>
          <w:sz w:val="24"/>
          <w:szCs w:val="24"/>
          <w:highlight w:val="none"/>
          <w:lang w:bidi="ar"/>
        </w:rPr>
        <w:t>水电气能源</w:t>
      </w:r>
      <w:r>
        <w:rPr>
          <w:rFonts w:hint="default" w:ascii="Times New Roman" w:hAnsi="Times New Roman" w:cs="Times New Roman"/>
          <w:color w:val="auto"/>
          <w:kern w:val="2"/>
          <w:sz w:val="24"/>
          <w:szCs w:val="24"/>
          <w:highlight w:val="none"/>
          <w:lang w:val="en-US" w:eastAsia="zh-CN" w:bidi="ar"/>
        </w:rPr>
        <w:t>消耗，</w:t>
      </w:r>
      <w:r>
        <w:rPr>
          <w:rFonts w:hint="default" w:ascii="Times New Roman" w:hAnsi="Times New Roman" w:eastAsia="宋体" w:cs="Times New Roman"/>
          <w:color w:val="auto"/>
          <w:kern w:val="2"/>
          <w:sz w:val="24"/>
          <w:szCs w:val="24"/>
          <w:highlight w:val="none"/>
          <w:lang w:val="en-US" w:eastAsia="zh-CN" w:bidi="ar"/>
        </w:rPr>
        <w:t>烟道清洗费、燃气报警器和探头检测费、厨余垃圾处置费、灭蟑灭鼠费、疏通下水费、文印费、公共区域维修、监督管理人工费</w:t>
      </w:r>
      <w:r>
        <w:rPr>
          <w:rFonts w:hint="default" w:ascii="Times New Roman" w:hAnsi="Times New Roman" w:cs="Times New Roman"/>
          <w:color w:val="auto"/>
          <w:kern w:val="2"/>
          <w:sz w:val="24"/>
          <w:szCs w:val="24"/>
          <w:highlight w:val="none"/>
          <w:lang w:val="en-US" w:eastAsia="zh-CN" w:bidi="ar"/>
        </w:rPr>
        <w:t>、洗碗费、消防基础设施及维保等）基础占比，</w:t>
      </w:r>
      <w:r>
        <w:rPr>
          <w:rFonts w:hint="default" w:ascii="Times New Roman" w:hAnsi="Times New Roman" w:cs="Times New Roman"/>
          <w:color w:val="auto"/>
          <w:kern w:val="2"/>
          <w:sz w:val="24"/>
          <w:szCs w:val="24"/>
          <w:highlight w:val="none"/>
          <w:lang w:bidi="ar"/>
        </w:rPr>
        <w:t>三项核算</w:t>
      </w:r>
      <w:r>
        <w:rPr>
          <w:rFonts w:hint="default" w:ascii="Times New Roman" w:hAnsi="Times New Roman" w:cs="Times New Roman"/>
          <w:b/>
          <w:bCs/>
          <w:color w:val="auto"/>
          <w:kern w:val="2"/>
          <w:sz w:val="24"/>
          <w:szCs w:val="24"/>
          <w:highlight w:val="none"/>
          <w:lang w:bidi="ar"/>
        </w:rPr>
        <w:t>。</w:t>
      </w:r>
      <w:r>
        <w:rPr>
          <w:rFonts w:hint="default" w:ascii="Times New Roman" w:hAnsi="Times New Roman" w:cs="Times New Roman"/>
          <w:b/>
          <w:bCs/>
          <w:color w:val="auto"/>
          <w:kern w:val="2"/>
          <w:sz w:val="24"/>
          <w:szCs w:val="24"/>
          <w:highlight w:val="none"/>
          <w:lang w:val="en-US" w:eastAsia="zh-CN" w:bidi="ar"/>
        </w:rPr>
        <w:t>备注：</w:t>
      </w:r>
      <w:r>
        <w:rPr>
          <w:rFonts w:hint="default" w:ascii="Times New Roman" w:hAnsi="Times New Roman" w:cs="Times New Roman"/>
          <w:color w:val="auto"/>
          <w:kern w:val="2"/>
          <w:sz w:val="24"/>
          <w:szCs w:val="24"/>
          <w:highlight w:val="none"/>
          <w:lang w:val="en-US" w:eastAsia="zh-CN" w:bidi="ar"/>
        </w:rPr>
        <w:t>①</w:t>
      </w:r>
      <w:r>
        <w:rPr>
          <w:rFonts w:hint="default" w:ascii="Times New Roman" w:hAnsi="Times New Roman" w:cs="Times New Roman"/>
          <w:b/>
          <w:bCs/>
          <w:color w:val="auto"/>
          <w:kern w:val="2"/>
          <w:sz w:val="24"/>
          <w:szCs w:val="24"/>
          <w:highlight w:val="none"/>
          <w:lang w:val="en-US" w:eastAsia="zh-CN" w:bidi="ar"/>
        </w:rPr>
        <w:t>餐饮服务费中标如有下浮部分将增加到②每期食材消耗（含调味品）基础占比上，每个标段：三项核算比例的合计为100%。</w:t>
      </w:r>
    </w:p>
    <w:p w14:paraId="3B4C15F0">
      <w:pPr>
        <w:shd w:val="clear"/>
        <w:spacing w:line="440" w:lineRule="exact"/>
        <w:ind w:firstLine="480" w:firstLineChars="200"/>
        <w:jc w:val="both"/>
        <w:rPr>
          <w:rFonts w:hint="default" w:ascii="Times New Roman" w:hAnsi="Times New Roman" w:eastAsia="宋体" w:cs="Times New Roman"/>
          <w:color w:val="auto"/>
          <w:kern w:val="2"/>
          <w:sz w:val="24"/>
          <w:szCs w:val="24"/>
          <w:highlight w:val="none"/>
          <w:u w:val="none"/>
          <w:lang w:eastAsia="zh-CN" w:bidi="ar"/>
        </w:rPr>
      </w:pPr>
      <w:r>
        <w:rPr>
          <w:rFonts w:hint="default" w:ascii="Times New Roman" w:hAnsi="Times New Roman" w:cs="Times New Roman"/>
          <w:color w:val="auto"/>
          <w:kern w:val="2"/>
          <w:sz w:val="24"/>
          <w:szCs w:val="24"/>
          <w:highlight w:val="none"/>
          <w:lang w:bidi="ar"/>
        </w:rPr>
        <w:t>第</w:t>
      </w:r>
      <w:r>
        <w:rPr>
          <w:rFonts w:hint="default" w:ascii="Times New Roman" w:hAnsi="Times New Roman" w:cs="Times New Roman"/>
          <w:color w:val="auto"/>
          <w:kern w:val="2"/>
          <w:sz w:val="24"/>
          <w:szCs w:val="24"/>
          <w:highlight w:val="none"/>
          <w:lang w:val="en-US" w:eastAsia="zh-CN" w:bidi="ar"/>
        </w:rPr>
        <w:t>一</w:t>
      </w:r>
      <w:r>
        <w:rPr>
          <w:rFonts w:hint="default" w:ascii="Times New Roman" w:hAnsi="Times New Roman" w:cs="Times New Roman"/>
          <w:color w:val="auto"/>
          <w:kern w:val="2"/>
          <w:sz w:val="24"/>
          <w:szCs w:val="24"/>
          <w:highlight w:val="none"/>
          <w:lang w:bidi="ar"/>
        </w:rPr>
        <w:t>标段：按期对</w:t>
      </w:r>
      <w:r>
        <w:rPr>
          <w:rFonts w:hint="eastAsia" w:cs="Times New Roman"/>
          <w:color w:val="auto"/>
          <w:kern w:val="2"/>
          <w:sz w:val="24"/>
          <w:szCs w:val="24"/>
          <w:highlight w:val="none"/>
          <w:lang w:eastAsia="zh-CN" w:bidi="ar"/>
        </w:rPr>
        <w:t>中标供应商</w:t>
      </w:r>
      <w:r>
        <w:rPr>
          <w:rFonts w:hint="default" w:ascii="Times New Roman" w:hAnsi="Times New Roman" w:cs="Times New Roman"/>
          <w:color w:val="auto"/>
          <w:kern w:val="2"/>
          <w:sz w:val="24"/>
          <w:szCs w:val="24"/>
          <w:highlight w:val="none"/>
          <w:lang w:bidi="ar"/>
        </w:rPr>
        <w:t>食材消耗（含调味品）占每期收入</w:t>
      </w:r>
      <w:r>
        <w:rPr>
          <w:rFonts w:hint="default" w:ascii="Times New Roman" w:hAnsi="Times New Roman" w:cs="Times New Roman"/>
          <w:color w:val="auto"/>
          <w:kern w:val="2"/>
          <w:sz w:val="24"/>
          <w:szCs w:val="24"/>
          <w:highlight w:val="none"/>
          <w:u w:val="none"/>
          <w:lang w:val="en-US" w:eastAsia="zh-CN" w:bidi="ar"/>
        </w:rPr>
        <w:t>35%（预计）</w:t>
      </w:r>
      <w:r>
        <w:rPr>
          <w:rFonts w:hint="default" w:ascii="Times New Roman" w:hAnsi="Times New Roman" w:cs="Times New Roman"/>
          <w:color w:val="auto"/>
          <w:kern w:val="2"/>
          <w:sz w:val="24"/>
          <w:szCs w:val="24"/>
          <w:highlight w:val="none"/>
          <w:u w:val="none"/>
          <w:lang w:bidi="ar"/>
        </w:rPr>
        <w:t>的指标进行核算，超出部分在采购人支付给中标</w:t>
      </w:r>
      <w:r>
        <w:rPr>
          <w:rFonts w:hint="eastAsia" w:cs="Times New Roman"/>
          <w:color w:val="auto"/>
          <w:kern w:val="2"/>
          <w:sz w:val="24"/>
          <w:szCs w:val="24"/>
          <w:highlight w:val="none"/>
          <w:u w:val="none"/>
          <w:lang w:eastAsia="zh-CN" w:bidi="ar"/>
        </w:rPr>
        <w:t>供应商</w:t>
      </w:r>
      <w:r>
        <w:rPr>
          <w:rFonts w:hint="default" w:ascii="Times New Roman" w:hAnsi="Times New Roman" w:cs="Times New Roman"/>
          <w:color w:val="auto"/>
          <w:kern w:val="2"/>
          <w:sz w:val="24"/>
          <w:szCs w:val="24"/>
          <w:highlight w:val="none"/>
          <w:u w:val="none"/>
          <w:lang w:bidi="ar"/>
        </w:rPr>
        <w:t>的餐饮服务费中扣除，低于的则按每期收入的</w:t>
      </w:r>
      <w:r>
        <w:rPr>
          <w:rFonts w:hint="default" w:ascii="Times New Roman" w:hAnsi="Times New Roman" w:cs="Times New Roman"/>
          <w:color w:val="auto"/>
          <w:kern w:val="2"/>
          <w:sz w:val="24"/>
          <w:szCs w:val="24"/>
          <w:highlight w:val="none"/>
          <w:u w:val="none"/>
          <w:lang w:val="en-US" w:eastAsia="zh-CN" w:bidi="ar"/>
        </w:rPr>
        <w:t>35%（预计）</w:t>
      </w:r>
      <w:r>
        <w:rPr>
          <w:rFonts w:hint="default" w:ascii="Times New Roman" w:hAnsi="Times New Roman" w:cs="Times New Roman"/>
          <w:color w:val="auto"/>
          <w:kern w:val="2"/>
          <w:sz w:val="24"/>
          <w:szCs w:val="24"/>
          <w:highlight w:val="none"/>
          <w:u w:val="none"/>
          <w:lang w:bidi="ar"/>
        </w:rPr>
        <w:t>进行核算</w:t>
      </w:r>
      <w:r>
        <w:rPr>
          <w:rFonts w:hint="default" w:ascii="Times New Roman" w:hAnsi="Times New Roman" w:cs="Times New Roman"/>
          <w:color w:val="auto"/>
          <w:kern w:val="2"/>
          <w:sz w:val="24"/>
          <w:szCs w:val="24"/>
          <w:highlight w:val="none"/>
          <w:u w:val="none"/>
          <w:lang w:eastAsia="zh-CN" w:bidi="ar"/>
        </w:rPr>
        <w:t>；</w:t>
      </w:r>
      <w:r>
        <w:rPr>
          <w:rFonts w:hint="default" w:ascii="Times New Roman" w:hAnsi="Times New Roman" w:cs="Times New Roman"/>
          <w:color w:val="auto"/>
          <w:kern w:val="2"/>
          <w:sz w:val="24"/>
          <w:szCs w:val="24"/>
          <w:highlight w:val="none"/>
          <w:u w:val="none"/>
          <w:lang w:bidi="ar"/>
        </w:rPr>
        <w:t>按期对</w:t>
      </w:r>
      <w:r>
        <w:rPr>
          <w:rFonts w:hint="default" w:ascii="Times New Roman" w:hAnsi="Times New Roman" w:cs="Times New Roman"/>
          <w:color w:val="auto"/>
          <w:kern w:val="2"/>
          <w:sz w:val="24"/>
          <w:szCs w:val="24"/>
          <w:highlight w:val="none"/>
          <w:u w:val="none"/>
          <w:lang w:val="en-US" w:eastAsia="zh-CN" w:bidi="ar"/>
        </w:rPr>
        <w:t>其他消耗</w:t>
      </w:r>
      <w:r>
        <w:rPr>
          <w:rFonts w:hint="default" w:ascii="Times New Roman" w:hAnsi="Times New Roman" w:cs="Times New Roman"/>
          <w:color w:val="auto"/>
          <w:kern w:val="2"/>
          <w:sz w:val="24"/>
          <w:szCs w:val="24"/>
          <w:highlight w:val="none"/>
          <w:u w:val="none"/>
          <w:lang w:bidi="ar"/>
        </w:rPr>
        <w:t>占每期收入</w:t>
      </w:r>
      <w:r>
        <w:rPr>
          <w:rFonts w:hint="default" w:ascii="Times New Roman" w:hAnsi="Times New Roman" w:cs="Times New Roman"/>
          <w:color w:val="auto"/>
          <w:kern w:val="2"/>
          <w:sz w:val="24"/>
          <w:szCs w:val="24"/>
          <w:highlight w:val="none"/>
          <w:u w:val="none"/>
          <w:lang w:val="en-US" w:eastAsia="zh-CN" w:bidi="ar"/>
        </w:rPr>
        <w:t>14</w:t>
      </w:r>
      <w:r>
        <w:rPr>
          <w:rFonts w:hint="default" w:ascii="Times New Roman" w:hAnsi="Times New Roman" w:cs="Times New Roman"/>
          <w:color w:val="auto"/>
          <w:kern w:val="2"/>
          <w:sz w:val="24"/>
          <w:szCs w:val="24"/>
          <w:highlight w:val="none"/>
          <w:u w:val="none"/>
          <w:lang w:bidi="ar"/>
        </w:rPr>
        <w:t>％的指标进行核算，超出部分在采购人支付给</w:t>
      </w:r>
      <w:r>
        <w:rPr>
          <w:rFonts w:hint="eastAsia" w:cs="Times New Roman"/>
          <w:color w:val="auto"/>
          <w:kern w:val="2"/>
          <w:sz w:val="24"/>
          <w:szCs w:val="24"/>
          <w:highlight w:val="none"/>
          <w:u w:val="none"/>
          <w:lang w:eastAsia="zh-CN" w:bidi="ar"/>
        </w:rPr>
        <w:t>中标供应商</w:t>
      </w:r>
      <w:r>
        <w:rPr>
          <w:rFonts w:hint="default" w:ascii="Times New Roman" w:hAnsi="Times New Roman" w:cs="Times New Roman"/>
          <w:color w:val="auto"/>
          <w:kern w:val="2"/>
          <w:sz w:val="24"/>
          <w:szCs w:val="24"/>
          <w:highlight w:val="none"/>
          <w:u w:val="none"/>
          <w:lang w:bidi="ar"/>
        </w:rPr>
        <w:t>的餐饮服务费中扣除，低于的则按每期收入的</w:t>
      </w:r>
      <w:r>
        <w:rPr>
          <w:rFonts w:hint="default" w:ascii="Times New Roman" w:hAnsi="Times New Roman" w:cs="Times New Roman"/>
          <w:color w:val="auto"/>
          <w:kern w:val="2"/>
          <w:sz w:val="24"/>
          <w:szCs w:val="24"/>
          <w:highlight w:val="none"/>
          <w:u w:val="none"/>
          <w:lang w:val="en-US" w:eastAsia="zh-CN" w:bidi="ar"/>
        </w:rPr>
        <w:t>14</w:t>
      </w:r>
      <w:r>
        <w:rPr>
          <w:rFonts w:hint="default" w:ascii="Times New Roman" w:hAnsi="Times New Roman" w:cs="Times New Roman"/>
          <w:color w:val="auto"/>
          <w:kern w:val="2"/>
          <w:sz w:val="24"/>
          <w:szCs w:val="24"/>
          <w:highlight w:val="none"/>
          <w:u w:val="none"/>
          <w:lang w:bidi="ar"/>
        </w:rPr>
        <w:t>％进行核算</w:t>
      </w:r>
      <w:r>
        <w:rPr>
          <w:rFonts w:hint="default" w:ascii="Times New Roman" w:hAnsi="Times New Roman" w:cs="Times New Roman"/>
          <w:color w:val="auto"/>
          <w:kern w:val="2"/>
          <w:sz w:val="24"/>
          <w:szCs w:val="24"/>
          <w:highlight w:val="none"/>
          <w:u w:val="none"/>
          <w:lang w:val="en-US" w:eastAsia="zh-CN" w:bidi="ar"/>
        </w:rPr>
        <w:t>。</w:t>
      </w:r>
    </w:p>
    <w:p w14:paraId="26A1BC03">
      <w:pPr>
        <w:shd w:val="clear"/>
        <w:spacing w:line="440" w:lineRule="exact"/>
        <w:ind w:firstLine="480" w:firstLineChars="200"/>
        <w:jc w:val="both"/>
        <w:rPr>
          <w:rFonts w:hint="default" w:ascii="Times New Roman" w:hAnsi="Times New Roman" w:cs="Times New Roman"/>
          <w:color w:val="auto"/>
          <w:kern w:val="2"/>
          <w:sz w:val="24"/>
          <w:szCs w:val="24"/>
          <w:highlight w:val="none"/>
          <w:u w:val="none"/>
          <w:lang w:eastAsia="zh-CN" w:bidi="ar"/>
        </w:rPr>
      </w:pPr>
      <w:r>
        <w:rPr>
          <w:rFonts w:hint="default" w:ascii="Times New Roman" w:hAnsi="Times New Roman" w:cs="Times New Roman"/>
          <w:color w:val="auto"/>
          <w:kern w:val="2"/>
          <w:sz w:val="24"/>
          <w:szCs w:val="24"/>
          <w:highlight w:val="none"/>
          <w:u w:val="none"/>
          <w:lang w:bidi="ar"/>
        </w:rPr>
        <w:t>第二标段：按期对</w:t>
      </w:r>
      <w:r>
        <w:rPr>
          <w:rFonts w:hint="eastAsia" w:cs="Times New Roman"/>
          <w:color w:val="auto"/>
          <w:kern w:val="2"/>
          <w:sz w:val="24"/>
          <w:szCs w:val="24"/>
          <w:highlight w:val="none"/>
          <w:u w:val="none"/>
          <w:lang w:eastAsia="zh-CN" w:bidi="ar"/>
        </w:rPr>
        <w:t>中标供应商</w:t>
      </w:r>
      <w:r>
        <w:rPr>
          <w:rFonts w:hint="default" w:ascii="Times New Roman" w:hAnsi="Times New Roman" w:cs="Times New Roman"/>
          <w:color w:val="auto"/>
          <w:kern w:val="2"/>
          <w:sz w:val="24"/>
          <w:szCs w:val="24"/>
          <w:highlight w:val="none"/>
          <w:u w:val="none"/>
          <w:lang w:bidi="ar"/>
        </w:rPr>
        <w:t>食材消耗（含调味品）占每期收入</w:t>
      </w:r>
      <w:r>
        <w:rPr>
          <w:rFonts w:hint="default" w:ascii="Times New Roman" w:hAnsi="Times New Roman" w:cs="Times New Roman"/>
          <w:color w:val="auto"/>
          <w:kern w:val="2"/>
          <w:sz w:val="24"/>
          <w:szCs w:val="24"/>
          <w:highlight w:val="none"/>
          <w:u w:val="none"/>
          <w:lang w:val="en-US" w:eastAsia="zh-CN" w:bidi="ar"/>
        </w:rPr>
        <w:t>2</w:t>
      </w:r>
      <w:r>
        <w:rPr>
          <w:rFonts w:hint="eastAsia" w:cs="Times New Roman"/>
          <w:color w:val="auto"/>
          <w:kern w:val="2"/>
          <w:sz w:val="24"/>
          <w:szCs w:val="24"/>
          <w:highlight w:val="none"/>
          <w:u w:val="none"/>
          <w:lang w:val="en-US" w:eastAsia="zh-CN" w:bidi="ar"/>
        </w:rPr>
        <w:t>3.5</w:t>
      </w:r>
      <w:r>
        <w:rPr>
          <w:rFonts w:hint="default" w:ascii="Times New Roman" w:hAnsi="Times New Roman" w:cs="Times New Roman"/>
          <w:color w:val="auto"/>
          <w:kern w:val="2"/>
          <w:sz w:val="24"/>
          <w:szCs w:val="24"/>
          <w:highlight w:val="none"/>
          <w:u w:val="none"/>
          <w:lang w:val="en-US" w:eastAsia="zh-CN" w:bidi="ar"/>
        </w:rPr>
        <w:t>%（预计）</w:t>
      </w:r>
      <w:r>
        <w:rPr>
          <w:rFonts w:hint="default" w:ascii="Times New Roman" w:hAnsi="Times New Roman" w:cs="Times New Roman"/>
          <w:color w:val="auto"/>
          <w:kern w:val="2"/>
          <w:sz w:val="24"/>
          <w:szCs w:val="24"/>
          <w:highlight w:val="none"/>
          <w:u w:val="none"/>
          <w:lang w:bidi="ar"/>
        </w:rPr>
        <w:t>的指标进行核算，超出部分在采购人支付给中标</w:t>
      </w:r>
      <w:r>
        <w:rPr>
          <w:rFonts w:hint="eastAsia" w:cs="Times New Roman"/>
          <w:color w:val="auto"/>
          <w:kern w:val="2"/>
          <w:sz w:val="24"/>
          <w:szCs w:val="24"/>
          <w:highlight w:val="none"/>
          <w:u w:val="none"/>
          <w:lang w:eastAsia="zh-CN" w:bidi="ar"/>
        </w:rPr>
        <w:t>供应商</w:t>
      </w:r>
      <w:r>
        <w:rPr>
          <w:rFonts w:hint="default" w:ascii="Times New Roman" w:hAnsi="Times New Roman" w:cs="Times New Roman"/>
          <w:color w:val="auto"/>
          <w:kern w:val="2"/>
          <w:sz w:val="24"/>
          <w:szCs w:val="24"/>
          <w:highlight w:val="none"/>
          <w:u w:val="none"/>
          <w:lang w:bidi="ar"/>
        </w:rPr>
        <w:t>的餐饮服务费中扣除，低于的则按每期收入</w:t>
      </w:r>
      <w:r>
        <w:rPr>
          <w:rFonts w:hint="default" w:ascii="Times New Roman" w:hAnsi="Times New Roman" w:cs="Times New Roman"/>
          <w:color w:val="auto"/>
          <w:kern w:val="2"/>
          <w:sz w:val="24"/>
          <w:szCs w:val="24"/>
          <w:highlight w:val="none"/>
          <w:u w:val="none"/>
          <w:lang w:val="en-US" w:eastAsia="zh-CN" w:bidi="ar"/>
        </w:rPr>
        <w:t>2</w:t>
      </w:r>
      <w:r>
        <w:rPr>
          <w:rFonts w:hint="eastAsia" w:cs="Times New Roman"/>
          <w:color w:val="auto"/>
          <w:kern w:val="2"/>
          <w:sz w:val="24"/>
          <w:szCs w:val="24"/>
          <w:highlight w:val="none"/>
          <w:u w:val="none"/>
          <w:lang w:val="en-US" w:eastAsia="zh-CN" w:bidi="ar"/>
        </w:rPr>
        <w:t>3.5</w:t>
      </w:r>
      <w:r>
        <w:rPr>
          <w:rFonts w:hint="default" w:ascii="Times New Roman" w:hAnsi="Times New Roman" w:cs="Times New Roman"/>
          <w:color w:val="auto"/>
          <w:kern w:val="2"/>
          <w:sz w:val="24"/>
          <w:szCs w:val="24"/>
          <w:highlight w:val="none"/>
          <w:u w:val="none"/>
          <w:lang w:val="en-US" w:eastAsia="zh-CN" w:bidi="ar"/>
        </w:rPr>
        <w:t>%（预计</w:t>
      </w:r>
      <w:r>
        <w:rPr>
          <w:rFonts w:hint="eastAsia" w:cs="Times New Roman"/>
          <w:color w:val="auto"/>
          <w:kern w:val="2"/>
          <w:sz w:val="24"/>
          <w:szCs w:val="24"/>
          <w:highlight w:val="none"/>
          <w:u w:val="none"/>
          <w:lang w:val="en-US" w:eastAsia="zh-CN" w:bidi="ar"/>
        </w:rPr>
        <w:t>）</w:t>
      </w:r>
      <w:r>
        <w:rPr>
          <w:rFonts w:hint="default" w:ascii="Times New Roman" w:hAnsi="Times New Roman" w:cs="Times New Roman"/>
          <w:color w:val="auto"/>
          <w:kern w:val="2"/>
          <w:sz w:val="24"/>
          <w:szCs w:val="24"/>
          <w:highlight w:val="none"/>
          <w:u w:val="none"/>
          <w:lang w:bidi="ar"/>
        </w:rPr>
        <w:t>进行核算</w:t>
      </w:r>
      <w:r>
        <w:rPr>
          <w:rFonts w:hint="default" w:ascii="Times New Roman" w:hAnsi="Times New Roman" w:cs="Times New Roman"/>
          <w:color w:val="auto"/>
          <w:kern w:val="2"/>
          <w:sz w:val="24"/>
          <w:szCs w:val="24"/>
          <w:highlight w:val="none"/>
          <w:u w:val="none"/>
          <w:lang w:eastAsia="zh-CN" w:bidi="ar"/>
        </w:rPr>
        <w:t>；</w:t>
      </w:r>
      <w:r>
        <w:rPr>
          <w:rFonts w:hint="default" w:ascii="Times New Roman" w:hAnsi="Times New Roman" w:cs="Times New Roman"/>
          <w:color w:val="auto"/>
          <w:kern w:val="2"/>
          <w:sz w:val="24"/>
          <w:szCs w:val="24"/>
          <w:highlight w:val="none"/>
          <w:u w:val="none"/>
          <w:lang w:bidi="ar"/>
        </w:rPr>
        <w:t>按期对</w:t>
      </w:r>
      <w:r>
        <w:rPr>
          <w:rFonts w:hint="default" w:ascii="Times New Roman" w:hAnsi="Times New Roman" w:cs="Times New Roman"/>
          <w:color w:val="auto"/>
          <w:kern w:val="2"/>
          <w:sz w:val="24"/>
          <w:szCs w:val="24"/>
          <w:highlight w:val="none"/>
          <w:u w:val="none"/>
          <w:lang w:val="en-US" w:eastAsia="zh-CN" w:bidi="ar"/>
        </w:rPr>
        <w:t>其他</w:t>
      </w:r>
      <w:r>
        <w:rPr>
          <w:rFonts w:hint="default" w:ascii="Times New Roman" w:hAnsi="Times New Roman" w:cs="Times New Roman"/>
          <w:color w:val="auto"/>
          <w:kern w:val="2"/>
          <w:sz w:val="24"/>
          <w:szCs w:val="24"/>
          <w:highlight w:val="none"/>
          <w:u w:val="none"/>
          <w:lang w:bidi="ar"/>
        </w:rPr>
        <w:t>消耗占每期收入</w:t>
      </w:r>
      <w:r>
        <w:rPr>
          <w:rFonts w:hint="default" w:ascii="Times New Roman" w:hAnsi="Times New Roman" w:cs="Times New Roman"/>
          <w:color w:val="auto"/>
          <w:kern w:val="2"/>
          <w:sz w:val="24"/>
          <w:szCs w:val="24"/>
          <w:highlight w:val="none"/>
          <w:u w:val="none"/>
          <w:lang w:val="en-US" w:eastAsia="zh-CN" w:bidi="ar"/>
        </w:rPr>
        <w:t>13</w:t>
      </w:r>
      <w:r>
        <w:rPr>
          <w:rFonts w:hint="default" w:ascii="Times New Roman" w:hAnsi="Times New Roman" w:cs="Times New Roman"/>
          <w:color w:val="auto"/>
          <w:kern w:val="2"/>
          <w:sz w:val="24"/>
          <w:szCs w:val="24"/>
          <w:highlight w:val="none"/>
          <w:u w:val="none"/>
          <w:lang w:bidi="ar"/>
        </w:rPr>
        <w:t>％的指标进行核算，超出部分在采购人支付给</w:t>
      </w:r>
      <w:r>
        <w:rPr>
          <w:rFonts w:hint="eastAsia" w:cs="Times New Roman"/>
          <w:color w:val="auto"/>
          <w:kern w:val="2"/>
          <w:sz w:val="24"/>
          <w:szCs w:val="24"/>
          <w:highlight w:val="none"/>
          <w:u w:val="none"/>
          <w:lang w:eastAsia="zh-CN" w:bidi="ar"/>
        </w:rPr>
        <w:t>中标供应商</w:t>
      </w:r>
      <w:r>
        <w:rPr>
          <w:rFonts w:hint="default" w:ascii="Times New Roman" w:hAnsi="Times New Roman" w:cs="Times New Roman"/>
          <w:color w:val="auto"/>
          <w:kern w:val="2"/>
          <w:sz w:val="24"/>
          <w:szCs w:val="24"/>
          <w:highlight w:val="none"/>
          <w:u w:val="none"/>
          <w:lang w:bidi="ar"/>
        </w:rPr>
        <w:t>的餐饮服务费中扣除，低于的则按每期收入的</w:t>
      </w:r>
      <w:r>
        <w:rPr>
          <w:rFonts w:hint="default" w:ascii="Times New Roman" w:hAnsi="Times New Roman" w:cs="Times New Roman"/>
          <w:color w:val="auto"/>
          <w:kern w:val="2"/>
          <w:sz w:val="24"/>
          <w:szCs w:val="24"/>
          <w:highlight w:val="none"/>
          <w:u w:val="none"/>
          <w:lang w:val="en-US" w:eastAsia="zh-CN" w:bidi="ar"/>
        </w:rPr>
        <w:t>13</w:t>
      </w:r>
      <w:r>
        <w:rPr>
          <w:rFonts w:hint="default" w:ascii="Times New Roman" w:hAnsi="Times New Roman" w:cs="Times New Roman"/>
          <w:color w:val="auto"/>
          <w:kern w:val="2"/>
          <w:sz w:val="24"/>
          <w:szCs w:val="24"/>
          <w:highlight w:val="none"/>
          <w:u w:val="none"/>
          <w:lang w:bidi="ar"/>
        </w:rPr>
        <w:t>％进行核算</w:t>
      </w:r>
      <w:r>
        <w:rPr>
          <w:rFonts w:hint="default" w:ascii="Times New Roman" w:hAnsi="Times New Roman" w:cs="Times New Roman"/>
          <w:color w:val="auto"/>
          <w:kern w:val="2"/>
          <w:sz w:val="24"/>
          <w:szCs w:val="24"/>
          <w:highlight w:val="none"/>
          <w:u w:val="none"/>
          <w:lang w:eastAsia="zh-CN" w:bidi="ar"/>
        </w:rPr>
        <w:t>。</w:t>
      </w:r>
    </w:p>
    <w:p w14:paraId="2B03F2AA">
      <w:pPr>
        <w:shd w:val="clear"/>
        <w:spacing w:line="440" w:lineRule="exact"/>
        <w:ind w:firstLine="480" w:firstLineChars="200"/>
        <w:jc w:val="both"/>
        <w:rPr>
          <w:rFonts w:hint="default" w:ascii="Times New Roman" w:hAnsi="Times New Roman" w:eastAsia="宋体" w:cs="Times New Roman"/>
          <w:color w:val="auto"/>
          <w:kern w:val="2"/>
          <w:sz w:val="24"/>
          <w:szCs w:val="24"/>
          <w:highlight w:val="none"/>
          <w:u w:val="none"/>
          <w:lang w:eastAsia="zh-CN" w:bidi="ar"/>
        </w:rPr>
      </w:pPr>
      <w:r>
        <w:rPr>
          <w:rFonts w:hint="default" w:ascii="Times New Roman" w:hAnsi="Times New Roman" w:cs="Times New Roman"/>
          <w:color w:val="auto"/>
          <w:kern w:val="2"/>
          <w:sz w:val="24"/>
          <w:szCs w:val="24"/>
          <w:highlight w:val="none"/>
          <w:u w:val="none"/>
          <w:lang w:bidi="ar"/>
        </w:rPr>
        <w:t>第</w:t>
      </w:r>
      <w:r>
        <w:rPr>
          <w:rFonts w:hint="default" w:ascii="Times New Roman" w:hAnsi="Times New Roman" w:cs="Times New Roman"/>
          <w:color w:val="auto"/>
          <w:kern w:val="2"/>
          <w:sz w:val="24"/>
          <w:szCs w:val="24"/>
          <w:highlight w:val="none"/>
          <w:u w:val="none"/>
          <w:lang w:eastAsia="zh-CN" w:bidi="ar"/>
        </w:rPr>
        <w:t>三</w:t>
      </w:r>
      <w:r>
        <w:rPr>
          <w:rFonts w:hint="default" w:ascii="Times New Roman" w:hAnsi="Times New Roman" w:cs="Times New Roman"/>
          <w:color w:val="auto"/>
          <w:kern w:val="2"/>
          <w:sz w:val="24"/>
          <w:szCs w:val="24"/>
          <w:highlight w:val="none"/>
          <w:u w:val="none"/>
          <w:lang w:bidi="ar"/>
        </w:rPr>
        <w:t>标段：按期对</w:t>
      </w:r>
      <w:r>
        <w:rPr>
          <w:rFonts w:hint="eastAsia" w:cs="Times New Roman"/>
          <w:color w:val="auto"/>
          <w:kern w:val="2"/>
          <w:sz w:val="24"/>
          <w:szCs w:val="24"/>
          <w:highlight w:val="none"/>
          <w:u w:val="none"/>
          <w:lang w:eastAsia="zh-CN" w:bidi="ar"/>
        </w:rPr>
        <w:t>中标供应商</w:t>
      </w:r>
      <w:r>
        <w:rPr>
          <w:rFonts w:hint="default" w:ascii="Times New Roman" w:hAnsi="Times New Roman" w:cs="Times New Roman"/>
          <w:color w:val="auto"/>
          <w:kern w:val="2"/>
          <w:sz w:val="24"/>
          <w:szCs w:val="24"/>
          <w:highlight w:val="none"/>
          <w:u w:val="none"/>
          <w:lang w:bidi="ar"/>
        </w:rPr>
        <w:t>食材消耗（含调味品）占每期收入</w:t>
      </w:r>
      <w:r>
        <w:rPr>
          <w:rFonts w:hint="default" w:ascii="Times New Roman" w:hAnsi="Times New Roman" w:cs="Times New Roman"/>
          <w:color w:val="auto"/>
          <w:kern w:val="2"/>
          <w:sz w:val="24"/>
          <w:szCs w:val="24"/>
          <w:highlight w:val="none"/>
          <w:u w:val="none"/>
          <w:lang w:val="en-US" w:eastAsia="zh-CN" w:bidi="ar"/>
        </w:rPr>
        <w:t>40%（预计）</w:t>
      </w:r>
      <w:r>
        <w:rPr>
          <w:rFonts w:hint="default" w:ascii="Times New Roman" w:hAnsi="Times New Roman" w:cs="Times New Roman"/>
          <w:color w:val="auto"/>
          <w:kern w:val="2"/>
          <w:sz w:val="24"/>
          <w:szCs w:val="24"/>
          <w:highlight w:val="none"/>
          <w:u w:val="none"/>
          <w:lang w:bidi="ar"/>
        </w:rPr>
        <w:t>的指标进行核算，超出部分在采购人支付给</w:t>
      </w:r>
      <w:r>
        <w:rPr>
          <w:rFonts w:hint="eastAsia" w:cs="Times New Roman"/>
          <w:color w:val="auto"/>
          <w:kern w:val="2"/>
          <w:sz w:val="24"/>
          <w:szCs w:val="24"/>
          <w:highlight w:val="none"/>
          <w:u w:val="none"/>
          <w:lang w:eastAsia="zh-CN" w:bidi="ar"/>
        </w:rPr>
        <w:t>中标供应商</w:t>
      </w:r>
      <w:r>
        <w:rPr>
          <w:rFonts w:hint="default" w:ascii="Times New Roman" w:hAnsi="Times New Roman" w:cs="Times New Roman"/>
          <w:color w:val="auto"/>
          <w:kern w:val="2"/>
          <w:sz w:val="24"/>
          <w:szCs w:val="24"/>
          <w:highlight w:val="none"/>
          <w:u w:val="none"/>
          <w:lang w:bidi="ar"/>
        </w:rPr>
        <w:t>的餐饮服务费中扣除，低于的则按每期收入</w:t>
      </w:r>
      <w:r>
        <w:rPr>
          <w:rFonts w:hint="default" w:ascii="Times New Roman" w:hAnsi="Times New Roman" w:cs="Times New Roman"/>
          <w:color w:val="auto"/>
          <w:kern w:val="2"/>
          <w:sz w:val="24"/>
          <w:szCs w:val="24"/>
          <w:highlight w:val="none"/>
          <w:u w:val="none"/>
          <w:lang w:val="en-US" w:eastAsia="zh-CN" w:bidi="ar"/>
        </w:rPr>
        <w:t>40%（预计）</w:t>
      </w:r>
      <w:r>
        <w:rPr>
          <w:rFonts w:hint="default" w:ascii="Times New Roman" w:hAnsi="Times New Roman" w:cs="Times New Roman"/>
          <w:color w:val="auto"/>
          <w:kern w:val="2"/>
          <w:sz w:val="24"/>
          <w:szCs w:val="24"/>
          <w:highlight w:val="none"/>
          <w:u w:val="none"/>
          <w:lang w:bidi="ar"/>
        </w:rPr>
        <w:t>的进行核算</w:t>
      </w:r>
      <w:r>
        <w:rPr>
          <w:rFonts w:hint="default" w:ascii="Times New Roman" w:hAnsi="Times New Roman" w:cs="Times New Roman"/>
          <w:color w:val="auto"/>
          <w:kern w:val="2"/>
          <w:sz w:val="24"/>
          <w:szCs w:val="24"/>
          <w:highlight w:val="none"/>
          <w:u w:val="none"/>
          <w:lang w:eastAsia="zh-CN" w:bidi="ar"/>
        </w:rPr>
        <w:t>；</w:t>
      </w:r>
      <w:r>
        <w:rPr>
          <w:rFonts w:hint="default" w:ascii="Times New Roman" w:hAnsi="Times New Roman" w:cs="Times New Roman"/>
          <w:color w:val="auto"/>
          <w:kern w:val="2"/>
          <w:sz w:val="24"/>
          <w:szCs w:val="24"/>
          <w:highlight w:val="none"/>
          <w:u w:val="none"/>
          <w:lang w:bidi="ar"/>
        </w:rPr>
        <w:t>按期对</w:t>
      </w:r>
      <w:r>
        <w:rPr>
          <w:rFonts w:hint="default" w:ascii="Times New Roman" w:hAnsi="Times New Roman" w:cs="Times New Roman"/>
          <w:color w:val="auto"/>
          <w:kern w:val="2"/>
          <w:sz w:val="24"/>
          <w:szCs w:val="24"/>
          <w:highlight w:val="none"/>
          <w:u w:val="none"/>
          <w:lang w:val="en-US" w:eastAsia="zh-CN" w:bidi="ar"/>
        </w:rPr>
        <w:t>其他</w:t>
      </w:r>
      <w:r>
        <w:rPr>
          <w:rFonts w:hint="default" w:ascii="Times New Roman" w:hAnsi="Times New Roman" w:cs="Times New Roman"/>
          <w:color w:val="auto"/>
          <w:kern w:val="2"/>
          <w:sz w:val="24"/>
          <w:szCs w:val="24"/>
          <w:highlight w:val="none"/>
          <w:u w:val="none"/>
          <w:lang w:bidi="ar"/>
        </w:rPr>
        <w:t>消耗占每期收入</w:t>
      </w:r>
      <w:r>
        <w:rPr>
          <w:rFonts w:hint="default" w:ascii="Times New Roman" w:hAnsi="Times New Roman" w:cs="Times New Roman"/>
          <w:color w:val="auto"/>
          <w:kern w:val="2"/>
          <w:sz w:val="24"/>
          <w:szCs w:val="24"/>
          <w:highlight w:val="none"/>
          <w:u w:val="none"/>
          <w:lang w:val="en-US" w:eastAsia="zh-CN" w:bidi="ar"/>
        </w:rPr>
        <w:t>8</w:t>
      </w:r>
      <w:r>
        <w:rPr>
          <w:rFonts w:hint="default" w:ascii="Times New Roman" w:hAnsi="Times New Roman" w:cs="Times New Roman"/>
          <w:color w:val="auto"/>
          <w:kern w:val="2"/>
          <w:sz w:val="24"/>
          <w:szCs w:val="24"/>
          <w:highlight w:val="none"/>
          <w:u w:val="none"/>
          <w:lang w:bidi="ar"/>
        </w:rPr>
        <w:t>％的指标进行核算，超出部分在采购人支付给</w:t>
      </w:r>
      <w:r>
        <w:rPr>
          <w:rFonts w:hint="eastAsia" w:cs="Times New Roman"/>
          <w:color w:val="auto"/>
          <w:kern w:val="2"/>
          <w:sz w:val="24"/>
          <w:szCs w:val="24"/>
          <w:highlight w:val="none"/>
          <w:u w:val="none"/>
          <w:lang w:eastAsia="zh-CN" w:bidi="ar"/>
        </w:rPr>
        <w:t>中标供应商</w:t>
      </w:r>
      <w:r>
        <w:rPr>
          <w:rFonts w:hint="default" w:ascii="Times New Roman" w:hAnsi="Times New Roman" w:cs="Times New Roman"/>
          <w:color w:val="auto"/>
          <w:kern w:val="2"/>
          <w:sz w:val="24"/>
          <w:szCs w:val="24"/>
          <w:highlight w:val="none"/>
          <w:u w:val="none"/>
          <w:lang w:bidi="ar"/>
        </w:rPr>
        <w:t>的餐饮服务费中扣除，低于的则按每期收入的</w:t>
      </w:r>
      <w:r>
        <w:rPr>
          <w:rFonts w:hint="default" w:ascii="Times New Roman" w:hAnsi="Times New Roman" w:cs="Times New Roman"/>
          <w:color w:val="auto"/>
          <w:kern w:val="2"/>
          <w:sz w:val="24"/>
          <w:szCs w:val="24"/>
          <w:highlight w:val="none"/>
          <w:u w:val="none"/>
          <w:lang w:val="en-US" w:eastAsia="zh-CN" w:bidi="ar"/>
        </w:rPr>
        <w:t>8</w:t>
      </w:r>
      <w:r>
        <w:rPr>
          <w:rFonts w:hint="default" w:ascii="Times New Roman" w:hAnsi="Times New Roman" w:cs="Times New Roman"/>
          <w:color w:val="auto"/>
          <w:kern w:val="2"/>
          <w:sz w:val="24"/>
          <w:szCs w:val="24"/>
          <w:highlight w:val="none"/>
          <w:u w:val="none"/>
          <w:lang w:bidi="ar"/>
        </w:rPr>
        <w:t>％进行核算</w:t>
      </w:r>
      <w:r>
        <w:rPr>
          <w:rFonts w:hint="default" w:ascii="Times New Roman" w:hAnsi="Times New Roman" w:cs="Times New Roman"/>
          <w:color w:val="auto"/>
          <w:kern w:val="2"/>
          <w:sz w:val="24"/>
          <w:szCs w:val="24"/>
          <w:highlight w:val="none"/>
          <w:u w:val="none"/>
          <w:lang w:eastAsia="zh-CN" w:bidi="ar"/>
        </w:rPr>
        <w:t>。</w:t>
      </w:r>
    </w:p>
    <w:p w14:paraId="4A1A2ED9">
      <w:pPr>
        <w:shd w:val="clear"/>
        <w:spacing w:line="440" w:lineRule="exact"/>
        <w:ind w:firstLine="480" w:firstLineChars="200"/>
        <w:jc w:val="both"/>
        <w:rPr>
          <w:rFonts w:hint="default" w:ascii="Times New Roman" w:hAnsi="Times New Roman" w:cs="Times New Roman"/>
          <w:color w:val="auto"/>
          <w:sz w:val="24"/>
          <w:szCs w:val="24"/>
          <w:highlight w:val="none"/>
          <w:u w:val="none"/>
        </w:rPr>
      </w:pPr>
      <w:r>
        <w:rPr>
          <w:rFonts w:hint="default" w:ascii="Times New Roman" w:hAnsi="Times New Roman" w:cs="Times New Roman"/>
          <w:color w:val="auto"/>
          <w:kern w:val="2"/>
          <w:sz w:val="24"/>
          <w:szCs w:val="24"/>
          <w:highlight w:val="none"/>
          <w:u w:val="none"/>
          <w:lang w:bidi="ar"/>
        </w:rPr>
        <w:t>5.餐饮服务费支付</w:t>
      </w:r>
    </w:p>
    <w:p w14:paraId="28E04F06">
      <w:pPr>
        <w:shd w:val="clear"/>
        <w:spacing w:line="440" w:lineRule="exact"/>
        <w:ind w:firstLine="480" w:firstLineChars="200"/>
        <w:jc w:val="both"/>
        <w:rPr>
          <w:rFonts w:hint="default" w:ascii="Times New Roman" w:hAnsi="Times New Roman" w:eastAsia="仿宋_GB2312" w:cs="Times New Roman"/>
          <w:color w:val="auto"/>
          <w:sz w:val="24"/>
          <w:szCs w:val="24"/>
          <w:highlight w:val="none"/>
          <w:u w:val="none"/>
        </w:rPr>
      </w:pPr>
      <w:r>
        <w:rPr>
          <w:rFonts w:hint="default" w:ascii="Times New Roman" w:hAnsi="Times New Roman" w:cs="Times New Roman"/>
          <w:color w:val="auto"/>
          <w:kern w:val="2"/>
          <w:sz w:val="24"/>
          <w:szCs w:val="24"/>
          <w:highlight w:val="none"/>
          <w:u w:val="none"/>
          <w:lang w:bidi="ar"/>
        </w:rPr>
        <w:t>第一标段：餐饮服务费是以当期总收入乘以中标时自报餐饮服务支付比例，减去食材消耗（含调味品）占比上限占每期收入比例高于</w:t>
      </w:r>
      <w:r>
        <w:rPr>
          <w:rFonts w:hint="default" w:ascii="Times New Roman" w:hAnsi="Times New Roman" w:cs="Times New Roman"/>
          <w:color w:val="auto"/>
          <w:kern w:val="2"/>
          <w:sz w:val="24"/>
          <w:szCs w:val="24"/>
          <w:highlight w:val="none"/>
          <w:u w:val="none"/>
          <w:lang w:val="en-US" w:eastAsia="zh-CN" w:bidi="ar"/>
        </w:rPr>
        <w:t>35%（预计）</w:t>
      </w:r>
      <w:r>
        <w:rPr>
          <w:rFonts w:hint="default" w:ascii="Times New Roman" w:hAnsi="Times New Roman" w:cs="Times New Roman"/>
          <w:color w:val="auto"/>
          <w:kern w:val="2"/>
          <w:sz w:val="24"/>
          <w:szCs w:val="24"/>
          <w:highlight w:val="none"/>
          <w:u w:val="none"/>
          <w:lang w:bidi="ar"/>
        </w:rPr>
        <w:t>部分，减去</w:t>
      </w:r>
      <w:r>
        <w:rPr>
          <w:rFonts w:hint="default" w:ascii="Times New Roman" w:hAnsi="Times New Roman" w:cs="Times New Roman"/>
          <w:color w:val="auto"/>
          <w:kern w:val="2"/>
          <w:sz w:val="24"/>
          <w:szCs w:val="24"/>
          <w:highlight w:val="none"/>
          <w:u w:val="none"/>
          <w:lang w:val="en-US" w:eastAsia="zh-CN" w:bidi="ar"/>
        </w:rPr>
        <w:t>其他</w:t>
      </w:r>
      <w:r>
        <w:rPr>
          <w:rFonts w:hint="default" w:ascii="Times New Roman" w:hAnsi="Times New Roman" w:cs="Times New Roman"/>
          <w:color w:val="auto"/>
          <w:kern w:val="2"/>
          <w:sz w:val="24"/>
          <w:szCs w:val="24"/>
          <w:highlight w:val="none"/>
          <w:u w:val="none"/>
          <w:lang w:bidi="ar"/>
        </w:rPr>
        <w:t>消耗占每期收入比例高于</w:t>
      </w:r>
      <w:r>
        <w:rPr>
          <w:rFonts w:hint="default" w:ascii="Times New Roman" w:hAnsi="Times New Roman" w:cs="Times New Roman"/>
          <w:color w:val="auto"/>
          <w:kern w:val="2"/>
          <w:sz w:val="24"/>
          <w:szCs w:val="24"/>
          <w:highlight w:val="none"/>
          <w:u w:val="none"/>
          <w:lang w:val="en-US" w:eastAsia="zh-CN" w:bidi="ar"/>
        </w:rPr>
        <w:t>14</w:t>
      </w:r>
      <w:r>
        <w:rPr>
          <w:rFonts w:hint="default" w:ascii="Times New Roman" w:hAnsi="Times New Roman" w:cs="Times New Roman"/>
          <w:color w:val="auto"/>
          <w:kern w:val="2"/>
          <w:sz w:val="24"/>
          <w:szCs w:val="24"/>
          <w:highlight w:val="none"/>
          <w:u w:val="none"/>
          <w:lang w:bidi="ar"/>
        </w:rPr>
        <w:t>％部分，等于实际支付的餐饮服务费用（含税）。</w:t>
      </w:r>
    </w:p>
    <w:p w14:paraId="1C618B99">
      <w:pPr>
        <w:shd w:val="clear"/>
        <w:spacing w:line="440" w:lineRule="exact"/>
        <w:ind w:firstLine="480" w:firstLineChars="200"/>
        <w:jc w:val="both"/>
        <w:rPr>
          <w:rFonts w:hint="default" w:ascii="Times New Roman" w:hAnsi="Times New Roman" w:cs="Times New Roman"/>
          <w:color w:val="auto"/>
          <w:kern w:val="2"/>
          <w:sz w:val="24"/>
          <w:szCs w:val="24"/>
          <w:highlight w:val="none"/>
          <w:u w:val="none"/>
          <w:lang w:bidi="ar"/>
        </w:rPr>
      </w:pPr>
      <w:r>
        <w:rPr>
          <w:rFonts w:hint="default" w:ascii="Times New Roman" w:hAnsi="Times New Roman" w:cs="Times New Roman"/>
          <w:color w:val="auto"/>
          <w:kern w:val="2"/>
          <w:sz w:val="24"/>
          <w:szCs w:val="24"/>
          <w:highlight w:val="none"/>
          <w:u w:val="none"/>
          <w:lang w:bidi="ar"/>
        </w:rPr>
        <w:t>第</w:t>
      </w:r>
      <w:r>
        <w:rPr>
          <w:rFonts w:hint="default" w:ascii="Times New Roman" w:hAnsi="Times New Roman" w:cs="Times New Roman"/>
          <w:color w:val="auto"/>
          <w:kern w:val="2"/>
          <w:sz w:val="24"/>
          <w:szCs w:val="24"/>
          <w:highlight w:val="none"/>
          <w:u w:val="none"/>
          <w:lang w:val="en-US" w:eastAsia="zh-CN" w:bidi="ar"/>
        </w:rPr>
        <w:t>二</w:t>
      </w:r>
      <w:r>
        <w:rPr>
          <w:rFonts w:hint="default" w:ascii="Times New Roman" w:hAnsi="Times New Roman" w:cs="Times New Roman"/>
          <w:color w:val="auto"/>
          <w:kern w:val="2"/>
          <w:sz w:val="24"/>
          <w:szCs w:val="24"/>
          <w:highlight w:val="none"/>
          <w:u w:val="none"/>
          <w:lang w:bidi="ar"/>
        </w:rPr>
        <w:t>标段：餐饮服务费是以当期总收入乘以中标时自报餐饮服务支付比例，减去食材消耗（含调味品）占比上限占每期收入比例高于</w:t>
      </w:r>
      <w:r>
        <w:rPr>
          <w:rFonts w:hint="default" w:ascii="Times New Roman" w:hAnsi="Times New Roman" w:cs="Times New Roman"/>
          <w:color w:val="auto"/>
          <w:kern w:val="2"/>
          <w:sz w:val="24"/>
          <w:szCs w:val="24"/>
          <w:highlight w:val="none"/>
          <w:u w:val="none"/>
          <w:lang w:val="en-US" w:eastAsia="zh-CN" w:bidi="ar"/>
        </w:rPr>
        <w:t>2</w:t>
      </w:r>
      <w:r>
        <w:rPr>
          <w:rFonts w:hint="eastAsia" w:cs="Times New Roman"/>
          <w:color w:val="auto"/>
          <w:kern w:val="2"/>
          <w:sz w:val="24"/>
          <w:szCs w:val="24"/>
          <w:highlight w:val="none"/>
          <w:u w:val="none"/>
          <w:lang w:val="en-US" w:eastAsia="zh-CN" w:bidi="ar"/>
        </w:rPr>
        <w:t>3.5</w:t>
      </w:r>
      <w:r>
        <w:rPr>
          <w:rFonts w:hint="default" w:ascii="Times New Roman" w:hAnsi="Times New Roman" w:cs="Times New Roman"/>
          <w:color w:val="auto"/>
          <w:kern w:val="2"/>
          <w:sz w:val="24"/>
          <w:szCs w:val="24"/>
          <w:highlight w:val="none"/>
          <w:u w:val="none"/>
          <w:lang w:val="en-US" w:eastAsia="zh-CN" w:bidi="ar"/>
        </w:rPr>
        <w:t>%（预计）</w:t>
      </w:r>
      <w:r>
        <w:rPr>
          <w:rFonts w:hint="default" w:ascii="Times New Roman" w:hAnsi="Times New Roman" w:cs="Times New Roman"/>
          <w:color w:val="auto"/>
          <w:kern w:val="2"/>
          <w:sz w:val="24"/>
          <w:szCs w:val="24"/>
          <w:highlight w:val="none"/>
          <w:u w:val="none"/>
          <w:lang w:bidi="ar"/>
        </w:rPr>
        <w:t>部分，减去</w:t>
      </w:r>
      <w:r>
        <w:rPr>
          <w:rFonts w:hint="default" w:ascii="Times New Roman" w:hAnsi="Times New Roman" w:cs="Times New Roman"/>
          <w:color w:val="auto"/>
          <w:kern w:val="2"/>
          <w:sz w:val="24"/>
          <w:szCs w:val="24"/>
          <w:highlight w:val="none"/>
          <w:u w:val="none"/>
          <w:lang w:val="en-US" w:eastAsia="zh-CN" w:bidi="ar"/>
        </w:rPr>
        <w:t>其他</w:t>
      </w:r>
      <w:r>
        <w:rPr>
          <w:rFonts w:hint="default" w:ascii="Times New Roman" w:hAnsi="Times New Roman" w:cs="Times New Roman"/>
          <w:color w:val="auto"/>
          <w:kern w:val="2"/>
          <w:sz w:val="24"/>
          <w:szCs w:val="24"/>
          <w:highlight w:val="none"/>
          <w:u w:val="none"/>
          <w:lang w:bidi="ar"/>
        </w:rPr>
        <w:t>消耗占每期收入比例高于</w:t>
      </w:r>
      <w:r>
        <w:rPr>
          <w:rFonts w:hint="default" w:ascii="Times New Roman" w:hAnsi="Times New Roman" w:cs="Times New Roman"/>
          <w:color w:val="auto"/>
          <w:kern w:val="2"/>
          <w:sz w:val="24"/>
          <w:szCs w:val="24"/>
          <w:highlight w:val="none"/>
          <w:u w:val="none"/>
          <w:lang w:val="en-US" w:eastAsia="zh-CN" w:bidi="ar"/>
        </w:rPr>
        <w:t>13</w:t>
      </w:r>
      <w:r>
        <w:rPr>
          <w:rFonts w:hint="default" w:ascii="Times New Roman" w:hAnsi="Times New Roman" w:cs="Times New Roman"/>
          <w:color w:val="auto"/>
          <w:kern w:val="2"/>
          <w:sz w:val="24"/>
          <w:szCs w:val="24"/>
          <w:highlight w:val="none"/>
          <w:u w:val="none"/>
          <w:lang w:bidi="ar"/>
        </w:rPr>
        <w:t>％部分，等于实际支付的餐饮服务费用（含税）。</w:t>
      </w:r>
    </w:p>
    <w:p w14:paraId="6663B7F2">
      <w:pPr>
        <w:shd w:val="clear"/>
        <w:spacing w:line="440" w:lineRule="exact"/>
        <w:ind w:firstLine="480" w:firstLineChars="200"/>
        <w:jc w:val="both"/>
        <w:rPr>
          <w:rFonts w:hint="default" w:ascii="Times New Roman" w:hAnsi="Times New Roman" w:eastAsia="仿宋_GB2312" w:cs="Times New Roman"/>
          <w:color w:val="auto"/>
          <w:sz w:val="24"/>
          <w:szCs w:val="24"/>
          <w:highlight w:val="none"/>
          <w:u w:val="none"/>
        </w:rPr>
      </w:pPr>
      <w:r>
        <w:rPr>
          <w:rFonts w:hint="default" w:ascii="Times New Roman" w:hAnsi="Times New Roman" w:cs="Times New Roman"/>
          <w:color w:val="auto"/>
          <w:kern w:val="2"/>
          <w:sz w:val="24"/>
          <w:szCs w:val="24"/>
          <w:highlight w:val="none"/>
          <w:lang w:bidi="ar"/>
        </w:rPr>
        <w:t>第</w:t>
      </w:r>
      <w:r>
        <w:rPr>
          <w:rFonts w:hint="default" w:ascii="Times New Roman" w:hAnsi="Times New Roman" w:cs="Times New Roman"/>
          <w:color w:val="auto"/>
          <w:kern w:val="2"/>
          <w:sz w:val="24"/>
          <w:szCs w:val="24"/>
          <w:highlight w:val="none"/>
          <w:lang w:val="en-US" w:eastAsia="zh-CN" w:bidi="ar"/>
        </w:rPr>
        <w:t>三</w:t>
      </w:r>
      <w:r>
        <w:rPr>
          <w:rFonts w:hint="default" w:ascii="Times New Roman" w:hAnsi="Times New Roman" w:cs="Times New Roman"/>
          <w:color w:val="auto"/>
          <w:kern w:val="2"/>
          <w:sz w:val="24"/>
          <w:szCs w:val="24"/>
          <w:highlight w:val="none"/>
          <w:lang w:bidi="ar"/>
        </w:rPr>
        <w:t>标段：餐饮服务费是以当期总收入乘以中标时自报餐饮服务支付比例，减去食材消耗（含调味品）占比上限占每期收入比例高于</w:t>
      </w:r>
      <w:r>
        <w:rPr>
          <w:rFonts w:hint="default" w:ascii="Times New Roman" w:hAnsi="Times New Roman" w:cs="Times New Roman"/>
          <w:color w:val="auto"/>
          <w:kern w:val="2"/>
          <w:sz w:val="24"/>
          <w:szCs w:val="24"/>
          <w:highlight w:val="none"/>
          <w:lang w:val="en-US" w:eastAsia="zh-CN" w:bidi="ar"/>
        </w:rPr>
        <w:t>40</w:t>
      </w:r>
      <w:r>
        <w:rPr>
          <w:rFonts w:hint="default" w:ascii="Times New Roman" w:hAnsi="Times New Roman" w:cs="Times New Roman"/>
          <w:color w:val="auto"/>
          <w:kern w:val="2"/>
          <w:sz w:val="24"/>
          <w:szCs w:val="24"/>
          <w:highlight w:val="none"/>
          <w:u w:val="none"/>
          <w:lang w:val="en-US" w:eastAsia="zh-CN" w:bidi="ar"/>
        </w:rPr>
        <w:t>%（预计）</w:t>
      </w:r>
      <w:r>
        <w:rPr>
          <w:rFonts w:hint="default" w:ascii="Times New Roman" w:hAnsi="Times New Roman" w:cs="Times New Roman"/>
          <w:color w:val="auto"/>
          <w:kern w:val="2"/>
          <w:sz w:val="24"/>
          <w:szCs w:val="24"/>
          <w:highlight w:val="none"/>
          <w:u w:val="none"/>
          <w:lang w:bidi="ar"/>
        </w:rPr>
        <w:t>部分，减去</w:t>
      </w:r>
      <w:r>
        <w:rPr>
          <w:rFonts w:hint="default" w:ascii="Times New Roman" w:hAnsi="Times New Roman" w:cs="Times New Roman"/>
          <w:color w:val="auto"/>
          <w:kern w:val="2"/>
          <w:sz w:val="24"/>
          <w:szCs w:val="24"/>
          <w:highlight w:val="none"/>
          <w:u w:val="none"/>
          <w:lang w:val="en-US" w:eastAsia="zh-CN" w:bidi="ar"/>
        </w:rPr>
        <w:t>其他</w:t>
      </w:r>
      <w:r>
        <w:rPr>
          <w:rFonts w:hint="default" w:ascii="Times New Roman" w:hAnsi="Times New Roman" w:cs="Times New Roman"/>
          <w:color w:val="auto"/>
          <w:kern w:val="2"/>
          <w:sz w:val="24"/>
          <w:szCs w:val="24"/>
          <w:highlight w:val="none"/>
          <w:u w:val="none"/>
          <w:lang w:bidi="ar"/>
        </w:rPr>
        <w:t>消耗占每期收入比例高于</w:t>
      </w:r>
      <w:r>
        <w:rPr>
          <w:rFonts w:hint="default" w:ascii="Times New Roman" w:hAnsi="Times New Roman" w:cs="Times New Roman"/>
          <w:color w:val="auto"/>
          <w:kern w:val="2"/>
          <w:sz w:val="24"/>
          <w:szCs w:val="24"/>
          <w:highlight w:val="none"/>
          <w:u w:val="none"/>
          <w:lang w:val="en-US" w:eastAsia="zh-CN" w:bidi="ar"/>
        </w:rPr>
        <w:t>8</w:t>
      </w:r>
      <w:r>
        <w:rPr>
          <w:rFonts w:hint="default" w:ascii="Times New Roman" w:hAnsi="Times New Roman" w:cs="Times New Roman"/>
          <w:color w:val="auto"/>
          <w:kern w:val="2"/>
          <w:sz w:val="24"/>
          <w:szCs w:val="24"/>
          <w:highlight w:val="none"/>
          <w:u w:val="none"/>
          <w:lang w:bidi="ar"/>
        </w:rPr>
        <w:t>％部分，等于实际支付的餐饮服务费用（含税）。</w:t>
      </w:r>
    </w:p>
    <w:p w14:paraId="7E3E92DE">
      <w:pPr>
        <w:pStyle w:val="7"/>
        <w:widowControl/>
        <w:shd w:val="clear"/>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七、项目要求</w:t>
      </w:r>
    </w:p>
    <w:p w14:paraId="2045667A">
      <w:pPr>
        <w:pageBreakBefore w:val="0"/>
        <w:widowControl/>
        <w:kinsoku w:val="0"/>
        <w:wordWrap/>
        <w:overflowPunct/>
        <w:topLinePunct w:val="0"/>
        <w:autoSpaceDE w:val="0"/>
        <w:autoSpaceDN w:val="0"/>
        <w:bidi w:val="0"/>
        <w:adjustRightInd w:val="0"/>
        <w:snapToGrid w:val="0"/>
        <w:spacing w:line="600" w:lineRule="exact"/>
        <w:ind w:left="0" w:leftChars="0" w:right="0" w:rightChars="0" w:firstLine="480" w:firstLineChars="200"/>
        <w:jc w:val="both"/>
        <w:textAlignment w:val="baseline"/>
        <w:outlineLvl w:val="9"/>
        <w:rPr>
          <w:rFonts w:hint="default" w:ascii="Times New Roman" w:hAnsi="Times New Roman" w:eastAsia="仿宋_GB2312" w:cs="Times New Roman"/>
          <w:b w:val="0"/>
          <w:bCs w:val="0"/>
          <w:color w:val="auto"/>
          <w:spacing w:val="3"/>
          <w:sz w:val="32"/>
          <w:szCs w:val="32"/>
          <w:highlight w:val="none"/>
          <w:lang w:eastAsia="zh-CN"/>
        </w:rPr>
      </w:pPr>
      <w:r>
        <w:rPr>
          <w:rFonts w:hint="default" w:ascii="Times New Roman" w:hAnsi="Times New Roman" w:cs="Times New Roman"/>
          <w:color w:val="auto"/>
          <w:sz w:val="24"/>
          <w:highlight w:val="none"/>
        </w:rPr>
        <w:t>投标</w:t>
      </w:r>
      <w:r>
        <w:rPr>
          <w:rFonts w:hint="eastAsia" w:cs="Times New Roman"/>
          <w:color w:val="auto"/>
          <w:sz w:val="24"/>
          <w:highlight w:val="none"/>
          <w:lang w:eastAsia="zh-CN"/>
        </w:rPr>
        <w:t>供应商</w:t>
      </w:r>
      <w:r>
        <w:rPr>
          <w:rFonts w:hint="eastAsia" w:cs="Times New Roman"/>
          <w:color w:val="auto"/>
          <w:sz w:val="24"/>
          <w:highlight w:val="none"/>
          <w:lang w:val="en-US" w:eastAsia="zh-CN"/>
        </w:rPr>
        <w:t>在经营期间，</w:t>
      </w:r>
      <w:r>
        <w:rPr>
          <w:rFonts w:hint="default" w:ascii="Times New Roman" w:hAnsi="Times New Roman" w:cs="Times New Roman"/>
          <w:color w:val="auto"/>
          <w:sz w:val="24"/>
          <w:highlight w:val="none"/>
        </w:rPr>
        <w:t>食品经营许可证经营项目中</w:t>
      </w:r>
      <w:r>
        <w:rPr>
          <w:rFonts w:hint="eastAsia" w:cs="Times New Roman"/>
          <w:color w:val="auto"/>
          <w:sz w:val="24"/>
          <w:highlight w:val="none"/>
          <w:lang w:val="en-US" w:eastAsia="zh-CN"/>
        </w:rPr>
        <w:t>须</w:t>
      </w:r>
      <w:r>
        <w:rPr>
          <w:rFonts w:hint="default" w:ascii="Times New Roman" w:hAnsi="Times New Roman" w:cs="Times New Roman"/>
          <w:color w:val="auto"/>
          <w:sz w:val="24"/>
          <w:highlight w:val="none"/>
        </w:rPr>
        <w:t>有食品经营管理。</w:t>
      </w:r>
    </w:p>
    <w:p w14:paraId="56A1C22B">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3DC1C7DA">
      <w:pPr>
        <w:keepNext w:val="0"/>
        <w:keepLines w:val="0"/>
        <w:pageBreakBefore w:val="0"/>
        <w:widowControl w:val="0"/>
        <w:kinsoku/>
        <w:wordWrap/>
        <w:overflowPunct/>
        <w:topLinePunct w:val="0"/>
        <w:bidi w:val="0"/>
        <w:snapToGrid/>
        <w:spacing w:line="560" w:lineRule="exact"/>
        <w:jc w:val="center"/>
        <w:textAlignment w:val="auto"/>
        <w:outlineLvl w:val="0"/>
        <w:rPr>
          <w:rFonts w:hint="eastAsia" w:ascii="宋体" w:hAnsi="宋体"/>
          <w:b/>
          <w:color w:val="auto"/>
          <w:sz w:val="32"/>
          <w:szCs w:val="32"/>
          <w:highlight w:val="none"/>
        </w:rPr>
      </w:pPr>
      <w:bookmarkStart w:id="46" w:name="_Toc15981"/>
      <w:bookmarkStart w:id="47" w:name="_Toc13282"/>
      <w:bookmarkStart w:id="48" w:name="_Toc9269597"/>
      <w:bookmarkStart w:id="49" w:name="_Toc89792139"/>
      <w:r>
        <w:rPr>
          <w:rFonts w:hint="eastAsia" w:ascii="宋体" w:hAnsi="宋体"/>
          <w:b/>
          <w:color w:val="auto"/>
          <w:sz w:val="32"/>
          <w:szCs w:val="32"/>
          <w:highlight w:val="none"/>
        </w:rPr>
        <w:t>第五部分合同部分</w:t>
      </w:r>
      <w:bookmarkEnd w:id="46"/>
      <w:bookmarkEnd w:id="47"/>
    </w:p>
    <w:bookmarkEnd w:id="48"/>
    <w:p w14:paraId="056B2DF5">
      <w:pPr>
        <w:pStyle w:val="6"/>
        <w:pageBreakBefore w:val="0"/>
        <w:widowControl/>
        <w:numPr>
          <w:ilvl w:val="0"/>
          <w:numId w:val="0"/>
        </w:numPr>
        <w:kinsoku/>
        <w:wordWrap/>
        <w:overflowPunct/>
        <w:topLinePunct w:val="0"/>
        <w:autoSpaceDE/>
        <w:autoSpaceDN/>
        <w:bidi w:val="0"/>
        <w:snapToGrid/>
        <w:spacing w:line="400" w:lineRule="exact"/>
        <w:ind w:left="0" w:leftChars="0" w:firstLine="0" w:firstLineChars="0"/>
        <w:jc w:val="center"/>
        <w:rPr>
          <w:rFonts w:hint="default" w:ascii="Times New Roman" w:hAnsi="Times New Roman" w:eastAsia="宋体" w:cs="Times New Roman"/>
          <w:b/>
          <w:color w:val="auto"/>
          <w:sz w:val="24"/>
          <w:szCs w:val="24"/>
          <w:highlight w:val="none"/>
        </w:rPr>
      </w:pPr>
      <w:r>
        <w:rPr>
          <w:rFonts w:hint="eastAsia" w:ascii="Times New Roman" w:hAnsi="Times New Roman" w:eastAsia="宋体" w:cs="Times New Roman"/>
          <w:b w:val="0"/>
          <w:sz w:val="24"/>
          <w:szCs w:val="24"/>
          <w:highlight w:val="none"/>
          <w:lang w:eastAsia="zh-CN"/>
        </w:rPr>
        <w:t>（</w:t>
      </w:r>
      <w:r>
        <w:rPr>
          <w:rFonts w:hint="default" w:ascii="Times New Roman" w:hAnsi="Times New Roman" w:eastAsia="宋体" w:cs="Times New Roman"/>
          <w:sz w:val="24"/>
          <w:szCs w:val="24"/>
          <w:highlight w:val="none"/>
        </w:rPr>
        <w:t>最终的合同以甲乙双方实际签订的合同为准</w:t>
      </w:r>
      <w:r>
        <w:rPr>
          <w:rFonts w:hint="default" w:ascii="Times New Roman" w:hAnsi="Times New Roman" w:eastAsia="宋体" w:cs="Times New Roman"/>
          <w:b w:val="0"/>
          <w:sz w:val="24"/>
          <w:szCs w:val="24"/>
          <w:highlight w:val="none"/>
        </w:rPr>
        <w:t>）</w:t>
      </w:r>
    </w:p>
    <w:p w14:paraId="70E43184">
      <w:pPr>
        <w:pStyle w:val="2"/>
        <w:pageBreakBefore w:val="0"/>
        <w:widowControl w:val="0"/>
        <w:numPr>
          <w:ilvl w:val="0"/>
          <w:numId w:val="0"/>
        </w:numPr>
        <w:kinsoku/>
        <w:wordWrap/>
        <w:overflowPunct/>
        <w:topLinePunct w:val="0"/>
        <w:bidi w:val="0"/>
        <w:snapToGrid/>
        <w:spacing w:beforeAutospacing="0" w:afterAutospacing="0" w:line="520" w:lineRule="exact"/>
        <w:ind w:leftChars="0" w:right="0"/>
        <w:jc w:val="center"/>
        <w:textAlignment w:val="auto"/>
        <w:rPr>
          <w:rFonts w:hint="default" w:ascii="Times New Roman" w:hAnsi="Times New Roman" w:eastAsia="方正小标宋简体" w:cs="Times New Roman"/>
          <w:b w:val="0"/>
          <w:bCs/>
          <w:highlight w:val="none"/>
        </w:rPr>
      </w:pPr>
      <w:r>
        <w:rPr>
          <w:rFonts w:hint="default" w:ascii="Times New Roman" w:hAnsi="Times New Roman" w:eastAsia="方正小标宋简体" w:cs="Times New Roman"/>
          <w:b w:val="0"/>
          <w:bCs/>
          <w:highlight w:val="none"/>
        </w:rPr>
        <w:t>疆农业大学引进餐饮服务团队经营合同</w:t>
      </w:r>
    </w:p>
    <w:p w14:paraId="7723ED28">
      <w:pPr>
        <w:pStyle w:val="2"/>
        <w:pageBreakBefore w:val="0"/>
        <w:widowControl w:val="0"/>
        <w:numPr>
          <w:ilvl w:val="0"/>
          <w:numId w:val="0"/>
        </w:numPr>
        <w:kinsoku/>
        <w:wordWrap/>
        <w:overflowPunct/>
        <w:topLinePunct w:val="0"/>
        <w:bidi w:val="0"/>
        <w:snapToGrid/>
        <w:spacing w:beforeAutospacing="0" w:afterAutospacing="0" w:line="520" w:lineRule="exact"/>
        <w:ind w:leftChars="0" w:right="0"/>
        <w:jc w:val="center"/>
        <w:textAlignment w:val="auto"/>
        <w:rPr>
          <w:rFonts w:hint="eastAsia" w:ascii="Times New Roman" w:hAnsi="Times New Roman" w:eastAsia="方正小标宋简体" w:cs="Times New Roman"/>
          <w:b w:val="0"/>
          <w:bCs/>
          <w:highlight w:val="none"/>
          <w:lang w:eastAsia="zh-CN"/>
        </w:rPr>
      </w:pPr>
      <w:r>
        <w:rPr>
          <w:rFonts w:hint="eastAsia" w:eastAsia="方正小标宋简体" w:cs="Times New Roman"/>
          <w:b w:val="0"/>
          <w:bCs/>
          <w:highlight w:val="none"/>
          <w:lang w:eastAsia="zh-CN"/>
        </w:rPr>
        <w:t>（</w:t>
      </w:r>
      <w:r>
        <w:rPr>
          <w:rFonts w:hint="eastAsia" w:eastAsia="方正小标宋简体" w:cs="Times New Roman"/>
          <w:b w:val="0"/>
          <w:bCs/>
          <w:highlight w:val="none"/>
          <w:lang w:val="en-US" w:eastAsia="zh-CN"/>
        </w:rPr>
        <w:t>合同范本</w:t>
      </w:r>
      <w:r>
        <w:rPr>
          <w:rFonts w:hint="eastAsia" w:eastAsia="方正小标宋简体" w:cs="Times New Roman"/>
          <w:b w:val="0"/>
          <w:bCs/>
          <w:highlight w:val="none"/>
          <w:lang w:eastAsia="zh-CN"/>
        </w:rPr>
        <w:t>）</w:t>
      </w:r>
    </w:p>
    <w:p w14:paraId="57A27608">
      <w:pPr>
        <w:pageBreakBefore w:val="0"/>
        <w:widowControl w:val="0"/>
        <w:tabs>
          <w:tab w:val="left" w:pos="6684"/>
        </w:tabs>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p>
    <w:p w14:paraId="6A6B78A0">
      <w:pPr>
        <w:pageBreakBefore w:val="0"/>
        <w:widowControl w:val="0"/>
        <w:tabs>
          <w:tab w:val="left" w:pos="6684"/>
        </w:tabs>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甲方（采购人）：新疆农业大学</w:t>
      </w:r>
    </w:p>
    <w:p w14:paraId="3176F36E">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jc w:val="left"/>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乙方（餐饮服务团队）：</w:t>
      </w:r>
    </w:p>
    <w:p w14:paraId="250F5F5C">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jc w:val="left"/>
        <w:textAlignment w:val="auto"/>
        <w:rPr>
          <w:rFonts w:hint="default" w:ascii="Times New Roman" w:hAnsi="Times New Roman" w:eastAsia="仿宋" w:cs="Times New Roman"/>
          <w:color w:val="auto"/>
          <w:sz w:val="32"/>
          <w:szCs w:val="32"/>
          <w:highlight w:val="none"/>
        </w:rPr>
      </w:pPr>
    </w:p>
    <w:p w14:paraId="7C690E44">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根据《中华人民共和国民法典》的规定，按照公平、公正、平等自愿和诚实信用、协商一致的原则，甲乙双方就服务期内权利义务等达成如下约定，以供信守：</w:t>
      </w:r>
    </w:p>
    <w:p w14:paraId="5CF4526E">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第一条  项目及期限</w:t>
      </w:r>
    </w:p>
    <w:p w14:paraId="02A72B77">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u w:val="single"/>
        </w:rPr>
      </w:pPr>
      <w:r>
        <w:rPr>
          <w:rFonts w:hint="default" w:ascii="Times New Roman" w:hAnsi="Times New Roman" w:eastAsia="仿宋" w:cs="Times New Roman"/>
          <w:color w:val="auto"/>
          <w:kern w:val="0"/>
          <w:sz w:val="32"/>
          <w:szCs w:val="32"/>
          <w:highlight w:val="none"/>
        </w:rPr>
        <w:t>1.项目名称：</w:t>
      </w:r>
      <w:r>
        <w:rPr>
          <w:rFonts w:hint="default" w:ascii="Times New Roman" w:hAnsi="Times New Roman" w:eastAsia="仿宋" w:cs="Times New Roman"/>
          <w:color w:val="auto"/>
          <w:kern w:val="0"/>
          <w:sz w:val="32"/>
          <w:szCs w:val="32"/>
          <w:highlight w:val="none"/>
          <w:u w:val="single"/>
        </w:rPr>
        <w:t xml:space="preserve">                            </w:t>
      </w:r>
    </w:p>
    <w:p w14:paraId="4699A216">
      <w:pPr>
        <w:pStyle w:val="3"/>
        <w:pageBreakBefore w:val="0"/>
        <w:widowControl w:val="0"/>
        <w:kinsoku/>
        <w:wordWrap/>
        <w:overflowPunct/>
        <w:topLinePunct w:val="0"/>
        <w:bidi w:val="0"/>
        <w:snapToGrid/>
        <w:spacing w:before="0" w:beforeAutospacing="0" w:after="0" w:afterAutospacing="0" w:line="520" w:lineRule="exact"/>
        <w:ind w:right="0" w:firstLine="640" w:firstLineChars="200"/>
        <w:textAlignment w:val="auto"/>
        <w:rPr>
          <w:rFonts w:hint="default" w:ascii="Times New Roman" w:hAnsi="Times New Roman" w:eastAsia="仿宋" w:cs="Times New Roman"/>
          <w:color w:val="auto"/>
          <w:highlight w:val="none"/>
        </w:rPr>
      </w:pPr>
      <w:r>
        <w:rPr>
          <w:rFonts w:hint="default" w:ascii="Times New Roman" w:hAnsi="Times New Roman" w:eastAsia="仿宋" w:cs="Times New Roman"/>
          <w:b w:val="0"/>
          <w:color w:val="auto"/>
          <w:kern w:val="0"/>
          <w:szCs w:val="32"/>
          <w:highlight w:val="none"/>
        </w:rPr>
        <w:t>2.服务地点：</w:t>
      </w:r>
      <w:r>
        <w:rPr>
          <w:rFonts w:hint="default" w:ascii="Times New Roman" w:hAnsi="Times New Roman" w:eastAsia="仿宋" w:cs="Times New Roman"/>
          <w:b w:val="0"/>
          <w:color w:val="auto"/>
          <w:kern w:val="0"/>
          <w:szCs w:val="32"/>
          <w:highlight w:val="none"/>
          <w:u w:val="single"/>
        </w:rPr>
        <w:t xml:space="preserve">                            </w:t>
      </w:r>
    </w:p>
    <w:p w14:paraId="3F8E4093">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3.经营和服务内容：乙方需办理学校集体用餐食堂的食品经营许可证，在规定营业范围内合法经营，按招标要求提供民族特色餐饮，为甲方的师生提供早、中、晚餐及夜宵等其他甲方认可的餐饮服务业态，经营面积</w:t>
      </w:r>
      <w:r>
        <w:rPr>
          <w:rFonts w:hint="default" w:ascii="Times New Roman" w:hAnsi="Times New Roman" w:eastAsia="仿宋" w:cs="Times New Roman"/>
          <w:color w:val="auto"/>
          <w:kern w:val="0"/>
          <w:sz w:val="32"/>
          <w:szCs w:val="32"/>
          <w:highlight w:val="none"/>
          <w:u w:val="single"/>
        </w:rPr>
        <w:t xml:space="preserve">             </w:t>
      </w:r>
      <w:r>
        <w:rPr>
          <w:rFonts w:hint="default" w:ascii="Times New Roman" w:hAnsi="Times New Roman" w:eastAsia="仿宋" w:cs="Times New Roman"/>
          <w:color w:val="auto"/>
          <w:kern w:val="0"/>
          <w:sz w:val="32"/>
          <w:szCs w:val="32"/>
          <w:highlight w:val="none"/>
        </w:rPr>
        <w:t>㎡。</w:t>
      </w:r>
    </w:p>
    <w:p w14:paraId="4EACF581">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4.合同期限：餐饮服务期限为</w:t>
      </w:r>
      <w:r>
        <w:rPr>
          <w:rFonts w:hint="default" w:ascii="Times New Roman" w:hAnsi="Times New Roman" w:eastAsia="仿宋" w:cs="Times New Roman"/>
          <w:color w:val="auto"/>
          <w:kern w:val="0"/>
          <w:sz w:val="32"/>
          <w:szCs w:val="32"/>
          <w:highlight w:val="none"/>
          <w:u w:val="single"/>
        </w:rPr>
        <w:t xml:space="preserve">    </w:t>
      </w:r>
      <w:r>
        <w:rPr>
          <w:rFonts w:hint="default" w:ascii="Times New Roman" w:hAnsi="Times New Roman" w:eastAsia="仿宋" w:cs="Times New Roman"/>
          <w:color w:val="auto"/>
          <w:kern w:val="0"/>
          <w:sz w:val="32"/>
          <w:szCs w:val="32"/>
          <w:highlight w:val="none"/>
        </w:rPr>
        <w:t>年，即自</w:t>
      </w:r>
      <w:r>
        <w:rPr>
          <w:rFonts w:hint="default" w:ascii="Times New Roman" w:hAnsi="Times New Roman" w:eastAsia="仿宋" w:cs="Times New Roman"/>
          <w:color w:val="auto"/>
          <w:kern w:val="0"/>
          <w:sz w:val="32"/>
          <w:szCs w:val="32"/>
          <w:highlight w:val="none"/>
          <w:u w:val="single"/>
        </w:rPr>
        <w:t xml:space="preserve">    </w:t>
      </w:r>
      <w:r>
        <w:rPr>
          <w:rFonts w:hint="default" w:ascii="Times New Roman" w:hAnsi="Times New Roman" w:eastAsia="仿宋" w:cs="Times New Roman"/>
          <w:color w:val="auto"/>
          <w:kern w:val="0"/>
          <w:sz w:val="32"/>
          <w:szCs w:val="32"/>
          <w:highlight w:val="none"/>
        </w:rPr>
        <w:t>年</w:t>
      </w:r>
      <w:r>
        <w:rPr>
          <w:rFonts w:hint="default" w:ascii="Times New Roman" w:hAnsi="Times New Roman" w:eastAsia="仿宋" w:cs="Times New Roman"/>
          <w:color w:val="auto"/>
          <w:kern w:val="0"/>
          <w:sz w:val="32"/>
          <w:szCs w:val="32"/>
          <w:highlight w:val="none"/>
          <w:u w:val="single"/>
        </w:rPr>
        <w:t xml:space="preserve">    </w:t>
      </w:r>
      <w:r>
        <w:rPr>
          <w:rFonts w:hint="default" w:ascii="Times New Roman" w:hAnsi="Times New Roman" w:eastAsia="仿宋" w:cs="Times New Roman"/>
          <w:color w:val="auto"/>
          <w:kern w:val="0"/>
          <w:sz w:val="32"/>
          <w:szCs w:val="32"/>
          <w:highlight w:val="none"/>
        </w:rPr>
        <w:t>月</w:t>
      </w:r>
      <w:r>
        <w:rPr>
          <w:rFonts w:hint="default" w:ascii="Times New Roman" w:hAnsi="Times New Roman" w:eastAsia="仿宋" w:cs="Times New Roman"/>
          <w:color w:val="auto"/>
          <w:kern w:val="0"/>
          <w:sz w:val="32"/>
          <w:szCs w:val="32"/>
          <w:highlight w:val="none"/>
          <w:u w:val="single"/>
        </w:rPr>
        <w:t xml:space="preserve">  </w:t>
      </w:r>
      <w:r>
        <w:rPr>
          <w:rFonts w:hint="default" w:ascii="Times New Roman" w:hAnsi="Times New Roman" w:eastAsia="仿宋" w:cs="Times New Roman"/>
          <w:color w:val="auto"/>
          <w:kern w:val="0"/>
          <w:sz w:val="32"/>
          <w:szCs w:val="32"/>
          <w:highlight w:val="none"/>
        </w:rPr>
        <w:t>日起至</w:t>
      </w:r>
      <w:r>
        <w:rPr>
          <w:rFonts w:hint="default" w:ascii="Times New Roman" w:hAnsi="Times New Roman" w:eastAsia="仿宋" w:cs="Times New Roman"/>
          <w:color w:val="auto"/>
          <w:kern w:val="0"/>
          <w:sz w:val="32"/>
          <w:szCs w:val="32"/>
          <w:highlight w:val="none"/>
          <w:u w:val="single"/>
        </w:rPr>
        <w:t xml:space="preserve">   </w:t>
      </w:r>
      <w:r>
        <w:rPr>
          <w:rFonts w:hint="default" w:ascii="Times New Roman" w:hAnsi="Times New Roman" w:eastAsia="仿宋" w:cs="Times New Roman"/>
          <w:color w:val="auto"/>
          <w:kern w:val="0"/>
          <w:sz w:val="32"/>
          <w:szCs w:val="32"/>
          <w:highlight w:val="none"/>
        </w:rPr>
        <w:t>年</w:t>
      </w:r>
      <w:r>
        <w:rPr>
          <w:rFonts w:hint="default" w:ascii="Times New Roman" w:hAnsi="Times New Roman" w:eastAsia="仿宋" w:cs="Times New Roman"/>
          <w:color w:val="auto"/>
          <w:kern w:val="0"/>
          <w:sz w:val="32"/>
          <w:szCs w:val="32"/>
          <w:highlight w:val="none"/>
          <w:u w:val="single"/>
        </w:rPr>
        <w:t xml:space="preserve">    </w:t>
      </w:r>
      <w:r>
        <w:rPr>
          <w:rFonts w:hint="default" w:ascii="Times New Roman" w:hAnsi="Times New Roman" w:eastAsia="仿宋" w:cs="Times New Roman"/>
          <w:color w:val="auto"/>
          <w:kern w:val="0"/>
          <w:sz w:val="32"/>
          <w:szCs w:val="32"/>
          <w:highlight w:val="none"/>
        </w:rPr>
        <w:t>月</w:t>
      </w:r>
      <w:r>
        <w:rPr>
          <w:rFonts w:hint="default" w:ascii="Times New Roman" w:hAnsi="Times New Roman" w:eastAsia="仿宋" w:cs="Times New Roman"/>
          <w:color w:val="auto"/>
          <w:kern w:val="0"/>
          <w:sz w:val="32"/>
          <w:szCs w:val="32"/>
          <w:highlight w:val="none"/>
          <w:u w:val="single"/>
        </w:rPr>
        <w:t xml:space="preserve">   </w:t>
      </w:r>
      <w:r>
        <w:rPr>
          <w:rFonts w:hint="default" w:ascii="Times New Roman" w:hAnsi="Times New Roman" w:eastAsia="仿宋" w:cs="Times New Roman"/>
          <w:color w:val="auto"/>
          <w:kern w:val="0"/>
          <w:sz w:val="32"/>
          <w:szCs w:val="32"/>
          <w:highlight w:val="none"/>
        </w:rPr>
        <w:t>日止；本次为第</w:t>
      </w:r>
      <w:r>
        <w:rPr>
          <w:rFonts w:hint="default" w:ascii="Times New Roman" w:hAnsi="Times New Roman" w:eastAsia="仿宋" w:cs="Times New Roman"/>
          <w:color w:val="auto"/>
          <w:kern w:val="0"/>
          <w:sz w:val="32"/>
          <w:szCs w:val="32"/>
          <w:highlight w:val="none"/>
          <w:u w:val="single"/>
        </w:rPr>
        <w:t xml:space="preserve">    </w:t>
      </w:r>
      <w:r>
        <w:rPr>
          <w:rFonts w:hint="default" w:ascii="Times New Roman" w:hAnsi="Times New Roman" w:eastAsia="仿宋" w:cs="Times New Roman"/>
          <w:color w:val="auto"/>
          <w:kern w:val="0"/>
          <w:sz w:val="32"/>
          <w:szCs w:val="32"/>
          <w:highlight w:val="none"/>
        </w:rPr>
        <w:t>年经营期合同，即自</w:t>
      </w:r>
      <w:r>
        <w:rPr>
          <w:rFonts w:hint="default" w:ascii="Times New Roman" w:hAnsi="Times New Roman" w:eastAsia="仿宋" w:cs="Times New Roman"/>
          <w:color w:val="auto"/>
          <w:kern w:val="0"/>
          <w:sz w:val="32"/>
          <w:szCs w:val="32"/>
          <w:highlight w:val="none"/>
          <w:u w:val="single"/>
        </w:rPr>
        <w:t xml:space="preserve">    </w:t>
      </w:r>
      <w:r>
        <w:rPr>
          <w:rFonts w:hint="default" w:ascii="Times New Roman" w:hAnsi="Times New Roman" w:eastAsia="仿宋" w:cs="Times New Roman"/>
          <w:color w:val="auto"/>
          <w:kern w:val="0"/>
          <w:sz w:val="32"/>
          <w:szCs w:val="32"/>
          <w:highlight w:val="none"/>
        </w:rPr>
        <w:t>年</w:t>
      </w:r>
      <w:r>
        <w:rPr>
          <w:rFonts w:hint="default" w:ascii="Times New Roman" w:hAnsi="Times New Roman" w:eastAsia="仿宋" w:cs="Times New Roman"/>
          <w:color w:val="auto"/>
          <w:kern w:val="0"/>
          <w:sz w:val="32"/>
          <w:szCs w:val="32"/>
          <w:highlight w:val="none"/>
          <w:u w:val="single"/>
        </w:rPr>
        <w:t xml:space="preserve">   </w:t>
      </w:r>
      <w:r>
        <w:rPr>
          <w:rFonts w:hint="default" w:ascii="Times New Roman" w:hAnsi="Times New Roman" w:eastAsia="仿宋" w:cs="Times New Roman"/>
          <w:color w:val="auto"/>
          <w:kern w:val="0"/>
          <w:sz w:val="32"/>
          <w:szCs w:val="32"/>
          <w:highlight w:val="none"/>
        </w:rPr>
        <w:t>月</w:t>
      </w:r>
      <w:r>
        <w:rPr>
          <w:rFonts w:hint="default" w:ascii="Times New Roman" w:hAnsi="Times New Roman" w:eastAsia="仿宋" w:cs="Times New Roman"/>
          <w:color w:val="auto"/>
          <w:kern w:val="0"/>
          <w:sz w:val="32"/>
          <w:szCs w:val="32"/>
          <w:highlight w:val="none"/>
          <w:u w:val="single"/>
        </w:rPr>
        <w:t xml:space="preserve">    </w:t>
      </w:r>
      <w:r>
        <w:rPr>
          <w:rFonts w:hint="default" w:ascii="Times New Roman" w:hAnsi="Times New Roman" w:eastAsia="仿宋" w:cs="Times New Roman"/>
          <w:color w:val="auto"/>
          <w:kern w:val="0"/>
          <w:sz w:val="32"/>
          <w:szCs w:val="32"/>
          <w:highlight w:val="none"/>
        </w:rPr>
        <w:t>日起至</w:t>
      </w:r>
      <w:r>
        <w:rPr>
          <w:rFonts w:hint="default" w:ascii="Times New Roman" w:hAnsi="Times New Roman" w:eastAsia="仿宋" w:cs="Times New Roman"/>
          <w:color w:val="auto"/>
          <w:kern w:val="0"/>
          <w:sz w:val="32"/>
          <w:szCs w:val="32"/>
          <w:highlight w:val="none"/>
          <w:u w:val="single"/>
        </w:rPr>
        <w:t xml:space="preserve">    </w:t>
      </w:r>
      <w:r>
        <w:rPr>
          <w:rFonts w:hint="default" w:ascii="Times New Roman" w:hAnsi="Times New Roman" w:eastAsia="仿宋" w:cs="Times New Roman"/>
          <w:color w:val="auto"/>
          <w:kern w:val="0"/>
          <w:sz w:val="32"/>
          <w:szCs w:val="32"/>
          <w:highlight w:val="none"/>
        </w:rPr>
        <w:t>年</w:t>
      </w:r>
      <w:r>
        <w:rPr>
          <w:rFonts w:hint="default" w:ascii="Times New Roman" w:hAnsi="Times New Roman" w:eastAsia="仿宋" w:cs="Times New Roman"/>
          <w:color w:val="auto"/>
          <w:kern w:val="0"/>
          <w:sz w:val="32"/>
          <w:szCs w:val="32"/>
          <w:highlight w:val="none"/>
          <w:u w:val="single"/>
        </w:rPr>
        <w:t xml:space="preserve">   </w:t>
      </w:r>
      <w:r>
        <w:rPr>
          <w:rFonts w:hint="default" w:ascii="Times New Roman" w:hAnsi="Times New Roman" w:eastAsia="仿宋" w:cs="Times New Roman"/>
          <w:color w:val="auto"/>
          <w:kern w:val="0"/>
          <w:sz w:val="32"/>
          <w:szCs w:val="32"/>
          <w:highlight w:val="none"/>
        </w:rPr>
        <w:t>月</w:t>
      </w:r>
      <w:r>
        <w:rPr>
          <w:rFonts w:hint="default" w:ascii="Times New Roman" w:hAnsi="Times New Roman" w:eastAsia="仿宋" w:cs="Times New Roman"/>
          <w:color w:val="auto"/>
          <w:kern w:val="0"/>
          <w:sz w:val="32"/>
          <w:szCs w:val="32"/>
          <w:highlight w:val="none"/>
          <w:u w:val="single"/>
        </w:rPr>
        <w:t xml:space="preserve">    </w:t>
      </w:r>
      <w:r>
        <w:rPr>
          <w:rFonts w:hint="default" w:ascii="Times New Roman" w:hAnsi="Times New Roman" w:eastAsia="仿宋" w:cs="Times New Roman"/>
          <w:color w:val="auto"/>
          <w:kern w:val="0"/>
          <w:sz w:val="32"/>
          <w:szCs w:val="32"/>
          <w:highlight w:val="none"/>
        </w:rPr>
        <w:t>日止。一年一签，经营考核合格后，可续签下一期合同。</w:t>
      </w:r>
    </w:p>
    <w:p w14:paraId="53577039">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5.在合同有效期内，每年通过综合考核评分表和满意度调查，计算合同期内经营服务满意度分值，衡量乙方完成工作绩效，指导第</w:t>
      </w:r>
      <w:r>
        <w:rPr>
          <w:rFonts w:hint="default" w:ascii="Times New Roman" w:hAnsi="Times New Roman" w:eastAsia="仿宋" w:cs="Times New Roman"/>
          <w:color w:val="auto"/>
          <w:kern w:val="0"/>
          <w:sz w:val="32"/>
          <w:szCs w:val="32"/>
          <w:highlight w:val="none"/>
          <w:u w:val="single"/>
        </w:rPr>
        <w:t xml:space="preserve"> </w:t>
      </w:r>
      <w:r>
        <w:rPr>
          <w:rFonts w:hint="default" w:ascii="Times New Roman" w:hAnsi="Times New Roman" w:eastAsia="仿宋" w:cs="Times New Roman"/>
          <w:color w:val="auto"/>
          <w:kern w:val="0"/>
          <w:sz w:val="32"/>
          <w:szCs w:val="32"/>
          <w:highlight w:val="none"/>
          <w:u w:val="single"/>
          <w:lang w:val="en-US" w:eastAsia="zh-CN"/>
        </w:rPr>
        <w:t xml:space="preserve">   </w:t>
      </w:r>
      <w:r>
        <w:rPr>
          <w:rFonts w:hint="default" w:ascii="Times New Roman" w:hAnsi="Times New Roman" w:eastAsia="仿宋" w:cs="Times New Roman"/>
          <w:color w:val="auto"/>
          <w:kern w:val="0"/>
          <w:sz w:val="32"/>
          <w:szCs w:val="32"/>
          <w:highlight w:val="none"/>
        </w:rPr>
        <w:t>年经营工作。具体是：引进餐饮服务团队的餐厅考核细则（见附件），以当年考核细则为准，满分是100分，评分分值是80分以上为良好，下一合约期内合同内容不变。评分分值是70分-80分之间为合格，可以续签下一合约期合同，但甲方有权变更合同约定内容。评分分值低于70-60分之间后，甲方可下达整改通知书，约谈乙方项目经理，甲方将派出专业人员验收整改项目，经验收合格后，可续签下一年合同，整改后未通过甲方验收，甲方委托的管理部门可向甲方汇报，决定是否续签。考核评分低于60分是不合格，为无法签订合约的充分条件，甲方委托管理部门向甲方汇报，不予续签下一年合同，甲方可重新组织招标，该年度合同视为因乙方违约原因导致甲方有权单方解除合同，同时因此造成甲方损失，乙方应当赔偿，并由乙方承担相当于年度餐饮服务费用总额10%的违约金，乙方无条件退出，无权要求任何赔偿补偿。当出现重大安全事故或影响学校声誉的食品安全事故，可实行“一票否决制”，合同视为因乙方违约原因甲方有权单方面解除合同，造成甲方损失应当赔偿，乙方无条件退出，无权要求任何赔偿补偿，同时因食品安全造成的责任事故均由乙方负责全额赔偿。</w:t>
      </w:r>
    </w:p>
    <w:p w14:paraId="4C098D86">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6.本合同实际执行期限受到甲、乙双方遵照合同约定达到条款要求的影响，不排除一方未达到合同约定条款，提前终止、解除合同的可能。</w:t>
      </w:r>
    </w:p>
    <w:p w14:paraId="20B6E0B4">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7.本合同执行期间，如因学校规划、上级要求或其他行政事业单位将标的改为其他用途或其他非乙方原因需解除合同，对于乙方在经营期间经甲方书面批准投入的、已形成附合且无法拆除的固定装修部分，委托具备合法资质的第三方评估机构对其在解除合同之日的剩余价值进行评估。甲方根据评估结果向乙方支付相应补偿款。</w:t>
      </w:r>
    </w:p>
    <w:p w14:paraId="209602AF">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乙方应在收到</w:t>
      </w:r>
      <w:r>
        <w:rPr>
          <w:rFonts w:hint="default" w:ascii="Times New Roman" w:hAnsi="Times New Roman" w:eastAsia="仿宋" w:cs="Times New Roman"/>
          <w:color w:val="auto"/>
          <w:sz w:val="32"/>
          <w:szCs w:val="32"/>
          <w:highlight w:val="none"/>
        </w:rPr>
        <w:t>甲方通知</w:t>
      </w:r>
      <w:r>
        <w:rPr>
          <w:rFonts w:hint="default" w:ascii="Times New Roman" w:hAnsi="Times New Roman" w:eastAsia="仿宋" w:cs="Times New Roman"/>
          <w:color w:val="auto"/>
          <w:kern w:val="0"/>
          <w:sz w:val="32"/>
          <w:szCs w:val="32"/>
          <w:highlight w:val="none"/>
        </w:rPr>
        <w:t>后</w:t>
      </w:r>
      <w:r>
        <w:rPr>
          <w:rFonts w:hint="default" w:ascii="Times New Roman" w:hAnsi="Times New Roman" w:eastAsia="仿宋" w:cs="Times New Roman"/>
          <w:color w:val="auto"/>
          <w:sz w:val="32"/>
          <w:szCs w:val="32"/>
          <w:highlight w:val="none"/>
        </w:rPr>
        <w:t>10</w:t>
      </w:r>
      <w:r>
        <w:rPr>
          <w:rFonts w:hint="default" w:ascii="Times New Roman" w:hAnsi="Times New Roman" w:eastAsia="仿宋" w:cs="Times New Roman"/>
          <w:color w:val="auto"/>
          <w:kern w:val="0"/>
          <w:sz w:val="32"/>
          <w:szCs w:val="32"/>
          <w:highlight w:val="none"/>
        </w:rPr>
        <w:t>日内完成场地腾退并移交甲方。乙方投入的可移动设施设备由其自行收回。</w:t>
      </w:r>
      <w:r>
        <w:rPr>
          <w:rFonts w:hint="default" w:ascii="Times New Roman" w:hAnsi="Times New Roman" w:eastAsia="仿宋" w:cs="Times New Roman"/>
          <w:color w:val="auto"/>
          <w:sz w:val="32"/>
          <w:szCs w:val="32"/>
          <w:highlight w:val="none"/>
        </w:rPr>
        <w:t>若乙方未在通知期满后搬离并交还场地，则自期限届满之日起，视为乙方无故占用，乙方应承担本合同约定的逾期占用责任，且因此造成的一切损失（包括但不限于乙方的物料、设备损失等）均由乙方自行承担；逾期超过5日的，甲方有权强制清场，对场内物品进行提存或处置，所产生的全部费用及风险由乙方承担。</w:t>
      </w:r>
    </w:p>
    <w:p w14:paraId="78622F84">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第二条  财务核算</w:t>
      </w:r>
    </w:p>
    <w:p w14:paraId="72B94BED">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1.餐厅财务实行收支两条线。甲方委托管理部门完成二级财务核算工作，由学校财务处统一结算，遵循学校财务部门统一安排。</w:t>
      </w:r>
    </w:p>
    <w:p w14:paraId="7D18433B">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2.每月核算起止日期为上月11日起至当月10日止，经营满一个月的以整月核算，不足一个月的按实际营业天数核算，特殊月份(12月)或放假期间的核算，遵循学校财务部门统一安排。</w:t>
      </w:r>
    </w:p>
    <w:p w14:paraId="78358327">
      <w:pPr>
        <w:pStyle w:val="3"/>
        <w:pageBreakBefore w:val="0"/>
        <w:widowControl w:val="0"/>
        <w:kinsoku/>
        <w:wordWrap/>
        <w:overflowPunct/>
        <w:topLinePunct w:val="0"/>
        <w:bidi w:val="0"/>
        <w:snapToGrid/>
        <w:spacing w:before="0" w:beforeAutospacing="0" w:after="0" w:afterAutospacing="0" w:line="520" w:lineRule="exact"/>
        <w:ind w:right="0" w:firstLine="640" w:firstLineChars="200"/>
        <w:textAlignment w:val="auto"/>
        <w:rPr>
          <w:rFonts w:hint="default" w:ascii="Times New Roman" w:hAnsi="Times New Roman" w:eastAsia="仿宋" w:cs="Times New Roman"/>
          <w:color w:val="auto"/>
          <w:highlight w:val="none"/>
        </w:rPr>
      </w:pPr>
      <w:r>
        <w:rPr>
          <w:rFonts w:hint="default" w:ascii="Times New Roman" w:hAnsi="Times New Roman" w:eastAsia="仿宋" w:cs="Times New Roman"/>
          <w:b w:val="0"/>
          <w:color w:val="auto"/>
          <w:kern w:val="0"/>
          <w:szCs w:val="32"/>
          <w:highlight w:val="none"/>
        </w:rPr>
        <w:t>3.乙方的营业额包括:一卡通、校内转账所取得的收入，承接团体用餐取得的经营收入(包括校外团体)。</w:t>
      </w:r>
    </w:p>
    <w:p w14:paraId="01641F49">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kern w:val="0"/>
          <w:sz w:val="32"/>
          <w:szCs w:val="32"/>
          <w:highlight w:val="none"/>
        </w:rPr>
        <w:t>4.每年按照8个周期结算，甲方在乙方开具餐饮服务费发票后的20个工作日内，完成餐饮服务费支付。餐饮服务费是以当期总收入乘以</w:t>
      </w:r>
      <w:r>
        <w:rPr>
          <w:rFonts w:hint="default" w:ascii="Times New Roman" w:hAnsi="Times New Roman" w:eastAsia="仿宋" w:cs="Times New Roman"/>
          <w:color w:val="auto"/>
          <w:kern w:val="0"/>
          <w:sz w:val="32"/>
          <w:szCs w:val="32"/>
          <w:highlight w:val="none"/>
          <w:u w:val="single"/>
          <w:lang w:val="en-US" w:eastAsia="zh-CN"/>
        </w:rPr>
        <w:t xml:space="preserve">   </w:t>
      </w:r>
      <w:r>
        <w:rPr>
          <w:rFonts w:hint="default" w:ascii="Times New Roman" w:hAnsi="Times New Roman" w:eastAsia="仿宋" w:cs="Times New Roman"/>
          <w:color w:val="auto"/>
          <w:kern w:val="0"/>
          <w:sz w:val="32"/>
          <w:szCs w:val="32"/>
          <w:highlight w:val="none"/>
          <w:u w:val="none"/>
        </w:rPr>
        <w:t>%</w:t>
      </w:r>
      <w:r>
        <w:rPr>
          <w:rFonts w:hint="default" w:ascii="Times New Roman" w:hAnsi="Times New Roman" w:eastAsia="仿宋" w:cs="Times New Roman"/>
          <w:color w:val="auto"/>
          <w:kern w:val="0"/>
          <w:sz w:val="32"/>
          <w:szCs w:val="32"/>
          <w:highlight w:val="none"/>
        </w:rPr>
        <w:t>，减去甲方统一采购的食物消耗占比上限占每期收入比例高于</w:t>
      </w:r>
      <w:r>
        <w:rPr>
          <w:rFonts w:hint="default" w:ascii="Times New Roman" w:hAnsi="Times New Roman" w:eastAsia="仿宋" w:cs="Times New Roman"/>
          <w:color w:val="auto"/>
          <w:kern w:val="0"/>
          <w:sz w:val="32"/>
          <w:szCs w:val="32"/>
          <w:highlight w:val="none"/>
          <w:u w:val="single"/>
          <w:lang w:val="en-US" w:eastAsia="zh-CN"/>
        </w:rPr>
        <w:t xml:space="preserve">   </w:t>
      </w:r>
      <w:r>
        <w:rPr>
          <w:rFonts w:hint="default" w:ascii="Times New Roman" w:hAnsi="Times New Roman" w:eastAsia="仿宋" w:cs="Times New Roman"/>
          <w:color w:val="auto"/>
          <w:kern w:val="0"/>
          <w:sz w:val="32"/>
          <w:szCs w:val="32"/>
          <w:highlight w:val="none"/>
          <w:u w:val="none"/>
        </w:rPr>
        <w:t>％</w:t>
      </w:r>
      <w:r>
        <w:rPr>
          <w:rFonts w:hint="default" w:ascii="Times New Roman" w:hAnsi="Times New Roman" w:eastAsia="仿宋" w:cs="Times New Roman"/>
          <w:color w:val="auto"/>
          <w:kern w:val="0"/>
          <w:sz w:val="32"/>
          <w:szCs w:val="32"/>
          <w:highlight w:val="none"/>
        </w:rPr>
        <w:t>部分，减去能源消耗占每期收入比例高于</w:t>
      </w:r>
      <w:r>
        <w:rPr>
          <w:rFonts w:hint="default" w:ascii="Times New Roman" w:hAnsi="Times New Roman" w:eastAsia="仿宋" w:cs="Times New Roman"/>
          <w:color w:val="auto"/>
          <w:kern w:val="0"/>
          <w:sz w:val="32"/>
          <w:szCs w:val="32"/>
          <w:highlight w:val="none"/>
          <w:u w:val="single"/>
          <w:lang w:val="en-US" w:eastAsia="zh-CN"/>
        </w:rPr>
        <w:t xml:space="preserve">   </w:t>
      </w:r>
      <w:r>
        <w:rPr>
          <w:rFonts w:hint="default" w:ascii="Times New Roman" w:hAnsi="Times New Roman" w:eastAsia="仿宋" w:cs="Times New Roman"/>
          <w:color w:val="auto"/>
          <w:kern w:val="0"/>
          <w:sz w:val="32"/>
          <w:szCs w:val="32"/>
          <w:highlight w:val="none"/>
          <w:u w:val="none"/>
        </w:rPr>
        <w:t>％</w:t>
      </w:r>
      <w:r>
        <w:rPr>
          <w:rFonts w:hint="default" w:ascii="Times New Roman" w:hAnsi="Times New Roman" w:eastAsia="仿宋" w:cs="Times New Roman"/>
          <w:color w:val="auto"/>
          <w:kern w:val="0"/>
          <w:sz w:val="32"/>
          <w:szCs w:val="32"/>
          <w:highlight w:val="none"/>
        </w:rPr>
        <w:t>部分，减去其他消耗占每期收入比例高于</w:t>
      </w:r>
      <w:r>
        <w:rPr>
          <w:rFonts w:hint="default" w:ascii="Times New Roman" w:hAnsi="Times New Roman" w:eastAsia="仿宋" w:cs="Times New Roman"/>
          <w:color w:val="auto"/>
          <w:kern w:val="0"/>
          <w:sz w:val="32"/>
          <w:szCs w:val="32"/>
          <w:highlight w:val="none"/>
          <w:u w:val="single"/>
          <w:lang w:val="en-US" w:eastAsia="zh-CN"/>
        </w:rPr>
        <w:t xml:space="preserve">   </w:t>
      </w:r>
      <w:r>
        <w:rPr>
          <w:rFonts w:hint="default" w:ascii="Times New Roman" w:hAnsi="Times New Roman" w:eastAsia="仿宋" w:cs="Times New Roman"/>
          <w:color w:val="auto"/>
          <w:kern w:val="0"/>
          <w:sz w:val="32"/>
          <w:szCs w:val="32"/>
          <w:highlight w:val="none"/>
          <w:u w:val="none"/>
        </w:rPr>
        <w:t>％</w:t>
      </w:r>
      <w:r>
        <w:rPr>
          <w:rFonts w:hint="default" w:ascii="Times New Roman" w:hAnsi="Times New Roman" w:eastAsia="仿宋" w:cs="Times New Roman"/>
          <w:color w:val="auto"/>
          <w:kern w:val="0"/>
          <w:sz w:val="32"/>
          <w:szCs w:val="32"/>
          <w:highlight w:val="none"/>
        </w:rPr>
        <w:t>部分，等于实际支付的餐饮服务费用（含税）（其他消耗：烟道清洗费、燃气报警器和探头检测费、厨余垃圾处置费、灭蟑灭鼠费、疏通下水费、文印费、公共区域维修、监督管理人工费）。</w:t>
      </w:r>
    </w:p>
    <w:p w14:paraId="5FC01CBA">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第三条  甲方权利与义务</w:t>
      </w:r>
    </w:p>
    <w:p w14:paraId="2D0602DC">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1.甲方有权根据《教育法》、《中华人民共和国食品安全法》、《中华人民共和国食品安全法实施条例》、《学校食品安全与营养健康管理规定》、《餐饮服务食品安全操作规范》、《企业落实食品安全主体责任监督管理规定》等法律法规及政府监督管理部门和甲方有关规定对乙方的经营活动、饭菜质价和各项工作进行指导、管理、检查和监督。</w:t>
      </w:r>
    </w:p>
    <w:p w14:paraId="23889DE2">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2. 因乙方或其聘用的职工违反校纪校规或行为不端，给甲方造成不良影响或实际损失的，甲方有权要求乙方立即对直接责任人予以辞退或调离甲方服务场所，并且限期消除影响、整改问题并赔偿损失。若乙方未按甲方要求及时采取前述措施，或整改后仍不符合要求，甲方有权单方解除本合同，并要求乙方承担相应的违约责任。</w:t>
      </w:r>
    </w:p>
    <w:p w14:paraId="53983EBF">
      <w:pPr>
        <w:pageBreakBefore w:val="0"/>
        <w:widowControl w:val="0"/>
        <w:kinsoku/>
        <w:wordWrap/>
        <w:overflowPunct/>
        <w:topLinePunct w:val="0"/>
        <w:bidi w:val="0"/>
        <w:snapToGrid/>
        <w:spacing w:beforeAutospacing="0" w:afterAutospacing="0" w:line="520" w:lineRule="exact"/>
        <w:ind w:right="0" w:firstLine="640" w:firstLineChars="200"/>
        <w:jc w:val="left"/>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3.甲方提供乙方经营所需的基本条件，除供水、供电、供气公司原因和校内正常检修或相关设备出现意外等情况外，确保水、电、天然气供应。除重大自然灾害或突发情况外，提前给乙方通知停水、停电、停气、停暖等影响经营的相关信息。</w:t>
      </w:r>
    </w:p>
    <w:p w14:paraId="5004EB87">
      <w:pPr>
        <w:pageBreakBefore w:val="0"/>
        <w:widowControl w:val="0"/>
        <w:kinsoku/>
        <w:wordWrap/>
        <w:overflowPunct/>
        <w:topLinePunct w:val="0"/>
        <w:bidi w:val="0"/>
        <w:snapToGrid/>
        <w:spacing w:beforeAutospacing="0" w:afterAutospacing="0" w:line="520" w:lineRule="exact"/>
        <w:ind w:right="0" w:firstLine="640" w:firstLineChars="200"/>
        <w:jc w:val="left"/>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4.甲方代扣代缴其经营期间发生的水、电、燃气、暖气等费用。</w:t>
      </w:r>
    </w:p>
    <w:p w14:paraId="7D547BA1">
      <w:pPr>
        <w:pageBreakBefore w:val="0"/>
        <w:widowControl w:val="0"/>
        <w:kinsoku/>
        <w:wordWrap/>
        <w:overflowPunct/>
        <w:topLinePunct w:val="0"/>
        <w:bidi w:val="0"/>
        <w:snapToGrid/>
        <w:spacing w:beforeAutospacing="0" w:afterAutospacing="0" w:line="520" w:lineRule="exact"/>
        <w:ind w:right="0" w:firstLine="640" w:firstLineChars="200"/>
        <w:jc w:val="left"/>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5.执行学校财务核算制度，完成经营期内的核算和结算工作，完成合约要求的考核。</w:t>
      </w:r>
    </w:p>
    <w:p w14:paraId="58BE800A">
      <w:pPr>
        <w:pageBreakBefore w:val="0"/>
        <w:widowControl w:val="0"/>
        <w:kinsoku/>
        <w:wordWrap/>
        <w:overflowPunct/>
        <w:topLinePunct w:val="0"/>
        <w:bidi w:val="0"/>
        <w:snapToGrid/>
        <w:spacing w:beforeAutospacing="0" w:afterAutospacing="0" w:line="520" w:lineRule="exact"/>
        <w:ind w:right="0" w:firstLine="640" w:firstLineChars="200"/>
        <w:jc w:val="left"/>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6.执行食品原材料供应过程“平进平出”的要求。</w:t>
      </w:r>
    </w:p>
    <w:p w14:paraId="46952249">
      <w:pPr>
        <w:pageBreakBefore w:val="0"/>
        <w:widowControl w:val="0"/>
        <w:kinsoku/>
        <w:wordWrap/>
        <w:overflowPunct/>
        <w:topLinePunct w:val="0"/>
        <w:bidi w:val="0"/>
        <w:snapToGrid/>
        <w:spacing w:beforeAutospacing="0" w:afterAutospacing="0" w:line="520" w:lineRule="exact"/>
        <w:ind w:right="0" w:firstLine="640" w:firstLineChars="200"/>
        <w:jc w:val="left"/>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7.协助乙方办理职工校区出入证及车辆出入许可证，费用由乙方自理。</w:t>
      </w:r>
    </w:p>
    <w:p w14:paraId="18739EEE">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8.有重大就餐人员变动至少提前一天通知乙方。</w:t>
      </w:r>
    </w:p>
    <w:p w14:paraId="277A3E3D">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9.乙方需接受甲方委托管理部门的监督检查，甲方有权按照相关法律法规和行业管理规定监督管理乙方经营过程，监管并考核食堂的环境卫生、生产安全、食品安全、消防安全、价格、品种、数量等可客观衡量的各项工作绩效，是一年综合考评评分重要部分。</w:t>
      </w:r>
    </w:p>
    <w:p w14:paraId="510A8C62">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10.甲方有权要求乙方从服务“大局”出发，从保证校园环境安全稳定出发，无条件服从学校统一安排的临时性或突发性工作任务，配合学校完成大型公益性工作任务。</w:t>
      </w:r>
    </w:p>
    <w:p w14:paraId="606B6EE7">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11.甲方委托管理部门按照学校安全管理部门和当地政府要求，为保证用工安全，有权对乙方全体工作人员进行身份审查，并检查每位从业人员的“三证一档”（身份证、居住证、健康证及职工档案）。乙方必须确保其所聘从业人员符合属地管理和行业从业人员管理规定。对不符合从业资格的人员，甲方有权要求乙方解聘或调离甲方服务场所，并由乙方自行承担解聘或调岗引发的各项人员及其他费用。</w:t>
      </w:r>
    </w:p>
    <w:p w14:paraId="4FB05CC9">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12.有权组织由校工会职工代表和学生代表组成的伙食管理委员表会定期征求教职工和学生意见，并向乙方反馈，甲方有权要求乙方对所反映意见进行整改。</w:t>
      </w:r>
    </w:p>
    <w:p w14:paraId="391AFFA5">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kern w:val="0"/>
          <w:sz w:val="32"/>
          <w:szCs w:val="32"/>
          <w:highlight w:val="none"/>
        </w:rPr>
        <w:t>13. 乙方经营期间出现工伤、食品安全事故、侵权纠纷等各方面受到有关部门警告、罚款和处罚，甲方有权立刻单方解除合同，并要求乙方承担全部损失（包括但不限于甲方被处以的罚金、对第三方的赔偿、为处理事故支出的诉讼费、律师费、鉴定费、差旅费等合理费用），并承担相应的违约责任。</w:t>
      </w:r>
    </w:p>
    <w:p w14:paraId="0E9C7F5B">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第四条  乙方的权利与义务</w:t>
      </w:r>
    </w:p>
    <w:p w14:paraId="103FAF73">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1.为保证学校</w:t>
      </w:r>
      <w:r>
        <w:rPr>
          <w:rFonts w:hint="default" w:ascii="Times New Roman" w:hAnsi="Times New Roman" w:eastAsia="仿宋" w:cs="Times New Roman"/>
          <w:color w:val="auto"/>
          <w:kern w:val="0"/>
          <w:sz w:val="32"/>
          <w:szCs w:val="32"/>
          <w:highlight w:val="none"/>
          <w:lang w:eastAsia="zh-CN"/>
        </w:rPr>
        <w:t>师生</w:t>
      </w:r>
      <w:r>
        <w:rPr>
          <w:rFonts w:hint="default" w:ascii="Times New Roman" w:hAnsi="Times New Roman" w:eastAsia="仿宋" w:cs="Times New Roman"/>
          <w:color w:val="auto"/>
          <w:kern w:val="0"/>
          <w:sz w:val="32"/>
          <w:szCs w:val="32"/>
          <w:highlight w:val="none"/>
        </w:rPr>
        <w:t>的正常就餐，乙方必须在甲方要求的时间内营业。</w:t>
      </w:r>
    </w:p>
    <w:p w14:paraId="335A77F9">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2.乙方必须严格遵守《中华人民共和国食品安全法》《中华人民共和国食品安全法实施条例》《餐饮服务食品安全操作规范》《企业落实食品安全主体责任监督管理规定》等法律法规及甲方制订的各项规章制度、岗位职责和服务规范，确保服务优质，管理规范；严格按照相关法律法规和甲方的规章制度切实做好食品卫生工作，杜绝一切安全卫生事故的发生。在餐饮服务期内对食品卫生、饭菜质量、经营场所安全等全面负责，如果发生问题要接受行政部门处罚；如因乙方原因导致甲方被行政部门处罚或其他第三人索赔，甲方有权要求乙方赔偿由此造成的各项损失（包含但不限于罚金、赔偿金、诉讼费用、律师费用、保全保险费、证据保全费用等）。</w:t>
      </w:r>
    </w:p>
    <w:p w14:paraId="35EC4288">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3.乙方按照相关法律法规合法用工，必须为所用职工缴纳社会保险，</w:t>
      </w:r>
      <w:r>
        <w:rPr>
          <w:rFonts w:hint="default" w:ascii="Times New Roman" w:hAnsi="Times New Roman" w:eastAsia="仿宋" w:cs="Times New Roman"/>
          <w:color w:val="auto"/>
          <w:kern w:val="0"/>
          <w:sz w:val="32"/>
          <w:szCs w:val="32"/>
          <w:highlight w:val="none"/>
        </w:rPr>
        <w:t>承担劳动用工风险。</w:t>
      </w:r>
      <w:r>
        <w:rPr>
          <w:rFonts w:hint="default" w:ascii="Times New Roman" w:hAnsi="Times New Roman" w:eastAsia="仿宋" w:cs="Times New Roman"/>
          <w:color w:val="auto"/>
          <w:sz w:val="32"/>
          <w:szCs w:val="32"/>
          <w:highlight w:val="none"/>
        </w:rPr>
        <w:t>乙方须严格按国家相关法律法规用工。乙方在服务过程中使用的职工，因用工问题产生的所有责任与甲方无关。</w:t>
      </w:r>
    </w:p>
    <w:p w14:paraId="23206659">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sz w:val="32"/>
          <w:szCs w:val="32"/>
          <w:highlight w:val="none"/>
        </w:rPr>
        <w:t>4.</w:t>
      </w:r>
      <w:r>
        <w:rPr>
          <w:rFonts w:hint="default" w:ascii="Times New Roman" w:hAnsi="Times New Roman" w:eastAsia="仿宋" w:cs="Times New Roman"/>
          <w:color w:val="auto"/>
          <w:kern w:val="0"/>
          <w:sz w:val="32"/>
          <w:szCs w:val="32"/>
          <w:highlight w:val="none"/>
        </w:rPr>
        <w:t>乙方需要执行甲方的统一采购、统一配送、统一核算，严禁自行购买食材。</w:t>
      </w:r>
    </w:p>
    <w:p w14:paraId="43EBB5DE">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kern w:val="0"/>
          <w:sz w:val="32"/>
          <w:szCs w:val="32"/>
          <w:highlight w:val="none"/>
        </w:rPr>
        <w:t>5.乙方必须遵守甲方财务管理，使用校园一卡通收费系统，结算/核算工作要求内容真实合法，程序符合规定，严禁其他未经允许的收款方式。</w:t>
      </w:r>
    </w:p>
    <w:p w14:paraId="44B1B10C">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2"/>
          <w:sz w:val="32"/>
          <w:szCs w:val="32"/>
          <w:highlight w:val="none"/>
        </w:rPr>
      </w:pPr>
      <w:r>
        <w:rPr>
          <w:rFonts w:hint="default" w:ascii="Times New Roman" w:hAnsi="Times New Roman" w:eastAsia="仿宋" w:cs="Times New Roman"/>
          <w:color w:val="auto"/>
          <w:kern w:val="2"/>
          <w:sz w:val="32"/>
          <w:szCs w:val="32"/>
          <w:highlight w:val="none"/>
        </w:rPr>
        <w:t>6.乙方应提供中标资格审查中合法经营所需的各项证照真实材料，遵守相关法律法规合法经营，遵守甲方委托管理部门的管理制度，履行招标响应条款，按照合同约定合法经营。并接受甲方的管理、指导、检查、考核，承担经营活动相应的法律和经济责任。</w:t>
      </w:r>
    </w:p>
    <w:p w14:paraId="3DB57259">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7.乙方在规定的经营项目范围内经营。不得擅自扩大经营品种，改变经营方式。在规定的经营场所内经营，不得私设摊点和窗口，扰乱校园秩序。不得超出经营范围、不得将该经营场所用于合同约定以外产品，不得向第三方分包、转包或共同经营。出现违约，视为乙方违反合同，甲方可单方面解除合约，通知乙方离场，后续事项可参照乙方违约解除合同处理。</w:t>
      </w:r>
    </w:p>
    <w:p w14:paraId="6B091F5C">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8.</w:t>
      </w:r>
      <w:r>
        <w:rPr>
          <w:rFonts w:hint="default" w:ascii="Times New Roman" w:hAnsi="Times New Roman" w:eastAsia="仿宋" w:cs="Times New Roman"/>
          <w:color w:val="auto"/>
          <w:highlight w:val="none"/>
        </w:rPr>
        <w:t xml:space="preserve"> </w:t>
      </w:r>
      <w:r>
        <w:rPr>
          <w:rFonts w:hint="default" w:ascii="Times New Roman" w:hAnsi="Times New Roman" w:eastAsia="仿宋" w:cs="Times New Roman"/>
          <w:color w:val="auto"/>
          <w:sz w:val="32"/>
          <w:szCs w:val="32"/>
          <w:highlight w:val="none"/>
        </w:rPr>
        <w:t>乙方须保证其营业执照、食品经营许可证等经营所需的一切证照在本合同履行期间持续合法有效。若前述任何证照有效期届满，乙方应至少提前60日启动续办程序，并在有效期届满前完成续办。乙方的餐饮许可证到期后仍未办理的，甲方有权单方面解除本合同，甲方有权检查和监督乙方在食堂经营过程中是否存在违反上述约定行为，乙方应无条件提供支持和配合。如因乙方原因导致第三方向甲方索赔或其他甲方损失的，甲方有权单方解除合同，乙方应赔偿甲方因此而遭受的一切损失。</w:t>
      </w:r>
    </w:p>
    <w:p w14:paraId="27AFD27D">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9.每年按照8个周期结算账目，甲方执行每期甲方统一采购的食材消耗，能源消耗，其他消耗等三项核算。按期对乙方甲方统一采购的食材消耗占每期收入</w:t>
      </w:r>
      <w:r>
        <w:rPr>
          <w:rFonts w:hint="default" w:ascii="Times New Roman" w:hAnsi="Times New Roman" w:eastAsia="仿宋" w:cs="Times New Roman"/>
          <w:color w:val="auto"/>
          <w:kern w:val="0"/>
          <w:sz w:val="32"/>
          <w:szCs w:val="32"/>
          <w:highlight w:val="none"/>
          <w:u w:val="single"/>
          <w:lang w:val="en-US" w:eastAsia="zh-CN"/>
        </w:rPr>
        <w:t xml:space="preserve">   </w:t>
      </w:r>
      <w:r>
        <w:rPr>
          <w:rFonts w:hint="default" w:ascii="Times New Roman" w:hAnsi="Times New Roman" w:eastAsia="仿宋" w:cs="Times New Roman"/>
          <w:color w:val="auto"/>
          <w:kern w:val="0"/>
          <w:sz w:val="32"/>
          <w:szCs w:val="32"/>
          <w:highlight w:val="none"/>
          <w:u w:val="none"/>
        </w:rPr>
        <w:t>％</w:t>
      </w:r>
      <w:r>
        <w:rPr>
          <w:rFonts w:hint="default" w:ascii="Times New Roman" w:hAnsi="Times New Roman" w:eastAsia="仿宋" w:cs="Times New Roman"/>
          <w:color w:val="auto"/>
          <w:kern w:val="0"/>
          <w:sz w:val="32"/>
          <w:szCs w:val="32"/>
          <w:highlight w:val="none"/>
        </w:rPr>
        <w:t>的指标进行核算，超出部分在甲方支付给乙方的餐饮服务费中扣除，低于的则按每期收入的</w:t>
      </w:r>
      <w:r>
        <w:rPr>
          <w:rFonts w:hint="default" w:ascii="Times New Roman" w:hAnsi="Times New Roman" w:eastAsia="仿宋" w:cs="Times New Roman"/>
          <w:color w:val="auto"/>
          <w:kern w:val="0"/>
          <w:sz w:val="32"/>
          <w:szCs w:val="32"/>
          <w:highlight w:val="none"/>
          <w:u w:val="single"/>
          <w:lang w:val="en-US" w:eastAsia="zh-CN"/>
        </w:rPr>
        <w:t xml:space="preserve">   </w:t>
      </w:r>
      <w:r>
        <w:rPr>
          <w:rFonts w:hint="default" w:ascii="Times New Roman" w:hAnsi="Times New Roman" w:eastAsia="仿宋" w:cs="Times New Roman"/>
          <w:color w:val="auto"/>
          <w:kern w:val="0"/>
          <w:sz w:val="32"/>
          <w:szCs w:val="32"/>
          <w:highlight w:val="none"/>
          <w:u w:val="none"/>
        </w:rPr>
        <w:t>％</w:t>
      </w:r>
      <w:r>
        <w:rPr>
          <w:rFonts w:hint="default" w:ascii="Times New Roman" w:hAnsi="Times New Roman" w:eastAsia="仿宋" w:cs="Times New Roman"/>
          <w:color w:val="auto"/>
          <w:kern w:val="0"/>
          <w:sz w:val="32"/>
          <w:szCs w:val="32"/>
          <w:highlight w:val="none"/>
        </w:rPr>
        <w:t>进行核算;按期对能源消耗占每期收入</w:t>
      </w:r>
      <w:r>
        <w:rPr>
          <w:rFonts w:hint="default" w:ascii="Times New Roman" w:hAnsi="Times New Roman" w:eastAsia="仿宋" w:cs="Times New Roman"/>
          <w:color w:val="auto"/>
          <w:kern w:val="0"/>
          <w:sz w:val="32"/>
          <w:szCs w:val="32"/>
          <w:highlight w:val="none"/>
          <w:u w:val="single"/>
          <w:lang w:val="en-US" w:eastAsia="zh-CN"/>
        </w:rPr>
        <w:t xml:space="preserve">   </w:t>
      </w:r>
      <w:r>
        <w:rPr>
          <w:rFonts w:hint="default" w:ascii="Times New Roman" w:hAnsi="Times New Roman" w:eastAsia="仿宋" w:cs="Times New Roman"/>
          <w:color w:val="auto"/>
          <w:kern w:val="0"/>
          <w:sz w:val="32"/>
          <w:szCs w:val="32"/>
          <w:highlight w:val="none"/>
          <w:u w:val="none"/>
        </w:rPr>
        <w:t>％</w:t>
      </w:r>
      <w:r>
        <w:rPr>
          <w:rFonts w:hint="default" w:ascii="Times New Roman" w:hAnsi="Times New Roman" w:eastAsia="仿宋" w:cs="Times New Roman"/>
          <w:color w:val="auto"/>
          <w:kern w:val="0"/>
          <w:sz w:val="32"/>
          <w:szCs w:val="32"/>
          <w:highlight w:val="none"/>
        </w:rPr>
        <w:t>的指标进行核算，超出部分在甲方支付给乙方的餐饮服务费中扣除，低于的则按每期收入的</w:t>
      </w:r>
      <w:r>
        <w:rPr>
          <w:rFonts w:hint="default" w:ascii="Times New Roman" w:hAnsi="Times New Roman" w:eastAsia="仿宋" w:cs="Times New Roman"/>
          <w:color w:val="auto"/>
          <w:kern w:val="0"/>
          <w:sz w:val="32"/>
          <w:szCs w:val="32"/>
          <w:highlight w:val="none"/>
          <w:u w:val="single"/>
          <w:lang w:val="en-US" w:eastAsia="zh-CN"/>
        </w:rPr>
        <w:t xml:space="preserve">   </w:t>
      </w:r>
      <w:r>
        <w:rPr>
          <w:rFonts w:hint="default" w:ascii="Times New Roman" w:hAnsi="Times New Roman" w:eastAsia="仿宋" w:cs="Times New Roman"/>
          <w:color w:val="auto"/>
          <w:kern w:val="0"/>
          <w:sz w:val="32"/>
          <w:szCs w:val="32"/>
          <w:highlight w:val="none"/>
          <w:u w:val="none"/>
        </w:rPr>
        <w:t>％</w:t>
      </w:r>
      <w:r>
        <w:rPr>
          <w:rFonts w:hint="default" w:ascii="Times New Roman" w:hAnsi="Times New Roman" w:eastAsia="仿宋" w:cs="Times New Roman"/>
          <w:color w:val="auto"/>
          <w:kern w:val="0"/>
          <w:sz w:val="32"/>
          <w:szCs w:val="32"/>
          <w:highlight w:val="none"/>
        </w:rPr>
        <w:t>进行核算；按期对其他消耗占每期收入的</w:t>
      </w:r>
      <w:r>
        <w:rPr>
          <w:rFonts w:hint="default" w:ascii="Times New Roman" w:hAnsi="Times New Roman" w:eastAsia="仿宋" w:cs="Times New Roman"/>
          <w:color w:val="auto"/>
          <w:kern w:val="0"/>
          <w:sz w:val="32"/>
          <w:szCs w:val="32"/>
          <w:highlight w:val="none"/>
          <w:u w:val="single"/>
          <w:lang w:val="en-US" w:eastAsia="zh-CN"/>
        </w:rPr>
        <w:t xml:space="preserve">   </w:t>
      </w:r>
      <w:r>
        <w:rPr>
          <w:rFonts w:hint="default" w:ascii="Times New Roman" w:hAnsi="Times New Roman" w:eastAsia="仿宋" w:cs="Times New Roman"/>
          <w:color w:val="auto"/>
          <w:kern w:val="0"/>
          <w:sz w:val="32"/>
          <w:szCs w:val="32"/>
          <w:highlight w:val="none"/>
          <w:u w:val="none"/>
        </w:rPr>
        <w:t>％</w:t>
      </w:r>
      <w:r>
        <w:rPr>
          <w:rFonts w:hint="default" w:ascii="Times New Roman" w:hAnsi="Times New Roman" w:eastAsia="仿宋" w:cs="Times New Roman"/>
          <w:color w:val="auto"/>
          <w:kern w:val="0"/>
          <w:sz w:val="32"/>
          <w:szCs w:val="32"/>
          <w:highlight w:val="none"/>
        </w:rPr>
        <w:t>指标进行核算，超出部分在甲方支付给乙方的餐饮服务费中扣除，低于的则按每期收入的</w:t>
      </w:r>
      <w:r>
        <w:rPr>
          <w:rFonts w:hint="default" w:ascii="Times New Roman" w:hAnsi="Times New Roman" w:eastAsia="仿宋" w:cs="Times New Roman"/>
          <w:color w:val="auto"/>
          <w:kern w:val="0"/>
          <w:sz w:val="32"/>
          <w:szCs w:val="32"/>
          <w:highlight w:val="none"/>
          <w:u w:val="single"/>
          <w:lang w:val="en-US" w:eastAsia="zh-CN"/>
        </w:rPr>
        <w:t xml:space="preserve">   </w:t>
      </w:r>
      <w:r>
        <w:rPr>
          <w:rFonts w:hint="default" w:ascii="Times New Roman" w:hAnsi="Times New Roman" w:eastAsia="仿宋" w:cs="Times New Roman"/>
          <w:color w:val="auto"/>
          <w:kern w:val="0"/>
          <w:sz w:val="32"/>
          <w:szCs w:val="32"/>
          <w:highlight w:val="none"/>
          <w:u w:val="none"/>
        </w:rPr>
        <w:t>％</w:t>
      </w:r>
      <w:r>
        <w:rPr>
          <w:rFonts w:hint="default" w:ascii="Times New Roman" w:hAnsi="Times New Roman" w:eastAsia="仿宋" w:cs="Times New Roman"/>
          <w:color w:val="auto"/>
          <w:kern w:val="0"/>
          <w:sz w:val="32"/>
          <w:szCs w:val="32"/>
          <w:highlight w:val="none"/>
        </w:rPr>
        <w:t>进行核算（其他消耗：烟道清洗费、燃气报警器和探头检测费、厨余垃圾处置费、灭蟑灭鼠费、疏通下水费、文印费、公共区域维修、监督管理人工费）。</w:t>
      </w:r>
    </w:p>
    <w:p w14:paraId="2FA981AF">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10.合同履行期间，乙方须每年向甲方备案该餐厅营业的财务报表和完税审计报告。</w:t>
      </w:r>
    </w:p>
    <w:p w14:paraId="37852A2F">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11.乙方享有该餐厅餐饮服务权，不享有高校伙食补贴。乙方应以自身名义独立开展经营活动、对外承担责任。因餐饮服务活动所产生的一切债权、债务及纠纷，均由乙方自行负责处理与承担。乙方须独立承担其在物价管理、依法纳税、安全生产、质量检验、员工聘用（包括但不限于签订劳动合同、支付薪酬、缴纳社会保险及处理劳动争议）等方面的一切法律责任。凡在餐厅餐饮服务过程中发生的一切财产损失、人身损害事故及因此引发的赔偿、处罚或其他法律后果，其全部责任及相关费用均由乙方独立承担。</w:t>
      </w:r>
    </w:p>
    <w:p w14:paraId="6A6B343B">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12.乙方必须按照招标时承诺并通过甲方审批的餐厅装修、投入标明品牌的设备设施和经营布局方案实施，如有变更属重大变更，必须经过甲方重新审核通过。</w:t>
      </w:r>
    </w:p>
    <w:p w14:paraId="5EA49EEC">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除本合同另有明确约定外，甲方不承担合同到期或终止时任何对乙方及第三方的补偿义务。不论任何原因，合同终止、解除或到期后乙方所投入的装修价值及一切不可搬离的设备设施归甲方所有，乙方不再具有支配权、所有权、使用权；可搬离的设备设施归乙方所有，但应当在甲方通知之日起10日内搬离，如逾期则甲方有权自行处置，乙方放弃所有权归甲方所有，同时如甲方因处置发生费用由乙方承担。</w:t>
      </w:r>
    </w:p>
    <w:p w14:paraId="41CD820E">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kern w:val="0"/>
          <w:sz w:val="32"/>
          <w:szCs w:val="32"/>
          <w:highlight w:val="none"/>
        </w:rPr>
        <w:t>甲方提供的房屋、设备设施在合同期内由乙方管理使用，</w:t>
      </w:r>
      <w:r>
        <w:rPr>
          <w:rFonts w:hint="default" w:ascii="Times New Roman" w:hAnsi="Times New Roman" w:eastAsia="仿宋" w:cs="Times New Roman"/>
          <w:color w:val="auto"/>
          <w:sz w:val="32"/>
          <w:szCs w:val="32"/>
          <w:highlight w:val="none"/>
        </w:rPr>
        <w:t>并负责设备设施维护保养工作，对经营场地和现有的装修装潢不得擅自拆改、扩建、增添，如需改造需先征得甲方书面同意</w:t>
      </w:r>
      <w:r>
        <w:rPr>
          <w:rFonts w:hint="default" w:ascii="Times New Roman" w:hAnsi="Times New Roman" w:eastAsia="仿宋" w:cs="Times New Roman"/>
          <w:color w:val="auto"/>
          <w:kern w:val="0"/>
          <w:sz w:val="32"/>
          <w:szCs w:val="32"/>
          <w:highlight w:val="none"/>
        </w:rPr>
        <w:t>。</w:t>
      </w:r>
    </w:p>
    <w:p w14:paraId="5BD451A1">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13.餐厅的装修、后堂厨具、炊事用具、就餐餐具、职工健康证办理和服装、消防用品、明厨亮照以及用工成本均由乙方投入支付。建设装修应遵守安全规定：（1）不破坏房屋主体结构；（2）不私自改动建筑物内原有天然气供气管道和不可移动的消防设备和设施；（3）未经主管部门同意，不得私自改动配电柜和主供电线路；（4）不得安装使用超过房间总电路负荷的用电设备、不得自行拆移各种设施、设备、不得影响其他单位的正常运转；（5）操作间各区域的建设要遵照《餐饮服务通用卫生规范》（GB31654-2021）和《餐饮服务食品安全操作规范》；不允许生明火、住人、经商、存放化学试剂等用途；（6）乙方承诺并保证有关的工程装修人员应遵守国家装修类相关规范，否则，甲方有权终止或解除合同，甲方因此所遭受的损失由乙方赔偿；（7）后堂厨具需使用质量合格产品，需提供产品合格证明，杜绝不合格产品引发的安全事故、不得使用煤、木炭、罐装液化气等加热方式的厨具，炊具用品需满足食品药品监督局的有关规定；（8）餐具需购置可以通过甲方限定的规格，如：材质、型号大小，出现异形餐具无法进入甲方洗碗机清洗、消毒情况，乙方必须配备相应的清洗、消毒、保洁设备，保证餐具和厨具满足《餐饮服务通用卫生规范》（GB31654-2021）要求；（9）乙方必须配备符合《中华人民共和国食品安全法》、《餐饮服务通用卫生规范》（GB31654-2021）要求的消毒、照明、防除“四害”的用具、设施及消防用具；必须做好用具的消洗管理，接受国家相关部门及甲方对餐具、用具的卫生检测。规范操作规程，确保饮食安全。由于用具不洁而造成疾病的感染和传播，甲方有权解除合同，同时乙方应负责由此产生的经济和法律责任。</w:t>
      </w:r>
    </w:p>
    <w:p w14:paraId="5DFBA80D">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14.乙方承诺在合同期间树立为师生服务的意识，确立公益便利的微利经营理念。向甲方的师生提供安全合格的餐饮服务。</w:t>
      </w:r>
    </w:p>
    <w:p w14:paraId="541D03FB">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15.乙方合同期内的经营活动必须以投标时中标企业为责任主体。不得按甲方的名义开展经营活动，不得在对外宣传、经营活动以及票据的样式使用甲方的标志、名称或者字样，不得做出任何有可能使第三方误认乙方经营主体是甲方的代表、雇员或者代理人的行为。乙方在甲方不知情状况下，违反约定，发生事故，所产生的一切责任均由乙方独自承担。</w:t>
      </w:r>
    </w:p>
    <w:p w14:paraId="179FE7B0">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16.卫生标准：严格按照《中华人民共和国食品安全法》、教育部、卫生部《学校食堂与学生集体用餐卫生管理规定》、《餐饮服务通用卫生规范》（GB31654-2021）的要求，以及甲方日常管理的相关规章制度执行。特别要做好用工安全、食品的留样工作，做好各种餐具、用具的洗涤、消毒工作并做好记录，记录存档三年。</w:t>
      </w:r>
    </w:p>
    <w:p w14:paraId="5A52E0D0">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24"/>
          <w:szCs w:val="24"/>
          <w:highlight w:val="none"/>
        </w:rPr>
      </w:pPr>
      <w:r>
        <w:rPr>
          <w:rFonts w:hint="default" w:ascii="Times New Roman" w:hAnsi="Times New Roman" w:eastAsia="仿宋" w:cs="Times New Roman"/>
          <w:color w:val="auto"/>
          <w:kern w:val="0"/>
          <w:sz w:val="32"/>
          <w:szCs w:val="32"/>
          <w:highlight w:val="none"/>
        </w:rPr>
        <w:t>17.乙方使用所有职工必须执有有效的健康体检报告和健康证才能上岗，对无健康证或健康体检不合格者严禁使用。乙方特种设备操作员必须持证上岗。</w:t>
      </w:r>
    </w:p>
    <w:p w14:paraId="650286FD">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18.乙方须在规定的经营项目范围和经营场所内从事经营服务工作，不得私设摊点和窗口，各项服务价格按规定的成本要求控制，做到明码标价、质价相符，不得擅自涨价，服从甲方的统一管理。乙方确因物价上涨等原因需要调价或新增品种，需提前30个工作日向甲方提交书面申请，经同意后方可进行调整。</w:t>
      </w:r>
    </w:p>
    <w:p w14:paraId="17713D77">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19.乙方负责餐厅内从业人员的食品安全、安全用电、防火、防事故、防疫、业务技能和职业道德等专项培训，加强有关法律法规及甲方各项规章制度的学习。</w:t>
      </w:r>
    </w:p>
    <w:p w14:paraId="33FDBCD7">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20.乙方应加强餐厅内外场地的管理，未经甲方批准不举办活动、不得出借场地；加强橱窗、电子屏、电视、广播、展板等的管理，确保正面宣传和引导；乙方在餐厅内使用电视等娱乐设施时，严禁播放法律法规禁止的内容和不雅音像制品；在经营区域内严禁抽烟、酗酒、赌博。</w:t>
      </w:r>
    </w:p>
    <w:p w14:paraId="1CC92778">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sz w:val="32"/>
          <w:szCs w:val="32"/>
          <w:highlight w:val="none"/>
        </w:rPr>
        <w:t>21.乙方应维护甲方校园良好的环境，经营活动不得破坏甲方周边环境、影响甲方正常的教学、生活秩序。</w:t>
      </w:r>
    </w:p>
    <w:p w14:paraId="75B7F6AF">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22.乙方在合同期内时，有爱护、维护甲方设施设备（包括燃气管道及配套设备）、国有资产的义务和责任，不得随意损坏、拆借甲方提供的固定资产。</w:t>
      </w:r>
    </w:p>
    <w:p w14:paraId="13A21066">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23.乙方应严格遵守国家及学校相关的财务管理制度，遵守甲方收费制度和核算制度，实行刷卡结算业务。并同意接受甲方的监督和管理。一旦出现私设收款机、私收现金或私设微信二维码收取消费金额，均视为严重违约行为，按甲方相关规定处罚和处理。</w:t>
      </w:r>
    </w:p>
    <w:p w14:paraId="01EB4F8D">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24.乙方遵循甲方采购制度，做好食品验收和保管工作，食品保管必须作到离墙、离地、上架，防尘、防霉、防鼠害等，确保食品质量。特殊食材要在甲方委托管理部门备案，必须主动提供食品原料的相关有效证件，审验批准自行采购后，才可采购，否则一律视为自行违规将按甲方相关制度处罚，同时不论甲方是否批准采购，乙方均不得采购不符合食品安全要求的材料，若发生食品安全事故或造成人员人身、财产损失，甲方均有权解除合同，并要求乙方承担损失赔偿责任。</w:t>
      </w:r>
    </w:p>
    <w:p w14:paraId="33E363BF">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25.乙方法定代表人是食堂安全的第一责任人，应安排专人负责各种设施设备，保证水、电、燃气、蒸汽的使用安全。负责燃气设施的人员必须经过培训，并持有效上岗证上岗。乙方应与甲方签订消防安全责任书和综合治理责任书。食堂用电设备不得超过总负荷。</w:t>
      </w:r>
    </w:p>
    <w:p w14:paraId="65CF3AFE">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26.定期做好“四害”的消杀工作，确保食品卫生安全。</w:t>
      </w:r>
    </w:p>
    <w:p w14:paraId="60840C86">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27.需加强对职工和财产的管理，经营期间所发生的人员伤亡、财产损失，均由乙方负责。</w:t>
      </w:r>
    </w:p>
    <w:p w14:paraId="4231472C">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28.必须遵守和执行校园的治安、消防等规章制度，做好安全生产工作，接受甲方和地方公安部门的治安管理。应自觉维护经营场所内的所有消防安全设施，严禁把消防设施作消防以外的用途使用。</w:t>
      </w:r>
    </w:p>
    <w:p w14:paraId="3AA68857">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29.乙方在合同期内须配合甲方做好学生民主参与管理的工作，参加甲方召开的座谈会，听取师生对伙食工作的意见，不断改进工作。</w:t>
      </w:r>
    </w:p>
    <w:p w14:paraId="54CF5555">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30.按照学校有关要求，建立相关的应急响应突发制度，投入建设，具有相应的突发事件应急处置能力；并购买不低于500万元的餐厅食品安全责任险和公众责任险，保证就餐师生生命财产的安全。</w:t>
      </w:r>
    </w:p>
    <w:p w14:paraId="3CC50CF8">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31.如因食品卫生、伙食品种和质量、价格等问题引起学生不满或发生食品安全问题的，乙方必须做出书面的、公开的解释，提出解决方案并赔偿甲方因此而遭受的全部损失；如加工出售的食品引起病源性传播或食物中毒，由此所造成的损失由乙方负责并承担相应的法律和经济责任；不得加工出售政府和甲方明令禁止的食物，如有违反，将依法移交有关部门进行处理。</w:t>
      </w:r>
    </w:p>
    <w:p w14:paraId="1AD605B6">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32. 经营品种、价格及份量等明细需在甲方委托管理部门报备。如要更换饭菜品种、变更饭菜价格，需书面上报甲方委托管理部门，经甲方书面同意后方可变更，否则视为乙方违约，甲方有权依据本合同相关约定及甲方有效的管理制度，对乙方采取包括但不限于要求整改、处以违约金直至解除合同等措施。</w:t>
      </w:r>
    </w:p>
    <w:p w14:paraId="30222A2A">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pacing w:val="0"/>
          <w:sz w:val="32"/>
          <w:szCs w:val="32"/>
          <w:highlight w:val="none"/>
        </w:rPr>
      </w:pPr>
      <w:r>
        <w:rPr>
          <w:rFonts w:hint="default" w:ascii="Times New Roman" w:hAnsi="Times New Roman" w:eastAsia="仿宋" w:cs="Times New Roman"/>
          <w:color w:val="auto"/>
          <w:sz w:val="32"/>
          <w:szCs w:val="32"/>
          <w:highlight w:val="none"/>
        </w:rPr>
        <w:t>33.</w:t>
      </w:r>
      <w:r>
        <w:rPr>
          <w:rFonts w:hint="default" w:ascii="Times New Roman" w:hAnsi="Times New Roman" w:eastAsia="仿宋" w:cs="Times New Roman"/>
          <w:color w:val="auto"/>
          <w:spacing w:val="0"/>
          <w:sz w:val="32"/>
          <w:szCs w:val="32"/>
          <w:highlight w:val="none"/>
        </w:rPr>
        <w:t xml:space="preserve"> 乙方在经营过程中如遇食品安全事故、群体性事件、重大安全事故或其他可能影响校园秩序的突发或紧急事件，必须立即（原则上不晚于事件发生后30分钟）向甲方及甲方委托的管理部门报告，并采取一切必要措施先行控制事态、降低危害。</w:t>
      </w:r>
    </w:p>
    <w:p w14:paraId="18B4BEE7">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spacing w:val="0"/>
          <w:kern w:val="0"/>
          <w:sz w:val="32"/>
          <w:szCs w:val="32"/>
          <w:highlight w:val="none"/>
        </w:rPr>
        <w:t>对于前述突发事件，若甲方判断其已或可能危及校园整体安全、公共秩序或甲方正常教学管理工作的，甲方有权根据情况需要，直接介入并统一指挥、调配乙方的人员、物资、场地等资源，用于应急处置。乙方对此必须无条件予以配合</w:t>
      </w:r>
      <w:r>
        <w:rPr>
          <w:rFonts w:hint="default" w:ascii="Times New Roman" w:hAnsi="Times New Roman" w:eastAsia="仿宋" w:cs="Times New Roman"/>
          <w:color w:val="auto"/>
          <w:kern w:val="0"/>
          <w:sz w:val="32"/>
          <w:szCs w:val="32"/>
          <w:highlight w:val="none"/>
        </w:rPr>
        <w:t>。</w:t>
      </w:r>
    </w:p>
    <w:p w14:paraId="35F79282">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34.乙方服务餐厅每学期开业、停业时间严格按甲方安排执行，特殊情况按照甲方通知为准；制定出开餐服务时间，并征得甲方同意，开餐期间必须保证饭菜的正常供应；节假日、寒暑假期间根据甲方的安排开餐，未经甲方同意不得停业。以下时间段内必须保证供餐：</w:t>
      </w:r>
    </w:p>
    <w:p w14:paraId="7A7BC45D">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早餐：8:30—10:30    午餐：13:00—15:00</w:t>
      </w:r>
    </w:p>
    <w:p w14:paraId="4DA4339E">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晚餐：18:00—20:30（23:30前必须停止营业）</w:t>
      </w:r>
    </w:p>
    <w:p w14:paraId="1139FAB2">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35.乙方对</w:t>
      </w:r>
      <w:r>
        <w:rPr>
          <w:rFonts w:hint="default" w:ascii="Times New Roman" w:hAnsi="Times New Roman" w:eastAsia="仿宋" w:cs="Times New Roman"/>
          <w:color w:val="auto"/>
          <w:kern w:val="0"/>
          <w:sz w:val="32"/>
          <w:szCs w:val="32"/>
          <w:highlight w:val="none"/>
        </w:rPr>
        <w:t>服务餐厅餐饮</w:t>
      </w:r>
      <w:r>
        <w:rPr>
          <w:rFonts w:hint="default" w:ascii="Times New Roman" w:hAnsi="Times New Roman" w:eastAsia="仿宋" w:cs="Times New Roman"/>
          <w:color w:val="auto"/>
          <w:sz w:val="32"/>
          <w:szCs w:val="32"/>
          <w:highlight w:val="none"/>
        </w:rPr>
        <w:t>服务过程中发生的一切债权债务、财产损失、人身事故等承担全部责任及费用。</w:t>
      </w:r>
    </w:p>
    <w:p w14:paraId="649C3D53">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第五条  餐饮供应要求</w:t>
      </w:r>
    </w:p>
    <w:p w14:paraId="364713D8">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1.经营服务要求：乙方应依法经营，履行学校集中用餐应当坚持的公益便利的原则，每学期开学前审批带量食谱和价格，提供优质的饮食服务，保障师生的合法权益，确保饮食安全。乙方开展经营服务活动应符合《中华人民共和国食品安全法》、《中华人民共和国安全生产法》、《餐饮服务食品安全操作规程》，教育部、卫生部《学校食堂与学生集体用餐卫生管理规定》、《高等学校学生食堂伙食结构及成本核算指导意见》等法律法规，遵守甲方的相关管理规定和要求，做好食堂的服务经营管理。乙方在经营服务中应建立和完善各项操作规程。乙方与甲方签订食品安全责任书，并予以遵守。</w:t>
      </w:r>
    </w:p>
    <w:p w14:paraId="70E4C024">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2.乙方可在合同有效期内，经营早、中、晚、夜宵等餐点，但必须保证有30%的品种不与其他食堂重复或雷同。每学期按照给甲方报备的饭菜的品种、规格、价格经营。如调整饭菜品种、价格需提前书面告知甲方，获得许可后，履行甲方委托管理部门的正常备案程序，但调整比例不得高于原基础上品种数量的30%、价格的20%。</w:t>
      </w:r>
    </w:p>
    <w:p w14:paraId="7E1061BA">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3.品种、价格要求按照甲方规定的执行。</w:t>
      </w:r>
    </w:p>
    <w:p w14:paraId="016DB2D4">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（1）饭菜标准</w:t>
      </w:r>
    </w:p>
    <w:p w14:paraId="28D093B0">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①供应餐次：早餐、中餐、晚餐、宵夜（全天随时供应）</w:t>
      </w:r>
    </w:p>
    <w:p w14:paraId="5B92FDDB">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②花色品种及价格要求：</w:t>
      </w:r>
    </w:p>
    <w:p w14:paraId="1547B009">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a.早餐主副食≥15个，定价区间在1-8元/份；</w:t>
      </w:r>
    </w:p>
    <w:p w14:paraId="4DC4AA46">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午餐主副食≥30个，定价区间在7-20元/份；</w:t>
      </w:r>
    </w:p>
    <w:p w14:paraId="01CD9A46">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晚餐主副食≥20个，定价区间在7-20元/份；</w:t>
      </w:r>
    </w:p>
    <w:p w14:paraId="21A26641">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b.饭菜定价要低于学校周边同品类同份量饭菜价格的15%-20%。甲方有权监督乙方调剂餐经营毛利率不得超过45%。对不合理超出部门，甲方书面通知乙方，为保证消费者利益，通过论证调查，报告上级主管部门，可要求调整降低经营业态售卖价格或提升品质。</w:t>
      </w:r>
    </w:p>
    <w:p w14:paraId="603C441E">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c.经营品种与校内风味档口经营品种雷同率不得高于30%，独有供应饭菜品种应大于食堂全部供应品类的30%。</w:t>
      </w:r>
    </w:p>
    <w:p w14:paraId="6CAA56DD">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4.质量要求：保质保量，且必须符合餐饮服务食品安全的有关规定。同等品种、价格的主食，不得超出甲方基本灶限定重量标准的20%。单品份菜的重量在300克左右（上下浮动20克左右），荤菜按肉类不少于25%、菜类不高于75%搭配比例制作。克数要求具体如下：</w:t>
      </w:r>
    </w:p>
    <w:p w14:paraId="2FFB01CD">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（1）量小型</w:t>
      </w:r>
    </w:p>
    <w:p w14:paraId="5EDDB21B">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无汁无汤的菜品150克左右</w:t>
      </w:r>
    </w:p>
    <w:p w14:paraId="5FA0BFD6">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带汁菜品180克左右</w:t>
      </w:r>
    </w:p>
    <w:p w14:paraId="4D23D00A">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带汤的菜品200克左右</w:t>
      </w:r>
    </w:p>
    <w:p w14:paraId="4919FCD4">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（2）量大型</w:t>
      </w:r>
    </w:p>
    <w:p w14:paraId="3562EA3A">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 xml:space="preserve"> 无汁无汤的菜品250克左右</w:t>
      </w:r>
    </w:p>
    <w:p w14:paraId="01E169CB">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 xml:space="preserve"> 带汁菜品280克左右</w:t>
      </w:r>
    </w:p>
    <w:p w14:paraId="5EB5E1C6">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 xml:space="preserve"> 带汤的菜品300克左右</w:t>
      </w:r>
    </w:p>
    <w:p w14:paraId="1262F981">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5.服务时间要求：在不影响学校正常教学秩序的前提下，保障师生用餐需求。</w:t>
      </w:r>
    </w:p>
    <w:p w14:paraId="62FC7362">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6.特殊保障服务：法定节假日、寒暑假期间的供膳工作，由甲方根据实际情况进行协调，并与乙方协商安排。如遇学校交给大型公益活动、学校临时性餐饮的工作和任务，乙方需无条件支持。</w:t>
      </w:r>
    </w:p>
    <w:p w14:paraId="276356B9">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第六条  安全生产要求</w:t>
      </w:r>
    </w:p>
    <w:p w14:paraId="04ECC6F8">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乙方应严格遵照《中人民共和国安全生产法》从事生产经营，制订生产安全管理制度、食品安全管理制度和消防安全管理制度。做好职工的安全知识的教育和培训工作等。</w:t>
      </w:r>
    </w:p>
    <w:p w14:paraId="65F5BEA1">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第七条  债权、债务</w:t>
      </w:r>
    </w:p>
    <w:p w14:paraId="4652F784">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乙方在经营期间所发生的所有货款及其它经济往来均由乙方负责。如发生经济纠纷，甲方不予负责。</w:t>
      </w:r>
    </w:p>
    <w:p w14:paraId="7259C0D3">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第八条  乙方职工劳动报酬及人身安全</w:t>
      </w:r>
    </w:p>
    <w:p w14:paraId="0FA98AC0">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乙方在承包期间乙方与乙方职工签订劳动合同，所有食堂人员的工资、酬金、社保费及其人身安全等均系乙方与其职工的法律关系，由乙方负责。如发生任何纠纷或人身安全事故，所有责任由乙方承担，若造成甲方损失，甲方有权解除合同并要求乙方赔偿。</w:t>
      </w:r>
    </w:p>
    <w:p w14:paraId="12747A38">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第九条  违约责任</w:t>
      </w:r>
    </w:p>
    <w:p w14:paraId="3C5B9789">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1.</w:t>
      </w:r>
      <w:r>
        <w:rPr>
          <w:rFonts w:hint="default" w:ascii="Times New Roman" w:hAnsi="Times New Roman" w:eastAsia="仿宋" w:cs="Times New Roman"/>
          <w:color w:val="auto"/>
          <w:highlight w:val="none"/>
        </w:rPr>
        <w:t xml:space="preserve"> </w:t>
      </w:r>
      <w:r>
        <w:rPr>
          <w:rFonts w:hint="default" w:ascii="Times New Roman" w:hAnsi="Times New Roman" w:eastAsia="仿宋" w:cs="Times New Roman"/>
          <w:color w:val="auto"/>
          <w:sz w:val="32"/>
          <w:szCs w:val="32"/>
          <w:highlight w:val="none"/>
        </w:rPr>
        <w:t>甲方无正当理由逾期付款的，以应付未付价款为基数，按一年期LPR利率支付逾期利息。</w:t>
      </w:r>
    </w:p>
    <w:p w14:paraId="1FEE41E2">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2.除本合同另有约定外，乙方未能履行本合同约定的义务，甲方有权要求扣除各类保证金（如有），同时要求乙方限期整改，并有权视情节轻重要求乙方支付10000至30000元的违约金。如在甲方要求的整改期限内，乙方未能按甲方的要求进行整改，甲方有权单方终止、解除合同，扣除全部各类保证金（如有），并有权要求乙方赔偿甲方因此遭受的一切损失。乙方承担提前终止、解除合同的一切法律和经济责任。</w:t>
      </w:r>
    </w:p>
    <w:p w14:paraId="21220F31">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3.因乙方原因，需终止、解除合同时，乙方必须提前一个月向甲方提出书面请求并承担合同约定解除、终止合同的后果，未获得甲方同意乙方应按本合同要求继续提供饮食服务，不得擅自离场，否则所有的责任和损失均由乙方承担。</w:t>
      </w:r>
    </w:p>
    <w:p w14:paraId="6C8B0DE6">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4.因不可抗力（包括但不限于自然灾害，国家、各级政府及其相关部门颁布的法规、规章及政策的变化），致使双方不能继续履行合同的除外。</w:t>
      </w:r>
    </w:p>
    <w:p w14:paraId="64287B05">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5.</w:t>
      </w:r>
      <w:r>
        <w:rPr>
          <w:rFonts w:hint="default" w:ascii="Times New Roman" w:hAnsi="Times New Roman" w:eastAsia="仿宋" w:cs="Times New Roman"/>
          <w:color w:val="auto"/>
          <w:highlight w:val="none"/>
        </w:rPr>
        <w:t xml:space="preserve"> </w:t>
      </w:r>
      <w:r>
        <w:rPr>
          <w:rFonts w:hint="default" w:ascii="Times New Roman" w:hAnsi="Times New Roman" w:eastAsia="仿宋" w:cs="Times New Roman"/>
          <w:color w:val="auto"/>
          <w:sz w:val="32"/>
          <w:szCs w:val="32"/>
          <w:highlight w:val="none"/>
        </w:rPr>
        <w:t>对于乙方未按时履行的合同义务（如保洁、维修、垃圾清运等），经甲方催告后仍未在合理期限内履行的，甲方有权自行或委托第三方代为履行，由此产生的全部费用均由乙方承担。</w:t>
      </w:r>
    </w:p>
    <w:p w14:paraId="4C6AEA03">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6.乙方在合同期内无故终止合同，甲方将不予退还经营保证金（如有），乙方除承担因非甲方原因解除、终止合同的不利后果外，甲方有权要求乙方支付15万元的违约金并保留进一步追索赔偿经济损失的权利。</w:t>
      </w:r>
    </w:p>
    <w:p w14:paraId="3AAF76C1">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7.</w:t>
      </w:r>
      <w:r>
        <w:rPr>
          <w:rFonts w:hint="default" w:ascii="Times New Roman" w:hAnsi="Times New Roman" w:eastAsia="仿宋" w:cs="Times New Roman"/>
          <w:color w:val="auto"/>
          <w:highlight w:val="none"/>
        </w:rPr>
        <w:t xml:space="preserve"> </w:t>
      </w:r>
      <w:r>
        <w:rPr>
          <w:rFonts w:hint="default" w:ascii="Times New Roman" w:hAnsi="Times New Roman" w:eastAsia="仿宋" w:cs="Times New Roman"/>
          <w:color w:val="auto"/>
          <w:sz w:val="32"/>
          <w:szCs w:val="32"/>
          <w:highlight w:val="none"/>
        </w:rPr>
        <w:t>乙方应按照合同约定保质、保量、按时为甲方师生提供餐饮服务。如因乙方原因导致供餐中断、延误或质量不达标，影响学校正常教学、生活秩序持续超过1小时的，甲方有权立即要求乙方采取补救措施，并可视影响程度及范围，要求乙方支付10000至30000元的违约金。</w:t>
      </w:r>
    </w:p>
    <w:p w14:paraId="22198B29">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8.因乙方或其职工在经营期间发生违法行为（包括但不限于治安违法、刑事犯罪等），或违反校纪校规、社会公德的行为，给甲方的声誉、形象造成负面舆情、社会不良影响或导致甲方被政府主管部门通报、约谈、处罚的，甲方有权单方解除本合同，并要求乙方在事件发生后24小时内启动危机公关处理，采取一切必要措施消除不良影响。甲方有权要求乙方支付人民币5万元的违约金，若该金额不足以弥补甲方实际损失的，甲方有权继续向乙方追偿。甲方同时保留将违法行为移交司法机关处理的权利。</w:t>
      </w:r>
    </w:p>
    <w:p w14:paraId="6CA49066">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9.如乙方出现如下情况之一，甲方有权与乙方解除合同，有权要求乙方支付15万元的违约金，</w:t>
      </w:r>
      <w:r>
        <w:rPr>
          <w:rFonts w:hint="default" w:ascii="Times New Roman" w:hAnsi="Times New Roman" w:eastAsia="仿宋" w:cs="Times New Roman"/>
          <w:color w:val="auto"/>
          <w:kern w:val="0"/>
          <w:sz w:val="32"/>
          <w:szCs w:val="32"/>
          <w:highlight w:val="none"/>
        </w:rPr>
        <w:t>由乙方承担全部经济损失和法律责任，包括</w:t>
      </w:r>
      <w:r>
        <w:rPr>
          <w:rFonts w:hint="default" w:ascii="Times New Roman" w:hAnsi="Times New Roman" w:eastAsia="仿宋" w:cs="Times New Roman"/>
          <w:color w:val="auto"/>
          <w:sz w:val="32"/>
          <w:szCs w:val="32"/>
          <w:highlight w:val="none"/>
        </w:rPr>
        <w:t>依照本合同及相关法律规定要求违约方承担因违约行为而遭致的直接经济损失及任何可预期的间接损失及额外的费用，甲方有权直接从履约保证金（如有）中扣除，不足部分乙方须另行补足。</w:t>
      </w:r>
    </w:p>
    <w:p w14:paraId="476E8D30">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（1）乙方未遵守相关法律法规、行业标准以及与甲方签订的相关合同文件中的约定，违规经营，造成混乱，影响学校正常秩序。</w:t>
      </w:r>
    </w:p>
    <w:p w14:paraId="06476292">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sz w:val="32"/>
          <w:szCs w:val="32"/>
          <w:highlight w:val="none"/>
        </w:rPr>
        <w:t>（2）乙方违反本合同约定的经营范围；或擅自将食堂的经营权进行分包、转包、与其他方共同经营的</w:t>
      </w:r>
      <w:r>
        <w:rPr>
          <w:rFonts w:hint="default" w:ascii="Times New Roman" w:hAnsi="Times New Roman" w:eastAsia="仿宋" w:cs="Times New Roman"/>
          <w:color w:val="auto"/>
          <w:highlight w:val="none"/>
        </w:rPr>
        <w:t>。</w:t>
      </w:r>
    </w:p>
    <w:p w14:paraId="74C17384">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（3）拒绝接受有关政府行政管理部门、行业组织、学校相关管理部门的管理、检查、监督等工作且情节严重、影响恶劣。</w:t>
      </w:r>
    </w:p>
    <w:p w14:paraId="730BB58D">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（4）发生一般及以上级别的食品安全事故或其他重大安全责任事故。</w:t>
      </w:r>
    </w:p>
    <w:p w14:paraId="639E741A">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（5）被食品安全监管部门或其他政府相关管理部门在日常监督检查中发现严重问题进行查处、受到处罚且限期整改不力。</w:t>
      </w:r>
    </w:p>
    <w:p w14:paraId="214BEDF0">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（6）饭菜品质、数量、价格、用工安全、食品卫生未按规定执行，因企业自身原因引起学生罢餐、围攻以及影响学校声誉的网络舆情等群体性事件。</w:t>
      </w:r>
    </w:p>
    <w:p w14:paraId="775C9DA6">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（7）未按合同约定范围经营、违规采购、违规合作经营、擅自更换履约人等行为。</w:t>
      </w:r>
    </w:p>
    <w:p w14:paraId="6F190B09">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（8）掺杂使假，销售无证、过期、有害(变质、有毒)食品。</w:t>
      </w:r>
    </w:p>
    <w:p w14:paraId="46B61CFA">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（9）因自身原因导致经营状况较差，不能正常经营或有效履约。</w:t>
      </w:r>
    </w:p>
    <w:p w14:paraId="6CDA5649">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（10）因雇佣人员的违法违规行为给高等学校造成重大社会不良影响。</w:t>
      </w:r>
    </w:p>
    <w:p w14:paraId="646D900C">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（11）在政府相关行政管理部门和甲方的安全、卫生、服务等检查或校方组织的满意度测评中成绩较差且存在严重问题。</w:t>
      </w:r>
    </w:p>
    <w:p w14:paraId="692301F3">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（12）乙方擅自加建、扩建、拆建、拆改变动、装修房屋。</w:t>
      </w:r>
    </w:p>
    <w:p w14:paraId="4BFAC3C7">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（13）乙方擅自以甲方的名义开展经营活动或者在对外的宣传、经营活动以及票据的使用中使用甲方的标志、名称或者字样，或者作出任何有可能使第三方认为乙方是甲方的代表、雇员或者代理人的行为的。</w:t>
      </w:r>
    </w:p>
    <w:p w14:paraId="7FE248F2">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sz w:val="32"/>
          <w:szCs w:val="32"/>
          <w:highlight w:val="none"/>
        </w:rPr>
        <w:t>（14）乙方其他违约行为，经过甲方书面通知整改后3日内未整改完毕的。</w:t>
      </w:r>
    </w:p>
    <w:p w14:paraId="09256DBB">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10.</w:t>
      </w:r>
      <w:r>
        <w:rPr>
          <w:rFonts w:hint="default" w:ascii="Times New Roman" w:hAnsi="Times New Roman" w:eastAsia="仿宋" w:cs="Times New Roman"/>
          <w:color w:val="auto"/>
          <w:highlight w:val="none"/>
        </w:rPr>
        <w:t xml:space="preserve"> </w:t>
      </w:r>
      <w:r>
        <w:rPr>
          <w:rFonts w:hint="default" w:ascii="Times New Roman" w:hAnsi="Times New Roman" w:eastAsia="仿宋" w:cs="Times New Roman"/>
          <w:color w:val="auto"/>
          <w:sz w:val="32"/>
          <w:szCs w:val="32"/>
          <w:highlight w:val="none"/>
        </w:rPr>
        <w:t>本合同约定的各项违约金可以累加计算。乙方根据本合同约定支付的任何违约金、赔偿金，均不能免除其继续履行合同的义务。违约金不足以弥补损失的部分，甲方有权向乙方追偿。乙方违约给甲方造成的损失，包括但不限于：直接损失、行政罚款、第三方赔偿款、重新进行政府采购的费用、甲方为解决争议所支付的律师费、诉讼费、保全费、鉴定费、公证费、差旅费等全部费用。甲方有权从保证金（如有）或任何一期应支付给乙方的款项中直接扣除上述违约金及损失赔偿金，不足部分甲方有权继续追偿。</w:t>
      </w:r>
    </w:p>
    <w:p w14:paraId="2022EB04">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第十条  其他</w:t>
      </w:r>
    </w:p>
    <w:p w14:paraId="73E0F455">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1. 项目政府采购期满后，若甲方仍需继续发包该食堂的经营服务权，应按照国家及地方政府采购相关法律法规等，重新组织采购确定供应商。</w:t>
      </w:r>
    </w:p>
    <w:p w14:paraId="5D9DF63F">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乙方在合同期内综合考核合格且符合续约条件的，可在甲方重新组织采购时，与其他潜在供应商平等参与，甲方将在采购评审中客观考虑乙方历史履约表现，但本合同的履行及考核结果不构成乙方在后续采购中的任何优先权、承诺或保证。</w:t>
      </w:r>
    </w:p>
    <w:p w14:paraId="5461E132">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2.</w:t>
      </w:r>
      <w:r>
        <w:rPr>
          <w:rFonts w:hint="default" w:ascii="Times New Roman" w:hAnsi="Times New Roman" w:eastAsia="仿宋" w:cs="Times New Roman"/>
          <w:color w:val="auto"/>
          <w:highlight w:val="none"/>
        </w:rPr>
        <w:t xml:space="preserve"> </w:t>
      </w:r>
      <w:r>
        <w:rPr>
          <w:rFonts w:hint="default" w:ascii="Times New Roman" w:hAnsi="Times New Roman" w:eastAsia="仿宋" w:cs="Times New Roman"/>
          <w:color w:val="auto"/>
          <w:sz w:val="32"/>
          <w:szCs w:val="32"/>
          <w:highlight w:val="none"/>
        </w:rPr>
        <w:t>合同期满，或因任何原因导致本合同提前终止、解除的，乙方应在甲方书面通知载明的期限内完成场地腾退并移交甲方。逾期不退出的，每逾期一天甲方按5000元收取场地占用费，逾期5天以上（含5天）的全额扣除经营保证金（如有），甲方有权采取强制措施收回该场所，有关责任和损失由乙方承担，装修价值及一切不可搬离的设备设施所有权由甲方享有，同时乙方按照合同约定中非甲方原因解除合同导致后果承担违约责任。</w:t>
      </w:r>
    </w:p>
    <w:p w14:paraId="24C9A9C9">
      <w:pPr>
        <w:pStyle w:val="26"/>
        <w:pageBreakBefore w:val="0"/>
        <w:widowControl w:val="0"/>
        <w:kinsoku/>
        <w:wordWrap/>
        <w:overflowPunct/>
        <w:topLinePunct w:val="0"/>
        <w:bidi w:val="0"/>
        <w:snapToGrid/>
        <w:spacing w:before="0" w:beforeAutospacing="0" w:after="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3. 本合同（包括其全部附件）、政府采购文件、响应文件、成交通知书及双方就本项目签署的其他有效书面文件、往来函件等共同构成本项目的完整合同组成部分。若上述文件就同一事项的约定或描述存在任何不一致、矛盾或冲突，应以其中对甲方更有利的标准及约定为准。</w:t>
      </w:r>
    </w:p>
    <w:p w14:paraId="6EFD13B5">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4.本合同在执行过程中若出现纠纷，由甲、乙、监管方三方协商解决，协商不成时，任何一方均可向甲方所在地人民法院提起诉讼。在双方争议解决期间，本合同项下无争议部分的条款应继续履行，乙方不得以存在争议为由暂停或终止履行无争议的义务。</w:t>
      </w:r>
    </w:p>
    <w:p w14:paraId="184A3096">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5.本协议载明的双方地址、联系电话等信息，系双方有效联系方式，如发生变更，应提前书面告知另一方，否则按照该联系方式送达相关文书的，一经发出，视为送达成功。</w:t>
      </w:r>
    </w:p>
    <w:p w14:paraId="6C992401">
      <w:pPr>
        <w:pStyle w:val="37"/>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sz w:val="32"/>
          <w:szCs w:val="32"/>
          <w:highlight w:val="none"/>
        </w:rPr>
        <w:t>6.一经签订，合同条款以本合同为主，原合同自动作废。</w:t>
      </w:r>
    </w:p>
    <w:p w14:paraId="08BDA224">
      <w:pPr>
        <w:pStyle w:val="26"/>
        <w:pageBreakBefore w:val="0"/>
        <w:widowControl w:val="0"/>
        <w:kinsoku/>
        <w:wordWrap/>
        <w:overflowPunct/>
        <w:topLinePunct w:val="0"/>
        <w:bidi w:val="0"/>
        <w:snapToGrid/>
        <w:spacing w:before="0" w:beforeAutospacing="0" w:after="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sz w:val="32"/>
          <w:szCs w:val="32"/>
          <w:highlight w:val="none"/>
        </w:rPr>
        <w:t>7.保密义务：双方应严格对本合同履行保密义务，未经一方同意，任何一方不得对外披露合同内容。</w:t>
      </w:r>
    </w:p>
    <w:p w14:paraId="25A4131A">
      <w:pPr>
        <w:pageBreakBefore w:val="0"/>
        <w:widowControl w:val="0"/>
        <w:kinsoku/>
        <w:wordWrap/>
        <w:overflowPunct/>
        <w:topLinePunct w:val="0"/>
        <w:bidi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附件:引进餐饮服务团队的餐厅考核细则</w:t>
      </w:r>
    </w:p>
    <w:p w14:paraId="42E752CE">
      <w:pPr>
        <w:pageBreakBefore w:val="0"/>
        <w:widowControl w:val="0"/>
        <w:kinsoku/>
        <w:wordWrap/>
        <w:overflowPunct/>
        <w:topLinePunct w:val="0"/>
        <w:bidi w:val="0"/>
        <w:snapToGrid/>
        <w:spacing w:beforeAutospacing="0" w:afterAutospacing="0" w:line="520" w:lineRule="exact"/>
        <w:ind w:right="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甲方单位名称：                 乙方单位名称：</w:t>
      </w:r>
    </w:p>
    <w:p w14:paraId="12BCA063">
      <w:pPr>
        <w:pageBreakBefore w:val="0"/>
        <w:widowControl w:val="0"/>
        <w:kinsoku/>
        <w:wordWrap/>
        <w:overflowPunct/>
        <w:topLinePunct w:val="0"/>
        <w:bidi w:val="0"/>
        <w:snapToGrid/>
        <w:spacing w:beforeAutospacing="0" w:afterAutospacing="0" w:line="520" w:lineRule="exact"/>
        <w:ind w:right="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公    章：                     公    章：</w:t>
      </w:r>
    </w:p>
    <w:p w14:paraId="01A6BB0E">
      <w:pPr>
        <w:pageBreakBefore w:val="0"/>
        <w:widowControl w:val="0"/>
        <w:kinsoku/>
        <w:wordWrap/>
        <w:overflowPunct/>
        <w:topLinePunct w:val="0"/>
        <w:bidi w:val="0"/>
        <w:snapToGrid/>
        <w:spacing w:beforeAutospacing="0" w:afterAutospacing="0" w:line="520" w:lineRule="exact"/>
        <w:ind w:right="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 xml:space="preserve">法定代表人                     法定代表人 </w:t>
      </w:r>
    </w:p>
    <w:p w14:paraId="0438779D">
      <w:pPr>
        <w:pageBreakBefore w:val="0"/>
        <w:widowControl w:val="0"/>
        <w:kinsoku/>
        <w:wordWrap/>
        <w:overflowPunct/>
        <w:topLinePunct w:val="0"/>
        <w:bidi w:val="0"/>
        <w:snapToGrid/>
        <w:spacing w:beforeAutospacing="0" w:afterAutospacing="0" w:line="520" w:lineRule="exact"/>
        <w:ind w:right="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或授权代理人签字：             或授权代理人签字：</w:t>
      </w:r>
    </w:p>
    <w:p w14:paraId="0FAC8B93">
      <w:pPr>
        <w:pageBreakBefore w:val="0"/>
        <w:widowControl w:val="0"/>
        <w:kinsoku/>
        <w:wordWrap/>
        <w:overflowPunct/>
        <w:topLinePunct w:val="0"/>
        <w:bidi w:val="0"/>
        <w:snapToGrid/>
        <w:spacing w:beforeAutospacing="0" w:afterAutospacing="0" w:line="520" w:lineRule="exact"/>
        <w:ind w:right="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 xml:space="preserve">电    话：                     电    话： </w:t>
      </w:r>
    </w:p>
    <w:p w14:paraId="65B58C78">
      <w:pPr>
        <w:pageBreakBefore w:val="0"/>
        <w:widowControl w:val="0"/>
        <w:kinsoku/>
        <w:wordWrap/>
        <w:overflowPunct/>
        <w:topLinePunct w:val="0"/>
        <w:bidi w:val="0"/>
        <w:snapToGrid/>
        <w:spacing w:beforeAutospacing="0" w:afterAutospacing="0" w:line="520" w:lineRule="exact"/>
        <w:ind w:right="0"/>
        <w:textAlignment w:val="auto"/>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kern w:val="0"/>
          <w:sz w:val="32"/>
          <w:szCs w:val="32"/>
          <w:highlight w:val="none"/>
        </w:rPr>
        <w:t>联 系 人：                     联 系 人：</w:t>
      </w:r>
    </w:p>
    <w:p w14:paraId="05B13FC4">
      <w:pPr>
        <w:pageBreakBefore w:val="0"/>
        <w:widowControl w:val="0"/>
        <w:kinsoku/>
        <w:wordWrap/>
        <w:overflowPunct/>
        <w:topLinePunct w:val="0"/>
        <w:bidi w:val="0"/>
        <w:snapToGrid/>
        <w:spacing w:beforeAutospacing="0" w:afterAutospacing="0" w:line="520" w:lineRule="exact"/>
        <w:ind w:right="0" w:firstLine="320" w:firstLineChars="100"/>
        <w:textAlignment w:val="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kern w:val="0"/>
          <w:sz w:val="32"/>
          <w:szCs w:val="32"/>
          <w:highlight w:val="none"/>
        </w:rPr>
        <w:t xml:space="preserve">  年  月  日                    年  月  日</w:t>
      </w:r>
    </w:p>
    <w:p w14:paraId="1DB07B34">
      <w:pPr>
        <w:pStyle w:val="37"/>
        <w:pageBreakBefore w:val="0"/>
        <w:widowControl w:val="0"/>
        <w:kinsoku/>
        <w:wordWrap/>
        <w:overflowPunct/>
        <w:topLinePunct w:val="0"/>
        <w:bidi w:val="0"/>
        <w:snapToGrid/>
        <w:spacing w:beforeAutospacing="0" w:afterAutospacing="0" w:line="520" w:lineRule="exact"/>
        <w:ind w:right="0"/>
        <w:textAlignment w:val="auto"/>
        <w:rPr>
          <w:rFonts w:hint="default" w:ascii="Times New Roman" w:hAnsi="Times New Roman" w:eastAsia="仿宋" w:cs="Times New Roman"/>
          <w:color w:val="auto"/>
          <w:highlight w:val="none"/>
        </w:rPr>
        <w:sectPr>
          <w:footerReference r:id="rId5" w:type="default"/>
          <w:pgSz w:w="11906" w:h="16838"/>
          <w:pgMar w:top="2098" w:right="1531" w:bottom="1984" w:left="1531" w:header="851" w:footer="992" w:gutter="0"/>
          <w:cols w:space="720" w:num="1"/>
          <w:docGrid w:type="lines" w:linePitch="312" w:charSpace="0"/>
        </w:sectPr>
      </w:pPr>
    </w:p>
    <w:p w14:paraId="6C9B2F3C">
      <w:pPr>
        <w:pageBreakBefore w:val="0"/>
        <w:widowControl w:val="0"/>
        <w:kinsoku/>
        <w:wordWrap/>
        <w:overflowPunct/>
        <w:topLinePunct w:val="0"/>
        <w:bidi w:val="0"/>
        <w:snapToGrid/>
        <w:spacing w:beforeAutospacing="0" w:afterAutospacing="0" w:line="520" w:lineRule="exact"/>
        <w:ind w:right="0"/>
        <w:textAlignment w:val="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附件：</w:t>
      </w:r>
    </w:p>
    <w:p w14:paraId="3F789A41">
      <w:pPr>
        <w:pageBreakBefore w:val="0"/>
        <w:widowControl w:val="0"/>
        <w:kinsoku/>
        <w:wordWrap/>
        <w:overflowPunct/>
        <w:topLinePunct w:val="0"/>
        <w:bidi w:val="0"/>
        <w:snapToGrid/>
        <w:spacing w:beforeAutospacing="0" w:afterAutospacing="0" w:line="520" w:lineRule="exact"/>
        <w:ind w:right="0"/>
        <w:jc w:val="center"/>
        <w:textAlignment w:val="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sz w:val="44"/>
          <w:szCs w:val="44"/>
          <w:highlight w:val="none"/>
        </w:rPr>
        <w:t>引进餐饮服务团队的餐厅考核细则</w:t>
      </w:r>
    </w:p>
    <w:p w14:paraId="67490131">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960" w:firstLineChars="3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根据我校教育事业改革和发展规划，按照“整体规划、分步实施，动态管理的原则”，中心明确我校食堂的工作任务、进度和责任主体，将食堂的经营目标和核心指标细化分解到年度工作计划和工作考核中，按阶段、分步骤抓落实，也可实行责任主体和责任单位双向监督和考核。旨在充分调动各方面的积极性、主动性和创造性，形成推动规划实施的强大合力。故制定此餐厅考核细则。具体如下：</w:t>
      </w:r>
    </w:p>
    <w:p w14:paraId="152373FD">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第一条 考核原则与法律效力</w:t>
      </w:r>
    </w:p>
    <w:p w14:paraId="79A85D99">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本细则是甲乙双方签订的引进餐饮服务团队经营合同不可分割的组成部分。本细则旨在明确对乙方餐饮服务质量的考核标准与程序。乙方对依据本细则产生的考核程序、评分过程及最终结论负有全面的配合义务，并承担相应的法律后果。</w:t>
      </w:r>
    </w:p>
    <w:p w14:paraId="5CADE268">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第二条 考核主体</w:t>
      </w:r>
    </w:p>
    <w:p w14:paraId="4AF5067D">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甲方组建餐厅经营服务考核小组。该小组由甲方后勤服务处（饮食中心）</w:t>
      </w:r>
      <w:r>
        <w:rPr>
          <w:rFonts w:hint="default" w:ascii="Times New Roman" w:hAnsi="Times New Roman" w:eastAsia="仿宋" w:cs="Times New Roman"/>
          <w:color w:val="auto"/>
          <w:sz w:val="32"/>
          <w:szCs w:val="32"/>
          <w:highlight w:val="none"/>
          <w:lang w:eastAsia="zh-CN"/>
        </w:rPr>
        <w:t>班子成员</w:t>
      </w:r>
      <w:r>
        <w:rPr>
          <w:rFonts w:hint="default" w:ascii="Times New Roman" w:hAnsi="Times New Roman" w:eastAsia="仿宋" w:cs="Times New Roman"/>
          <w:color w:val="auto"/>
          <w:sz w:val="32"/>
          <w:szCs w:val="32"/>
          <w:highlight w:val="none"/>
        </w:rPr>
        <w:t>组成。该小组负责实施每学期一次的标准化量化考核。</w:t>
      </w:r>
    </w:p>
    <w:p w14:paraId="67DB749E">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第三条 考核周期与结果构成</w:t>
      </w:r>
    </w:p>
    <w:p w14:paraId="1832801B">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考核工作于每学期末进行。年度最终考核成绩由第一学期与第二学期的考核得分算术平均后得出。该年度成绩是衡量乙方履约绩效、决定合同是否续签以及是否启动违约追责程序的直接依据。</w:t>
      </w:r>
    </w:p>
    <w:p w14:paraId="574770D2">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第四条 乙方的配合义务与举证责任</w:t>
      </w:r>
    </w:p>
    <w:p w14:paraId="07EF1F33">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为确保考核的顺利进行及结果的客观性，乙方应当全面、及时地履行以下义务，以下义务是乙方在本合同项下的重要履约责任：</w:t>
      </w:r>
    </w:p>
    <w:p w14:paraId="74953E4C">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一）资料备查与提交义务。乙方应就本细则附件《新疆农业大学餐厅经营服务综合考核量化评分表》所列全部考核项目，建立并维护完整的书面台账和档案材料，包括但不限于内部管理制度文件、各项记录本、员工健康证及培训记录、食材采购验收及索证索票资料、食品留样记录、餐具消毒记录、晨检记录、外来人员登记记录、能耗单据、设备维护保养记录、餐厨垃圾处置记录、消杀记录、安全生产检查记录、消防设施检查记录等。在每学期考核小组发出书面考核通知后10日内，乙方须将考核通知载明期间内的上述全部书面材料按照甲方要求的分类方式整理成册，提交至考核小组指定地点备查。考核小组在审查过程中有权要求乙方补充提供与考核项目相关的其他材料，乙方应在接到通知后二十四小时内补交。乙方未能按本款要求提供相关资料或补交材料的，考核小组可按评分表对该项指标作扣分处理，并由乙方承担举证不能的全部不利后果。</w:t>
      </w:r>
    </w:p>
    <w:p w14:paraId="291D6ABE">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二）考核过程的配合义务。考核期间，乙方应确保其项目经理或主要管理人员全程在场，配合考核小组进行现场检查、人员问询和材料核实，并应考核小组要求，对相关设施设备进行操作演示、对经营数据进行解释说明，以及对检查中发现的问题当场确认。</w:t>
      </w:r>
    </w:p>
    <w:p w14:paraId="66B5A535">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三）考核结果的确认与异议义务。每学期考核结束后，考核小组将形成该学期的《餐厅经营服务考核评分确认书》，载明考核得分、详细扣分明细及扣分所依据的事实和证据。乙方的法定代表人或授权项目经理应在收到前述确认书后三个工作日内，签字盖章予以确认并交回甲方。若乙方对评分、扣分或事实认定有任何异议，应在上述三个工作日的确认期内，向考核小组提交书面异议材料，并逐项附具相应证据及理由。逾期未提交书面异议的，或者虽提交书面异议但未附相应证据的，均视为乙方对考核结果及所载全部内容的完全认可。</w:t>
      </w:r>
    </w:p>
    <w:p w14:paraId="30553EA7">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四）复核申请与终局效力。考核小组收到乙方的书面异议及所附证据后，应进行复核，并依据乙方提交的证据以及考核过程中已固定存档的证据逐项核对，向乙方出具《考核异议复核决定书》，载明复核结论及维持或调整原结论的具体依据。该复核决定为最终结论，乙方不得再以同一事由提出异议，亦不得在后续任何争议解决程序中提出与复核结论相悖的主张。</w:t>
      </w:r>
    </w:p>
    <w:p w14:paraId="31E10F71">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第五条 乙方的证据保全义务</w:t>
      </w:r>
    </w:p>
    <w:p w14:paraId="3BF0FD20">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（一）乙方对其履行合同义务、符合考核标准的过程和结果，负有全面、完整的证据保全义务。保全范围包括但不限于本细则所列全部书面台账和档案材料的原件，以及与考核项目相关的影像资料、电子数据等。</w:t>
      </w:r>
    </w:p>
    <w:p w14:paraId="6D47A37A">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二）乙方应当确保其保全的全部证据材料的真实性、完整性和可追溯性。所有书面材料应当按照日期、类别顺序装订成册，连续编号，不得涂改、伪造、隐匿或销毁。涉及人员签名的记录应由本人亲笔签署，不得代签。</w:t>
      </w:r>
    </w:p>
    <w:p w14:paraId="4017D6D5">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三）考核小组进行学期集中考核时，乙方应按照材料类别和日期先后顺序编制目录并装订成册，形成一套原件和一套与原件排列顺序完全一致的复印件。复印件须逐页加盖乙方公章，并将目录一并加盖骑缝章。乙方将装订成册的原件与加盖公章的复印件同时提交至考核小组指定地点。考核小组当场逐页核对原件与复印件是否一致，核对无误后，原件当场退还乙方，加盖公章的复印件由甲方存档保存，作为日后考核评分及争议解决的依据。原件与复印件排列顺序不一致，或者复印件缺少目录、未加盖骑缝章的，考核小组有权拒绝接收并要求乙方在当日内重新整理后提交。</w:t>
      </w:r>
    </w:p>
    <w:p w14:paraId="4B7547E4">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四）在合同履行期间及合同终止后两年内，乙方应当自行完整保存全部原始证据材料。在双方发生争议时，甲方有权随时要求乙方提供特定事项的原始证据供核对，乙方应在收到甲方书面通知后三日内提供。若乙方无法提供原始证据证明其主张的事项，则承担举证不能的全部法律后果，包括但不限于在诉讼或仲裁中被认定为相关事项未完成或不符合要求。</w:t>
      </w:r>
    </w:p>
    <w:p w14:paraId="34BB3E6A">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第六条 考核评分标准</w:t>
      </w:r>
    </w:p>
    <w:p w14:paraId="50C65C7C">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考核实行百分制，具体项目和扣分标准以附件《新疆农业大学餐厅经营服务综合考核量化评分表》为准。该评分表的各项指标均系根据国家相关法律法规、行业规范和学校管理要求制定。</w:t>
      </w:r>
    </w:p>
    <w:p w14:paraId="5B139836">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第七条 考核结果的法律后果</w:t>
      </w:r>
    </w:p>
    <w:p w14:paraId="2D6A14D1">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年度最终考核成绩低于六十分的，或发生本合同约定的一票否决事项的，即构成乙方根本违约。甲方有权依据本合同约定单方解除合同，乙方无条件清场退出，无权要求任何赔偿或补偿，并由乙方承担相应的违约金及甲方的全部损失。</w:t>
      </w:r>
    </w:p>
    <w:p w14:paraId="7AF298DE">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第八条 其他</w:t>
      </w:r>
    </w:p>
    <w:p w14:paraId="7721D4BA">
      <w:pPr>
        <w:pageBreakBefore w:val="0"/>
        <w:widowControl w:val="0"/>
        <w:kinsoku/>
        <w:wordWrap/>
        <w:overflowPunct/>
        <w:topLinePunct w:val="0"/>
        <w:autoSpaceDE w:val="0"/>
        <w:autoSpaceDN w:val="0"/>
        <w:bidi w:val="0"/>
        <w:adjustRightInd w:val="0"/>
        <w:snapToGrid/>
        <w:spacing w:beforeAutospacing="0" w:afterAutospacing="0" w:line="520" w:lineRule="exact"/>
        <w:ind w:right="0" w:firstLine="640" w:firstLineChars="200"/>
        <w:textAlignment w:val="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sz w:val="32"/>
          <w:szCs w:val="32"/>
          <w:highlight w:val="none"/>
        </w:rPr>
        <w:t>本细则所规定的各项程序性权利与义务，均为双方真实意思表示，乙方充分理解并认可其法律效力。本细则作为合同附件，与主合同具有同等法律效力。凡本细则未予规定之事宜，适用主合同的相应约定。</w:t>
      </w:r>
    </w:p>
    <w:p w14:paraId="4EC70A54">
      <w:pPr>
        <w:autoSpaceDE w:val="0"/>
        <w:autoSpaceDN w:val="0"/>
        <w:adjustRightInd w:val="0"/>
        <w:jc w:val="center"/>
        <w:rPr>
          <w:rFonts w:hint="eastAsia" w:ascii="仿宋" w:hAnsi="仿宋" w:eastAsia="仿宋" w:cs="仿宋_GB2312"/>
          <w:color w:val="000000"/>
          <w:sz w:val="44"/>
          <w:szCs w:val="44"/>
          <w:highlight w:val="none"/>
        </w:rPr>
      </w:pPr>
    </w:p>
    <w:p w14:paraId="4BACAAE4">
      <w:pPr>
        <w:autoSpaceDE w:val="0"/>
        <w:autoSpaceDN w:val="0"/>
        <w:adjustRightInd w:val="0"/>
        <w:jc w:val="center"/>
        <w:rPr>
          <w:rFonts w:hint="eastAsia" w:ascii="仿宋" w:hAnsi="仿宋" w:eastAsia="仿宋"/>
          <w:highlight w:val="none"/>
          <w:u w:val="none"/>
          <w:lang w:eastAsia="zh-CN"/>
        </w:rPr>
      </w:pPr>
      <w:r>
        <w:rPr>
          <w:rFonts w:hint="eastAsia" w:ascii="仿宋" w:hAnsi="仿宋" w:eastAsia="仿宋" w:cs="仿宋_GB2312"/>
          <w:color w:val="000000"/>
          <w:sz w:val="44"/>
          <w:szCs w:val="44"/>
          <w:highlight w:val="none"/>
        </w:rPr>
        <w:t>新疆农业大学</w:t>
      </w:r>
      <w:r>
        <w:rPr>
          <w:rFonts w:hint="eastAsia" w:ascii="仿宋" w:hAnsi="仿宋" w:eastAsia="仿宋" w:cs="仿宋_GB2312"/>
          <w:color w:val="000000"/>
          <w:sz w:val="44"/>
          <w:szCs w:val="44"/>
          <w:highlight w:val="none"/>
          <w:u w:val="single"/>
        </w:rPr>
        <w:t xml:space="preserve">      </w:t>
      </w:r>
      <w:r>
        <w:rPr>
          <w:rFonts w:hint="eastAsia" w:ascii="仿宋" w:hAnsi="仿宋" w:eastAsia="仿宋" w:cs="仿宋_GB2312"/>
          <w:color w:val="000000"/>
          <w:sz w:val="44"/>
          <w:szCs w:val="44"/>
          <w:highlight w:val="none"/>
        </w:rPr>
        <w:t>餐厅</w:t>
      </w:r>
      <w:r>
        <w:rPr>
          <w:rFonts w:hint="eastAsia" w:ascii="仿宋" w:hAnsi="仿宋" w:eastAsia="仿宋" w:cs="仿宋_GB2312"/>
          <w:color w:val="000000"/>
          <w:sz w:val="44"/>
          <w:szCs w:val="44"/>
          <w:highlight w:val="none"/>
          <w:u w:val="single"/>
        </w:rPr>
        <w:t xml:space="preserve">         </w:t>
      </w:r>
      <w:r>
        <w:rPr>
          <w:rFonts w:hint="eastAsia" w:ascii="仿宋" w:hAnsi="仿宋" w:eastAsia="仿宋" w:cs="仿宋_GB2312"/>
          <w:color w:val="000000"/>
          <w:sz w:val="44"/>
          <w:szCs w:val="44"/>
          <w:highlight w:val="none"/>
          <w:u w:val="none"/>
          <w:lang w:eastAsia="zh-CN"/>
        </w:rPr>
        <w:t>学期</w:t>
      </w:r>
    </w:p>
    <w:p w14:paraId="024C1742">
      <w:pPr>
        <w:autoSpaceDE w:val="0"/>
        <w:autoSpaceDN w:val="0"/>
        <w:adjustRightInd w:val="0"/>
        <w:jc w:val="center"/>
        <w:rPr>
          <w:rFonts w:ascii="仿宋" w:hAnsi="仿宋" w:eastAsia="仿宋"/>
          <w:highlight w:val="none"/>
        </w:rPr>
      </w:pPr>
      <w:r>
        <w:rPr>
          <w:rFonts w:hint="eastAsia" w:ascii="仿宋" w:hAnsi="仿宋" w:eastAsia="仿宋" w:cs="仿宋_GB2312"/>
          <w:color w:val="000000"/>
          <w:sz w:val="44"/>
          <w:szCs w:val="44"/>
          <w:highlight w:val="none"/>
        </w:rPr>
        <w:t>综合考核量化评分表</w:t>
      </w:r>
    </w:p>
    <w:p w14:paraId="395C1643">
      <w:pPr>
        <w:rPr>
          <w:rFonts w:ascii="仿宋" w:hAnsi="仿宋" w:eastAsia="仿宋"/>
          <w:highlight w:val="none"/>
        </w:rPr>
      </w:pPr>
      <w:r>
        <w:rPr>
          <w:rFonts w:hint="eastAsia" w:ascii="仿宋" w:hAnsi="仿宋" w:eastAsia="仿宋"/>
          <w:sz w:val="28"/>
          <w:szCs w:val="24"/>
          <w:highlight w:val="none"/>
        </w:rPr>
        <w:t>被考评餐厅：</w:t>
      </w:r>
      <w:r>
        <w:rPr>
          <w:rFonts w:ascii="仿宋" w:hAnsi="仿宋" w:eastAsia="仿宋"/>
          <w:sz w:val="28"/>
          <w:szCs w:val="24"/>
          <w:highlight w:val="none"/>
        </w:rPr>
        <w:t xml:space="preserve">                </w:t>
      </w:r>
      <w:r>
        <w:rPr>
          <w:rFonts w:hint="eastAsia" w:ascii="仿宋" w:hAnsi="仿宋" w:eastAsia="仿宋"/>
          <w:sz w:val="28"/>
          <w:szCs w:val="24"/>
          <w:highlight w:val="none"/>
        </w:rPr>
        <w:t>考评人签名：</w:t>
      </w:r>
      <w:r>
        <w:rPr>
          <w:rFonts w:ascii="仿宋" w:hAnsi="仿宋" w:eastAsia="仿宋"/>
          <w:sz w:val="28"/>
          <w:szCs w:val="24"/>
          <w:highlight w:val="none"/>
        </w:rPr>
        <w:t xml:space="preserve">            </w:t>
      </w:r>
      <w:r>
        <w:rPr>
          <w:rFonts w:hint="eastAsia" w:ascii="仿宋" w:hAnsi="仿宋" w:eastAsia="仿宋"/>
          <w:sz w:val="28"/>
          <w:szCs w:val="24"/>
          <w:highlight w:val="none"/>
        </w:rPr>
        <w:t>日期：</w:t>
      </w:r>
    </w:p>
    <w:tbl>
      <w:tblPr>
        <w:tblStyle w:val="27"/>
        <w:tblW w:w="10254" w:type="dxa"/>
        <w:tblInd w:w="-459" w:type="dxa"/>
        <w:tblLayout w:type="fixed"/>
        <w:tblCellMar>
          <w:top w:w="0" w:type="dxa"/>
          <w:left w:w="108" w:type="dxa"/>
          <w:bottom w:w="0" w:type="dxa"/>
          <w:right w:w="108" w:type="dxa"/>
        </w:tblCellMar>
      </w:tblPr>
      <w:tblGrid>
        <w:gridCol w:w="1133"/>
        <w:gridCol w:w="6233"/>
        <w:gridCol w:w="638"/>
        <w:gridCol w:w="630"/>
        <w:gridCol w:w="1620"/>
      </w:tblGrid>
      <w:tr w14:paraId="6D99B9D7">
        <w:tblPrEx>
          <w:tblCellMar>
            <w:top w:w="0" w:type="dxa"/>
            <w:left w:w="108" w:type="dxa"/>
            <w:bottom w:w="0" w:type="dxa"/>
            <w:right w:w="108" w:type="dxa"/>
          </w:tblCellMar>
        </w:tblPrEx>
        <w:trPr>
          <w:trHeight w:val="413" w:hRule="atLeast"/>
        </w:trPr>
        <w:tc>
          <w:tcPr>
            <w:tcW w:w="1133" w:type="dxa"/>
            <w:tcBorders>
              <w:top w:val="single" w:color="auto" w:sz="4" w:space="0"/>
              <w:left w:val="single" w:color="auto" w:sz="4" w:space="0"/>
              <w:bottom w:val="single" w:color="auto" w:sz="4" w:space="0"/>
              <w:right w:val="single" w:color="auto" w:sz="4" w:space="0"/>
            </w:tcBorders>
            <w:shd w:val="clear" w:color="FFFFFF" w:fill="FFFFFF"/>
            <w:noWrap w:val="0"/>
            <w:tcMar>
              <w:top w:w="0" w:type="dxa"/>
              <w:left w:w="108" w:type="dxa"/>
              <w:bottom w:w="0" w:type="dxa"/>
              <w:right w:w="108" w:type="dxa"/>
            </w:tcMar>
            <w:vAlign w:val="center"/>
          </w:tcPr>
          <w:p w14:paraId="44663F97">
            <w:pPr>
              <w:keepNext w:val="0"/>
              <w:keepLines w:val="0"/>
              <w:suppressLineNumbers w:val="0"/>
              <w:spacing w:before="0" w:beforeAutospacing="0" w:after="0" w:afterAutospacing="0"/>
              <w:ind w:left="0" w:right="0"/>
              <w:jc w:val="left"/>
              <w:rPr>
                <w:rFonts w:hint="default" w:ascii="仿宋" w:hAnsi="仿宋" w:eastAsia="仿宋"/>
                <w:szCs w:val="20"/>
                <w:highlight w:val="none"/>
              </w:rPr>
            </w:pPr>
            <w:r>
              <w:rPr>
                <w:rFonts w:hint="eastAsia" w:ascii="仿宋" w:hAnsi="仿宋" w:eastAsia="仿宋"/>
                <w:b/>
                <w:bCs/>
                <w:w w:val="95"/>
                <w:szCs w:val="21"/>
                <w:highlight w:val="none"/>
              </w:rPr>
              <w:t>考评项目</w:t>
            </w:r>
          </w:p>
        </w:tc>
        <w:tc>
          <w:tcPr>
            <w:tcW w:w="6233" w:type="dxa"/>
            <w:tcBorders>
              <w:top w:val="single" w:color="auto" w:sz="4" w:space="0"/>
              <w:left w:val="single" w:color="auto" w:sz="4" w:space="0"/>
              <w:bottom w:val="single" w:color="auto" w:sz="4" w:space="0"/>
              <w:right w:val="single" w:color="auto" w:sz="4" w:space="0"/>
            </w:tcBorders>
            <w:shd w:val="clear" w:color="FFFFFF" w:fill="FFFFFF"/>
            <w:noWrap w:val="0"/>
            <w:tcMar>
              <w:top w:w="0" w:type="dxa"/>
              <w:left w:w="108" w:type="dxa"/>
              <w:bottom w:w="0" w:type="dxa"/>
              <w:right w:w="108" w:type="dxa"/>
            </w:tcMar>
            <w:vAlign w:val="center"/>
          </w:tcPr>
          <w:p w14:paraId="65314DBE">
            <w:pPr>
              <w:keepNext w:val="0"/>
              <w:keepLines w:val="0"/>
              <w:suppressLineNumbers w:val="0"/>
              <w:spacing w:before="0" w:beforeAutospacing="0" w:after="0" w:afterAutospacing="0"/>
              <w:ind w:left="0" w:right="0"/>
              <w:jc w:val="left"/>
              <w:rPr>
                <w:rFonts w:hint="default" w:ascii="仿宋" w:hAnsi="仿宋" w:eastAsia="仿宋"/>
                <w:szCs w:val="20"/>
                <w:highlight w:val="none"/>
              </w:rPr>
            </w:pPr>
            <w:r>
              <w:rPr>
                <w:rFonts w:hint="eastAsia" w:ascii="仿宋" w:hAnsi="仿宋" w:eastAsia="仿宋"/>
                <w:b/>
                <w:bCs/>
                <w:w w:val="95"/>
                <w:szCs w:val="21"/>
                <w:highlight w:val="none"/>
              </w:rPr>
              <w:t>项目内容（参考全年餐厅整体情况）</w:t>
            </w:r>
          </w:p>
        </w:tc>
        <w:tc>
          <w:tcPr>
            <w:tcW w:w="638" w:type="dxa"/>
            <w:tcBorders>
              <w:top w:val="single" w:color="auto" w:sz="4" w:space="0"/>
              <w:left w:val="single" w:color="auto" w:sz="4" w:space="0"/>
              <w:bottom w:val="single" w:color="auto" w:sz="4" w:space="0"/>
              <w:right w:val="single" w:color="auto" w:sz="4" w:space="0"/>
            </w:tcBorders>
            <w:shd w:val="clear" w:color="FFFFFF" w:fill="FFFFFF"/>
            <w:noWrap w:val="0"/>
            <w:tcMar>
              <w:top w:w="0" w:type="dxa"/>
              <w:left w:w="108" w:type="dxa"/>
              <w:bottom w:w="0" w:type="dxa"/>
              <w:right w:w="108" w:type="dxa"/>
            </w:tcMar>
            <w:vAlign w:val="top"/>
          </w:tcPr>
          <w:p w14:paraId="2819F705">
            <w:pPr>
              <w:keepNext w:val="0"/>
              <w:keepLines w:val="0"/>
              <w:suppressLineNumbers w:val="0"/>
              <w:spacing w:before="0" w:beforeAutospacing="0" w:after="0" w:afterAutospacing="0"/>
              <w:ind w:left="0" w:right="0"/>
              <w:jc w:val="center"/>
              <w:rPr>
                <w:rFonts w:hint="default" w:ascii="仿宋" w:hAnsi="仿宋" w:eastAsia="仿宋"/>
                <w:szCs w:val="20"/>
                <w:highlight w:val="none"/>
              </w:rPr>
            </w:pPr>
            <w:r>
              <w:rPr>
                <w:rFonts w:hint="eastAsia" w:ascii="仿宋" w:hAnsi="仿宋" w:eastAsia="仿宋"/>
                <w:b/>
                <w:bCs/>
                <w:w w:val="95"/>
                <w:szCs w:val="21"/>
                <w:highlight w:val="none"/>
              </w:rPr>
              <w:t>项目</w:t>
            </w:r>
          </w:p>
          <w:p w14:paraId="31E983DC">
            <w:pPr>
              <w:keepNext w:val="0"/>
              <w:keepLines w:val="0"/>
              <w:suppressLineNumbers w:val="0"/>
              <w:spacing w:before="0" w:beforeAutospacing="0" w:after="0" w:afterAutospacing="0"/>
              <w:ind w:left="0" w:right="0"/>
              <w:jc w:val="left"/>
              <w:rPr>
                <w:rFonts w:hint="default" w:ascii="仿宋" w:hAnsi="仿宋" w:eastAsia="仿宋"/>
                <w:szCs w:val="20"/>
                <w:highlight w:val="none"/>
              </w:rPr>
            </w:pPr>
            <w:r>
              <w:rPr>
                <w:rFonts w:hint="eastAsia" w:ascii="仿宋" w:hAnsi="仿宋" w:eastAsia="仿宋"/>
                <w:b/>
                <w:bCs/>
                <w:w w:val="95"/>
                <w:szCs w:val="21"/>
                <w:highlight w:val="none"/>
              </w:rPr>
              <w:t>分值</w:t>
            </w:r>
          </w:p>
        </w:tc>
        <w:tc>
          <w:tcPr>
            <w:tcW w:w="630" w:type="dxa"/>
            <w:tcBorders>
              <w:top w:val="single" w:color="auto" w:sz="4" w:space="0"/>
              <w:left w:val="single" w:color="auto" w:sz="4" w:space="0"/>
              <w:bottom w:val="single" w:color="auto" w:sz="4" w:space="0"/>
              <w:right w:val="single" w:color="auto" w:sz="4" w:space="0"/>
            </w:tcBorders>
            <w:shd w:val="clear" w:color="FFFFFF" w:fill="FFFFFF"/>
            <w:noWrap w:val="0"/>
            <w:tcMar>
              <w:top w:w="0" w:type="dxa"/>
              <w:left w:w="108" w:type="dxa"/>
              <w:bottom w:w="0" w:type="dxa"/>
              <w:right w:w="108" w:type="dxa"/>
            </w:tcMar>
            <w:vAlign w:val="top"/>
          </w:tcPr>
          <w:p w14:paraId="4E261A2E">
            <w:pPr>
              <w:keepNext w:val="0"/>
              <w:keepLines w:val="0"/>
              <w:suppressLineNumbers w:val="0"/>
              <w:spacing w:before="0" w:beforeAutospacing="0" w:after="0" w:afterAutospacing="0"/>
              <w:ind w:left="0" w:right="0"/>
              <w:jc w:val="center"/>
              <w:rPr>
                <w:rFonts w:hint="default" w:ascii="仿宋" w:hAnsi="仿宋" w:eastAsia="仿宋"/>
                <w:szCs w:val="20"/>
                <w:highlight w:val="none"/>
              </w:rPr>
            </w:pPr>
            <w:r>
              <w:rPr>
                <w:rFonts w:hint="eastAsia" w:ascii="仿宋" w:hAnsi="仿宋" w:eastAsia="仿宋"/>
                <w:b/>
                <w:bCs/>
                <w:w w:val="95"/>
                <w:szCs w:val="21"/>
                <w:highlight w:val="none"/>
              </w:rPr>
              <w:t>考评</w:t>
            </w:r>
          </w:p>
          <w:p w14:paraId="18A4FE2B">
            <w:pPr>
              <w:keepNext w:val="0"/>
              <w:keepLines w:val="0"/>
              <w:suppressLineNumbers w:val="0"/>
              <w:spacing w:before="0" w:beforeAutospacing="0" w:after="0" w:afterAutospacing="0"/>
              <w:ind w:left="0" w:right="0"/>
              <w:jc w:val="left"/>
              <w:rPr>
                <w:rFonts w:hint="default" w:ascii="仿宋" w:hAnsi="仿宋" w:eastAsia="仿宋"/>
                <w:szCs w:val="20"/>
                <w:highlight w:val="none"/>
              </w:rPr>
            </w:pPr>
            <w:r>
              <w:rPr>
                <w:rFonts w:hint="eastAsia" w:ascii="仿宋" w:hAnsi="仿宋" w:eastAsia="仿宋"/>
                <w:b/>
                <w:bCs/>
                <w:w w:val="95"/>
                <w:szCs w:val="21"/>
                <w:highlight w:val="none"/>
              </w:rPr>
              <w:t>扣分</w:t>
            </w:r>
          </w:p>
        </w:tc>
        <w:tc>
          <w:tcPr>
            <w:tcW w:w="1620" w:type="dxa"/>
            <w:tcBorders>
              <w:top w:val="single" w:color="auto" w:sz="4" w:space="0"/>
              <w:left w:val="single" w:color="auto" w:sz="4" w:space="0"/>
              <w:bottom w:val="single" w:color="auto" w:sz="4" w:space="0"/>
              <w:right w:val="single" w:color="auto" w:sz="4" w:space="0"/>
            </w:tcBorders>
            <w:shd w:val="clear" w:color="FFFFFF" w:fill="FFFFFF"/>
            <w:noWrap w:val="0"/>
            <w:tcMar>
              <w:top w:w="0" w:type="dxa"/>
              <w:left w:w="108" w:type="dxa"/>
              <w:bottom w:w="0" w:type="dxa"/>
              <w:right w:w="108" w:type="dxa"/>
            </w:tcMar>
            <w:vAlign w:val="center"/>
          </w:tcPr>
          <w:p w14:paraId="4208A3AD">
            <w:pPr>
              <w:keepNext w:val="0"/>
              <w:keepLines w:val="0"/>
              <w:suppressLineNumbers w:val="0"/>
              <w:spacing w:before="0" w:beforeAutospacing="0" w:after="0" w:afterAutospacing="0"/>
              <w:ind w:left="0" w:right="0"/>
              <w:jc w:val="center"/>
              <w:rPr>
                <w:rFonts w:hint="default" w:ascii="仿宋" w:hAnsi="仿宋" w:eastAsia="仿宋"/>
                <w:szCs w:val="20"/>
                <w:highlight w:val="none"/>
              </w:rPr>
            </w:pPr>
            <w:r>
              <w:rPr>
                <w:rFonts w:hint="eastAsia" w:ascii="仿宋" w:hAnsi="仿宋" w:eastAsia="仿宋"/>
                <w:b/>
                <w:bCs/>
                <w:w w:val="95"/>
                <w:szCs w:val="21"/>
                <w:highlight w:val="none"/>
              </w:rPr>
              <w:t>扣分标准</w:t>
            </w:r>
          </w:p>
        </w:tc>
      </w:tr>
      <w:tr w14:paraId="024D344B">
        <w:tblPrEx>
          <w:tblCellMar>
            <w:top w:w="0" w:type="dxa"/>
            <w:left w:w="108" w:type="dxa"/>
            <w:bottom w:w="0" w:type="dxa"/>
            <w:right w:w="108" w:type="dxa"/>
          </w:tblCellMar>
        </w:tblPrEx>
        <w:trPr>
          <w:cantSplit/>
          <w:trHeight w:val="916" w:hRule="atLeast"/>
        </w:trPr>
        <w:tc>
          <w:tcPr>
            <w:tcW w:w="113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86657DD">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cs="仿宋_GB2312"/>
                <w:w w:val="95"/>
                <w:sz w:val="22"/>
                <w:szCs w:val="20"/>
                <w:highlight w:val="none"/>
              </w:rPr>
              <w:t>内部制度管理</w:t>
            </w:r>
          </w:p>
        </w:tc>
        <w:tc>
          <w:tcPr>
            <w:tcW w:w="623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24DE538C">
            <w:pPr>
              <w:keepNext w:val="0"/>
              <w:keepLines w:val="0"/>
              <w:suppressLineNumbers w:val="0"/>
              <w:spacing w:before="0" w:beforeAutospacing="0" w:after="0" w:afterAutospacing="0" w:line="280" w:lineRule="exact"/>
              <w:ind w:left="0" w:right="0"/>
              <w:rPr>
                <w:rFonts w:hint="default" w:ascii="仿宋" w:hAnsi="仿宋" w:eastAsia="仿宋"/>
                <w:szCs w:val="20"/>
                <w:highlight w:val="none"/>
              </w:rPr>
            </w:pPr>
            <w:r>
              <w:rPr>
                <w:rFonts w:hint="eastAsia" w:ascii="仿宋" w:hAnsi="仿宋" w:eastAsia="仿宋" w:cs="仿宋_GB2312"/>
                <w:w w:val="95"/>
                <w:sz w:val="22"/>
                <w:szCs w:val="20"/>
                <w:highlight w:val="none"/>
              </w:rPr>
              <w:t>1.管理制度健全。主要包括食品安全</w:t>
            </w:r>
            <w:r>
              <w:rPr>
                <w:rFonts w:hint="eastAsia" w:ascii="仿宋" w:hAnsi="仿宋" w:eastAsia="仿宋" w:cs="仿宋_GB2312"/>
                <w:w w:val="95"/>
                <w:sz w:val="22"/>
                <w:szCs w:val="20"/>
                <w:highlight w:val="none"/>
                <w:lang w:eastAsia="zh-CN"/>
              </w:rPr>
              <w:t>、消防安全、燃气安全</w:t>
            </w:r>
            <w:r>
              <w:rPr>
                <w:rFonts w:hint="eastAsia" w:ascii="仿宋" w:hAnsi="仿宋" w:eastAsia="仿宋" w:cs="仿宋_GB2312"/>
                <w:w w:val="95"/>
                <w:sz w:val="22"/>
                <w:szCs w:val="20"/>
                <w:highlight w:val="none"/>
              </w:rPr>
              <w:t>培训制度、餐厅卫生管理制度、晨检制度、食品安全应急处理预案、消防停水停电应急处理预案等。</w:t>
            </w:r>
          </w:p>
          <w:p w14:paraId="6B20C86E">
            <w:pPr>
              <w:keepNext w:val="0"/>
              <w:keepLines w:val="0"/>
              <w:suppressLineNumbers w:val="0"/>
              <w:spacing w:before="0" w:beforeAutospacing="0" w:after="0" w:afterAutospacing="0" w:line="280" w:lineRule="exact"/>
              <w:ind w:left="0" w:right="0"/>
              <w:rPr>
                <w:rFonts w:hint="default" w:ascii="仿宋" w:hAnsi="仿宋" w:eastAsia="仿宋"/>
                <w:szCs w:val="20"/>
                <w:highlight w:val="none"/>
              </w:rPr>
            </w:pPr>
            <w:r>
              <w:rPr>
                <w:rFonts w:hint="eastAsia" w:ascii="仿宋" w:hAnsi="仿宋" w:eastAsia="仿宋" w:cs="仿宋_GB2312"/>
                <w:w w:val="95"/>
                <w:sz w:val="22"/>
                <w:szCs w:val="20"/>
                <w:highlight w:val="none"/>
              </w:rPr>
              <w:t>2.食品安全总监（公司）、食品安全员证书</w:t>
            </w:r>
            <w:r>
              <w:rPr>
                <w:rFonts w:hint="eastAsia" w:ascii="仿宋" w:hAnsi="仿宋" w:eastAsia="仿宋" w:cs="仿宋_GB2312"/>
                <w:w w:val="95"/>
                <w:sz w:val="22"/>
                <w:szCs w:val="20"/>
                <w:highlight w:val="none"/>
                <w:lang w:eastAsia="zh-CN"/>
              </w:rPr>
              <w:t>、健康证</w:t>
            </w:r>
            <w:r>
              <w:rPr>
                <w:rFonts w:hint="eastAsia" w:ascii="仿宋" w:hAnsi="仿宋" w:eastAsia="仿宋" w:cs="仿宋_GB2312"/>
                <w:w w:val="95"/>
                <w:sz w:val="22"/>
                <w:szCs w:val="20"/>
                <w:highlight w:val="none"/>
              </w:rPr>
              <w:t>齐全。</w:t>
            </w:r>
          </w:p>
          <w:p w14:paraId="2E4643BD">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cs="仿宋_GB2312"/>
                <w:w w:val="95"/>
                <w:sz w:val="22"/>
                <w:szCs w:val="20"/>
                <w:highlight w:val="none"/>
              </w:rPr>
              <w:t>3.餐厅全年经营在食品经营许可证范围内。</w:t>
            </w:r>
          </w:p>
        </w:tc>
        <w:tc>
          <w:tcPr>
            <w:tcW w:w="63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746A65A">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cs="仿宋_GB2312"/>
                <w:w w:val="95"/>
                <w:sz w:val="22"/>
                <w:szCs w:val="20"/>
                <w:highlight w:val="none"/>
              </w:rPr>
              <w:t>6</w:t>
            </w:r>
          </w:p>
        </w:tc>
        <w:tc>
          <w:tcPr>
            <w:tcW w:w="6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8769195">
            <w:pPr>
              <w:keepNext w:val="0"/>
              <w:keepLines w:val="0"/>
              <w:suppressLineNumbers w:val="0"/>
              <w:spacing w:before="0" w:beforeAutospacing="0" w:after="0" w:afterAutospacing="0"/>
              <w:ind w:left="0" w:right="0"/>
              <w:jc w:val="left"/>
              <w:rPr>
                <w:rFonts w:hint="default" w:ascii="仿宋" w:hAnsi="仿宋" w:eastAsia="仿宋"/>
                <w:szCs w:val="20"/>
                <w:highlight w:val="none"/>
              </w:rPr>
            </w:pPr>
          </w:p>
        </w:tc>
        <w:tc>
          <w:tcPr>
            <w:tcW w:w="162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9E26D05">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szCs w:val="20"/>
                <w:highlight w:val="none"/>
              </w:rPr>
              <w:t>任意一项不合格扣2分，分值扣完为止。</w:t>
            </w:r>
          </w:p>
        </w:tc>
      </w:tr>
      <w:tr w14:paraId="286C6794">
        <w:tblPrEx>
          <w:tblCellMar>
            <w:top w:w="0" w:type="dxa"/>
            <w:left w:w="108" w:type="dxa"/>
            <w:bottom w:w="0" w:type="dxa"/>
            <w:right w:w="108" w:type="dxa"/>
          </w:tblCellMar>
        </w:tblPrEx>
        <w:trPr>
          <w:cantSplit/>
          <w:trHeight w:val="1098" w:hRule="atLeast"/>
        </w:trPr>
        <w:tc>
          <w:tcPr>
            <w:tcW w:w="113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293B3AF">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cs="仿宋_GB2312"/>
                <w:w w:val="95"/>
                <w:sz w:val="22"/>
                <w:szCs w:val="20"/>
                <w:highlight w:val="none"/>
              </w:rPr>
              <w:t>各种台帐记录管理</w:t>
            </w:r>
          </w:p>
        </w:tc>
        <w:tc>
          <w:tcPr>
            <w:tcW w:w="623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520BDE9">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cs="仿宋_GB2312"/>
                <w:w w:val="95"/>
                <w:sz w:val="22"/>
                <w:szCs w:val="20"/>
                <w:highlight w:val="none"/>
              </w:rPr>
              <w:t>4.各种台帐、记录完备规范。主要包括食品安全培训记录、食品采购验收领取记录及台帐、晨检记录、消毒记录、留样记录、外来人员登记记录等20个记录本。</w:t>
            </w:r>
          </w:p>
        </w:tc>
        <w:tc>
          <w:tcPr>
            <w:tcW w:w="63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2480574">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cs="仿宋_GB2312"/>
                <w:w w:val="95"/>
                <w:sz w:val="22"/>
                <w:szCs w:val="20"/>
                <w:highlight w:val="none"/>
              </w:rPr>
              <w:t>10</w:t>
            </w:r>
          </w:p>
        </w:tc>
        <w:tc>
          <w:tcPr>
            <w:tcW w:w="6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A0ED0BC">
            <w:pPr>
              <w:keepNext w:val="0"/>
              <w:keepLines w:val="0"/>
              <w:suppressLineNumbers w:val="0"/>
              <w:spacing w:before="0" w:beforeAutospacing="0" w:after="0" w:afterAutospacing="0"/>
              <w:ind w:left="0" w:right="0"/>
              <w:jc w:val="left"/>
              <w:rPr>
                <w:rFonts w:hint="default" w:ascii="仿宋" w:hAnsi="仿宋" w:eastAsia="仿宋"/>
                <w:szCs w:val="20"/>
                <w:highlight w:val="none"/>
              </w:rPr>
            </w:pPr>
          </w:p>
        </w:tc>
        <w:tc>
          <w:tcPr>
            <w:tcW w:w="162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BAA6308">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szCs w:val="20"/>
                <w:highlight w:val="none"/>
                <w:lang w:eastAsia="zh-CN"/>
              </w:rPr>
              <w:t>缺</w:t>
            </w:r>
            <w:r>
              <w:rPr>
                <w:rFonts w:hint="eastAsia" w:ascii="仿宋" w:hAnsi="仿宋" w:eastAsia="仿宋"/>
                <w:szCs w:val="20"/>
                <w:highlight w:val="none"/>
              </w:rPr>
              <w:t>失一本台账，或单本台账填写不规范、记录缺漏，每项扣 0.5 分，分值扣完为止。</w:t>
            </w:r>
          </w:p>
        </w:tc>
      </w:tr>
      <w:tr w14:paraId="2A272E77">
        <w:tblPrEx>
          <w:tblCellMar>
            <w:top w:w="0" w:type="dxa"/>
            <w:left w:w="108" w:type="dxa"/>
            <w:bottom w:w="0" w:type="dxa"/>
            <w:right w:w="108" w:type="dxa"/>
          </w:tblCellMar>
        </w:tblPrEx>
        <w:trPr>
          <w:cantSplit/>
          <w:trHeight w:val="2100" w:hRule="atLeast"/>
        </w:trPr>
        <w:tc>
          <w:tcPr>
            <w:tcW w:w="113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D05A6F">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cs="仿宋_GB2312"/>
                <w:w w:val="95"/>
                <w:sz w:val="22"/>
                <w:szCs w:val="20"/>
                <w:highlight w:val="none"/>
              </w:rPr>
              <w:t>食品卫生安全的各环节管理及要求</w:t>
            </w:r>
          </w:p>
        </w:tc>
        <w:tc>
          <w:tcPr>
            <w:tcW w:w="623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2A91AE">
            <w:pPr>
              <w:keepNext w:val="0"/>
              <w:keepLines w:val="0"/>
              <w:suppressLineNumbers w:val="0"/>
              <w:spacing w:before="0" w:beforeAutospacing="0" w:after="0" w:afterAutospacing="0" w:line="280" w:lineRule="exact"/>
              <w:ind w:left="0" w:right="0"/>
              <w:rPr>
                <w:rFonts w:hint="default" w:ascii="仿宋" w:hAnsi="仿宋" w:eastAsia="仿宋"/>
                <w:szCs w:val="20"/>
                <w:highlight w:val="none"/>
              </w:rPr>
            </w:pPr>
            <w:r>
              <w:rPr>
                <w:rFonts w:hint="eastAsia" w:ascii="仿宋" w:hAnsi="仿宋" w:eastAsia="仿宋" w:cs="仿宋_GB2312"/>
                <w:w w:val="95"/>
                <w:sz w:val="22"/>
                <w:szCs w:val="20"/>
                <w:highlight w:val="none"/>
              </w:rPr>
              <w:t>5.遵照“日管控、周排查、月调度”工作制度，依据中心监控部每日监督检查情况进行赋分。</w:t>
            </w:r>
          </w:p>
          <w:p w14:paraId="72BA3BA5">
            <w:pPr>
              <w:keepNext w:val="0"/>
              <w:keepLines w:val="0"/>
              <w:suppressLineNumbers w:val="0"/>
              <w:spacing w:before="0" w:beforeAutospacing="0" w:after="0" w:afterAutospacing="0" w:line="280" w:lineRule="exact"/>
              <w:ind w:left="0" w:right="0"/>
              <w:rPr>
                <w:rFonts w:hint="default" w:ascii="仿宋" w:hAnsi="仿宋" w:eastAsia="仿宋"/>
                <w:szCs w:val="20"/>
                <w:highlight w:val="none"/>
              </w:rPr>
            </w:pPr>
            <w:r>
              <w:rPr>
                <w:rFonts w:hint="eastAsia" w:ascii="仿宋" w:hAnsi="仿宋" w:eastAsia="仿宋" w:cs="仿宋_GB2312"/>
                <w:w w:val="95"/>
                <w:sz w:val="22"/>
                <w:szCs w:val="20"/>
                <w:highlight w:val="none"/>
              </w:rPr>
              <w:t>6.全年优胜红旗评比的平均分值不得低于90分。</w:t>
            </w:r>
          </w:p>
          <w:p w14:paraId="2F2F0D8E">
            <w:pPr>
              <w:keepNext w:val="0"/>
              <w:keepLines w:val="0"/>
              <w:suppressLineNumbers w:val="0"/>
              <w:spacing w:before="0" w:beforeAutospacing="0" w:after="0" w:afterAutospacing="0" w:line="280" w:lineRule="exact"/>
              <w:ind w:left="0" w:right="0"/>
              <w:rPr>
                <w:rFonts w:hint="default" w:ascii="仿宋" w:hAnsi="仿宋" w:eastAsia="仿宋"/>
                <w:szCs w:val="20"/>
                <w:highlight w:val="none"/>
              </w:rPr>
            </w:pPr>
            <w:r>
              <w:rPr>
                <w:rFonts w:hint="eastAsia" w:ascii="仿宋" w:hAnsi="仿宋" w:eastAsia="仿宋" w:cs="仿宋_GB2312"/>
                <w:w w:val="95"/>
                <w:sz w:val="22"/>
                <w:szCs w:val="20"/>
                <w:highlight w:val="none"/>
              </w:rPr>
              <w:t>7.餐厅食材进货查验记录、领用台账、贴票记录完整，食材的索证索票齐全。</w:t>
            </w:r>
          </w:p>
          <w:p w14:paraId="481F4FA7">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cs="仿宋_GB2312"/>
                <w:w w:val="95"/>
                <w:sz w:val="22"/>
                <w:szCs w:val="20"/>
                <w:highlight w:val="none"/>
              </w:rPr>
              <w:t>8.购买餐厅食品安全责任险和公众责任险，并主动且及时上报监控部备份。</w:t>
            </w:r>
          </w:p>
        </w:tc>
        <w:tc>
          <w:tcPr>
            <w:tcW w:w="63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99BAB7B">
            <w:pPr>
              <w:keepNext w:val="0"/>
              <w:keepLines w:val="0"/>
              <w:suppressLineNumbers w:val="0"/>
              <w:spacing w:before="0" w:beforeAutospacing="0" w:after="0" w:afterAutospacing="0" w:line="280" w:lineRule="exact"/>
              <w:ind w:left="0" w:right="0"/>
              <w:jc w:val="left"/>
              <w:rPr>
                <w:rFonts w:hint="eastAsia" w:ascii="仿宋" w:hAnsi="仿宋" w:eastAsia="仿宋"/>
                <w:szCs w:val="20"/>
                <w:highlight w:val="none"/>
                <w:lang w:val="en-US" w:eastAsia="zh-CN"/>
              </w:rPr>
            </w:pPr>
            <w:r>
              <w:rPr>
                <w:rFonts w:hint="eastAsia" w:ascii="仿宋" w:hAnsi="仿宋" w:eastAsia="仿宋" w:cs="仿宋_GB2312"/>
                <w:w w:val="95"/>
                <w:sz w:val="22"/>
                <w:szCs w:val="20"/>
                <w:highlight w:val="none"/>
              </w:rPr>
              <w:t>2</w:t>
            </w:r>
            <w:r>
              <w:rPr>
                <w:rFonts w:hint="eastAsia" w:ascii="仿宋" w:hAnsi="仿宋" w:eastAsia="仿宋" w:cs="仿宋_GB2312"/>
                <w:w w:val="95"/>
                <w:sz w:val="22"/>
                <w:szCs w:val="20"/>
                <w:highlight w:val="none"/>
                <w:lang w:val="en-US" w:eastAsia="zh-CN"/>
              </w:rPr>
              <w:t>0</w:t>
            </w:r>
          </w:p>
        </w:tc>
        <w:tc>
          <w:tcPr>
            <w:tcW w:w="6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0E2578C">
            <w:pPr>
              <w:keepNext w:val="0"/>
              <w:keepLines w:val="0"/>
              <w:suppressLineNumbers w:val="0"/>
              <w:spacing w:before="0" w:beforeAutospacing="0" w:after="0" w:afterAutospacing="0"/>
              <w:ind w:left="0" w:right="0"/>
              <w:jc w:val="left"/>
              <w:rPr>
                <w:rFonts w:hint="default" w:ascii="仿宋" w:hAnsi="仿宋" w:eastAsia="仿宋"/>
                <w:szCs w:val="20"/>
                <w:highlight w:val="none"/>
              </w:rPr>
            </w:pPr>
          </w:p>
        </w:tc>
        <w:tc>
          <w:tcPr>
            <w:tcW w:w="162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7561363">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szCs w:val="20"/>
                <w:highlight w:val="none"/>
              </w:rPr>
              <w:t>任意一项落实不到位、存在问题未整改，每项扣</w:t>
            </w:r>
            <w:r>
              <w:rPr>
                <w:rFonts w:hint="eastAsia" w:ascii="仿宋" w:hAnsi="仿宋" w:eastAsia="仿宋"/>
                <w:szCs w:val="20"/>
                <w:highlight w:val="none"/>
                <w:lang w:val="en-US" w:eastAsia="zh-CN"/>
              </w:rPr>
              <w:t>5</w:t>
            </w:r>
            <w:r>
              <w:rPr>
                <w:rFonts w:hint="eastAsia" w:ascii="仿宋" w:hAnsi="仿宋" w:eastAsia="仿宋"/>
                <w:szCs w:val="20"/>
                <w:highlight w:val="none"/>
              </w:rPr>
              <w:t>分，分值扣完为止。</w:t>
            </w:r>
          </w:p>
        </w:tc>
      </w:tr>
      <w:tr w14:paraId="200AD192">
        <w:tblPrEx>
          <w:tblCellMar>
            <w:top w:w="0" w:type="dxa"/>
            <w:left w:w="108" w:type="dxa"/>
            <w:bottom w:w="0" w:type="dxa"/>
            <w:right w:w="108" w:type="dxa"/>
          </w:tblCellMar>
        </w:tblPrEx>
        <w:trPr>
          <w:cantSplit/>
          <w:trHeight w:val="2095" w:hRule="atLeast"/>
        </w:trPr>
        <w:tc>
          <w:tcPr>
            <w:tcW w:w="113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1334E18">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cs="仿宋_GB2312"/>
                <w:w w:val="95"/>
                <w:sz w:val="22"/>
                <w:szCs w:val="20"/>
                <w:highlight w:val="none"/>
              </w:rPr>
              <w:t>餐厅建设</w:t>
            </w:r>
          </w:p>
        </w:tc>
        <w:tc>
          <w:tcPr>
            <w:tcW w:w="623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03C7BBE">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cs="仿宋_GB2312"/>
                <w:w w:val="95"/>
                <w:sz w:val="22"/>
                <w:szCs w:val="20"/>
                <w:highlight w:val="none"/>
              </w:rPr>
              <w:t>9.餐厅布局、燃气、各类设备等符合相关职能部门要求</w:t>
            </w:r>
            <w:r>
              <w:rPr>
                <w:rFonts w:hint="eastAsia" w:ascii="仿宋" w:hAnsi="仿宋" w:eastAsia="仿宋" w:cs="仿宋_GB2312"/>
                <w:w w:val="95"/>
                <w:sz w:val="22"/>
                <w:szCs w:val="20"/>
                <w:highlight w:val="none"/>
                <w:lang w:eastAsia="zh-CN"/>
              </w:rPr>
              <w:t>，</w:t>
            </w:r>
            <w:r>
              <w:rPr>
                <w:rFonts w:hint="eastAsia" w:ascii="仿宋" w:hAnsi="仿宋" w:eastAsia="仿宋" w:cs="仿宋_GB2312"/>
                <w:w w:val="95"/>
                <w:sz w:val="22"/>
                <w:szCs w:val="20"/>
                <w:highlight w:val="none"/>
              </w:rPr>
              <w:t>无违规整改问题。</w:t>
            </w:r>
          </w:p>
          <w:p w14:paraId="5E854528">
            <w:pPr>
              <w:keepNext w:val="0"/>
              <w:keepLines w:val="0"/>
              <w:suppressLineNumbers w:val="0"/>
              <w:spacing w:before="0" w:beforeAutospacing="0" w:after="0" w:afterAutospacing="0" w:line="280" w:lineRule="exact"/>
              <w:ind w:left="0" w:right="0"/>
              <w:rPr>
                <w:rFonts w:hint="default" w:ascii="仿宋" w:hAnsi="仿宋" w:eastAsia="仿宋"/>
                <w:szCs w:val="20"/>
                <w:highlight w:val="none"/>
              </w:rPr>
            </w:pPr>
            <w:r>
              <w:rPr>
                <w:rFonts w:hint="eastAsia" w:ascii="仿宋" w:hAnsi="仿宋" w:eastAsia="仿宋" w:cs="仿宋_GB2312"/>
                <w:w w:val="95"/>
                <w:sz w:val="22"/>
                <w:szCs w:val="20"/>
                <w:highlight w:val="none"/>
              </w:rPr>
              <w:t>10.餐厅“明厨亮灶”建设符合相关要求。</w:t>
            </w:r>
          </w:p>
          <w:p w14:paraId="68C6DC84">
            <w:pPr>
              <w:keepNext w:val="0"/>
              <w:keepLines w:val="0"/>
              <w:suppressLineNumbers w:val="0"/>
              <w:spacing w:before="0" w:beforeAutospacing="0" w:after="0" w:afterAutospacing="0" w:line="280" w:lineRule="exact"/>
              <w:ind w:left="0" w:right="0"/>
              <w:rPr>
                <w:rFonts w:hint="default" w:ascii="仿宋" w:hAnsi="仿宋" w:eastAsia="仿宋"/>
                <w:szCs w:val="20"/>
                <w:highlight w:val="none"/>
              </w:rPr>
            </w:pPr>
            <w:r>
              <w:rPr>
                <w:rFonts w:hint="eastAsia" w:ascii="仿宋" w:hAnsi="仿宋" w:eastAsia="仿宋" w:cs="仿宋_GB2312"/>
                <w:w w:val="95"/>
                <w:sz w:val="22"/>
                <w:szCs w:val="20"/>
                <w:highlight w:val="none"/>
              </w:rPr>
              <w:t>11.制止餐饮浪费宣传到位、措施有效，创新方法多样。</w:t>
            </w:r>
          </w:p>
          <w:p w14:paraId="767379E2">
            <w:pPr>
              <w:keepNext w:val="0"/>
              <w:keepLines w:val="0"/>
              <w:suppressLineNumbers w:val="0"/>
              <w:spacing w:before="0" w:beforeAutospacing="0" w:after="0" w:afterAutospacing="0" w:line="280" w:lineRule="exact"/>
              <w:ind w:left="0" w:right="0"/>
              <w:rPr>
                <w:rFonts w:hint="default" w:ascii="仿宋" w:hAnsi="仿宋" w:eastAsia="仿宋"/>
                <w:szCs w:val="20"/>
                <w:highlight w:val="none"/>
              </w:rPr>
            </w:pPr>
            <w:r>
              <w:rPr>
                <w:rFonts w:hint="eastAsia" w:ascii="仿宋" w:hAnsi="仿宋" w:eastAsia="仿宋" w:cs="仿宋_GB2312"/>
                <w:w w:val="95"/>
                <w:sz w:val="22"/>
                <w:szCs w:val="20"/>
                <w:highlight w:val="none"/>
              </w:rPr>
              <w:t>12.消防设施完好，水电气设施安全</w:t>
            </w:r>
            <w:r>
              <w:rPr>
                <w:rFonts w:hint="eastAsia" w:ascii="仿宋" w:hAnsi="仿宋" w:eastAsia="仿宋" w:cs="仿宋_GB2312"/>
                <w:w w:val="95"/>
                <w:sz w:val="22"/>
                <w:szCs w:val="20"/>
                <w:highlight w:val="none"/>
                <w:lang w:eastAsia="zh-CN"/>
              </w:rPr>
              <w:t>合规，本学期无安全隐患问题</w:t>
            </w:r>
            <w:r>
              <w:rPr>
                <w:rFonts w:hint="eastAsia" w:ascii="仿宋" w:hAnsi="仿宋" w:eastAsia="仿宋" w:cs="仿宋_GB2312"/>
                <w:w w:val="95"/>
                <w:sz w:val="22"/>
                <w:szCs w:val="20"/>
                <w:highlight w:val="none"/>
              </w:rPr>
              <w:t>。</w:t>
            </w:r>
          </w:p>
          <w:p w14:paraId="77A08495">
            <w:pPr>
              <w:keepNext w:val="0"/>
              <w:keepLines w:val="0"/>
              <w:suppressLineNumbers w:val="0"/>
              <w:spacing w:before="0" w:beforeAutospacing="0" w:after="0" w:afterAutospacing="0" w:line="280" w:lineRule="exact"/>
              <w:ind w:left="0" w:right="0"/>
              <w:jc w:val="left"/>
              <w:rPr>
                <w:rFonts w:hint="eastAsia" w:ascii="仿宋" w:hAnsi="仿宋" w:eastAsia="仿宋" w:cs="仿宋_GB2312"/>
                <w:w w:val="95"/>
                <w:sz w:val="22"/>
                <w:szCs w:val="20"/>
                <w:highlight w:val="none"/>
              </w:rPr>
            </w:pPr>
            <w:r>
              <w:rPr>
                <w:rFonts w:hint="eastAsia" w:ascii="仿宋" w:hAnsi="仿宋" w:eastAsia="仿宋" w:cs="仿宋_GB2312"/>
                <w:w w:val="95"/>
                <w:sz w:val="22"/>
                <w:szCs w:val="20"/>
                <w:highlight w:val="none"/>
              </w:rPr>
              <w:t>13.餐厅文化建设健康、向上，育人氛围浓厚，就餐环境温馨有序，符合新疆农业大学特色。</w:t>
            </w:r>
          </w:p>
          <w:p w14:paraId="367331C3">
            <w:pPr>
              <w:keepNext w:val="0"/>
              <w:keepLines w:val="0"/>
              <w:suppressLineNumbers w:val="0"/>
              <w:spacing w:before="0" w:beforeAutospacing="0" w:after="0" w:afterAutospacing="0" w:line="280" w:lineRule="exact"/>
              <w:ind w:left="0" w:right="0"/>
              <w:jc w:val="left"/>
              <w:rPr>
                <w:rFonts w:hint="default"/>
                <w:szCs w:val="20"/>
                <w:highlight w:val="none"/>
              </w:rPr>
            </w:pPr>
          </w:p>
        </w:tc>
        <w:tc>
          <w:tcPr>
            <w:tcW w:w="63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2B5C6E5">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cs="仿宋_GB2312"/>
                <w:w w:val="95"/>
                <w:sz w:val="22"/>
                <w:szCs w:val="20"/>
                <w:highlight w:val="none"/>
              </w:rPr>
              <w:t>20</w:t>
            </w:r>
          </w:p>
        </w:tc>
        <w:tc>
          <w:tcPr>
            <w:tcW w:w="6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E60A83E">
            <w:pPr>
              <w:keepNext w:val="0"/>
              <w:keepLines w:val="0"/>
              <w:suppressLineNumbers w:val="0"/>
              <w:spacing w:before="0" w:beforeAutospacing="0" w:after="0" w:afterAutospacing="0"/>
              <w:ind w:left="0" w:right="0"/>
              <w:jc w:val="left"/>
              <w:rPr>
                <w:rFonts w:hint="default" w:ascii="仿宋" w:hAnsi="仿宋" w:eastAsia="仿宋"/>
                <w:szCs w:val="20"/>
                <w:highlight w:val="none"/>
              </w:rPr>
            </w:pPr>
          </w:p>
        </w:tc>
        <w:tc>
          <w:tcPr>
            <w:tcW w:w="162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2D7E80B">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szCs w:val="20"/>
                <w:highlight w:val="none"/>
              </w:rPr>
              <w:t>任意一项不符合规范、存在问题未整改，每项扣 4 分，分值扣完为止。</w:t>
            </w:r>
          </w:p>
        </w:tc>
      </w:tr>
      <w:tr w14:paraId="3A292497">
        <w:tblPrEx>
          <w:tblCellMar>
            <w:top w:w="0" w:type="dxa"/>
            <w:left w:w="108" w:type="dxa"/>
            <w:bottom w:w="0" w:type="dxa"/>
            <w:right w:w="108" w:type="dxa"/>
          </w:tblCellMar>
        </w:tblPrEx>
        <w:trPr>
          <w:cantSplit/>
          <w:trHeight w:val="813" w:hRule="atLeast"/>
        </w:trPr>
        <w:tc>
          <w:tcPr>
            <w:tcW w:w="113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713417">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cs="仿宋_GB2312"/>
                <w:w w:val="95"/>
                <w:sz w:val="22"/>
                <w:szCs w:val="20"/>
                <w:highlight w:val="none"/>
              </w:rPr>
              <w:t>饭菜质量</w:t>
            </w:r>
          </w:p>
        </w:tc>
        <w:tc>
          <w:tcPr>
            <w:tcW w:w="623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D25DE43">
            <w:pPr>
              <w:keepNext w:val="0"/>
              <w:keepLines w:val="0"/>
              <w:suppressLineNumbers w:val="0"/>
              <w:spacing w:before="0" w:beforeAutospacing="0" w:after="0" w:afterAutospacing="0" w:line="280" w:lineRule="exact"/>
              <w:ind w:left="0" w:right="0"/>
              <w:rPr>
                <w:rFonts w:hint="default" w:ascii="仿宋" w:hAnsi="仿宋" w:eastAsia="仿宋"/>
                <w:szCs w:val="20"/>
                <w:highlight w:val="none"/>
              </w:rPr>
            </w:pPr>
            <w:r>
              <w:rPr>
                <w:rFonts w:hint="eastAsia" w:ascii="仿宋" w:hAnsi="仿宋" w:eastAsia="仿宋" w:cs="仿宋_GB2312"/>
                <w:w w:val="95"/>
                <w:sz w:val="22"/>
                <w:szCs w:val="20"/>
                <w:highlight w:val="none"/>
              </w:rPr>
              <w:t>14.基本伙档口的食材消耗要不低于在基本伙收入的60%，调剂伙档口或餐厅食材消耗要不低于在调剂伙收入的40%。</w:t>
            </w:r>
          </w:p>
          <w:p w14:paraId="0135F826">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cs="仿宋_GB2312"/>
                <w:w w:val="95"/>
                <w:sz w:val="22"/>
                <w:szCs w:val="20"/>
                <w:highlight w:val="none"/>
              </w:rPr>
              <w:t>15.调剂伙档口或餐厅的饭菜价格要低于学校周边同品类同份量饭菜价格的15%-20%。</w:t>
            </w:r>
          </w:p>
        </w:tc>
        <w:tc>
          <w:tcPr>
            <w:tcW w:w="63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4F29E59">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cs="仿宋_GB2312"/>
                <w:w w:val="95"/>
                <w:sz w:val="22"/>
                <w:szCs w:val="20"/>
                <w:highlight w:val="none"/>
              </w:rPr>
              <w:t>20</w:t>
            </w:r>
          </w:p>
        </w:tc>
        <w:tc>
          <w:tcPr>
            <w:tcW w:w="6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F555C21">
            <w:pPr>
              <w:keepNext w:val="0"/>
              <w:keepLines w:val="0"/>
              <w:suppressLineNumbers w:val="0"/>
              <w:spacing w:before="0" w:beforeAutospacing="0" w:after="0" w:afterAutospacing="0"/>
              <w:ind w:left="0" w:right="0"/>
              <w:jc w:val="left"/>
              <w:rPr>
                <w:rFonts w:hint="default" w:ascii="仿宋" w:hAnsi="仿宋" w:eastAsia="仿宋"/>
                <w:szCs w:val="20"/>
                <w:highlight w:val="none"/>
              </w:rPr>
            </w:pPr>
          </w:p>
        </w:tc>
        <w:tc>
          <w:tcPr>
            <w:tcW w:w="162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801D6B6">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szCs w:val="20"/>
                <w:highlight w:val="none"/>
              </w:rPr>
              <w:t>任意一项指标不达标扣 10分，分值扣完为止。</w:t>
            </w:r>
          </w:p>
        </w:tc>
      </w:tr>
      <w:tr w14:paraId="09DD4EF5">
        <w:tblPrEx>
          <w:tblCellMar>
            <w:top w:w="0" w:type="dxa"/>
            <w:left w:w="108" w:type="dxa"/>
            <w:bottom w:w="0" w:type="dxa"/>
            <w:right w:w="108" w:type="dxa"/>
          </w:tblCellMar>
        </w:tblPrEx>
        <w:trPr>
          <w:cantSplit/>
          <w:trHeight w:val="806" w:hRule="atLeast"/>
        </w:trPr>
        <w:tc>
          <w:tcPr>
            <w:tcW w:w="113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293D63B">
            <w:pPr>
              <w:keepNext w:val="0"/>
              <w:keepLines w:val="0"/>
              <w:suppressLineNumbers w:val="0"/>
              <w:spacing w:before="0" w:beforeAutospacing="0" w:after="0" w:afterAutospacing="0" w:line="280" w:lineRule="exact"/>
              <w:ind w:left="0" w:right="0"/>
              <w:jc w:val="center"/>
              <w:rPr>
                <w:rFonts w:hint="default" w:ascii="仿宋" w:hAnsi="仿宋" w:eastAsia="仿宋"/>
                <w:szCs w:val="20"/>
                <w:highlight w:val="none"/>
              </w:rPr>
            </w:pPr>
            <w:r>
              <w:rPr>
                <w:rFonts w:hint="eastAsia" w:ascii="仿宋" w:hAnsi="仿宋" w:eastAsia="仿宋" w:cs="仿宋_GB2312"/>
                <w:w w:val="95"/>
                <w:sz w:val="22"/>
                <w:szCs w:val="20"/>
                <w:highlight w:val="none"/>
              </w:rPr>
              <w:t>学生</w:t>
            </w:r>
          </w:p>
          <w:p w14:paraId="134FB7E0">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cs="仿宋_GB2312"/>
                <w:w w:val="95"/>
                <w:sz w:val="22"/>
                <w:szCs w:val="20"/>
                <w:highlight w:val="none"/>
              </w:rPr>
              <w:t>满意度</w:t>
            </w:r>
          </w:p>
        </w:tc>
        <w:tc>
          <w:tcPr>
            <w:tcW w:w="623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A586DCE">
            <w:pPr>
              <w:keepNext w:val="0"/>
              <w:keepLines w:val="0"/>
              <w:suppressLineNumbers w:val="0"/>
              <w:spacing w:before="0" w:beforeAutospacing="0" w:after="0" w:afterAutospacing="0" w:line="280" w:lineRule="exact"/>
              <w:ind w:left="0" w:right="0"/>
              <w:rPr>
                <w:rFonts w:hint="default" w:ascii="仿宋" w:hAnsi="仿宋" w:eastAsia="仿宋"/>
                <w:szCs w:val="20"/>
                <w:highlight w:val="none"/>
              </w:rPr>
            </w:pPr>
            <w:r>
              <w:rPr>
                <w:rFonts w:hint="eastAsia" w:ascii="仿宋" w:hAnsi="仿宋" w:eastAsia="仿宋" w:cs="仿宋_GB2312"/>
                <w:w w:val="95"/>
                <w:sz w:val="22"/>
                <w:szCs w:val="20"/>
                <w:highlight w:val="none"/>
              </w:rPr>
              <w:t>16.全年开展食堂综合服务满意度在85%以上。</w:t>
            </w:r>
          </w:p>
          <w:p w14:paraId="0227B320">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cs="仿宋_GB2312"/>
                <w:w w:val="95"/>
                <w:sz w:val="22"/>
                <w:szCs w:val="20"/>
                <w:highlight w:val="none"/>
              </w:rPr>
              <w:t>17.接到师生有效投诉要低于3起，解决投诉让师生满意度在90%以上。</w:t>
            </w:r>
          </w:p>
        </w:tc>
        <w:tc>
          <w:tcPr>
            <w:tcW w:w="63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FEA3DF">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cs="仿宋_GB2312"/>
                <w:w w:val="95"/>
                <w:sz w:val="22"/>
                <w:szCs w:val="20"/>
                <w:highlight w:val="none"/>
              </w:rPr>
              <w:t>10</w:t>
            </w:r>
          </w:p>
        </w:tc>
        <w:tc>
          <w:tcPr>
            <w:tcW w:w="6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A3B1C8">
            <w:pPr>
              <w:keepNext w:val="0"/>
              <w:keepLines w:val="0"/>
              <w:suppressLineNumbers w:val="0"/>
              <w:spacing w:before="0" w:beforeAutospacing="0" w:after="0" w:afterAutospacing="0"/>
              <w:ind w:left="0" w:right="0"/>
              <w:jc w:val="left"/>
              <w:rPr>
                <w:rFonts w:hint="default" w:ascii="仿宋" w:hAnsi="仿宋" w:eastAsia="仿宋"/>
                <w:szCs w:val="20"/>
                <w:highlight w:val="none"/>
              </w:rPr>
            </w:pPr>
          </w:p>
        </w:tc>
        <w:tc>
          <w:tcPr>
            <w:tcW w:w="162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D3089AF">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szCs w:val="20"/>
                <w:highlight w:val="none"/>
              </w:rPr>
              <w:t>任意一项不合格扣5分，分值扣完为止。</w:t>
            </w:r>
          </w:p>
        </w:tc>
      </w:tr>
      <w:tr w14:paraId="29341378">
        <w:tblPrEx>
          <w:tblCellMar>
            <w:top w:w="0" w:type="dxa"/>
            <w:left w:w="108" w:type="dxa"/>
            <w:bottom w:w="0" w:type="dxa"/>
            <w:right w:w="108" w:type="dxa"/>
          </w:tblCellMar>
        </w:tblPrEx>
        <w:trPr>
          <w:cantSplit/>
          <w:trHeight w:val="3865" w:hRule="atLeast"/>
        </w:trPr>
        <w:tc>
          <w:tcPr>
            <w:tcW w:w="113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F8A0FA4">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cs="仿宋_GB2312"/>
                <w:w w:val="95"/>
                <w:sz w:val="22"/>
                <w:szCs w:val="20"/>
                <w:highlight w:val="none"/>
              </w:rPr>
              <w:t>其他</w:t>
            </w:r>
          </w:p>
        </w:tc>
        <w:tc>
          <w:tcPr>
            <w:tcW w:w="623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F1D7C7F">
            <w:pPr>
              <w:keepNext w:val="0"/>
              <w:keepLines w:val="0"/>
              <w:suppressLineNumbers w:val="0"/>
              <w:spacing w:before="0" w:beforeAutospacing="0" w:after="0" w:afterAutospacing="0" w:line="280" w:lineRule="exact"/>
              <w:ind w:left="0" w:right="0"/>
              <w:rPr>
                <w:rFonts w:hint="default" w:ascii="仿宋" w:hAnsi="仿宋" w:eastAsia="仿宋"/>
                <w:szCs w:val="20"/>
                <w:highlight w:val="none"/>
              </w:rPr>
            </w:pPr>
            <w:r>
              <w:rPr>
                <w:rFonts w:hint="eastAsia" w:ascii="仿宋" w:hAnsi="仿宋" w:eastAsia="仿宋" w:cs="仿宋_GB2312"/>
                <w:w w:val="95"/>
                <w:sz w:val="22"/>
                <w:szCs w:val="20"/>
                <w:highlight w:val="none"/>
              </w:rPr>
              <w:t>18.能按要求完成学校通知的工作任务，配合饮食中心各部门能按时完成财务数据报送、人员信息报送及相关材料等。</w:t>
            </w:r>
          </w:p>
          <w:p w14:paraId="4DD119A8">
            <w:pPr>
              <w:keepNext w:val="0"/>
              <w:keepLines w:val="0"/>
              <w:suppressLineNumbers w:val="0"/>
              <w:spacing w:before="0" w:beforeAutospacing="0" w:after="0" w:afterAutospacing="0" w:line="280" w:lineRule="exact"/>
              <w:ind w:left="0" w:right="0"/>
              <w:rPr>
                <w:rFonts w:hint="default" w:ascii="仿宋" w:hAnsi="仿宋" w:eastAsia="仿宋"/>
                <w:szCs w:val="20"/>
                <w:highlight w:val="none"/>
              </w:rPr>
            </w:pPr>
            <w:r>
              <w:rPr>
                <w:rFonts w:hint="eastAsia" w:ascii="仿宋" w:hAnsi="仿宋" w:eastAsia="仿宋" w:cs="仿宋_GB2312"/>
                <w:w w:val="95"/>
                <w:sz w:val="22"/>
                <w:szCs w:val="20"/>
                <w:highlight w:val="none"/>
              </w:rPr>
              <w:t>19.</w:t>
            </w:r>
            <w:r>
              <w:rPr>
                <w:rFonts w:hint="eastAsia" w:ascii="仿宋" w:hAnsi="仿宋" w:eastAsia="仿宋" w:cs="仿宋_GB2312"/>
                <w:w w:val="95"/>
                <w:sz w:val="22"/>
                <w:szCs w:val="20"/>
                <w:highlight w:val="none"/>
                <w:lang w:eastAsia="zh-CN"/>
              </w:rPr>
              <w:t>针</w:t>
            </w:r>
            <w:r>
              <w:rPr>
                <w:rFonts w:hint="eastAsia" w:ascii="仿宋" w:hAnsi="仿宋" w:eastAsia="仿宋" w:cs="仿宋_GB2312"/>
                <w:w w:val="95"/>
                <w:sz w:val="22"/>
                <w:szCs w:val="20"/>
                <w:highlight w:val="none"/>
              </w:rPr>
              <w:t>对上级政府职能部门的要求、检查、反馈能及时协调处理整改。</w:t>
            </w:r>
          </w:p>
          <w:p w14:paraId="334F277C">
            <w:pPr>
              <w:keepNext w:val="0"/>
              <w:keepLines w:val="0"/>
              <w:suppressLineNumbers w:val="0"/>
              <w:spacing w:before="0" w:beforeAutospacing="0" w:after="0" w:afterAutospacing="0" w:line="280" w:lineRule="exact"/>
              <w:ind w:left="0" w:right="0"/>
              <w:rPr>
                <w:rFonts w:hint="default" w:ascii="仿宋" w:hAnsi="仿宋" w:eastAsia="仿宋"/>
                <w:szCs w:val="20"/>
                <w:highlight w:val="none"/>
              </w:rPr>
            </w:pPr>
            <w:r>
              <w:rPr>
                <w:rFonts w:hint="eastAsia" w:ascii="仿宋" w:hAnsi="仿宋" w:eastAsia="仿宋" w:cs="仿宋_GB2312"/>
                <w:w w:val="95"/>
                <w:sz w:val="22"/>
                <w:szCs w:val="20"/>
                <w:highlight w:val="none"/>
              </w:rPr>
              <w:t>20.本</w:t>
            </w:r>
            <w:r>
              <w:rPr>
                <w:rFonts w:hint="eastAsia" w:ascii="仿宋" w:hAnsi="仿宋" w:eastAsia="仿宋" w:cs="仿宋_GB2312"/>
                <w:w w:val="95"/>
                <w:sz w:val="22"/>
                <w:szCs w:val="20"/>
                <w:highlight w:val="none"/>
                <w:lang w:eastAsia="zh-CN"/>
              </w:rPr>
              <w:t>学期</w:t>
            </w:r>
            <w:r>
              <w:rPr>
                <w:rFonts w:hint="eastAsia" w:ascii="仿宋" w:hAnsi="仿宋" w:eastAsia="仿宋" w:cs="仿宋_GB2312"/>
                <w:w w:val="95"/>
                <w:sz w:val="22"/>
                <w:szCs w:val="20"/>
                <w:highlight w:val="none"/>
              </w:rPr>
              <w:t>未发生食品安全、消防安全及各类安全生产责任事故。</w:t>
            </w:r>
          </w:p>
          <w:p w14:paraId="66F201A6">
            <w:pPr>
              <w:keepNext w:val="0"/>
              <w:keepLines w:val="0"/>
              <w:numPr>
                <w:ilvl w:val="0"/>
                <w:numId w:val="0"/>
              </w:numPr>
              <w:suppressLineNumbers w:val="0"/>
              <w:spacing w:before="0" w:beforeAutospacing="0" w:after="0" w:afterAutospacing="0" w:line="280" w:lineRule="exact"/>
              <w:ind w:left="0" w:right="0"/>
              <w:jc w:val="left"/>
              <w:rPr>
                <w:rFonts w:hint="eastAsia" w:ascii="仿宋" w:hAnsi="仿宋" w:eastAsia="仿宋" w:cs="仿宋_GB2312"/>
                <w:w w:val="95"/>
                <w:sz w:val="22"/>
                <w:szCs w:val="20"/>
                <w:highlight w:val="none"/>
              </w:rPr>
            </w:pPr>
            <w:r>
              <w:rPr>
                <w:rFonts w:hint="eastAsia" w:ascii="仿宋" w:hAnsi="仿宋" w:eastAsia="仿宋" w:cs="仿宋_GB2312"/>
                <w:w w:val="95"/>
                <w:sz w:val="22"/>
                <w:szCs w:val="20"/>
                <w:highlight w:val="none"/>
                <w:lang w:val="en-US" w:eastAsia="zh-CN"/>
              </w:rPr>
              <w:t>21.</w:t>
            </w:r>
            <w:r>
              <w:rPr>
                <w:rFonts w:hint="eastAsia" w:ascii="仿宋" w:hAnsi="仿宋" w:eastAsia="仿宋" w:cs="仿宋_GB2312"/>
                <w:w w:val="95"/>
                <w:sz w:val="22"/>
                <w:szCs w:val="20"/>
                <w:highlight w:val="none"/>
              </w:rPr>
              <w:t>鼓励提升服务质量的经费投入，包括设备设施投入和高科技产品投入。</w:t>
            </w:r>
          </w:p>
          <w:p w14:paraId="7CC6D053">
            <w:pPr>
              <w:keepNext w:val="0"/>
              <w:keepLines w:val="0"/>
              <w:numPr>
                <w:ilvl w:val="0"/>
                <w:numId w:val="0"/>
              </w:numPr>
              <w:suppressLineNumbers w:val="0"/>
              <w:spacing w:before="0" w:beforeAutospacing="0" w:after="0" w:afterAutospacing="0" w:line="280" w:lineRule="exact"/>
              <w:ind w:left="0" w:leftChars="0" w:right="0"/>
              <w:rPr>
                <w:rFonts w:hint="eastAsia" w:ascii="仿宋" w:hAnsi="仿宋" w:eastAsia="仿宋" w:cs="仿宋_GB2312"/>
                <w:w w:val="95"/>
                <w:sz w:val="22"/>
                <w:szCs w:val="20"/>
                <w:highlight w:val="none"/>
              </w:rPr>
            </w:pPr>
            <w:r>
              <w:rPr>
                <w:rFonts w:hint="eastAsia" w:ascii="仿宋" w:hAnsi="仿宋" w:eastAsia="仿宋" w:cs="仿宋_GB2312"/>
                <w:w w:val="95"/>
                <w:sz w:val="22"/>
                <w:szCs w:val="20"/>
                <w:highlight w:val="none"/>
                <w:lang w:val="en-US" w:eastAsia="zh-CN"/>
              </w:rPr>
              <w:t>22.</w:t>
            </w:r>
            <w:r>
              <w:rPr>
                <w:rFonts w:hint="eastAsia" w:ascii="仿宋" w:hAnsi="仿宋" w:eastAsia="仿宋" w:cs="仿宋_GB2312"/>
                <w:w w:val="95"/>
                <w:sz w:val="22"/>
                <w:szCs w:val="20"/>
                <w:highlight w:val="none"/>
              </w:rPr>
              <w:t>餐厅工作人员无劳资纠纷、人员冲突、岗位纠纷等人员纠纷问题，依规妥善处置各类人员矛盾。</w:t>
            </w:r>
          </w:p>
          <w:p w14:paraId="2F618086">
            <w:pPr>
              <w:keepNext w:val="0"/>
              <w:keepLines w:val="0"/>
              <w:numPr>
                <w:ilvl w:val="0"/>
                <w:numId w:val="0"/>
              </w:numPr>
              <w:suppressLineNumbers w:val="0"/>
              <w:spacing w:before="0" w:beforeAutospacing="0" w:after="0" w:afterAutospacing="0" w:line="280" w:lineRule="exact"/>
              <w:ind w:left="0" w:leftChars="0" w:right="0"/>
              <w:rPr>
                <w:rFonts w:hint="eastAsia" w:ascii="仿宋" w:hAnsi="仿宋" w:eastAsia="仿宋" w:cs="仿宋_GB2312"/>
                <w:w w:val="95"/>
                <w:sz w:val="22"/>
                <w:szCs w:val="20"/>
                <w:highlight w:val="none"/>
              </w:rPr>
            </w:pPr>
            <w:r>
              <w:rPr>
                <w:rFonts w:hint="eastAsia" w:ascii="仿宋" w:hAnsi="仿宋" w:eastAsia="仿宋" w:cs="仿宋_GB2312"/>
                <w:w w:val="95"/>
                <w:sz w:val="22"/>
                <w:szCs w:val="20"/>
                <w:highlight w:val="none"/>
                <w:lang w:val="en-US" w:eastAsia="zh-CN"/>
              </w:rPr>
              <w:t>23.</w:t>
            </w:r>
            <w:r>
              <w:rPr>
                <w:rFonts w:hint="eastAsia" w:ascii="仿宋" w:hAnsi="仿宋" w:eastAsia="仿宋" w:cs="仿宋_GB2312"/>
                <w:w w:val="95"/>
                <w:sz w:val="22"/>
                <w:szCs w:val="20"/>
                <w:highlight w:val="none"/>
              </w:rPr>
              <w:t>严格服从学校、</w:t>
            </w:r>
            <w:r>
              <w:rPr>
                <w:rFonts w:hint="eastAsia" w:ascii="仿宋" w:hAnsi="仿宋" w:eastAsia="仿宋" w:cs="仿宋_GB2312"/>
                <w:w w:val="95"/>
                <w:sz w:val="22"/>
                <w:szCs w:val="20"/>
                <w:highlight w:val="none"/>
                <w:lang w:eastAsia="zh-CN"/>
              </w:rPr>
              <w:t>后勤服务处、</w:t>
            </w:r>
            <w:r>
              <w:rPr>
                <w:rFonts w:hint="eastAsia" w:ascii="仿宋" w:hAnsi="仿宋" w:eastAsia="仿宋" w:cs="仿宋_GB2312"/>
                <w:w w:val="95"/>
                <w:sz w:val="22"/>
                <w:szCs w:val="20"/>
                <w:highlight w:val="none"/>
              </w:rPr>
              <w:t>饮食中心各项管理规定、检查要求及工作安排，无拒不服从管理、消极抵触工作等行为。</w:t>
            </w:r>
          </w:p>
          <w:p w14:paraId="1706A03E">
            <w:pPr>
              <w:keepNext w:val="0"/>
              <w:keepLines w:val="0"/>
              <w:numPr>
                <w:ilvl w:val="0"/>
                <w:numId w:val="0"/>
              </w:numPr>
              <w:suppressLineNumbers w:val="0"/>
              <w:spacing w:before="0" w:beforeAutospacing="0" w:after="0" w:afterAutospacing="0" w:line="280" w:lineRule="exact"/>
              <w:ind w:left="0" w:leftChars="0" w:right="0"/>
              <w:rPr>
                <w:rFonts w:hint="default"/>
                <w:szCs w:val="20"/>
                <w:highlight w:val="none"/>
              </w:rPr>
            </w:pPr>
            <w:r>
              <w:rPr>
                <w:rFonts w:hint="eastAsia" w:ascii="仿宋" w:hAnsi="仿宋" w:eastAsia="仿宋" w:cs="仿宋_GB2312"/>
                <w:w w:val="95"/>
                <w:sz w:val="22"/>
                <w:szCs w:val="20"/>
                <w:highlight w:val="none"/>
              </w:rPr>
              <w:t>2</w:t>
            </w:r>
            <w:r>
              <w:rPr>
                <w:rFonts w:hint="eastAsia" w:ascii="仿宋" w:hAnsi="仿宋" w:eastAsia="仿宋" w:cs="仿宋_GB2312"/>
                <w:w w:val="95"/>
                <w:sz w:val="22"/>
                <w:szCs w:val="20"/>
                <w:highlight w:val="none"/>
                <w:lang w:val="en-US" w:eastAsia="zh-CN"/>
              </w:rPr>
              <w:t>4</w:t>
            </w:r>
            <w:r>
              <w:rPr>
                <w:rFonts w:hint="eastAsia" w:ascii="仿宋" w:hAnsi="仿宋" w:eastAsia="仿宋" w:cs="仿宋_GB2312"/>
                <w:w w:val="95"/>
                <w:sz w:val="22"/>
                <w:szCs w:val="20"/>
                <w:highlight w:val="none"/>
              </w:rPr>
              <w:t>.规范处置师生各类投诉，做到响应及时、处置规范、整改到位，留存完整处置记录。</w:t>
            </w:r>
          </w:p>
        </w:tc>
        <w:tc>
          <w:tcPr>
            <w:tcW w:w="63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A229C4E">
            <w:pPr>
              <w:keepNext w:val="0"/>
              <w:keepLines w:val="0"/>
              <w:suppressLineNumbers w:val="0"/>
              <w:spacing w:before="0" w:beforeAutospacing="0" w:after="0" w:afterAutospacing="0" w:line="280" w:lineRule="exact"/>
              <w:ind w:left="0" w:right="0"/>
              <w:jc w:val="left"/>
              <w:rPr>
                <w:rFonts w:hint="eastAsia" w:ascii="仿宋" w:hAnsi="仿宋" w:eastAsia="仿宋"/>
                <w:szCs w:val="20"/>
                <w:highlight w:val="none"/>
                <w:lang w:val="en-US" w:eastAsia="zh-CN"/>
              </w:rPr>
            </w:pPr>
            <w:r>
              <w:rPr>
                <w:rFonts w:hint="eastAsia" w:ascii="仿宋" w:hAnsi="仿宋" w:eastAsia="仿宋" w:cs="仿宋_GB2312"/>
                <w:w w:val="95"/>
                <w:sz w:val="22"/>
                <w:szCs w:val="20"/>
                <w:highlight w:val="none"/>
              </w:rPr>
              <w:t>1</w:t>
            </w:r>
            <w:r>
              <w:rPr>
                <w:rFonts w:hint="eastAsia" w:ascii="仿宋" w:hAnsi="仿宋" w:eastAsia="仿宋" w:cs="仿宋_GB2312"/>
                <w:w w:val="95"/>
                <w:sz w:val="22"/>
                <w:szCs w:val="20"/>
                <w:highlight w:val="none"/>
                <w:lang w:val="en-US" w:eastAsia="zh-CN"/>
              </w:rPr>
              <w:t>4</w:t>
            </w:r>
          </w:p>
        </w:tc>
        <w:tc>
          <w:tcPr>
            <w:tcW w:w="6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3CFD75D">
            <w:pPr>
              <w:keepNext w:val="0"/>
              <w:keepLines w:val="0"/>
              <w:suppressLineNumbers w:val="0"/>
              <w:spacing w:before="0" w:beforeAutospacing="0" w:after="0" w:afterAutospacing="0"/>
              <w:ind w:left="0" w:right="0"/>
              <w:jc w:val="left"/>
              <w:rPr>
                <w:rFonts w:hint="default" w:ascii="仿宋" w:hAnsi="仿宋" w:eastAsia="仿宋"/>
                <w:szCs w:val="20"/>
                <w:highlight w:val="none"/>
              </w:rPr>
            </w:pPr>
          </w:p>
        </w:tc>
        <w:tc>
          <w:tcPr>
            <w:tcW w:w="162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7D4293C">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szCs w:val="20"/>
                <w:highlight w:val="none"/>
              </w:rPr>
              <w:t>任意一项工作落实不合格，每项扣2 分，分值扣完为止。</w:t>
            </w:r>
          </w:p>
        </w:tc>
      </w:tr>
      <w:tr w14:paraId="65931214">
        <w:tblPrEx>
          <w:tblCellMar>
            <w:top w:w="0" w:type="dxa"/>
            <w:left w:w="108" w:type="dxa"/>
            <w:bottom w:w="0" w:type="dxa"/>
            <w:right w:w="108" w:type="dxa"/>
          </w:tblCellMar>
        </w:tblPrEx>
        <w:trPr>
          <w:cantSplit/>
          <w:trHeight w:val="652" w:hRule="atLeast"/>
        </w:trPr>
        <w:tc>
          <w:tcPr>
            <w:tcW w:w="8004" w:type="dxa"/>
            <w:gridSpan w:val="3"/>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6C846B4">
            <w:pPr>
              <w:keepNext w:val="0"/>
              <w:keepLines w:val="0"/>
              <w:suppressLineNumbers w:val="0"/>
              <w:spacing w:before="0" w:beforeAutospacing="0" w:after="0" w:afterAutospacing="0" w:line="280" w:lineRule="exact"/>
              <w:ind w:left="0" w:right="0"/>
              <w:jc w:val="left"/>
              <w:rPr>
                <w:rFonts w:hint="default" w:ascii="仿宋" w:hAnsi="仿宋" w:eastAsia="仿宋"/>
                <w:szCs w:val="20"/>
                <w:highlight w:val="none"/>
              </w:rPr>
            </w:pPr>
            <w:r>
              <w:rPr>
                <w:rFonts w:hint="eastAsia" w:ascii="仿宋" w:hAnsi="仿宋" w:eastAsia="仿宋"/>
                <w:w w:val="95"/>
                <w:sz w:val="22"/>
                <w:szCs w:val="20"/>
                <w:highlight w:val="none"/>
              </w:rPr>
              <w:t>考评得分</w:t>
            </w:r>
          </w:p>
        </w:tc>
        <w:tc>
          <w:tcPr>
            <w:tcW w:w="2250"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4CCDE1B">
            <w:pPr>
              <w:keepNext w:val="0"/>
              <w:keepLines w:val="0"/>
              <w:suppressLineNumbers w:val="0"/>
              <w:spacing w:before="0" w:beforeAutospacing="0" w:after="0" w:afterAutospacing="0"/>
              <w:ind w:left="0" w:right="0"/>
              <w:jc w:val="left"/>
              <w:rPr>
                <w:rFonts w:hint="default" w:ascii="仿宋" w:hAnsi="仿宋" w:eastAsia="仿宋"/>
                <w:szCs w:val="20"/>
                <w:highlight w:val="none"/>
              </w:rPr>
            </w:pPr>
          </w:p>
        </w:tc>
      </w:tr>
    </w:tbl>
    <w:p w14:paraId="5ABE2603">
      <w:pPr>
        <w:autoSpaceDE w:val="0"/>
        <w:autoSpaceDN w:val="0"/>
        <w:adjustRightInd w:val="0"/>
        <w:jc w:val="left"/>
        <w:rPr>
          <w:rFonts w:ascii="仿宋" w:hAnsi="仿宋" w:eastAsia="仿宋"/>
          <w:highlight w:val="none"/>
        </w:rPr>
      </w:pPr>
      <w:r>
        <w:rPr>
          <w:rFonts w:hint="eastAsia" w:ascii="仿宋" w:hAnsi="仿宋" w:eastAsia="仿宋"/>
          <w:sz w:val="28"/>
          <w:szCs w:val="24"/>
          <w:highlight w:val="none"/>
        </w:rPr>
        <w:t>餐厅负责人：</w:t>
      </w:r>
      <w:r>
        <w:rPr>
          <w:rFonts w:ascii="仿宋" w:hAnsi="仿宋" w:eastAsia="仿宋"/>
          <w:sz w:val="28"/>
          <w:szCs w:val="24"/>
          <w:highlight w:val="none"/>
        </w:rPr>
        <w:t xml:space="preserve">                                   </w:t>
      </w:r>
      <w:r>
        <w:rPr>
          <w:rFonts w:hint="eastAsia" w:ascii="仿宋" w:hAnsi="仿宋" w:eastAsia="仿宋"/>
          <w:sz w:val="28"/>
          <w:szCs w:val="24"/>
          <w:highlight w:val="none"/>
        </w:rPr>
        <w:t>日期：</w:t>
      </w:r>
    </w:p>
    <w:p w14:paraId="697D9A76">
      <w:pPr>
        <w:pStyle w:val="37"/>
        <w:rPr>
          <w:rFonts w:ascii="仿宋" w:hAnsi="仿宋" w:eastAsia="仿宋"/>
          <w:highlight w:val="none"/>
        </w:rPr>
      </w:pPr>
    </w:p>
    <w:p w14:paraId="0020DF69">
      <w:pPr>
        <w:rPr>
          <w:highlight w:val="none"/>
        </w:rPr>
      </w:pPr>
    </w:p>
    <w:p w14:paraId="73DA4D0E">
      <w:pPr>
        <w:pStyle w:val="37"/>
        <w:spacing w:line="560" w:lineRule="exact"/>
        <w:outlineLvl w:val="9"/>
        <w:rPr>
          <w:rFonts w:ascii="Times New Roman" w:eastAsia="仿宋_GB2312" w:cs="Times New Roman"/>
          <w:color w:val="auto"/>
          <w:highlight w:val="none"/>
        </w:rPr>
      </w:pPr>
    </w:p>
    <w:p w14:paraId="462C5E2B">
      <w:pPr>
        <w:spacing w:line="440" w:lineRule="exact"/>
        <w:jc w:val="center"/>
        <w:outlineLvl w:val="9"/>
        <w:rPr>
          <w:rFonts w:hint="eastAsia" w:ascii="宋体" w:hAnsi="宋体"/>
          <w:b/>
          <w:color w:val="auto"/>
          <w:sz w:val="32"/>
          <w:highlight w:val="none"/>
        </w:rPr>
      </w:pPr>
    </w:p>
    <w:p w14:paraId="05A42FCC">
      <w:pPr>
        <w:spacing w:line="440" w:lineRule="exact"/>
        <w:jc w:val="center"/>
        <w:outlineLvl w:val="9"/>
        <w:rPr>
          <w:rFonts w:hint="eastAsia" w:ascii="宋体" w:hAnsi="宋体"/>
          <w:b/>
          <w:color w:val="auto"/>
          <w:sz w:val="32"/>
          <w:highlight w:val="none"/>
        </w:rPr>
      </w:pPr>
    </w:p>
    <w:p w14:paraId="530D1030">
      <w:pPr>
        <w:spacing w:line="440" w:lineRule="exact"/>
        <w:jc w:val="center"/>
        <w:outlineLvl w:val="9"/>
        <w:rPr>
          <w:rFonts w:hint="eastAsia" w:ascii="宋体" w:hAnsi="宋体"/>
          <w:b/>
          <w:color w:val="auto"/>
          <w:sz w:val="32"/>
          <w:highlight w:val="none"/>
        </w:rPr>
      </w:pPr>
    </w:p>
    <w:p w14:paraId="533DA592">
      <w:pPr>
        <w:spacing w:line="440" w:lineRule="exact"/>
        <w:jc w:val="center"/>
        <w:outlineLvl w:val="9"/>
        <w:rPr>
          <w:rFonts w:hint="eastAsia" w:ascii="宋体" w:hAnsi="宋体"/>
          <w:b/>
          <w:color w:val="auto"/>
          <w:sz w:val="32"/>
          <w:highlight w:val="none"/>
        </w:rPr>
      </w:pPr>
    </w:p>
    <w:p w14:paraId="621D4C19">
      <w:pPr>
        <w:spacing w:line="440" w:lineRule="exact"/>
        <w:jc w:val="center"/>
        <w:outlineLvl w:val="9"/>
        <w:rPr>
          <w:rFonts w:hint="eastAsia" w:ascii="宋体" w:hAnsi="宋体"/>
          <w:b/>
          <w:color w:val="auto"/>
          <w:sz w:val="32"/>
          <w:highlight w:val="none"/>
        </w:rPr>
      </w:pPr>
    </w:p>
    <w:p w14:paraId="7ECC7488">
      <w:pPr>
        <w:spacing w:line="440" w:lineRule="exact"/>
        <w:jc w:val="center"/>
        <w:outlineLvl w:val="9"/>
        <w:rPr>
          <w:rFonts w:hint="eastAsia" w:ascii="宋体" w:hAnsi="宋体"/>
          <w:b/>
          <w:color w:val="auto"/>
          <w:sz w:val="32"/>
          <w:highlight w:val="none"/>
        </w:rPr>
      </w:pPr>
    </w:p>
    <w:p w14:paraId="01CEBFEE">
      <w:pPr>
        <w:spacing w:line="440" w:lineRule="exact"/>
        <w:jc w:val="center"/>
        <w:outlineLvl w:val="9"/>
        <w:rPr>
          <w:rFonts w:hint="eastAsia" w:ascii="宋体" w:hAnsi="宋体"/>
          <w:b/>
          <w:color w:val="auto"/>
          <w:sz w:val="32"/>
          <w:highlight w:val="none"/>
        </w:rPr>
      </w:pPr>
    </w:p>
    <w:p w14:paraId="2857F45E">
      <w:pPr>
        <w:spacing w:line="440" w:lineRule="exact"/>
        <w:jc w:val="center"/>
        <w:outlineLvl w:val="9"/>
        <w:rPr>
          <w:rFonts w:hint="eastAsia" w:ascii="宋体" w:hAnsi="宋体"/>
          <w:b/>
          <w:color w:val="auto"/>
          <w:sz w:val="32"/>
          <w:highlight w:val="none"/>
        </w:rPr>
      </w:pPr>
    </w:p>
    <w:p w14:paraId="5CC52431">
      <w:pPr>
        <w:rPr>
          <w:rFonts w:hint="eastAsia" w:ascii="宋体" w:hAnsi="宋体"/>
          <w:b/>
          <w:color w:val="auto"/>
          <w:sz w:val="32"/>
          <w:highlight w:val="none"/>
        </w:rPr>
      </w:pPr>
      <w:r>
        <w:rPr>
          <w:rFonts w:hint="eastAsia" w:ascii="宋体" w:hAnsi="宋体"/>
          <w:b/>
          <w:color w:val="auto"/>
          <w:sz w:val="32"/>
          <w:highlight w:val="none"/>
        </w:rPr>
        <w:br w:type="page"/>
      </w:r>
    </w:p>
    <w:p w14:paraId="695C31D8">
      <w:pPr>
        <w:keepNext w:val="0"/>
        <w:keepLines w:val="0"/>
        <w:pageBreakBefore w:val="0"/>
        <w:widowControl w:val="0"/>
        <w:kinsoku/>
        <w:wordWrap/>
        <w:overflowPunct/>
        <w:topLinePunct w:val="0"/>
        <w:bidi w:val="0"/>
        <w:spacing w:line="360" w:lineRule="auto"/>
        <w:jc w:val="center"/>
        <w:textAlignment w:val="auto"/>
        <w:outlineLvl w:val="0"/>
        <w:rPr>
          <w:rFonts w:ascii="宋体" w:hAnsi="宋体"/>
          <w:b/>
          <w:color w:val="auto"/>
          <w:sz w:val="32"/>
          <w:szCs w:val="32"/>
          <w:highlight w:val="none"/>
        </w:rPr>
      </w:pPr>
      <w:bookmarkStart w:id="50" w:name="_Toc3994"/>
      <w:bookmarkStart w:id="51" w:name="_Toc11738"/>
      <w:r>
        <w:rPr>
          <w:rFonts w:hint="eastAsia" w:ascii="宋体" w:hAnsi="宋体"/>
          <w:b/>
          <w:color w:val="auto"/>
          <w:sz w:val="32"/>
          <w:szCs w:val="32"/>
          <w:highlight w:val="none"/>
        </w:rPr>
        <w:t>第六部分</w:t>
      </w:r>
      <w:r>
        <w:rPr>
          <w:rFonts w:hint="eastAsia" w:ascii="宋体" w:hAnsi="宋体"/>
          <w:b/>
          <w:color w:val="auto"/>
          <w:sz w:val="32"/>
          <w:szCs w:val="32"/>
          <w:highlight w:val="none"/>
          <w:lang w:eastAsia="zh-CN"/>
        </w:rPr>
        <w:t>投标文件</w:t>
      </w:r>
      <w:r>
        <w:rPr>
          <w:rFonts w:hint="eastAsia" w:ascii="宋体" w:hAnsi="宋体"/>
          <w:b/>
          <w:color w:val="auto"/>
          <w:sz w:val="32"/>
          <w:szCs w:val="32"/>
          <w:highlight w:val="none"/>
        </w:rPr>
        <w:t>格式</w:t>
      </w:r>
      <w:bookmarkEnd w:id="49"/>
      <w:bookmarkEnd w:id="50"/>
      <w:bookmarkEnd w:id="51"/>
    </w:p>
    <w:p w14:paraId="7C000DBF">
      <w:pPr>
        <w:pStyle w:val="106"/>
        <w:keepNext w:val="0"/>
        <w:keepLines w:val="0"/>
        <w:pageBreakBefore w:val="0"/>
        <w:widowControl w:val="0"/>
        <w:kinsoku/>
        <w:wordWrap/>
        <w:overflowPunct/>
        <w:topLinePunct w:val="0"/>
        <w:bidi w:val="0"/>
        <w:spacing w:after="0" w:line="360" w:lineRule="auto"/>
        <w:ind w:left="0" w:leftChars="0" w:firstLine="0" w:firstLineChars="0"/>
        <w:jc w:val="center"/>
        <w:textAlignment w:val="auto"/>
        <w:outlineLvl w:val="9"/>
        <w:rPr>
          <w:rFonts w:ascii="宋体" w:hAnsi="宋体"/>
          <w:b/>
          <w:color w:val="auto"/>
          <w:sz w:val="28"/>
          <w:szCs w:val="28"/>
          <w:highlight w:val="none"/>
        </w:rPr>
      </w:pPr>
      <w:r>
        <w:rPr>
          <w:rFonts w:hint="eastAsia" w:ascii="宋体" w:hAnsi="宋体"/>
          <w:b/>
          <w:color w:val="auto"/>
          <w:sz w:val="28"/>
          <w:szCs w:val="28"/>
          <w:highlight w:val="none"/>
        </w:rPr>
        <w:t>目录</w:t>
      </w:r>
    </w:p>
    <w:p w14:paraId="7778E873">
      <w:pPr>
        <w:spacing w:line="276" w:lineRule="auto"/>
        <w:outlineLvl w:val="9"/>
        <w:rPr>
          <w:rFonts w:hint="default" w:ascii="Times New Roman" w:hAnsi="Times New Roman" w:cs="Times New Roman"/>
          <w:color w:val="auto"/>
          <w:sz w:val="24"/>
          <w:highlight w:val="none"/>
        </w:rPr>
      </w:pPr>
      <w:bookmarkStart w:id="52" w:name="_Toc14936"/>
      <w:bookmarkStart w:id="53" w:name="_Toc18205"/>
      <w:bookmarkStart w:id="54" w:name="_Toc15731"/>
      <w:bookmarkStart w:id="55" w:name="_Toc19503"/>
      <w:r>
        <w:rPr>
          <w:rFonts w:hint="default" w:ascii="Times New Roman" w:hAnsi="Times New Roman" w:cs="Times New Roman"/>
          <w:color w:val="auto"/>
          <w:sz w:val="24"/>
          <w:highlight w:val="none"/>
        </w:rPr>
        <w:t>一、法定代表人身份证明复印件</w:t>
      </w:r>
      <w:r>
        <w:rPr>
          <w:rFonts w:hint="default" w:ascii="Times New Roman" w:hAnsi="Times New Roman" w:cs="Times New Roman"/>
          <w:color w:val="auto"/>
          <w:sz w:val="24"/>
          <w:highlight w:val="none"/>
          <w:lang w:eastAsia="zh-CN"/>
        </w:rPr>
        <w:t>（</w:t>
      </w:r>
      <w:r>
        <w:rPr>
          <w:rFonts w:hint="default" w:ascii="Times New Roman" w:hAnsi="Times New Roman" w:cs="Times New Roman"/>
          <w:color w:val="auto"/>
          <w:sz w:val="24"/>
          <w:highlight w:val="none"/>
        </w:rPr>
        <w:t>法定代表人参加投标</w:t>
      </w:r>
      <w:r>
        <w:rPr>
          <w:rFonts w:hint="default" w:ascii="Times New Roman" w:hAnsi="Times New Roman" w:cs="Times New Roman"/>
          <w:color w:val="auto"/>
          <w:sz w:val="24"/>
          <w:highlight w:val="none"/>
          <w:lang w:eastAsia="zh-CN"/>
        </w:rPr>
        <w:t>）</w:t>
      </w:r>
    </w:p>
    <w:p w14:paraId="5C305B29">
      <w:pPr>
        <w:spacing w:line="276" w:lineRule="auto"/>
        <w:outlineLvl w:val="9"/>
        <w:rPr>
          <w:rFonts w:hint="default" w:ascii="Times New Roman" w:hAnsi="Times New Roman" w:cs="Times New Roman"/>
          <w:color w:val="auto"/>
          <w:sz w:val="24"/>
          <w:highlight w:val="none"/>
        </w:rPr>
      </w:pPr>
      <w:bookmarkStart w:id="56" w:name="_Toc10741"/>
      <w:r>
        <w:rPr>
          <w:rFonts w:hint="default" w:ascii="Times New Roman" w:hAnsi="Times New Roman" w:cs="Times New Roman"/>
          <w:color w:val="auto"/>
          <w:sz w:val="24"/>
          <w:highlight w:val="none"/>
        </w:rPr>
        <w:t>二、</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代表身份证明</w:t>
      </w:r>
      <w:bookmarkEnd w:id="52"/>
      <w:bookmarkEnd w:id="53"/>
      <w:bookmarkEnd w:id="56"/>
    </w:p>
    <w:p w14:paraId="16CAE8F1">
      <w:pPr>
        <w:spacing w:line="276" w:lineRule="auto"/>
        <w:ind w:firstLine="420" w:firstLineChars="175"/>
        <w:outlineLvl w:val="9"/>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1法定代表人授权委托书</w:t>
      </w:r>
      <w:r>
        <w:rPr>
          <w:rFonts w:hint="default" w:ascii="Times New Roman" w:hAnsi="Times New Roman" w:cs="Times New Roman"/>
          <w:color w:val="auto"/>
          <w:sz w:val="24"/>
          <w:highlight w:val="none"/>
          <w:lang w:eastAsia="zh-CN"/>
        </w:rPr>
        <w:t>（</w:t>
      </w:r>
      <w:r>
        <w:rPr>
          <w:rFonts w:hint="default" w:ascii="Times New Roman" w:hAnsi="Times New Roman" w:cs="Times New Roman"/>
          <w:color w:val="auto"/>
          <w:sz w:val="24"/>
          <w:highlight w:val="none"/>
        </w:rPr>
        <w:t>授权代表参加投标</w:t>
      </w:r>
      <w:r>
        <w:rPr>
          <w:rFonts w:hint="default" w:ascii="Times New Roman" w:hAnsi="Times New Roman" w:cs="Times New Roman"/>
          <w:color w:val="auto"/>
          <w:sz w:val="24"/>
          <w:highlight w:val="none"/>
          <w:lang w:eastAsia="zh-CN"/>
        </w:rPr>
        <w:t>）</w:t>
      </w:r>
    </w:p>
    <w:bookmarkEnd w:id="54"/>
    <w:bookmarkEnd w:id="55"/>
    <w:p w14:paraId="5A20FEA2">
      <w:pPr>
        <w:spacing w:line="276" w:lineRule="auto"/>
        <w:outlineLvl w:val="9"/>
        <w:rPr>
          <w:rFonts w:hint="default" w:ascii="Times New Roman" w:hAnsi="Times New Roman" w:cs="Times New Roman"/>
          <w:color w:val="auto"/>
          <w:sz w:val="24"/>
          <w:highlight w:val="none"/>
        </w:rPr>
      </w:pPr>
      <w:bookmarkStart w:id="57" w:name="_Hlk132118260"/>
      <w:r>
        <w:rPr>
          <w:rFonts w:hint="default" w:ascii="Times New Roman" w:hAnsi="Times New Roman" w:cs="Times New Roman"/>
          <w:color w:val="auto"/>
          <w:sz w:val="24"/>
          <w:highlight w:val="none"/>
        </w:rPr>
        <w:t>三、提供符合政府采购政策的证明材料</w:t>
      </w:r>
      <w:bookmarkEnd w:id="57"/>
    </w:p>
    <w:p w14:paraId="1F5D9E3A">
      <w:pPr>
        <w:spacing w:line="276" w:lineRule="auto"/>
        <w:ind w:firstLine="420"/>
        <w:outlineLvl w:val="9"/>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1中小企业声明函</w:t>
      </w:r>
    </w:p>
    <w:p w14:paraId="361F7EDB">
      <w:pPr>
        <w:spacing w:line="276" w:lineRule="auto"/>
        <w:ind w:firstLine="420"/>
        <w:outlineLvl w:val="9"/>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2监狱企业证明文件</w:t>
      </w:r>
    </w:p>
    <w:p w14:paraId="7ACAA45B">
      <w:pPr>
        <w:spacing w:line="276" w:lineRule="auto"/>
        <w:ind w:firstLine="420"/>
        <w:outlineLvl w:val="9"/>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3残疾人福利性单位声明函</w:t>
      </w:r>
    </w:p>
    <w:p w14:paraId="1F4C3C7D">
      <w:pPr>
        <w:spacing w:line="276" w:lineRule="auto"/>
        <w:outlineLvl w:val="9"/>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四、投标函</w:t>
      </w:r>
    </w:p>
    <w:p w14:paraId="608756E0">
      <w:pPr>
        <w:spacing w:line="276" w:lineRule="auto"/>
        <w:outlineLvl w:val="9"/>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五、反商业贿赂承诺书</w:t>
      </w:r>
    </w:p>
    <w:p w14:paraId="594B5D12">
      <w:pPr>
        <w:spacing w:line="276" w:lineRule="auto"/>
        <w:outlineLvl w:val="9"/>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六、投标报价</w:t>
      </w:r>
    </w:p>
    <w:p w14:paraId="216BB5AE">
      <w:pPr>
        <w:spacing w:line="276" w:lineRule="auto"/>
        <w:ind w:firstLine="480" w:firstLineChars="200"/>
        <w:outlineLvl w:val="9"/>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1开标一览表</w:t>
      </w:r>
    </w:p>
    <w:p w14:paraId="2F8B4D99">
      <w:pPr>
        <w:spacing w:line="276" w:lineRule="auto"/>
        <w:outlineLvl w:val="9"/>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七、</w:t>
      </w:r>
      <w:r>
        <w:rPr>
          <w:rFonts w:hint="default" w:ascii="Times New Roman" w:hAnsi="Times New Roman" w:eastAsia="宋体" w:cs="Times New Roman"/>
          <w:color w:val="auto"/>
          <w:sz w:val="24"/>
          <w:highlight w:val="none"/>
          <w:lang w:eastAsia="zh-CN"/>
        </w:rPr>
        <w:t>采购需求</w:t>
      </w:r>
      <w:r>
        <w:rPr>
          <w:rFonts w:hint="default" w:ascii="Times New Roman" w:hAnsi="Times New Roman" w:eastAsia="宋体" w:cs="Times New Roman"/>
          <w:color w:val="auto"/>
          <w:sz w:val="24"/>
          <w:highlight w:val="none"/>
        </w:rPr>
        <w:t>偏离表</w:t>
      </w:r>
    </w:p>
    <w:p w14:paraId="7BFE69E3">
      <w:pPr>
        <w:spacing w:line="276" w:lineRule="auto"/>
        <w:outlineLvl w:val="9"/>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八、</w:t>
      </w:r>
      <w:r>
        <w:rPr>
          <w:rFonts w:hint="default" w:ascii="Times New Roman" w:hAnsi="Times New Roman" w:eastAsia="宋体" w:cs="Times New Roman"/>
          <w:color w:val="auto"/>
          <w:sz w:val="24"/>
          <w:highlight w:val="none"/>
        </w:rPr>
        <w:t>项目实施方案</w:t>
      </w:r>
    </w:p>
    <w:p w14:paraId="5D11497D">
      <w:pPr>
        <w:spacing w:line="276" w:lineRule="auto"/>
        <w:outlineLvl w:val="9"/>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九</w:t>
      </w:r>
      <w:r>
        <w:rPr>
          <w:rFonts w:hint="default" w:ascii="Times New Roman" w:hAnsi="Times New Roman" w:eastAsia="宋体" w:cs="Times New Roman"/>
          <w:color w:val="auto"/>
          <w:sz w:val="24"/>
          <w:highlight w:val="none"/>
        </w:rPr>
        <w:t>、业绩</w:t>
      </w:r>
    </w:p>
    <w:p w14:paraId="45717D0C">
      <w:pPr>
        <w:spacing w:line="276" w:lineRule="auto"/>
        <w:outlineLvl w:val="9"/>
        <w:rPr>
          <w:rFonts w:hint="default" w:ascii="Times New Roman" w:hAnsi="Times New Roman" w:cs="Times New Roman"/>
          <w:color w:val="auto"/>
          <w:sz w:val="24"/>
          <w:highlight w:val="none"/>
        </w:rPr>
      </w:pPr>
      <w:bookmarkStart w:id="58" w:name="_Toc28913"/>
      <w:bookmarkStart w:id="59" w:name="_Toc7039"/>
      <w:bookmarkStart w:id="60" w:name="_Toc25967"/>
      <w:r>
        <w:rPr>
          <w:rFonts w:hint="default" w:ascii="Times New Roman" w:hAnsi="Times New Roman" w:eastAsia="宋体" w:cs="Times New Roman"/>
          <w:color w:val="auto"/>
          <w:sz w:val="24"/>
          <w:highlight w:val="none"/>
        </w:rPr>
        <w:t>十、</w:t>
      </w:r>
      <w:bookmarkEnd w:id="58"/>
      <w:bookmarkEnd w:id="59"/>
      <w:bookmarkEnd w:id="60"/>
      <w:r>
        <w:rPr>
          <w:rFonts w:hint="default" w:ascii="Times New Roman" w:hAnsi="Times New Roman" w:eastAsia="宋体" w:cs="Times New Roman"/>
          <w:color w:val="auto"/>
          <w:sz w:val="24"/>
          <w:highlight w:val="none"/>
        </w:rPr>
        <w:t>资格审查文件</w:t>
      </w:r>
      <w:r>
        <w:rPr>
          <w:rFonts w:hint="default" w:ascii="Times New Roman" w:hAnsi="Times New Roman" w:cs="Times New Roman"/>
          <w:color w:val="auto"/>
          <w:sz w:val="24"/>
          <w:highlight w:val="none"/>
        </w:rPr>
        <w:tab/>
      </w:r>
    </w:p>
    <w:p w14:paraId="1D267940">
      <w:pPr>
        <w:spacing w:line="276" w:lineRule="auto"/>
        <w:ind w:firstLine="241" w:firstLineChars="100"/>
        <w:outlineLvl w:val="9"/>
        <w:rPr>
          <w:rFonts w:hint="default" w:ascii="Times New Roman" w:hAnsi="Times New Roman" w:cs="Times New Roman"/>
          <w:bCs/>
          <w:color w:val="auto"/>
          <w:sz w:val="24"/>
          <w:highlight w:val="none"/>
        </w:rPr>
      </w:pPr>
      <w:r>
        <w:rPr>
          <w:rFonts w:hint="default" w:ascii="Times New Roman" w:hAnsi="Times New Roman" w:cs="Times New Roman"/>
          <w:b/>
          <w:color w:val="auto"/>
          <w:sz w:val="24"/>
          <w:highlight w:val="none"/>
        </w:rPr>
        <w:t>注：1.</w:t>
      </w:r>
      <w:r>
        <w:rPr>
          <w:rFonts w:hint="default" w:ascii="Times New Roman" w:hAnsi="Times New Roman" w:cs="Times New Roman"/>
          <w:b/>
          <w:color w:val="auto"/>
          <w:sz w:val="24"/>
          <w:highlight w:val="none"/>
          <w:lang w:eastAsia="zh-CN"/>
        </w:rPr>
        <w:t>投标供应商</w:t>
      </w:r>
      <w:r>
        <w:rPr>
          <w:rFonts w:hint="default" w:ascii="Times New Roman" w:hAnsi="Times New Roman" w:cs="Times New Roman"/>
          <w:b/>
          <w:color w:val="auto"/>
          <w:sz w:val="24"/>
          <w:highlight w:val="none"/>
        </w:rPr>
        <w:t>制作</w:t>
      </w:r>
      <w:r>
        <w:rPr>
          <w:rFonts w:hint="default" w:ascii="Times New Roman" w:hAnsi="Times New Roman" w:cs="Times New Roman"/>
          <w:b/>
          <w:color w:val="auto"/>
          <w:sz w:val="24"/>
          <w:highlight w:val="none"/>
          <w:lang w:eastAsia="zh-CN"/>
        </w:rPr>
        <w:t>投标文件</w:t>
      </w:r>
      <w:r>
        <w:rPr>
          <w:rFonts w:hint="default" w:ascii="Times New Roman" w:hAnsi="Times New Roman" w:cs="Times New Roman"/>
          <w:b/>
          <w:color w:val="auto"/>
          <w:sz w:val="24"/>
          <w:highlight w:val="none"/>
        </w:rPr>
        <w:t>，应按照</w:t>
      </w:r>
      <w:r>
        <w:rPr>
          <w:rFonts w:hint="default" w:ascii="Times New Roman" w:hAnsi="Times New Roman" w:cs="Times New Roman"/>
          <w:b/>
          <w:color w:val="auto"/>
          <w:sz w:val="24"/>
          <w:highlight w:val="none"/>
          <w:lang w:eastAsia="zh-CN"/>
        </w:rPr>
        <w:t>投标文件</w:t>
      </w:r>
      <w:r>
        <w:rPr>
          <w:rFonts w:hint="default" w:ascii="Times New Roman" w:hAnsi="Times New Roman" w:cs="Times New Roman"/>
          <w:b/>
          <w:color w:val="auto"/>
          <w:sz w:val="24"/>
          <w:highlight w:val="none"/>
        </w:rPr>
        <w:t>组成顺序制作，编好始末页码且在</w:t>
      </w:r>
      <w:r>
        <w:rPr>
          <w:rFonts w:hint="default" w:ascii="Times New Roman" w:hAnsi="Times New Roman" w:cs="Times New Roman"/>
          <w:b/>
          <w:color w:val="auto"/>
          <w:sz w:val="24"/>
          <w:highlight w:val="none"/>
          <w:lang w:eastAsia="zh-CN"/>
        </w:rPr>
        <w:t>投标文件</w:t>
      </w:r>
      <w:r>
        <w:rPr>
          <w:rFonts w:hint="default" w:ascii="Times New Roman" w:hAnsi="Times New Roman" w:cs="Times New Roman"/>
          <w:b/>
          <w:color w:val="auto"/>
          <w:sz w:val="24"/>
          <w:highlight w:val="none"/>
        </w:rPr>
        <w:t>目录中一一列明并对应。</w:t>
      </w:r>
    </w:p>
    <w:p w14:paraId="49257D4A">
      <w:pPr>
        <w:spacing w:line="276" w:lineRule="auto"/>
        <w:ind w:firstLine="723" w:firstLineChars="300"/>
        <w:outlineLvl w:val="9"/>
        <w:rPr>
          <w:rFonts w:hint="eastAsia" w:eastAsia="宋体"/>
          <w:b/>
          <w:color w:val="auto"/>
          <w:highlight w:val="none"/>
          <w:lang w:eastAsia="zh-CN"/>
        </w:rPr>
      </w:pPr>
      <w:r>
        <w:rPr>
          <w:rFonts w:hint="default" w:ascii="Times New Roman" w:hAnsi="Times New Roman" w:cs="Times New Roman"/>
          <w:b/>
          <w:color w:val="auto"/>
          <w:sz w:val="24"/>
          <w:highlight w:val="none"/>
        </w:rPr>
        <w:t>2.</w:t>
      </w:r>
      <w:r>
        <w:rPr>
          <w:rFonts w:hint="default" w:ascii="Times New Roman" w:hAnsi="Times New Roman" w:cs="Times New Roman"/>
          <w:b/>
          <w:color w:val="auto"/>
          <w:sz w:val="24"/>
          <w:highlight w:val="none"/>
          <w:lang w:eastAsia="zh-CN"/>
        </w:rPr>
        <w:t>公开招标文件</w:t>
      </w:r>
      <w:r>
        <w:rPr>
          <w:rFonts w:hint="default" w:ascii="Times New Roman" w:hAnsi="Times New Roman" w:cs="Times New Roman"/>
          <w:b/>
          <w:color w:val="auto"/>
          <w:sz w:val="24"/>
          <w:highlight w:val="none"/>
        </w:rPr>
        <w:t>没有提供格式的，</w:t>
      </w:r>
      <w:r>
        <w:rPr>
          <w:rFonts w:hint="default" w:ascii="Times New Roman" w:hAnsi="Times New Roman" w:cs="Times New Roman"/>
          <w:b/>
          <w:color w:val="auto"/>
          <w:sz w:val="24"/>
          <w:highlight w:val="none"/>
          <w:lang w:eastAsia="zh-CN"/>
        </w:rPr>
        <w:t>投标供应商</w:t>
      </w:r>
      <w:r>
        <w:rPr>
          <w:rFonts w:hint="default" w:ascii="Times New Roman" w:hAnsi="Times New Roman" w:cs="Times New Roman"/>
          <w:b/>
          <w:color w:val="auto"/>
          <w:sz w:val="24"/>
          <w:highlight w:val="none"/>
        </w:rPr>
        <w:t>可自行设置。</w:t>
      </w:r>
    </w:p>
    <w:p w14:paraId="7DCBDD6E">
      <w:pPr>
        <w:pStyle w:val="106"/>
        <w:spacing w:after="0"/>
        <w:ind w:left="0" w:leftChars="0" w:firstLine="0" w:firstLineChars="0"/>
        <w:jc w:val="both"/>
        <w:outlineLvl w:val="9"/>
        <w:rPr>
          <w:rFonts w:ascii="宋体" w:hAnsi="宋体"/>
          <w:b/>
          <w:color w:val="auto"/>
          <w:sz w:val="28"/>
          <w:szCs w:val="28"/>
          <w:highlight w:val="none"/>
        </w:rPr>
      </w:pPr>
      <w:bookmarkStart w:id="61" w:name="_Toc25801"/>
      <w:bookmarkStart w:id="62" w:name="_Toc3192"/>
      <w:bookmarkStart w:id="63" w:name="_Toc17137"/>
      <w:r>
        <w:rPr>
          <w:b/>
          <w:color w:val="auto"/>
          <w:sz w:val="30"/>
          <w:szCs w:val="30"/>
          <w:highlight w:val="none"/>
        </w:rPr>
        <w:br w:type="page"/>
      </w:r>
      <w:r>
        <w:rPr>
          <w:rFonts w:hint="eastAsia" w:ascii="宋体" w:hAnsi="宋体"/>
          <w:b/>
          <w:color w:val="auto"/>
          <w:sz w:val="28"/>
          <w:szCs w:val="28"/>
          <w:highlight w:val="none"/>
        </w:rPr>
        <w:t>一、法定代表人资格证明书</w:t>
      </w:r>
      <w:bookmarkEnd w:id="61"/>
      <w:bookmarkEnd w:id="62"/>
      <w:bookmarkEnd w:id="63"/>
    </w:p>
    <w:p w14:paraId="04E195E0">
      <w:pPr>
        <w:spacing w:before="172" w:beforeLines="50" w:after="172" w:afterLines="50" w:line="360" w:lineRule="auto"/>
        <w:ind w:left="546" w:leftChars="260"/>
        <w:outlineLvl w:val="9"/>
        <w:rPr>
          <w:rFonts w:ascii="宋体" w:hAnsi="宋体"/>
          <w:color w:val="auto"/>
          <w:sz w:val="24"/>
          <w:highlight w:val="none"/>
          <w:u w:val="single"/>
        </w:rPr>
      </w:pPr>
      <w:r>
        <w:rPr>
          <w:rFonts w:hint="eastAsia" w:ascii="宋体" w:hAnsi="宋体"/>
          <w:color w:val="auto"/>
          <w:sz w:val="24"/>
          <w:highlight w:val="none"/>
        </w:rPr>
        <w:t>单位名称：</w:t>
      </w:r>
    </w:p>
    <w:p w14:paraId="64392F34">
      <w:pPr>
        <w:spacing w:before="172" w:beforeLines="50" w:after="172" w:afterLines="50" w:line="360" w:lineRule="auto"/>
        <w:ind w:left="546" w:leftChars="260"/>
        <w:outlineLvl w:val="9"/>
        <w:rPr>
          <w:rFonts w:ascii="宋体" w:hAnsi="宋体"/>
          <w:color w:val="auto"/>
          <w:sz w:val="24"/>
          <w:highlight w:val="none"/>
          <w:u w:val="single"/>
        </w:rPr>
      </w:pPr>
      <w:r>
        <w:rPr>
          <w:rFonts w:hint="eastAsia" w:ascii="宋体" w:hAnsi="宋体"/>
          <w:color w:val="auto"/>
          <w:sz w:val="24"/>
          <w:highlight w:val="none"/>
        </w:rPr>
        <w:t>单位性质：</w:t>
      </w:r>
    </w:p>
    <w:p w14:paraId="683A7CB6">
      <w:pPr>
        <w:spacing w:before="172" w:beforeLines="50" w:after="172" w:afterLines="50" w:line="360" w:lineRule="auto"/>
        <w:ind w:left="546" w:leftChars="260"/>
        <w:outlineLvl w:val="9"/>
        <w:rPr>
          <w:rFonts w:ascii="宋体" w:hAnsi="宋体"/>
          <w:color w:val="auto"/>
          <w:sz w:val="24"/>
          <w:highlight w:val="none"/>
        </w:rPr>
      </w:pPr>
      <w:r>
        <w:rPr>
          <w:rFonts w:hint="eastAsia" w:ascii="宋体" w:hAnsi="宋体"/>
          <w:color w:val="auto"/>
          <w:sz w:val="24"/>
          <w:highlight w:val="none"/>
        </w:rPr>
        <w:t>地址：</w:t>
      </w:r>
    </w:p>
    <w:p w14:paraId="02312A65">
      <w:pPr>
        <w:spacing w:before="172" w:beforeLines="50" w:after="172" w:afterLines="50" w:line="360" w:lineRule="auto"/>
        <w:ind w:left="546" w:leftChars="260"/>
        <w:outlineLvl w:val="9"/>
        <w:rPr>
          <w:rFonts w:ascii="宋体" w:hAnsi="宋体"/>
          <w:color w:val="auto"/>
          <w:sz w:val="24"/>
          <w:highlight w:val="none"/>
          <w:u w:val="single"/>
        </w:rPr>
      </w:pPr>
      <w:r>
        <w:rPr>
          <w:rFonts w:hint="eastAsia" w:ascii="宋体" w:hAnsi="宋体"/>
          <w:color w:val="auto"/>
          <w:sz w:val="24"/>
          <w:highlight w:val="none"/>
        </w:rPr>
        <w:t>成立时间：</w:t>
      </w:r>
    </w:p>
    <w:p w14:paraId="7CF05B9C">
      <w:pPr>
        <w:spacing w:before="172" w:beforeLines="50" w:after="172" w:afterLines="50" w:line="360" w:lineRule="auto"/>
        <w:ind w:left="546" w:leftChars="260"/>
        <w:outlineLvl w:val="9"/>
        <w:rPr>
          <w:rFonts w:ascii="宋体" w:hAnsi="宋体"/>
          <w:color w:val="auto"/>
          <w:sz w:val="24"/>
          <w:highlight w:val="none"/>
        </w:rPr>
      </w:pPr>
      <w:r>
        <w:rPr>
          <w:rFonts w:hint="eastAsia" w:ascii="宋体" w:hAnsi="宋体"/>
          <w:color w:val="auto"/>
          <w:sz w:val="24"/>
          <w:highlight w:val="none"/>
        </w:rPr>
        <w:t>经营期限：</w:t>
      </w:r>
    </w:p>
    <w:p w14:paraId="53C76C82">
      <w:pPr>
        <w:spacing w:before="172" w:beforeLines="50" w:after="172" w:afterLines="50" w:line="360" w:lineRule="auto"/>
        <w:ind w:left="546" w:leftChars="260"/>
        <w:outlineLvl w:val="9"/>
        <w:rPr>
          <w:rFonts w:ascii="宋体" w:hAnsi="宋体"/>
          <w:color w:val="auto"/>
          <w:sz w:val="24"/>
          <w:highlight w:val="none"/>
        </w:rPr>
      </w:pPr>
      <w:r>
        <w:rPr>
          <w:rFonts w:hint="eastAsia" w:ascii="宋体" w:hAnsi="宋体"/>
          <w:color w:val="auto"/>
          <w:sz w:val="24"/>
          <w:highlight w:val="none"/>
        </w:rPr>
        <w:t>姓名：性别：年龄：职务：</w:t>
      </w:r>
    </w:p>
    <w:p w14:paraId="355DF1DA">
      <w:pPr>
        <w:spacing w:before="172" w:beforeLines="50" w:after="172" w:afterLines="50" w:line="360" w:lineRule="auto"/>
        <w:ind w:firstLine="480" w:firstLineChars="200"/>
        <w:outlineLvl w:val="9"/>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w:t>
      </w:r>
      <w:r>
        <w:rPr>
          <w:rFonts w:hint="eastAsia" w:ascii="宋体" w:hAnsi="宋体"/>
          <w:color w:val="auto"/>
          <w:sz w:val="24"/>
          <w:highlight w:val="none"/>
          <w:u w:val="single"/>
          <w:lang w:eastAsia="zh-CN"/>
        </w:rPr>
        <w:t>投标供应商</w:t>
      </w:r>
      <w:r>
        <w:rPr>
          <w:rFonts w:hint="eastAsia" w:ascii="宋体" w:hAnsi="宋体"/>
          <w:color w:val="auto"/>
          <w:sz w:val="24"/>
          <w:highlight w:val="none"/>
          <w:u w:val="single"/>
        </w:rPr>
        <w:t>）</w:t>
      </w:r>
      <w:r>
        <w:rPr>
          <w:rFonts w:hint="eastAsia" w:ascii="宋体" w:hAnsi="宋体"/>
          <w:color w:val="auto"/>
          <w:sz w:val="24"/>
          <w:highlight w:val="none"/>
        </w:rPr>
        <w:t>的法定代表人。</w:t>
      </w:r>
      <w:r>
        <w:rPr>
          <w:rFonts w:hint="eastAsia" w:ascii="宋体" w:hAnsi="宋体"/>
          <w:color w:val="auto"/>
          <w:sz w:val="24"/>
          <w:highlight w:val="none"/>
        </w:rPr>
        <w:cr/>
      </w:r>
    </w:p>
    <w:p w14:paraId="6379AF86">
      <w:pPr>
        <w:spacing w:before="172" w:beforeLines="50" w:after="172" w:afterLines="50" w:line="360" w:lineRule="auto"/>
        <w:ind w:firstLine="480" w:firstLineChars="200"/>
        <w:outlineLvl w:val="9"/>
        <w:rPr>
          <w:rFonts w:ascii="宋体" w:hAnsi="宋体"/>
          <w:color w:val="auto"/>
          <w:sz w:val="24"/>
          <w:highlight w:val="none"/>
        </w:rPr>
      </w:pPr>
      <w:r>
        <w:rPr>
          <w:rFonts w:hint="eastAsia" w:ascii="宋体" w:hAnsi="宋体"/>
          <w:color w:val="auto"/>
          <w:sz w:val="24"/>
          <w:highlight w:val="none"/>
        </w:rPr>
        <w:t>特此证明。</w:t>
      </w:r>
    </w:p>
    <w:p w14:paraId="2BC8BEA1">
      <w:pPr>
        <w:spacing w:before="172" w:beforeLines="50" w:after="172" w:afterLines="50" w:line="360" w:lineRule="auto"/>
        <w:ind w:firstLine="480" w:firstLineChars="200"/>
        <w:outlineLvl w:val="9"/>
        <w:rPr>
          <w:rFonts w:ascii="宋体" w:hAnsi="宋体"/>
          <w:color w:val="auto"/>
          <w:sz w:val="24"/>
          <w:highlight w:val="none"/>
        </w:rPr>
      </w:pPr>
      <w:r>
        <w:rPr>
          <w:rFonts w:hint="eastAsia" w:ascii="宋体" w:hAnsi="宋体"/>
          <w:color w:val="auto"/>
          <w:sz w:val="24"/>
          <w:highlight w:val="none"/>
        </w:rPr>
        <w:t>（附法定代表人身份证复印件）</w:t>
      </w:r>
    </w:p>
    <w:p w14:paraId="318D7244">
      <w:pPr>
        <w:spacing w:before="172" w:beforeLines="50" w:after="172" w:afterLines="50" w:line="360" w:lineRule="auto"/>
        <w:ind w:firstLine="480" w:firstLineChars="200"/>
        <w:outlineLvl w:val="9"/>
        <w:rPr>
          <w:rFonts w:ascii="宋体" w:hAnsi="宋体"/>
          <w:color w:val="auto"/>
          <w:sz w:val="24"/>
          <w:highlight w:val="none"/>
        </w:rPr>
      </w:pPr>
    </w:p>
    <w:p w14:paraId="3FA5653F">
      <w:pPr>
        <w:spacing w:before="172" w:beforeLines="50" w:after="172" w:afterLines="50" w:line="360" w:lineRule="auto"/>
        <w:ind w:left="0" w:leftChars="0" w:firstLine="4418" w:firstLineChars="1841"/>
        <w:outlineLvl w:val="9"/>
        <w:rPr>
          <w:rFonts w:ascii="宋体" w:hAnsi="宋体"/>
          <w:color w:val="auto"/>
          <w:sz w:val="24"/>
          <w:highlight w:val="none"/>
        </w:rPr>
      </w:pPr>
      <w:r>
        <w:rPr>
          <w:rFonts w:hint="eastAsia" w:ascii="宋体" w:hAnsi="宋体"/>
          <w:color w:val="auto"/>
          <w:sz w:val="24"/>
          <w:highlight w:val="none"/>
          <w:lang w:eastAsia="zh-CN"/>
        </w:rPr>
        <w:t>投标供应商</w:t>
      </w:r>
      <w:r>
        <w:rPr>
          <w:rFonts w:hint="eastAsia" w:ascii="宋体" w:hAnsi="宋体"/>
          <w:color w:val="auto"/>
          <w:sz w:val="24"/>
          <w:highlight w:val="none"/>
        </w:rPr>
        <w:t>签章：[</w:t>
      </w:r>
      <w:r>
        <w:rPr>
          <w:rFonts w:hint="eastAsia" w:ascii="宋体" w:hAnsi="宋体"/>
          <w:color w:val="auto"/>
          <w:sz w:val="24"/>
          <w:highlight w:val="none"/>
          <w:lang w:eastAsia="zh-CN"/>
        </w:rPr>
        <w:t>投标供应商</w:t>
      </w:r>
      <w:r>
        <w:rPr>
          <w:rFonts w:hint="eastAsia" w:ascii="宋体" w:hAnsi="宋体"/>
          <w:color w:val="auto"/>
          <w:sz w:val="24"/>
          <w:highlight w:val="none"/>
          <w:lang w:val="en-US" w:eastAsia="zh-CN"/>
        </w:rPr>
        <w:t>签</w:t>
      </w:r>
      <w:r>
        <w:rPr>
          <w:rFonts w:hint="eastAsia" w:ascii="宋体" w:hAnsi="宋体"/>
          <w:color w:val="auto"/>
          <w:sz w:val="24"/>
          <w:highlight w:val="none"/>
        </w:rPr>
        <w:t>章]</w:t>
      </w:r>
    </w:p>
    <w:p w14:paraId="20E0A7EB">
      <w:pPr>
        <w:spacing w:before="172" w:beforeLines="50" w:after="172" w:afterLines="50" w:line="360" w:lineRule="auto"/>
        <w:ind w:firstLine="5456" w:firstLineChars="2200"/>
        <w:outlineLvl w:val="9"/>
        <w:rPr>
          <w:rFonts w:ascii="宋体" w:hAnsi="宋体"/>
          <w:color w:val="auto"/>
          <w:sz w:val="24"/>
          <w:highlight w:val="none"/>
        </w:rPr>
      </w:pPr>
      <w:r>
        <w:rPr>
          <w:rFonts w:hint="eastAsia" w:ascii="宋体" w:hAnsi="宋体"/>
          <w:color w:val="auto"/>
          <w:spacing w:val="4"/>
          <w:sz w:val="24"/>
          <w:highlight w:val="none"/>
        </w:rPr>
        <w:t>日</w:t>
      </w:r>
      <w:r>
        <w:rPr>
          <w:rFonts w:hint="eastAsia" w:ascii="宋体" w:hAnsi="宋体"/>
          <w:color w:val="auto"/>
          <w:spacing w:val="4"/>
          <w:sz w:val="24"/>
          <w:highlight w:val="none"/>
          <w:lang w:val="en-US" w:eastAsia="zh-CN"/>
        </w:rPr>
        <w:t xml:space="preserve"> </w:t>
      </w:r>
      <w:r>
        <w:rPr>
          <w:rFonts w:hint="eastAsia" w:ascii="宋体" w:hAnsi="宋体"/>
          <w:color w:val="auto"/>
          <w:spacing w:val="4"/>
          <w:sz w:val="24"/>
          <w:highlight w:val="none"/>
        </w:rPr>
        <w:t>期：</w:t>
      </w:r>
      <w:r>
        <w:rPr>
          <w:rFonts w:hint="eastAsia" w:ascii="宋体" w:hAnsi="宋体"/>
          <w:color w:val="auto"/>
          <w:spacing w:val="4"/>
          <w:sz w:val="24"/>
          <w:highlight w:val="none"/>
          <w:lang w:val="en-US" w:eastAsia="zh-CN"/>
        </w:rPr>
        <w:t xml:space="preserve">  </w:t>
      </w:r>
      <w:r>
        <w:rPr>
          <w:rFonts w:hint="eastAsia" w:ascii="宋体" w:hAnsi="宋体"/>
          <w:color w:val="auto"/>
          <w:sz w:val="24"/>
          <w:highlight w:val="none"/>
        </w:rPr>
        <w:t>年</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月</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日</w:t>
      </w:r>
    </w:p>
    <w:p w14:paraId="08060858">
      <w:pPr>
        <w:pStyle w:val="106"/>
        <w:spacing w:after="0"/>
        <w:ind w:left="0" w:leftChars="0" w:firstLine="3" w:firstLineChars="1"/>
        <w:jc w:val="center"/>
        <w:outlineLvl w:val="9"/>
        <w:rPr>
          <w:rFonts w:ascii="宋体" w:hAnsi="宋体"/>
          <w:b/>
          <w:color w:val="auto"/>
          <w:sz w:val="28"/>
          <w:szCs w:val="28"/>
          <w:highlight w:val="none"/>
        </w:rPr>
      </w:pPr>
      <w:r>
        <w:rPr>
          <w:b/>
          <w:color w:val="auto"/>
          <w:sz w:val="30"/>
          <w:szCs w:val="30"/>
          <w:highlight w:val="none"/>
        </w:rPr>
        <w:br w:type="page"/>
      </w:r>
      <w:bookmarkStart w:id="64" w:name="_Toc27720"/>
      <w:bookmarkStart w:id="65" w:name="_Toc26741"/>
      <w:bookmarkStart w:id="66" w:name="_Toc12725"/>
      <w:r>
        <w:rPr>
          <w:rFonts w:hint="eastAsia" w:ascii="宋体" w:hAnsi="宋体"/>
          <w:b/>
          <w:color w:val="auto"/>
          <w:sz w:val="28"/>
          <w:szCs w:val="28"/>
          <w:highlight w:val="none"/>
        </w:rPr>
        <w:t>二、</w:t>
      </w:r>
      <w:r>
        <w:rPr>
          <w:rFonts w:hint="eastAsia" w:ascii="宋体" w:hAnsi="宋体"/>
          <w:b/>
          <w:color w:val="auto"/>
          <w:sz w:val="28"/>
          <w:szCs w:val="28"/>
          <w:highlight w:val="none"/>
          <w:lang w:eastAsia="zh-CN"/>
        </w:rPr>
        <w:t>投标供应商</w:t>
      </w:r>
      <w:r>
        <w:rPr>
          <w:rFonts w:hint="eastAsia" w:ascii="宋体" w:hAnsi="宋体"/>
          <w:b/>
          <w:color w:val="auto"/>
          <w:sz w:val="28"/>
          <w:szCs w:val="28"/>
          <w:highlight w:val="none"/>
        </w:rPr>
        <w:t>代表身份证明</w:t>
      </w:r>
    </w:p>
    <w:p w14:paraId="269FA078">
      <w:pPr>
        <w:spacing w:line="440" w:lineRule="exact"/>
        <w:jc w:val="center"/>
        <w:outlineLvl w:val="9"/>
        <w:rPr>
          <w:b/>
          <w:color w:val="auto"/>
          <w:sz w:val="32"/>
          <w:szCs w:val="32"/>
          <w:highlight w:val="none"/>
        </w:rPr>
      </w:pPr>
      <w:r>
        <w:rPr>
          <w:rFonts w:hint="eastAsia"/>
          <w:b/>
          <w:color w:val="auto"/>
          <w:sz w:val="32"/>
          <w:szCs w:val="32"/>
          <w:highlight w:val="none"/>
        </w:rPr>
        <w:t>法定代表人授权委托书</w:t>
      </w:r>
      <w:bookmarkEnd w:id="64"/>
      <w:bookmarkEnd w:id="65"/>
      <w:bookmarkEnd w:id="66"/>
    </w:p>
    <w:p w14:paraId="24FB8007">
      <w:pPr>
        <w:spacing w:line="440" w:lineRule="exact"/>
        <w:jc w:val="center"/>
        <w:outlineLvl w:val="9"/>
        <w:rPr>
          <w:b/>
          <w:color w:val="auto"/>
          <w:sz w:val="32"/>
          <w:szCs w:val="32"/>
          <w:highlight w:val="none"/>
        </w:rPr>
      </w:pPr>
    </w:p>
    <w:p w14:paraId="476E671A">
      <w:pPr>
        <w:autoSpaceDE w:val="0"/>
        <w:autoSpaceDN w:val="0"/>
        <w:adjustRightInd w:val="0"/>
        <w:spacing w:line="440" w:lineRule="exact"/>
        <w:ind w:firstLine="422"/>
        <w:outlineLvl w:val="9"/>
        <w:rPr>
          <w:rFonts w:ascii="宋体" w:hAnsi="宋体"/>
          <w:color w:val="auto"/>
          <w:sz w:val="24"/>
          <w:highlight w:val="none"/>
        </w:rPr>
      </w:pPr>
      <w:r>
        <w:rPr>
          <w:rFonts w:hint="eastAsia" w:ascii="宋体" w:hAnsi="宋体"/>
          <w:color w:val="auto"/>
          <w:sz w:val="24"/>
          <w:highlight w:val="none"/>
        </w:rPr>
        <w:t>本授权声明：注册于中华人民共和国的</w:t>
      </w:r>
      <w:r>
        <w:rPr>
          <w:rFonts w:hint="eastAsia" w:ascii="宋体" w:hAnsi="宋体"/>
          <w:color w:val="auto"/>
          <w:sz w:val="24"/>
          <w:highlight w:val="none"/>
          <w:u w:val="single"/>
        </w:rPr>
        <w:t>（</w:t>
      </w:r>
      <w:r>
        <w:rPr>
          <w:rFonts w:hint="eastAsia" w:ascii="宋体" w:hAnsi="宋体"/>
          <w:color w:val="auto"/>
          <w:sz w:val="24"/>
          <w:highlight w:val="none"/>
          <w:u w:val="single"/>
          <w:lang w:eastAsia="zh-CN"/>
        </w:rPr>
        <w:t>投标供应商</w:t>
      </w:r>
      <w:r>
        <w:rPr>
          <w:rFonts w:hint="eastAsia" w:ascii="宋体" w:hAnsi="宋体"/>
          <w:color w:val="auto"/>
          <w:sz w:val="24"/>
          <w:highlight w:val="none"/>
          <w:u w:val="single"/>
        </w:rPr>
        <w:t>名称、住址）</w:t>
      </w:r>
      <w:r>
        <w:rPr>
          <w:rFonts w:hint="eastAsia" w:ascii="宋体" w:hAnsi="宋体"/>
          <w:color w:val="auto"/>
          <w:sz w:val="24"/>
          <w:highlight w:val="none"/>
        </w:rPr>
        <w:t>的法人代表</w:t>
      </w:r>
      <w:r>
        <w:rPr>
          <w:rFonts w:hint="eastAsia" w:ascii="宋体" w:hAnsi="宋体"/>
          <w:color w:val="auto"/>
          <w:sz w:val="24"/>
          <w:highlight w:val="none"/>
          <w:u w:val="single"/>
        </w:rPr>
        <w:t>（法定代表人姓名）</w:t>
      </w:r>
      <w:r>
        <w:rPr>
          <w:rFonts w:hint="eastAsia" w:ascii="宋体" w:hAnsi="宋体"/>
          <w:color w:val="auto"/>
          <w:sz w:val="24"/>
          <w:highlight w:val="none"/>
        </w:rPr>
        <w:t>代表本公司授权在下面签字的</w:t>
      </w:r>
      <w:r>
        <w:rPr>
          <w:rFonts w:hint="eastAsia" w:ascii="宋体" w:hAnsi="宋体"/>
          <w:color w:val="auto"/>
          <w:sz w:val="24"/>
          <w:highlight w:val="none"/>
          <w:u w:val="single"/>
        </w:rPr>
        <w:t>（授权代表姓名）</w:t>
      </w:r>
      <w:r>
        <w:rPr>
          <w:rFonts w:hint="eastAsia" w:ascii="宋体" w:hAnsi="宋体"/>
          <w:color w:val="auto"/>
          <w:sz w:val="24"/>
          <w:highlight w:val="none"/>
        </w:rPr>
        <w:t>为本公司的合法代理人，就此次</w:t>
      </w:r>
      <w:r>
        <w:rPr>
          <w:rFonts w:hint="eastAsia" w:ascii="宋体" w:hAnsi="宋体"/>
          <w:color w:val="auto"/>
          <w:sz w:val="24"/>
          <w:highlight w:val="none"/>
          <w:u w:val="single"/>
        </w:rPr>
        <w:t>项目名称</w:t>
      </w:r>
      <w:r>
        <w:rPr>
          <w:rFonts w:hint="eastAsia" w:ascii="宋体" w:hAnsi="宋体"/>
          <w:color w:val="auto"/>
          <w:sz w:val="24"/>
          <w:highlight w:val="none"/>
        </w:rPr>
        <w:t>项目，项目编号为（）的投标及相关事务代表本公司处理与之有关的一切事务。</w:t>
      </w:r>
    </w:p>
    <w:p w14:paraId="5B47745C">
      <w:pPr>
        <w:autoSpaceDE w:val="0"/>
        <w:autoSpaceDN w:val="0"/>
        <w:adjustRightInd w:val="0"/>
        <w:spacing w:line="440" w:lineRule="exact"/>
        <w:ind w:firstLine="420" w:firstLineChars="175"/>
        <w:outlineLvl w:val="9"/>
        <w:rPr>
          <w:rFonts w:ascii="宋体" w:hAnsi="宋体"/>
          <w:color w:val="auto"/>
          <w:sz w:val="24"/>
          <w:highlight w:val="none"/>
        </w:rPr>
      </w:pPr>
      <w:r>
        <w:rPr>
          <w:rFonts w:hint="eastAsia" w:ascii="宋体" w:hAnsi="宋体"/>
          <w:color w:val="auto"/>
          <w:sz w:val="24"/>
          <w:highlight w:val="none"/>
        </w:rPr>
        <w:t>本授权书于</w:t>
      </w:r>
      <w:r>
        <w:rPr>
          <w:rFonts w:hint="eastAsia" w:ascii="宋体" w:hAnsi="宋体"/>
          <w:color w:val="auto"/>
          <w:sz w:val="24"/>
          <w:highlight w:val="none"/>
          <w:u w:val="none"/>
        </w:rPr>
        <w:t>年月日</w:t>
      </w:r>
      <w:r>
        <w:rPr>
          <w:rFonts w:hint="eastAsia" w:ascii="宋体" w:hAnsi="宋体"/>
          <w:color w:val="auto"/>
          <w:sz w:val="24"/>
          <w:highlight w:val="none"/>
        </w:rPr>
        <w:t>签字生效，特此声明。</w:t>
      </w:r>
    </w:p>
    <w:p w14:paraId="098773C9">
      <w:pPr>
        <w:autoSpaceDE w:val="0"/>
        <w:autoSpaceDN w:val="0"/>
        <w:adjustRightInd w:val="0"/>
        <w:spacing w:line="440" w:lineRule="exact"/>
        <w:ind w:left="0" w:leftChars="0" w:firstLine="4620" w:firstLineChars="1925"/>
        <w:outlineLvl w:val="9"/>
        <w:rPr>
          <w:rFonts w:ascii="宋体" w:hAnsi="宋体"/>
          <w:color w:val="auto"/>
          <w:sz w:val="24"/>
          <w:highlight w:val="none"/>
          <w:u w:val="single"/>
        </w:rPr>
      </w:pPr>
      <w:r>
        <w:rPr>
          <w:rFonts w:hint="eastAsia" w:ascii="宋体" w:hAnsi="宋体"/>
          <w:color w:val="auto"/>
          <w:sz w:val="24"/>
          <w:highlight w:val="none"/>
        </w:rPr>
        <w:t>法定代表人签字或盖章：</w:t>
      </w:r>
    </w:p>
    <w:p w14:paraId="42F2B2F4">
      <w:pPr>
        <w:autoSpaceDE w:val="0"/>
        <w:autoSpaceDN w:val="0"/>
        <w:adjustRightInd w:val="0"/>
        <w:spacing w:line="440" w:lineRule="exact"/>
        <w:ind w:left="0" w:leftChars="0" w:firstLine="4620" w:firstLineChars="1925"/>
        <w:outlineLvl w:val="9"/>
        <w:rPr>
          <w:rFonts w:ascii="宋体" w:hAnsi="宋体"/>
          <w:color w:val="auto"/>
          <w:sz w:val="24"/>
          <w:highlight w:val="none"/>
          <w:u w:val="single"/>
        </w:rPr>
      </w:pPr>
      <w:r>
        <w:rPr>
          <w:rFonts w:hint="eastAsia" w:ascii="宋体" w:hAnsi="宋体"/>
          <w:color w:val="auto"/>
          <w:sz w:val="24"/>
          <w:highlight w:val="none"/>
        </w:rPr>
        <w:t>授权代表签字或盖章：</w:t>
      </w:r>
    </w:p>
    <w:p w14:paraId="4E62F159">
      <w:pPr>
        <w:autoSpaceDE w:val="0"/>
        <w:autoSpaceDN w:val="0"/>
        <w:adjustRightInd w:val="0"/>
        <w:spacing w:line="440" w:lineRule="exact"/>
        <w:ind w:left="0" w:leftChars="0" w:firstLine="4620" w:firstLineChars="1925"/>
        <w:outlineLvl w:val="9"/>
        <w:rPr>
          <w:rFonts w:ascii="宋体" w:hAnsi="宋体"/>
          <w:color w:val="auto"/>
          <w:sz w:val="24"/>
          <w:highlight w:val="none"/>
          <w:u w:val="single"/>
        </w:rPr>
      </w:pPr>
      <w:r>
        <w:rPr>
          <w:rFonts w:hint="eastAsia" w:ascii="宋体" w:hAnsi="宋体"/>
          <w:color w:val="auto"/>
          <w:sz w:val="24"/>
          <w:highlight w:val="none"/>
        </w:rPr>
        <w:t>单位名称：</w:t>
      </w:r>
    </w:p>
    <w:p w14:paraId="2C3A3F2C">
      <w:pPr>
        <w:spacing w:line="440" w:lineRule="exact"/>
        <w:ind w:left="0" w:leftChars="0" w:firstLine="4620" w:firstLineChars="1925"/>
        <w:outlineLvl w:val="9"/>
        <w:rPr>
          <w:rFonts w:hint="default" w:ascii="Times New Roman" w:hAnsi="Times New Roman" w:cs="Times New Roman"/>
          <w:color w:val="auto"/>
          <w:sz w:val="24"/>
          <w:highlight w:val="none"/>
        </w:rPr>
      </w:pPr>
      <w:r>
        <w:rPr>
          <w:rFonts w:hint="eastAsia" w:ascii="宋体" w:hAnsi="宋体"/>
          <w:color w:val="auto"/>
          <w:sz w:val="24"/>
          <w:highlight w:val="none"/>
        </w:rPr>
        <w:t>授权日期：</w:t>
      </w:r>
      <w:r>
        <w:rPr>
          <w:rFonts w:hint="default" w:ascii="Times New Roman" w:hAnsi="Times New Roman" w:cs="Times New Roman"/>
          <w:color w:val="auto"/>
          <w:sz w:val="24"/>
          <w:highlight w:val="none"/>
        </w:rPr>
        <w:t>20</w:t>
      </w:r>
      <w:r>
        <w:rPr>
          <w:rFonts w:hint="default" w:ascii="Times New Roman" w:hAnsi="Times New Roman" w:cs="Times New Roman"/>
          <w:color w:val="auto"/>
          <w:sz w:val="24"/>
          <w:highlight w:val="none"/>
          <w:u w:val="single"/>
        </w:rPr>
        <w:t>　</w:t>
      </w:r>
      <w:r>
        <w:rPr>
          <w:rFonts w:hint="default" w:ascii="Times New Roman" w:hAnsi="Times New Roman" w:cs="Times New Roman"/>
          <w:color w:val="auto"/>
          <w:sz w:val="24"/>
          <w:highlight w:val="none"/>
        </w:rPr>
        <w:t>年</w:t>
      </w:r>
      <w:r>
        <w:rPr>
          <w:rFonts w:hint="default" w:ascii="Times New Roman" w:hAnsi="Times New Roman" w:cs="Times New Roman"/>
          <w:color w:val="auto"/>
          <w:sz w:val="24"/>
          <w:highlight w:val="none"/>
          <w:u w:val="single"/>
        </w:rPr>
        <w:t>　　</w:t>
      </w:r>
      <w:r>
        <w:rPr>
          <w:rFonts w:hint="default" w:ascii="Times New Roman" w:hAnsi="Times New Roman" w:cs="Times New Roman"/>
          <w:color w:val="auto"/>
          <w:sz w:val="24"/>
          <w:highlight w:val="none"/>
        </w:rPr>
        <w:t>月</w:t>
      </w:r>
      <w:r>
        <w:rPr>
          <w:rFonts w:hint="default" w:ascii="Times New Roman" w:hAnsi="Times New Roman" w:cs="Times New Roman"/>
          <w:color w:val="auto"/>
          <w:sz w:val="24"/>
          <w:highlight w:val="none"/>
          <w:u w:val="single"/>
        </w:rPr>
        <w:t>　　</w:t>
      </w:r>
      <w:r>
        <w:rPr>
          <w:rFonts w:hint="default" w:ascii="Times New Roman" w:hAnsi="Times New Roman" w:cs="Times New Roman"/>
          <w:color w:val="auto"/>
          <w:sz w:val="24"/>
          <w:highlight w:val="none"/>
        </w:rPr>
        <w:t>日</w:t>
      </w:r>
    </w:p>
    <w:p w14:paraId="67C6AEC5">
      <w:pPr>
        <w:spacing w:line="440" w:lineRule="exact"/>
        <w:ind w:firstLine="480"/>
        <w:outlineLvl w:val="9"/>
        <w:rPr>
          <w:rFonts w:hint="default" w:ascii="Times New Roman" w:hAnsi="Times New Roman" w:cs="Times New Roman"/>
          <w:color w:val="auto"/>
          <w:sz w:val="24"/>
          <w:highlight w:val="none"/>
        </w:rPr>
      </w:pPr>
    </w:p>
    <w:p w14:paraId="4D46585A">
      <w:pPr>
        <w:spacing w:line="440" w:lineRule="exact"/>
        <w:ind w:firstLine="6240" w:firstLineChars="2600"/>
        <w:outlineLvl w:val="9"/>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（单位签章）</w:t>
      </w:r>
    </w:p>
    <w:p w14:paraId="346CCEC8">
      <w:pPr>
        <w:spacing w:line="440" w:lineRule="exact"/>
        <w:ind w:firstLine="6360" w:firstLineChars="2650"/>
        <w:outlineLvl w:val="9"/>
        <w:rPr>
          <w:rFonts w:ascii="宋体" w:hAnsi="宋体"/>
          <w:color w:val="auto"/>
          <w:sz w:val="24"/>
          <w:highlight w:val="none"/>
        </w:rPr>
      </w:pPr>
      <w:r>
        <w:rPr>
          <w:rFonts w:hint="default" w:ascii="Times New Roman" w:hAnsi="Times New Roman" w:cs="Times New Roman"/>
          <w:color w:val="auto"/>
          <w:sz w:val="24"/>
          <w:highlight w:val="none"/>
        </w:rPr>
        <w:t>20</w:t>
      </w:r>
      <w:r>
        <w:rPr>
          <w:rFonts w:hint="eastAsia" w:cs="Times New Roman"/>
          <w:color w:val="auto"/>
          <w:sz w:val="24"/>
          <w:highlight w:val="none"/>
          <w:lang w:val="en-US" w:eastAsia="zh-CN"/>
        </w:rPr>
        <w:t xml:space="preserve">  </w:t>
      </w:r>
      <w:r>
        <w:rPr>
          <w:rFonts w:hint="default" w:ascii="Times New Roman" w:hAnsi="Times New Roman" w:cs="Times New Roman"/>
          <w:color w:val="auto"/>
          <w:sz w:val="24"/>
          <w:highlight w:val="none"/>
        </w:rPr>
        <w:t>年</w:t>
      </w:r>
      <w:r>
        <w:rPr>
          <w:rFonts w:hint="eastAsia" w:cs="Times New Roman"/>
          <w:color w:val="auto"/>
          <w:sz w:val="24"/>
          <w:highlight w:val="none"/>
          <w:lang w:val="en-US" w:eastAsia="zh-CN"/>
        </w:rPr>
        <w:t xml:space="preserve">  </w:t>
      </w:r>
      <w:r>
        <w:rPr>
          <w:rFonts w:hint="default" w:ascii="Times New Roman" w:hAnsi="Times New Roman" w:cs="Times New Roman"/>
          <w:color w:val="auto"/>
          <w:sz w:val="24"/>
          <w:highlight w:val="none"/>
        </w:rPr>
        <w:t>月</w:t>
      </w:r>
      <w:r>
        <w:rPr>
          <w:rFonts w:hint="eastAsia" w:cs="Times New Roman"/>
          <w:color w:val="auto"/>
          <w:sz w:val="24"/>
          <w:highlight w:val="none"/>
          <w:lang w:val="en-US" w:eastAsia="zh-CN"/>
        </w:rPr>
        <w:t xml:space="preserve">  </w:t>
      </w:r>
      <w:r>
        <w:rPr>
          <w:rFonts w:hint="default" w:ascii="Times New Roman" w:hAnsi="Times New Roman" w:cs="Times New Roman"/>
          <w:color w:val="auto"/>
          <w:sz w:val="24"/>
          <w:highlight w:val="none"/>
        </w:rPr>
        <w:t>日</w:t>
      </w:r>
    </w:p>
    <w:p w14:paraId="5E4C6467">
      <w:pPr>
        <w:spacing w:line="440" w:lineRule="exact"/>
        <w:ind w:firstLine="422" w:firstLineChars="200"/>
        <w:outlineLvl w:val="9"/>
        <w:rPr>
          <w:b/>
          <w:color w:val="auto"/>
          <w:highlight w:val="none"/>
          <w:em w:val="dot"/>
        </w:rPr>
      </w:pPr>
    </w:p>
    <w:p w14:paraId="6A2BEEDD">
      <w:pPr>
        <w:spacing w:line="440" w:lineRule="exact"/>
        <w:outlineLvl w:val="9"/>
        <w:rPr>
          <w:b/>
          <w:color w:val="auto"/>
          <w:highlight w:val="none"/>
          <w:em w:val="dot"/>
        </w:rPr>
      </w:pPr>
    </w:p>
    <w:p w14:paraId="3220D993">
      <w:pPr>
        <w:bidi w:val="0"/>
        <w:rPr>
          <w:highlight w:val="none"/>
        </w:rPr>
      </w:pPr>
      <w:permStart w:id="0" w:edGrp="everyone"/>
      <w:permEnd w:id="0"/>
      <w:r>
        <w:rPr>
          <w:highlight w:val="none"/>
        </w:rPr>
        <mc:AlternateContent>
          <mc:Choice Requires="wps">
            <w:drawing>
              <wp:anchor distT="0" distB="0" distL="114300" distR="114300" simplePos="0" relativeHeight="251660288" behindDoc="0" locked="0" layoutInCell="1" allowOverlap="1">
                <wp:simplePos x="0" y="0"/>
                <wp:positionH relativeFrom="column">
                  <wp:posOffset>31750</wp:posOffset>
                </wp:positionH>
                <wp:positionV relativeFrom="paragraph">
                  <wp:posOffset>106045</wp:posOffset>
                </wp:positionV>
                <wp:extent cx="5534660" cy="1584960"/>
                <wp:effectExtent l="4445" t="4445" r="23495" b="10795"/>
                <wp:wrapNone/>
                <wp:docPr id="1" name="Text Box 7"/>
                <wp:cNvGraphicFramePr/>
                <a:graphic xmlns:a="http://schemas.openxmlformats.org/drawingml/2006/main">
                  <a:graphicData uri="http://schemas.microsoft.com/office/word/2010/wordprocessingShape">
                    <wps:wsp>
                      <wps:cNvSpPr txBox="1"/>
                      <wps:spPr>
                        <a:xfrm>
                          <a:off x="0" y="0"/>
                          <a:ext cx="5534660" cy="1584960"/>
                        </a:xfrm>
                        <a:prstGeom prst="rect">
                          <a:avLst/>
                        </a:prstGeom>
                        <a:solidFill>
                          <a:srgbClr val="FFFFFF"/>
                        </a:solidFill>
                        <a:ln w="9525" cap="flat" cmpd="sng">
                          <a:solidFill>
                            <a:srgbClr val="000000"/>
                          </a:solidFill>
                          <a:prstDash val="sysDot"/>
                          <a:miter/>
                          <a:headEnd type="none" w="med" len="med"/>
                          <a:tailEnd type="none" w="med" len="med"/>
                        </a:ln>
                      </wps:spPr>
                      <wps:txbx>
                        <w:txbxContent>
                          <w:p w14:paraId="3F1929B2">
                            <w:pPr>
                              <w:jc w:val="center"/>
                            </w:pPr>
                            <w:permStart w:id="1" w:edGrp="everyone"/>
                            <w:permEnd w:id="1"/>
                          </w:p>
                          <w:p w14:paraId="17640CB4">
                            <w:pPr>
                              <w:jc w:val="center"/>
                              <w:rPr>
                                <w:b/>
                              </w:rPr>
                            </w:pPr>
                          </w:p>
                          <w:p w14:paraId="478505CC">
                            <w:pPr>
                              <w:jc w:val="center"/>
                              <w:rPr>
                                <w:b/>
                              </w:rPr>
                            </w:pPr>
                          </w:p>
                          <w:p w14:paraId="62B870C3">
                            <w:pPr>
                              <w:jc w:val="center"/>
                              <w:rPr>
                                <w:b/>
                              </w:rPr>
                            </w:pPr>
                            <w:r>
                              <w:rPr>
                                <w:rFonts w:hint="eastAsia"/>
                                <w:b/>
                              </w:rPr>
                              <w:t>此处附</w:t>
                            </w:r>
                            <w:r>
                              <w:rPr>
                                <w:rFonts w:hint="eastAsia"/>
                                <w:b/>
                                <w:em w:val="dot"/>
                              </w:rPr>
                              <w:t>法定代表人</w:t>
                            </w:r>
                            <w:r>
                              <w:rPr>
                                <w:rFonts w:hint="eastAsia"/>
                                <w:b/>
                              </w:rPr>
                              <w:t>身份证复印件正反面</w:t>
                            </w:r>
                          </w:p>
                          <w:p w14:paraId="5720024E">
                            <w:pPr>
                              <w:pStyle w:val="4"/>
                            </w:pPr>
                          </w:p>
                        </w:txbxContent>
                      </wps:txbx>
                      <wps:bodyPr wrap="square" upright="1"/>
                    </wps:wsp>
                  </a:graphicData>
                </a:graphic>
              </wp:anchor>
            </w:drawing>
          </mc:Choice>
          <mc:Fallback>
            <w:pict>
              <v:shape id="Text Box 7" o:spid="_x0000_s1026" o:spt="202" type="#_x0000_t202" style="position:absolute;left:0pt;margin-left:2.5pt;margin-top:8.35pt;height:124.8pt;width:435.8pt;z-index:251660288;mso-width-relative:page;mso-height-relative:page;" fillcolor="#FFFFFF" filled="t" stroked="t" coordsize="21600,21600" o:gfxdata="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G1d5j1wAAAAgBAAAPAAAAAAAAAAEAIAAAACIAAABk&#10;cnMvZG93bnJldi54bWxQSwECFAAUAAAACACHTuJARZd0/QcCAABFBAAADgAAAAAAAAABACAAAAAm&#10;AQAAZHJzL2Uyb0RvYy54bWxQSwUGAAAAAAYABgBZAQAAnwUAAAAA&#10;">
                <v:fill on="t" focussize="0,0"/>
                <v:stroke color="#000000" joinstyle="miter" dashstyle="1 1"/>
                <v:imagedata o:title=""/>
                <o:lock v:ext="edit" aspectratio="f"/>
                <v:textbox>
                  <w:txbxContent>
                    <w:p w14:paraId="3F1929B2">
                      <w:pPr>
                        <w:jc w:val="center"/>
                      </w:pPr>
                      <w:permStart w:id="1" w:edGrp="everyone"/>
                      <w:permEnd w:id="1"/>
                    </w:p>
                    <w:p w14:paraId="17640CB4">
                      <w:pPr>
                        <w:jc w:val="center"/>
                        <w:rPr>
                          <w:b/>
                        </w:rPr>
                      </w:pPr>
                    </w:p>
                    <w:p w14:paraId="478505CC">
                      <w:pPr>
                        <w:jc w:val="center"/>
                        <w:rPr>
                          <w:b/>
                        </w:rPr>
                      </w:pPr>
                    </w:p>
                    <w:p w14:paraId="62B870C3">
                      <w:pPr>
                        <w:jc w:val="center"/>
                        <w:rPr>
                          <w:b/>
                        </w:rPr>
                      </w:pPr>
                      <w:r>
                        <w:rPr>
                          <w:rFonts w:hint="eastAsia"/>
                          <w:b/>
                        </w:rPr>
                        <w:t>此处附</w:t>
                      </w:r>
                      <w:r>
                        <w:rPr>
                          <w:rFonts w:hint="eastAsia"/>
                          <w:b/>
                          <w:em w:val="dot"/>
                        </w:rPr>
                        <w:t>法定代表人</w:t>
                      </w:r>
                      <w:r>
                        <w:rPr>
                          <w:rFonts w:hint="eastAsia"/>
                          <w:b/>
                        </w:rPr>
                        <w:t>身份证复印件正反面</w:t>
                      </w:r>
                    </w:p>
                    <w:p w14:paraId="5720024E">
                      <w:pPr>
                        <w:pStyle w:val="4"/>
                      </w:pPr>
                    </w:p>
                  </w:txbxContent>
                </v:textbox>
              </v:shape>
            </w:pict>
          </mc:Fallback>
        </mc:AlternateContent>
      </w:r>
    </w:p>
    <w:p w14:paraId="23CA18B9">
      <w:pPr>
        <w:spacing w:line="440" w:lineRule="exact"/>
        <w:outlineLvl w:val="9"/>
        <w:rPr>
          <w:b/>
          <w:color w:val="auto"/>
          <w:highlight w:val="none"/>
          <w:em w:val="dot"/>
        </w:rPr>
      </w:pPr>
    </w:p>
    <w:p w14:paraId="0CB17B49">
      <w:pPr>
        <w:spacing w:line="440" w:lineRule="exact"/>
        <w:outlineLvl w:val="9"/>
        <w:rPr>
          <w:b/>
          <w:color w:val="auto"/>
          <w:highlight w:val="none"/>
        </w:rPr>
      </w:pPr>
    </w:p>
    <w:p w14:paraId="4AAB7EB4">
      <w:pPr>
        <w:spacing w:line="440" w:lineRule="exact"/>
        <w:outlineLvl w:val="9"/>
        <w:rPr>
          <w:b/>
          <w:color w:val="auto"/>
          <w:highlight w:val="none"/>
        </w:rPr>
      </w:pPr>
    </w:p>
    <w:p w14:paraId="44588657">
      <w:pPr>
        <w:spacing w:line="440" w:lineRule="exact"/>
        <w:outlineLvl w:val="9"/>
        <w:rPr>
          <w:b/>
          <w:color w:val="auto"/>
          <w:sz w:val="30"/>
          <w:szCs w:val="30"/>
          <w:highlight w:val="none"/>
        </w:rPr>
      </w:pPr>
    </w:p>
    <w:p w14:paraId="645EFAD3">
      <w:pPr>
        <w:spacing w:line="440" w:lineRule="exact"/>
        <w:jc w:val="center"/>
        <w:outlineLvl w:val="9"/>
        <w:rPr>
          <w:b/>
          <w:color w:val="auto"/>
          <w:sz w:val="30"/>
          <w:szCs w:val="30"/>
          <w:highlight w:val="none"/>
        </w:rPr>
      </w:pPr>
    </w:p>
    <w:p w14:paraId="11100FCE">
      <w:pPr>
        <w:spacing w:line="276" w:lineRule="auto"/>
        <w:outlineLvl w:val="9"/>
        <w:rPr>
          <w:rFonts w:hint="eastAsia" w:ascii="宋体" w:hAnsi="宋体"/>
          <w:color w:val="auto"/>
          <w:sz w:val="24"/>
          <w:highlight w:val="none"/>
        </w:rPr>
      </w:pPr>
      <w:r>
        <w:rPr>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-6350</wp:posOffset>
                </wp:positionH>
                <wp:positionV relativeFrom="paragraph">
                  <wp:posOffset>181610</wp:posOffset>
                </wp:positionV>
                <wp:extent cx="5572760" cy="1584960"/>
                <wp:effectExtent l="4445" t="4445" r="23495" b="10795"/>
                <wp:wrapNone/>
                <wp:docPr id="2" name="Text Box 6"/>
                <wp:cNvGraphicFramePr/>
                <a:graphic xmlns:a="http://schemas.openxmlformats.org/drawingml/2006/main">
                  <a:graphicData uri="http://schemas.microsoft.com/office/word/2010/wordprocessingShape">
                    <wps:wsp>
                      <wps:cNvSpPr txBox="1"/>
                      <wps:spPr>
                        <a:xfrm>
                          <a:off x="0" y="0"/>
                          <a:ext cx="5572760" cy="1584960"/>
                        </a:xfrm>
                        <a:prstGeom prst="rect">
                          <a:avLst/>
                        </a:prstGeom>
                        <a:solidFill>
                          <a:srgbClr val="FFFFFF"/>
                        </a:solidFill>
                        <a:ln w="9525" cap="flat" cmpd="sng">
                          <a:solidFill>
                            <a:srgbClr val="000000"/>
                          </a:solidFill>
                          <a:prstDash val="sysDot"/>
                          <a:miter/>
                          <a:headEnd type="none" w="med" len="med"/>
                          <a:tailEnd type="none" w="med" len="med"/>
                        </a:ln>
                      </wps:spPr>
                      <wps:txbx>
                        <w:txbxContent>
                          <w:p w14:paraId="2CF8DE64">
                            <w:permStart w:id="2" w:edGrp="everyone"/>
                            <w:permEnd w:id="2"/>
                          </w:p>
                          <w:p w14:paraId="54B62E8D"/>
                          <w:p w14:paraId="3F1E171B">
                            <w:pPr>
                              <w:jc w:val="center"/>
                              <w:rPr>
                                <w:b/>
                              </w:rPr>
                            </w:pPr>
                            <w:r>
                              <w:rPr>
                                <w:rFonts w:hint="eastAsia"/>
                                <w:b/>
                              </w:rPr>
                              <w:t>此处附被授权人身份证复印件正反面</w:t>
                            </w:r>
                          </w:p>
                          <w:p w14:paraId="7F88A758"/>
                        </w:txbxContent>
                      </wps:txbx>
                      <wps:bodyPr wrap="square" upright="1"/>
                    </wps:wsp>
                  </a:graphicData>
                </a:graphic>
              </wp:anchor>
            </w:drawing>
          </mc:Choice>
          <mc:Fallback>
            <w:pict>
              <v:shape id="Text Box 6" o:spid="_x0000_s1026" o:spt="202" type="#_x0000_t202" style="position:absolute;left:0pt;margin-left:-0.5pt;margin-top:14.3pt;height:124.8pt;width:438.8pt;z-index:251661312;mso-width-relative:page;mso-height-relative:page;" fillcolor="#FFFFFF" filled="t" stroked="t" coordsize="21600,21600" o:gfxdata="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ZPIe79cAAAAJAQAADwAAAAAAAAABACAAAAAiAAAA&#10;ZHJzL2Rvd25yZXYueG1sUEsBAhQAFAAAAAgAh07iQE+e0gIIAgAARQQAAA4AAAAAAAAAAQAgAAAA&#10;JgEAAGRycy9lMm9Eb2MueG1sUEsFBgAAAAAGAAYAWQEAAKAFAAAAAA==&#10;">
                <v:fill on="t" focussize="0,0"/>
                <v:stroke color="#000000" joinstyle="miter" dashstyle="1 1"/>
                <v:imagedata o:title=""/>
                <o:lock v:ext="edit" aspectratio="f"/>
                <v:textbox>
                  <w:txbxContent>
                    <w:p w14:paraId="2CF8DE64">
                      <w:permStart w:id="2" w:edGrp="everyone"/>
                      <w:permEnd w:id="2"/>
                    </w:p>
                    <w:p w14:paraId="54B62E8D"/>
                    <w:p w14:paraId="3F1E171B">
                      <w:pPr>
                        <w:jc w:val="center"/>
                        <w:rPr>
                          <w:b/>
                        </w:rPr>
                      </w:pPr>
                      <w:r>
                        <w:rPr>
                          <w:rFonts w:hint="eastAsia"/>
                          <w:b/>
                        </w:rPr>
                        <w:t>此处附被授权人身份证复印件正反面</w:t>
                      </w:r>
                    </w:p>
                    <w:p w14:paraId="7F88A758"/>
                  </w:txbxContent>
                </v:textbox>
              </v:shape>
            </w:pict>
          </mc:Fallback>
        </mc:AlternateContent>
      </w:r>
    </w:p>
    <w:p w14:paraId="729C5FE7">
      <w:pPr>
        <w:keepNext w:val="0"/>
        <w:keepLines w:val="0"/>
        <w:widowControl/>
        <w:shd w:val="clear" w:color="auto" w:fill="FFFFFF"/>
        <w:tabs>
          <w:tab w:val="left" w:pos="576"/>
          <w:tab w:val="left" w:pos="1296"/>
        </w:tabs>
        <w:spacing w:before="0" w:after="150"/>
        <w:jc w:val="center"/>
        <w:outlineLvl w:val="9"/>
        <w:rPr>
          <w:rFonts w:hint="eastAsia"/>
          <w:b w:val="0"/>
          <w:color w:val="auto"/>
          <w:sz w:val="30"/>
          <w:szCs w:val="30"/>
          <w:highlight w:val="none"/>
        </w:rPr>
        <w:sectPr>
          <w:headerReference r:id="rId6" w:type="default"/>
          <w:footerReference r:id="rId7" w:type="default"/>
          <w:pgSz w:w="11906" w:h="16838"/>
          <w:pgMar w:top="1440" w:right="1800" w:bottom="1440" w:left="1800" w:header="851" w:footer="992" w:gutter="0"/>
          <w:pgNumType w:fmt="decimal"/>
          <w:cols w:space="720" w:num="1"/>
          <w:docGrid w:type="lines" w:linePitch="344" w:charSpace="0"/>
        </w:sectPr>
      </w:pPr>
    </w:p>
    <w:p w14:paraId="6677CBC1">
      <w:pPr>
        <w:pStyle w:val="106"/>
        <w:spacing w:after="0"/>
        <w:ind w:left="0" w:leftChars="0" w:firstLine="0" w:firstLineChars="0"/>
        <w:jc w:val="center"/>
        <w:outlineLvl w:val="9"/>
        <w:rPr>
          <w:rFonts w:ascii="宋体" w:hAnsi="宋体"/>
          <w:b/>
          <w:color w:val="auto"/>
          <w:sz w:val="28"/>
          <w:szCs w:val="28"/>
          <w:highlight w:val="none"/>
        </w:rPr>
      </w:pPr>
      <w:r>
        <w:rPr>
          <w:rFonts w:hint="eastAsia" w:ascii="宋体" w:hAnsi="宋体"/>
          <w:b/>
          <w:color w:val="auto"/>
          <w:sz w:val="28"/>
          <w:szCs w:val="28"/>
          <w:highlight w:val="none"/>
        </w:rPr>
        <w:t>三、提供符合政府采购政策的证明材料</w:t>
      </w:r>
    </w:p>
    <w:p w14:paraId="484D334C">
      <w:pPr>
        <w:spacing w:line="440" w:lineRule="exact"/>
        <w:jc w:val="center"/>
        <w:outlineLvl w:val="9"/>
        <w:rPr>
          <w:rFonts w:ascii="宋体" w:hAnsi="宋体"/>
          <w:color w:val="auto"/>
          <w:kern w:val="0"/>
          <w:sz w:val="24"/>
          <w:highlight w:val="none"/>
        </w:rPr>
      </w:pPr>
      <w:r>
        <w:rPr>
          <w:rFonts w:hint="eastAsia" w:ascii="宋体" w:hAnsi="宋体" w:cs="宋体"/>
          <w:b/>
          <w:color w:val="auto"/>
          <w:kern w:val="0"/>
          <w:sz w:val="28"/>
          <w:szCs w:val="32"/>
          <w:highlight w:val="none"/>
        </w:rPr>
        <w:t>1中小微企业声明函</w:t>
      </w:r>
    </w:p>
    <w:p w14:paraId="75D5FE0D">
      <w:pPr>
        <w:widowControl/>
        <w:ind w:firstLine="560" w:firstLineChars="200"/>
        <w:jc w:val="center"/>
        <w:outlineLvl w:val="9"/>
        <w:rPr>
          <w:rFonts w:ascii="宋体" w:hAnsi="宋体" w:cs="宋体"/>
          <w:color w:val="auto"/>
          <w:kern w:val="0"/>
          <w:sz w:val="28"/>
          <w:szCs w:val="28"/>
          <w:highlight w:val="none"/>
        </w:rPr>
      </w:pPr>
      <w:r>
        <w:rPr>
          <w:rFonts w:ascii="宋体" w:hAnsi="宋体" w:cs="宋体"/>
          <w:color w:val="auto"/>
          <w:kern w:val="0"/>
          <w:sz w:val="28"/>
          <w:szCs w:val="28"/>
          <w:highlight w:val="none"/>
        </w:rPr>
        <w:t>中小企业声明函（</w:t>
      </w:r>
      <w:r>
        <w:rPr>
          <w:rFonts w:hint="eastAsia" w:ascii="宋体" w:hAnsi="宋体" w:cs="宋体"/>
          <w:color w:val="auto"/>
          <w:kern w:val="0"/>
          <w:sz w:val="28"/>
          <w:szCs w:val="28"/>
          <w:highlight w:val="none"/>
        </w:rPr>
        <w:t>服务）</w:t>
      </w:r>
    </w:p>
    <w:p w14:paraId="3A7F5762">
      <w:pPr>
        <w:widowControl/>
        <w:spacing w:line="500" w:lineRule="exact"/>
        <w:ind w:firstLine="480" w:firstLineChars="20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w:t>
      </w:r>
      <w:r>
        <w:rPr>
          <w:rFonts w:hint="eastAsia" w:ascii="宋体" w:hAnsi="宋体" w:eastAsia="宋体" w:cs="宋体"/>
          <w:color w:val="auto"/>
          <w:sz w:val="24"/>
          <w:szCs w:val="24"/>
          <w:highlight w:val="none"/>
          <w:lang w:eastAsia="zh-CN"/>
        </w:rPr>
        <w:t>、</w:t>
      </w:r>
      <w:r>
        <w:rPr>
          <w:rFonts w:hint="eastAsia" w:ascii="宋体" w:hAnsi="宋体" w:eastAsia="宋体" w:cs="宋体"/>
          <w:b w:val="0"/>
          <w:bCs/>
          <w:color w:val="auto"/>
          <w:kern w:val="2"/>
          <w:sz w:val="24"/>
          <w:szCs w:val="32"/>
          <w:highlight w:val="none"/>
          <w:lang w:val="en-US" w:eastAsia="zh-CN" w:bidi="ar-SA"/>
        </w:rPr>
        <w:t>关于进一步加大政府采购支持中小企业力度的通知财库〔2022〕19号的规定，</w:t>
      </w:r>
      <w:r>
        <w:rPr>
          <w:rFonts w:hint="eastAsia" w:ascii="宋体" w:hAnsi="宋体" w:eastAsia="宋体" w:cs="宋体"/>
          <w:color w:val="auto"/>
          <w:sz w:val="24"/>
          <w:szCs w:val="24"/>
          <w:highlight w:val="none"/>
        </w:rPr>
        <w:t>的规定，本公司（联合体）参加</w:t>
      </w:r>
      <w:r>
        <w:rPr>
          <w:rFonts w:hint="eastAsia" w:ascii="宋体" w:hAnsi="宋体" w:cs="宋体"/>
          <w:b/>
          <w:bCs/>
          <w:color w:val="auto"/>
          <w:sz w:val="24"/>
          <w:szCs w:val="24"/>
          <w:highlight w:val="none"/>
          <w:u w:val="single"/>
          <w:lang w:eastAsia="zh-CN"/>
        </w:rPr>
        <w:t>（</w:t>
      </w:r>
      <w:r>
        <w:rPr>
          <w:rFonts w:hint="eastAsia" w:ascii="宋体" w:hAnsi="宋体" w:cs="宋体"/>
          <w:b/>
          <w:bCs/>
          <w:color w:val="auto"/>
          <w:sz w:val="24"/>
          <w:szCs w:val="24"/>
          <w:highlight w:val="none"/>
          <w:u w:val="single"/>
          <w:lang w:val="en-US" w:eastAsia="zh-CN"/>
        </w:rPr>
        <w:t>单位名称</w:t>
      </w:r>
      <w:r>
        <w:rPr>
          <w:rFonts w:hint="eastAsia" w:ascii="宋体" w:hAnsi="宋体" w:cs="宋体"/>
          <w:b/>
          <w:bCs/>
          <w:color w:val="auto"/>
          <w:sz w:val="24"/>
          <w:szCs w:val="24"/>
          <w:highlight w:val="none"/>
          <w:u w:val="single"/>
          <w:lang w:eastAsia="zh-CN"/>
        </w:rPr>
        <w:t>）</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u w:val="single"/>
        </w:rPr>
        <w:t>（</w:t>
      </w:r>
      <w:r>
        <w:rPr>
          <w:rFonts w:hint="eastAsia" w:ascii="宋体" w:hAnsi="宋体" w:eastAsia="宋体" w:cs="宋体"/>
          <w:b/>
          <w:color w:val="auto"/>
          <w:sz w:val="24"/>
          <w:szCs w:val="24"/>
          <w:highlight w:val="none"/>
          <w:u w:val="single"/>
        </w:rPr>
        <w:t>请填写项目名称）</w:t>
      </w:r>
      <w:r>
        <w:rPr>
          <w:rFonts w:hint="eastAsia" w:ascii="宋体" w:hAnsi="宋体" w:eastAsia="宋体" w:cs="宋体"/>
          <w:color w:val="auto"/>
          <w:sz w:val="24"/>
          <w:szCs w:val="24"/>
          <w:highlight w:val="none"/>
        </w:rPr>
        <w:t>采购活动，</w:t>
      </w:r>
      <w:r>
        <w:rPr>
          <w:rFonts w:hint="eastAsia" w:ascii="宋体" w:hAnsi="宋体" w:eastAsia="宋体" w:cs="宋体"/>
          <w:color w:val="auto"/>
          <w:sz w:val="24"/>
          <w:szCs w:val="24"/>
          <w:highlight w:val="none"/>
          <w:lang w:eastAsia="zh-CN"/>
        </w:rPr>
        <w:t>服务全部</w:t>
      </w:r>
      <w:r>
        <w:rPr>
          <w:rFonts w:hint="eastAsia" w:ascii="宋体" w:hAnsi="宋体" w:eastAsia="宋体" w:cs="宋体"/>
          <w:color w:val="auto"/>
          <w:sz w:val="24"/>
          <w:szCs w:val="24"/>
          <w:highlight w:val="none"/>
        </w:rPr>
        <w:t>由符合政策要求的中小企业</w:t>
      </w:r>
      <w:r>
        <w:rPr>
          <w:rFonts w:hint="eastAsia" w:ascii="宋体" w:hAnsi="宋体" w:eastAsia="宋体" w:cs="宋体"/>
          <w:color w:val="auto"/>
          <w:sz w:val="24"/>
          <w:szCs w:val="24"/>
          <w:highlight w:val="none"/>
          <w:lang w:eastAsia="zh-CN"/>
        </w:rPr>
        <w:t>承接</w:t>
      </w:r>
      <w:r>
        <w:rPr>
          <w:rFonts w:hint="eastAsia" w:ascii="宋体" w:hAnsi="宋体" w:eastAsia="宋体" w:cs="宋体"/>
          <w:color w:val="auto"/>
          <w:sz w:val="24"/>
          <w:szCs w:val="24"/>
          <w:highlight w:val="none"/>
        </w:rPr>
        <w:t>。相关企业（含联合体中的中小企业、签订分包意向协议的中小企业）的具体情况如下：</w:t>
      </w:r>
    </w:p>
    <w:p w14:paraId="36BB90CE">
      <w:pPr>
        <w:autoSpaceDE w:val="0"/>
        <w:autoSpaceDN w:val="0"/>
        <w:spacing w:line="500" w:lineRule="exact"/>
        <w:ind w:firstLine="480" w:firstLineChars="20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w:t>
      </w:r>
      <w:r>
        <w:rPr>
          <w:rFonts w:hint="eastAsia" w:ascii="宋体" w:hAnsi="宋体" w:eastAsia="宋体" w:cs="宋体"/>
          <w:b/>
          <w:color w:val="auto"/>
          <w:sz w:val="24"/>
          <w:szCs w:val="24"/>
          <w:highlight w:val="none"/>
          <w:u w:val="single"/>
        </w:rPr>
        <w:t>请填写标的名称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，属于</w:t>
      </w:r>
      <w:r>
        <w:rPr>
          <w:rFonts w:hint="eastAsia" w:ascii="宋体" w:hAnsi="宋体" w:eastAsia="宋体" w:cs="宋体"/>
          <w:b/>
          <w:color w:val="auto"/>
          <w:sz w:val="24"/>
          <w:szCs w:val="24"/>
          <w:highlight w:val="none"/>
          <w:u w:val="single"/>
        </w:rPr>
        <w:t>（请填写本项目采购文件中明确的所属行业）</w:t>
      </w:r>
      <w:r>
        <w:rPr>
          <w:rFonts w:hint="eastAsia" w:ascii="宋体" w:hAnsi="宋体" w:eastAsia="宋体" w:cs="宋体"/>
          <w:color w:val="auto"/>
          <w:sz w:val="24"/>
          <w:szCs w:val="24"/>
          <w:highlight w:val="none"/>
        </w:rPr>
        <w:t>行业；</w:t>
      </w:r>
      <w:r>
        <w:rPr>
          <w:rFonts w:hint="eastAsia" w:ascii="宋体" w:hAnsi="宋体" w:cs="宋体"/>
          <w:color w:val="auto"/>
          <w:sz w:val="24"/>
          <w:szCs w:val="24"/>
          <w:highlight w:val="none"/>
          <w:lang w:val="en-US" w:eastAsia="zh-CN"/>
        </w:rPr>
        <w:t>承接企业</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w:t>
      </w:r>
      <w:r>
        <w:rPr>
          <w:rFonts w:hint="eastAsia" w:ascii="宋体" w:hAnsi="宋体" w:eastAsia="宋体" w:cs="宋体"/>
          <w:b/>
          <w:color w:val="auto"/>
          <w:sz w:val="24"/>
          <w:szCs w:val="24"/>
          <w:highlight w:val="none"/>
          <w:u w:val="single"/>
        </w:rPr>
        <w:t>请填写该标的</w:t>
      </w:r>
      <w:r>
        <w:rPr>
          <w:rFonts w:hint="eastAsia" w:ascii="宋体" w:hAnsi="宋体" w:cs="宋体"/>
          <w:b/>
          <w:color w:val="auto"/>
          <w:sz w:val="24"/>
          <w:szCs w:val="24"/>
          <w:highlight w:val="none"/>
          <w:u w:val="single"/>
          <w:lang w:val="en-US" w:eastAsia="zh-CN"/>
        </w:rPr>
        <w:t>承接供应商</w:t>
      </w:r>
      <w:r>
        <w:rPr>
          <w:rFonts w:hint="eastAsia" w:ascii="宋体" w:hAnsi="宋体" w:eastAsia="宋体" w:cs="宋体"/>
          <w:b/>
          <w:color w:val="auto"/>
          <w:sz w:val="24"/>
          <w:szCs w:val="24"/>
          <w:highlight w:val="none"/>
          <w:u w:val="single"/>
        </w:rPr>
        <w:t>的企业名称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，从业人员人，营业收入为万元，资产总额为万元，属于</w:t>
      </w:r>
      <w:r>
        <w:rPr>
          <w:rFonts w:hint="eastAsia" w:ascii="宋体" w:hAnsi="宋体" w:eastAsia="宋体" w:cs="宋体"/>
          <w:color w:val="auto"/>
          <w:sz w:val="24"/>
          <w:szCs w:val="24"/>
          <w:highlight w:val="none"/>
          <w:u w:val="single"/>
        </w:rPr>
        <w:t>（</w:t>
      </w:r>
      <w:r>
        <w:rPr>
          <w:rFonts w:hint="eastAsia" w:ascii="宋体" w:hAnsi="宋体" w:eastAsia="宋体" w:cs="宋体"/>
          <w:b/>
          <w:color w:val="auto"/>
          <w:sz w:val="24"/>
          <w:szCs w:val="24"/>
          <w:highlight w:val="none"/>
          <w:u w:val="single"/>
        </w:rPr>
        <w:t>请根据中小企业划分标准填写中型企业/小型企业/微型企业</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7E4DE837">
      <w:pPr>
        <w:autoSpaceDE w:val="0"/>
        <w:autoSpaceDN w:val="0"/>
        <w:spacing w:line="500" w:lineRule="exact"/>
        <w:ind w:firstLine="480" w:firstLineChars="20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w:t>
      </w:r>
      <w:r>
        <w:rPr>
          <w:rFonts w:hint="eastAsia" w:ascii="宋体" w:hAnsi="宋体" w:eastAsia="宋体" w:cs="宋体"/>
          <w:b/>
          <w:color w:val="auto"/>
          <w:sz w:val="24"/>
          <w:szCs w:val="24"/>
          <w:highlight w:val="none"/>
          <w:u w:val="single"/>
        </w:rPr>
        <w:t>请填写标的名称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，属于</w:t>
      </w:r>
      <w:r>
        <w:rPr>
          <w:rFonts w:hint="eastAsia" w:ascii="宋体" w:hAnsi="宋体" w:eastAsia="宋体" w:cs="宋体"/>
          <w:b/>
          <w:color w:val="auto"/>
          <w:sz w:val="24"/>
          <w:szCs w:val="24"/>
          <w:highlight w:val="none"/>
          <w:u w:val="single"/>
        </w:rPr>
        <w:t>（请填写本项目采购文件中明确的所属行业）</w:t>
      </w:r>
      <w:r>
        <w:rPr>
          <w:rFonts w:hint="eastAsia" w:ascii="宋体" w:hAnsi="宋体" w:eastAsia="宋体" w:cs="宋体"/>
          <w:color w:val="auto"/>
          <w:sz w:val="24"/>
          <w:szCs w:val="24"/>
          <w:highlight w:val="none"/>
        </w:rPr>
        <w:t>行业；</w:t>
      </w:r>
      <w:r>
        <w:rPr>
          <w:rFonts w:hint="eastAsia" w:ascii="宋体" w:hAnsi="宋体" w:cs="宋体"/>
          <w:color w:val="auto"/>
          <w:sz w:val="24"/>
          <w:szCs w:val="24"/>
          <w:highlight w:val="none"/>
          <w:lang w:val="en-US" w:eastAsia="zh-CN"/>
        </w:rPr>
        <w:t>承接企业</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w:t>
      </w:r>
      <w:r>
        <w:rPr>
          <w:rFonts w:hint="eastAsia" w:ascii="宋体" w:hAnsi="宋体" w:eastAsia="宋体" w:cs="宋体"/>
          <w:b/>
          <w:color w:val="auto"/>
          <w:sz w:val="24"/>
          <w:szCs w:val="24"/>
          <w:highlight w:val="none"/>
          <w:u w:val="single"/>
        </w:rPr>
        <w:t>请填写该标的</w:t>
      </w:r>
      <w:r>
        <w:rPr>
          <w:rFonts w:hint="eastAsia" w:ascii="宋体" w:hAnsi="宋体" w:cs="宋体"/>
          <w:b/>
          <w:color w:val="auto"/>
          <w:sz w:val="24"/>
          <w:szCs w:val="24"/>
          <w:highlight w:val="none"/>
          <w:u w:val="single"/>
          <w:lang w:val="en-US" w:eastAsia="zh-CN"/>
        </w:rPr>
        <w:t>承接供应商</w:t>
      </w:r>
      <w:r>
        <w:rPr>
          <w:rFonts w:hint="eastAsia" w:ascii="宋体" w:hAnsi="宋体" w:eastAsia="宋体" w:cs="宋体"/>
          <w:b/>
          <w:color w:val="auto"/>
          <w:sz w:val="24"/>
          <w:szCs w:val="24"/>
          <w:highlight w:val="none"/>
          <w:u w:val="single"/>
        </w:rPr>
        <w:t>的企业名称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，从业人员人，营业收入为万元，资产总额为万元，属于</w:t>
      </w:r>
      <w:r>
        <w:rPr>
          <w:rFonts w:hint="eastAsia" w:ascii="宋体" w:hAnsi="宋体" w:eastAsia="宋体" w:cs="宋体"/>
          <w:color w:val="auto"/>
          <w:sz w:val="24"/>
          <w:szCs w:val="24"/>
          <w:highlight w:val="none"/>
          <w:u w:val="single"/>
        </w:rPr>
        <w:t>（</w:t>
      </w:r>
      <w:r>
        <w:rPr>
          <w:rFonts w:hint="eastAsia" w:ascii="宋体" w:hAnsi="宋体" w:eastAsia="宋体" w:cs="宋体"/>
          <w:b/>
          <w:color w:val="auto"/>
          <w:sz w:val="24"/>
          <w:szCs w:val="24"/>
          <w:highlight w:val="none"/>
          <w:u w:val="single"/>
        </w:rPr>
        <w:t>请根据中小企业划分标准填写中型企业/小型企业/微型企业</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6ABA4070">
      <w:pPr>
        <w:autoSpaceDE w:val="0"/>
        <w:autoSpaceDN w:val="0"/>
        <w:spacing w:line="500" w:lineRule="exact"/>
        <w:ind w:left="641"/>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5A20512C">
      <w:pPr>
        <w:autoSpaceDE w:val="0"/>
        <w:autoSpaceDN w:val="0"/>
        <w:spacing w:line="500" w:lineRule="exact"/>
        <w:ind w:firstLine="480" w:firstLineChars="20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以上企业，不属于大型企业的分支机构，不存在控股股东为大型企业的情形，也不存在与大型企业的负责人为同一人的情形。</w:t>
      </w:r>
    </w:p>
    <w:p w14:paraId="78847ABC">
      <w:pPr>
        <w:widowControl/>
        <w:shd w:val="clear" w:color="auto" w:fill="FFFFFF"/>
        <w:spacing w:beforeAutospacing="1" w:afterAutospacing="1" w:line="348" w:lineRule="atLeast"/>
        <w:ind w:firstLine="384"/>
        <w:jc w:val="left"/>
        <w:outlineLvl w:val="9"/>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sz w:val="24"/>
          <w:szCs w:val="24"/>
          <w:highlight w:val="none"/>
        </w:rPr>
        <w:t>本企业对上述声明内容的真实性负责。如有虚假，将依法承担相应责任。</w:t>
      </w:r>
    </w:p>
    <w:p w14:paraId="7EBEF271">
      <w:pPr>
        <w:widowControl/>
        <w:shd w:val="clear" w:color="auto" w:fill="FFFFFF"/>
        <w:spacing w:beforeAutospacing="1" w:afterAutospacing="1" w:line="348" w:lineRule="atLeast"/>
        <w:ind w:firstLine="4560" w:firstLineChars="1900"/>
        <w:jc w:val="left"/>
        <w:outlineLvl w:val="9"/>
        <w:rPr>
          <w:rFonts w:hint="eastAsia" w:ascii="宋体" w:hAnsi="宋体" w:eastAsia="宋体" w:cs="宋体"/>
          <w:color w:val="auto"/>
          <w:kern w:val="0"/>
          <w:sz w:val="24"/>
          <w:szCs w:val="24"/>
          <w:highlight w:val="none"/>
          <w:shd w:val="clear" w:color="auto" w:fill="FFFFFF"/>
          <w:lang w:bidi="ar"/>
        </w:rPr>
      </w:pPr>
      <w:r>
        <w:rPr>
          <w:rFonts w:hint="eastAsia" w:ascii="宋体" w:hAnsi="宋体" w:eastAsia="宋体" w:cs="宋体"/>
          <w:color w:val="auto"/>
          <w:kern w:val="0"/>
          <w:sz w:val="24"/>
          <w:szCs w:val="24"/>
          <w:highlight w:val="none"/>
          <w:shd w:val="clear" w:color="auto" w:fill="FFFFFF"/>
          <w:lang w:bidi="ar"/>
        </w:rPr>
        <w:t>企业名称（盖章）：</w:t>
      </w:r>
    </w:p>
    <w:p w14:paraId="2893A5D9">
      <w:pPr>
        <w:widowControl/>
        <w:shd w:val="clear" w:color="auto" w:fill="FFFFFF"/>
        <w:spacing w:beforeAutospacing="1" w:afterAutospacing="1" w:line="348" w:lineRule="atLeast"/>
        <w:ind w:firstLine="6000" w:firstLineChars="250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color="auto" w:fill="FFFFFF"/>
          <w:lang w:bidi="ar"/>
        </w:rPr>
        <w:t>日期：</w:t>
      </w:r>
    </w:p>
    <w:p w14:paraId="3B19B3E3">
      <w:pPr>
        <w:spacing w:line="360" w:lineRule="auto"/>
        <w:ind w:firstLine="482" w:firstLineChars="200"/>
        <w:rPr>
          <w:rFonts w:hint="default" w:ascii="Times New Roman" w:hAnsi="Times New Roman" w:cs="Times New Roman"/>
          <w:b/>
          <w:bCs/>
          <w:color w:val="auto"/>
          <w:kern w:val="0"/>
          <w:sz w:val="24"/>
          <w:highlight w:val="none"/>
        </w:rPr>
      </w:pPr>
      <w:r>
        <w:rPr>
          <w:rFonts w:hint="default" w:ascii="Times New Roman" w:hAnsi="Times New Roman" w:cs="Times New Roman"/>
          <w:b/>
          <w:bCs/>
          <w:color w:val="auto"/>
          <w:kern w:val="0"/>
          <w:sz w:val="24"/>
          <w:highlight w:val="none"/>
        </w:rPr>
        <w:t>说明：1.重要提示：供应商应仔细阅读本函附件1关于“中小企业声明函”的填写要求及提交要求，否则，因填写或提交等产生的一切不利后果，须自行承担。</w:t>
      </w:r>
    </w:p>
    <w:p w14:paraId="4EC24730">
      <w:pPr>
        <w:spacing w:line="360" w:lineRule="auto"/>
        <w:ind w:firstLine="1205" w:firstLineChars="500"/>
        <w:rPr>
          <w:rFonts w:hint="default" w:ascii="Times New Roman" w:hAnsi="Times New Roman" w:cs="Times New Roman"/>
          <w:b/>
          <w:bCs/>
          <w:color w:val="auto"/>
          <w:kern w:val="0"/>
          <w:sz w:val="24"/>
          <w:highlight w:val="none"/>
        </w:rPr>
      </w:pPr>
      <w:r>
        <w:rPr>
          <w:rFonts w:hint="default" w:ascii="Times New Roman" w:hAnsi="Times New Roman" w:cs="Times New Roman"/>
          <w:b/>
          <w:bCs/>
          <w:color w:val="auto"/>
          <w:kern w:val="0"/>
          <w:sz w:val="24"/>
          <w:highlight w:val="none"/>
        </w:rPr>
        <w:t>2.从业人员、营业收入、资产总额填报上一年度数据，无上一年度数据的新成立企业可不填报。</w:t>
      </w:r>
    </w:p>
    <w:p w14:paraId="1CAB1EFC">
      <w:pPr>
        <w:rPr>
          <w:rFonts w:hint="eastAsia" w:ascii="宋体" w:hAnsi="宋体"/>
          <w:b/>
          <w:bCs/>
          <w:color w:val="auto"/>
          <w:kern w:val="0"/>
          <w:sz w:val="24"/>
          <w:highlight w:val="none"/>
        </w:rPr>
      </w:pPr>
      <w:r>
        <w:rPr>
          <w:rFonts w:hint="eastAsia" w:ascii="宋体" w:hAnsi="宋体"/>
          <w:b/>
          <w:bCs/>
          <w:color w:val="auto"/>
          <w:kern w:val="0"/>
          <w:sz w:val="24"/>
          <w:highlight w:val="none"/>
        </w:rPr>
        <w:br w:type="page"/>
      </w:r>
    </w:p>
    <w:p w14:paraId="2A483CE9">
      <w:pPr>
        <w:keepNext w:val="0"/>
        <w:keepLines w:val="0"/>
        <w:pageBreakBefore w:val="0"/>
        <w:widowControl w:val="0"/>
        <w:kinsoku/>
        <w:wordWrap/>
        <w:overflowPunct/>
        <w:topLinePunct w:val="0"/>
        <w:autoSpaceDE/>
        <w:autoSpaceDN/>
        <w:bidi w:val="0"/>
        <w:adjustRightInd/>
        <w:snapToGrid/>
        <w:spacing w:line="360" w:lineRule="auto"/>
        <w:textAlignment w:val="auto"/>
        <w:rPr>
          <w:rStyle w:val="30"/>
          <w:rFonts w:hint="eastAsia" w:ascii="Times New Roman" w:hAnsi="Times New Roman" w:eastAsia="宋体" w:cs="Times New Roman"/>
          <w:color w:val="auto"/>
          <w:kern w:val="0"/>
          <w:sz w:val="21"/>
          <w:szCs w:val="21"/>
          <w:highlight w:val="none"/>
          <w:lang w:eastAsia="zh-CN" w:bidi="ar"/>
        </w:rPr>
      </w:pPr>
      <w:r>
        <w:rPr>
          <w:rFonts w:hint="default" w:ascii="Times New Roman" w:hAnsi="Times New Roman" w:eastAsia="宋体" w:cs="Times New Roman"/>
          <w:b/>
          <w:bCs/>
          <w:color w:val="auto"/>
          <w:sz w:val="21"/>
          <w:szCs w:val="21"/>
          <w:highlight w:val="none"/>
        </w:rPr>
        <w:t>附件1</w:t>
      </w:r>
    </w:p>
    <w:p w14:paraId="3F6D4FC1">
      <w:pPr>
        <w:widowControl/>
        <w:ind w:firstLine="482" w:firstLineChars="200"/>
        <w:jc w:val="left"/>
        <w:rPr>
          <w:rStyle w:val="30"/>
          <w:rFonts w:hint="default" w:ascii="Times New Roman" w:hAnsi="Times New Roman" w:cs="Times New Roman"/>
          <w:color w:val="auto"/>
          <w:kern w:val="0"/>
          <w:sz w:val="28"/>
          <w:szCs w:val="28"/>
          <w:highlight w:val="none"/>
          <w:lang w:bidi="ar"/>
        </w:rPr>
      </w:pPr>
      <w:r>
        <w:rPr>
          <w:rStyle w:val="30"/>
          <w:rFonts w:hint="default" w:ascii="Times New Roman" w:hAnsi="Times New Roman" w:cs="Times New Roman"/>
          <w:color w:val="auto"/>
          <w:kern w:val="0"/>
          <w:sz w:val="24"/>
          <w:szCs w:val="24"/>
          <w:highlight w:val="none"/>
          <w:lang w:bidi="ar"/>
        </w:rPr>
        <w:t>（一）关于“中小企业声明函”的填写要求</w:t>
      </w:r>
    </w:p>
    <w:p w14:paraId="314960FA">
      <w:pPr>
        <w:widowControl/>
        <w:spacing w:line="360" w:lineRule="auto"/>
        <w:ind w:firstLine="480" w:firstLineChars="200"/>
        <w:jc w:val="left"/>
        <w:rPr>
          <w:rFonts w:hint="default" w:ascii="Times New Roman" w:hAnsi="Times New Roman" w:cs="Times New Roman"/>
          <w:color w:val="auto"/>
          <w:kern w:val="0"/>
          <w:sz w:val="24"/>
          <w:szCs w:val="28"/>
          <w:highlight w:val="none"/>
          <w:lang w:bidi="ar"/>
        </w:rPr>
      </w:pPr>
      <w:r>
        <w:rPr>
          <w:rFonts w:hint="default" w:ascii="Times New Roman" w:hAnsi="Times New Roman" w:cs="Times New Roman"/>
          <w:color w:val="auto"/>
          <w:kern w:val="0"/>
          <w:sz w:val="24"/>
          <w:szCs w:val="28"/>
          <w:highlight w:val="none"/>
          <w:lang w:bidi="ar"/>
        </w:rPr>
        <w:t>“中小企业声明函”具体填写要求如下：</w:t>
      </w:r>
    </w:p>
    <w:p w14:paraId="6064E981">
      <w:pPr>
        <w:widowControl/>
        <w:spacing w:line="360" w:lineRule="auto"/>
        <w:ind w:firstLine="480" w:firstLineChars="200"/>
        <w:jc w:val="left"/>
        <w:rPr>
          <w:rFonts w:hint="default" w:ascii="Times New Roman" w:hAnsi="Times New Roman" w:cs="Times New Roman"/>
          <w:color w:val="auto"/>
          <w:kern w:val="0"/>
          <w:sz w:val="24"/>
          <w:szCs w:val="28"/>
          <w:highlight w:val="none"/>
          <w:lang w:bidi="ar"/>
        </w:rPr>
      </w:pPr>
      <w:r>
        <w:rPr>
          <w:rFonts w:hint="default" w:ascii="Times New Roman" w:hAnsi="Times New Roman" w:cs="Times New Roman"/>
          <w:color w:val="auto"/>
          <w:kern w:val="0"/>
          <w:sz w:val="24"/>
          <w:szCs w:val="28"/>
          <w:highlight w:val="none"/>
          <w:lang w:bidi="ar"/>
        </w:rPr>
        <w:t>1.“单位名称”应填写采购人名称。</w:t>
      </w:r>
    </w:p>
    <w:p w14:paraId="514387B6">
      <w:pPr>
        <w:widowControl/>
        <w:spacing w:line="360" w:lineRule="auto"/>
        <w:ind w:firstLine="480" w:firstLineChars="200"/>
        <w:jc w:val="left"/>
        <w:rPr>
          <w:rFonts w:hint="default" w:ascii="Times New Roman" w:hAnsi="Times New Roman" w:cs="Times New Roman"/>
          <w:color w:val="auto"/>
          <w:kern w:val="0"/>
          <w:sz w:val="24"/>
          <w:szCs w:val="28"/>
          <w:highlight w:val="none"/>
          <w:lang w:bidi="ar"/>
        </w:rPr>
      </w:pPr>
      <w:r>
        <w:rPr>
          <w:rFonts w:hint="default" w:ascii="Times New Roman" w:hAnsi="Times New Roman" w:cs="Times New Roman"/>
          <w:color w:val="auto"/>
          <w:kern w:val="0"/>
          <w:sz w:val="24"/>
          <w:szCs w:val="28"/>
          <w:highlight w:val="none"/>
          <w:lang w:bidi="ar"/>
        </w:rPr>
        <w:t>2.“项目名称”应按照采购文件中确定的项目名称填写。对</w:t>
      </w:r>
      <w:r>
        <w:rPr>
          <w:rFonts w:hint="default" w:ascii="Times New Roman" w:hAnsi="Times New Roman" w:cs="Times New Roman"/>
          <w:color w:val="auto"/>
          <w:kern w:val="0"/>
          <w:sz w:val="24"/>
          <w:szCs w:val="28"/>
          <w:highlight w:val="none"/>
          <w:lang w:eastAsia="zh-CN" w:bidi="ar"/>
        </w:rPr>
        <w:t>于以</w:t>
      </w:r>
      <w:r>
        <w:rPr>
          <w:rFonts w:hint="default" w:ascii="Times New Roman" w:hAnsi="Times New Roman" w:cs="Times New Roman"/>
          <w:color w:val="auto"/>
          <w:kern w:val="0"/>
          <w:sz w:val="24"/>
          <w:szCs w:val="28"/>
          <w:highlight w:val="none"/>
          <w:lang w:bidi="ar"/>
        </w:rPr>
        <w:t>分包方式面向中小企业采购的项目，应标明中小企业的具体分包内容；对于以联合体方式面向中小企业采购的项目，应标明联合体中中小企业所承担的具体内容。</w:t>
      </w:r>
    </w:p>
    <w:p w14:paraId="18A90232">
      <w:pPr>
        <w:widowControl/>
        <w:spacing w:line="360" w:lineRule="auto"/>
        <w:ind w:firstLine="480" w:firstLineChars="200"/>
        <w:jc w:val="left"/>
        <w:rPr>
          <w:rFonts w:hint="default" w:ascii="Times New Roman" w:hAnsi="Times New Roman" w:cs="Times New Roman"/>
          <w:color w:val="auto"/>
          <w:kern w:val="0"/>
          <w:sz w:val="24"/>
          <w:szCs w:val="28"/>
          <w:highlight w:val="none"/>
          <w:lang w:bidi="ar"/>
        </w:rPr>
      </w:pPr>
      <w:r>
        <w:rPr>
          <w:rFonts w:hint="default" w:ascii="Times New Roman" w:hAnsi="Times New Roman" w:cs="Times New Roman"/>
          <w:color w:val="auto"/>
          <w:kern w:val="0"/>
          <w:sz w:val="24"/>
          <w:szCs w:val="28"/>
          <w:highlight w:val="none"/>
          <w:lang w:bidi="ar"/>
        </w:rPr>
        <w:t>3.“标的名称”应填写采购文件中细化载明的采购标的名称。对</w:t>
      </w:r>
      <w:r>
        <w:rPr>
          <w:rFonts w:hint="default" w:ascii="Times New Roman" w:hAnsi="Times New Roman" w:cs="Times New Roman"/>
          <w:color w:val="auto"/>
          <w:kern w:val="0"/>
          <w:sz w:val="24"/>
          <w:szCs w:val="28"/>
          <w:highlight w:val="none"/>
          <w:lang w:eastAsia="zh-CN" w:bidi="ar"/>
        </w:rPr>
        <w:t>于以</w:t>
      </w:r>
      <w:r>
        <w:rPr>
          <w:rFonts w:hint="default" w:ascii="Times New Roman" w:hAnsi="Times New Roman" w:cs="Times New Roman"/>
          <w:color w:val="auto"/>
          <w:kern w:val="0"/>
          <w:sz w:val="24"/>
          <w:szCs w:val="28"/>
          <w:highlight w:val="none"/>
          <w:lang w:bidi="ar"/>
        </w:rPr>
        <w:t>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4206C112">
      <w:pPr>
        <w:widowControl/>
        <w:spacing w:line="360" w:lineRule="auto"/>
        <w:ind w:firstLine="480" w:firstLineChars="200"/>
        <w:jc w:val="left"/>
        <w:rPr>
          <w:rFonts w:hint="default" w:ascii="Times New Roman" w:hAnsi="Times New Roman" w:cs="Times New Roman"/>
          <w:color w:val="auto"/>
          <w:kern w:val="0"/>
          <w:sz w:val="24"/>
          <w:szCs w:val="28"/>
          <w:highlight w:val="none"/>
          <w:lang w:bidi="ar"/>
        </w:rPr>
      </w:pPr>
      <w:r>
        <w:rPr>
          <w:rFonts w:hint="default" w:ascii="Times New Roman" w:hAnsi="Times New Roman" w:cs="Times New Roman"/>
          <w:color w:val="auto"/>
          <w:kern w:val="0"/>
          <w:sz w:val="24"/>
          <w:szCs w:val="28"/>
          <w:highlight w:val="none"/>
          <w:lang w:bidi="ar"/>
        </w:rPr>
        <w:t>4.“采购文件中明确的所属行业”应填写采购文件中明确的采购标的所属行业，并应确保与采购标的涉及的货物制造商/服务承接商/工程承建商（根据项目属性确定）本身的所属行业保持一致。</w:t>
      </w:r>
    </w:p>
    <w:p w14:paraId="42939D54">
      <w:pPr>
        <w:widowControl/>
        <w:spacing w:line="360" w:lineRule="auto"/>
        <w:ind w:firstLine="480" w:firstLineChars="200"/>
        <w:jc w:val="left"/>
        <w:rPr>
          <w:rFonts w:hint="default" w:ascii="Times New Roman" w:hAnsi="Times New Roman" w:cs="Times New Roman"/>
          <w:color w:val="auto"/>
          <w:kern w:val="0"/>
          <w:sz w:val="24"/>
          <w:szCs w:val="28"/>
          <w:highlight w:val="none"/>
          <w:lang w:bidi="ar"/>
        </w:rPr>
      </w:pPr>
      <w:r>
        <w:rPr>
          <w:rFonts w:hint="default" w:ascii="Times New Roman" w:hAnsi="Times New Roman" w:cs="Times New Roman"/>
          <w:color w:val="auto"/>
          <w:kern w:val="0"/>
          <w:sz w:val="24"/>
          <w:szCs w:val="28"/>
          <w:highlight w:val="none"/>
          <w:lang w:bidi="ar"/>
        </w:rPr>
        <w:t>对于分包方式面向中小企业采购的项目，“采购文件中明确的所属行业”应按照采购文件中注明的分包给中小企业的采购标的所属行业填写，并应确保与该分包部分采购标的涉及的货物制造商/服务承接商/工程承建商（根据项目属性确定）本身的所属行业保持一致。</w:t>
      </w:r>
    </w:p>
    <w:p w14:paraId="4802F65D">
      <w:pPr>
        <w:widowControl/>
        <w:spacing w:line="360" w:lineRule="auto"/>
        <w:ind w:firstLine="480" w:firstLineChars="200"/>
        <w:jc w:val="left"/>
        <w:rPr>
          <w:rFonts w:hint="default" w:ascii="Times New Roman" w:hAnsi="Times New Roman" w:cs="Times New Roman"/>
          <w:color w:val="auto"/>
          <w:kern w:val="0"/>
          <w:sz w:val="24"/>
          <w:szCs w:val="28"/>
          <w:highlight w:val="none"/>
          <w:lang w:bidi="ar"/>
        </w:rPr>
      </w:pPr>
      <w:r>
        <w:rPr>
          <w:rFonts w:hint="default" w:ascii="Times New Roman" w:hAnsi="Times New Roman" w:cs="Times New Roman"/>
          <w:color w:val="auto"/>
          <w:kern w:val="0"/>
          <w:sz w:val="24"/>
          <w:szCs w:val="28"/>
          <w:highlight w:val="none"/>
          <w:lang w:bidi="ar"/>
        </w:rPr>
        <w:t>对于以联合体方式面向中小企业采购的项目，“采购文件中明确的所属行业”应按照采购文件中注明的联合体中中小企业承担的采购标的所属行业填写，并应确保与该承担部分采购标的涉及的货物制造商/服务承接商/工程承建商（根据项目属性确定）本身的所属行业保持一致。</w:t>
      </w:r>
    </w:p>
    <w:p w14:paraId="0166432D">
      <w:pPr>
        <w:widowControl/>
        <w:spacing w:line="360" w:lineRule="auto"/>
        <w:ind w:firstLine="480" w:firstLineChars="200"/>
        <w:jc w:val="left"/>
        <w:rPr>
          <w:rFonts w:hint="default" w:ascii="Times New Roman" w:hAnsi="Times New Roman" w:cs="Times New Roman"/>
          <w:color w:val="auto"/>
          <w:kern w:val="0"/>
          <w:sz w:val="24"/>
          <w:szCs w:val="28"/>
          <w:highlight w:val="none"/>
          <w:lang w:bidi="ar"/>
        </w:rPr>
      </w:pPr>
      <w:r>
        <w:rPr>
          <w:rFonts w:hint="default" w:ascii="Times New Roman" w:hAnsi="Times New Roman" w:cs="Times New Roman"/>
          <w:color w:val="auto"/>
          <w:kern w:val="0"/>
          <w:sz w:val="24"/>
          <w:szCs w:val="28"/>
          <w:highlight w:val="none"/>
          <w:lang w:bidi="ar"/>
        </w:rPr>
        <w:t>5.“企业名称”应填写投标（响应）的货物制造商/服务承接商/工程承建商（根据项目属性确定）。</w:t>
      </w:r>
    </w:p>
    <w:p w14:paraId="5E0EA4A6">
      <w:pPr>
        <w:widowControl/>
        <w:spacing w:line="360" w:lineRule="auto"/>
        <w:ind w:firstLine="480" w:firstLineChars="200"/>
        <w:jc w:val="left"/>
        <w:rPr>
          <w:rFonts w:hint="default" w:ascii="Times New Roman" w:hAnsi="Times New Roman" w:cs="Times New Roman"/>
          <w:color w:val="auto"/>
          <w:kern w:val="0"/>
          <w:sz w:val="24"/>
          <w:szCs w:val="28"/>
          <w:highlight w:val="none"/>
          <w:lang w:bidi="ar"/>
        </w:rPr>
      </w:pPr>
      <w:r>
        <w:rPr>
          <w:rFonts w:hint="default" w:ascii="Times New Roman" w:hAnsi="Times New Roman" w:cs="Times New Roman"/>
          <w:color w:val="auto"/>
          <w:kern w:val="0"/>
          <w:sz w:val="24"/>
          <w:szCs w:val="28"/>
          <w:highlight w:val="none"/>
          <w:lang w:bidi="ar"/>
        </w:rPr>
        <w:t>对于分包方式面向中小企业采购的项目，“企业名称”应填写分包部分采购标的对应的货物制造商/服务承接商/工程承建商（根据项目属性确定）。</w:t>
      </w:r>
    </w:p>
    <w:p w14:paraId="198E8857">
      <w:pPr>
        <w:widowControl/>
        <w:spacing w:line="360" w:lineRule="auto"/>
        <w:ind w:firstLine="480" w:firstLineChars="200"/>
        <w:jc w:val="left"/>
        <w:rPr>
          <w:rFonts w:hint="default" w:ascii="Times New Roman" w:hAnsi="Times New Roman" w:cs="Times New Roman"/>
          <w:color w:val="auto"/>
          <w:kern w:val="0"/>
          <w:sz w:val="24"/>
          <w:szCs w:val="28"/>
          <w:highlight w:val="none"/>
          <w:lang w:bidi="ar"/>
        </w:rPr>
      </w:pPr>
      <w:r>
        <w:rPr>
          <w:rFonts w:hint="default" w:ascii="Times New Roman" w:hAnsi="Times New Roman" w:cs="Times New Roman"/>
          <w:color w:val="auto"/>
          <w:kern w:val="0"/>
          <w:sz w:val="24"/>
          <w:szCs w:val="28"/>
          <w:highlight w:val="none"/>
          <w:lang w:bidi="ar"/>
        </w:rPr>
        <w:t>对于以联合体方式面向中小企业采购的项目，“企业名称”应填写联合体中中小企业承担采购标的对应的货物制造商/服务承接商/工程承建商（根据项目属性确定）。</w:t>
      </w:r>
    </w:p>
    <w:p w14:paraId="26ECDE36">
      <w:pPr>
        <w:widowControl/>
        <w:spacing w:line="360" w:lineRule="auto"/>
        <w:ind w:firstLine="480" w:firstLineChars="200"/>
        <w:jc w:val="left"/>
        <w:rPr>
          <w:rFonts w:hint="eastAsia" w:ascii="宋体" w:hAnsi="宋体" w:cs="宋体"/>
          <w:color w:val="auto"/>
          <w:kern w:val="0"/>
          <w:sz w:val="24"/>
          <w:szCs w:val="28"/>
          <w:highlight w:val="none"/>
          <w:lang w:bidi="ar"/>
        </w:rPr>
      </w:pPr>
      <w:r>
        <w:rPr>
          <w:rFonts w:hint="eastAsia" w:ascii="Times New Roman" w:hAnsi="Times New Roman" w:cs="Times New Roman"/>
          <w:color w:val="auto"/>
          <w:kern w:val="0"/>
          <w:sz w:val="24"/>
          <w:szCs w:val="28"/>
          <w:highlight w:val="none"/>
          <w:lang w:bidi="ar"/>
        </w:rPr>
        <w:t>6.</w:t>
      </w:r>
      <w:r>
        <w:rPr>
          <w:rFonts w:hint="eastAsia" w:ascii="宋体" w:hAnsi="宋体" w:cs="宋体"/>
          <w:color w:val="auto"/>
          <w:kern w:val="0"/>
          <w:sz w:val="24"/>
          <w:szCs w:val="28"/>
          <w:highlight w:val="none"/>
          <w:lang w:bidi="ar"/>
        </w:rPr>
        <w:t>从业人员、资产总额指标以上年度末数据为依据，营业收入指标以上年度累计数据为依据。无上年度数据的新成立企业可不填报。</w:t>
      </w:r>
    </w:p>
    <w:p w14:paraId="1E45532C">
      <w:pPr>
        <w:widowControl/>
        <w:spacing w:line="360" w:lineRule="auto"/>
        <w:ind w:firstLine="480" w:firstLineChars="200"/>
        <w:jc w:val="left"/>
        <w:rPr>
          <w:rFonts w:hint="eastAsia" w:ascii="宋体" w:hAnsi="宋体" w:cs="宋体"/>
          <w:color w:val="auto"/>
          <w:kern w:val="0"/>
          <w:sz w:val="24"/>
          <w:szCs w:val="28"/>
          <w:highlight w:val="none"/>
          <w:lang w:bidi="ar"/>
        </w:rPr>
      </w:pPr>
      <w:r>
        <w:rPr>
          <w:rFonts w:hint="eastAsia" w:ascii="Times New Roman" w:hAnsi="Times New Roman" w:cs="Times New Roman"/>
          <w:color w:val="auto"/>
          <w:kern w:val="0"/>
          <w:sz w:val="24"/>
          <w:szCs w:val="28"/>
          <w:highlight w:val="none"/>
          <w:lang w:bidi="ar"/>
        </w:rPr>
        <w:t>7.</w:t>
      </w:r>
      <w:r>
        <w:rPr>
          <w:rFonts w:hint="eastAsia" w:ascii="宋体" w:hAnsi="宋体" w:cs="宋体"/>
          <w:color w:val="auto"/>
          <w:kern w:val="0"/>
          <w:sz w:val="24"/>
          <w:szCs w:val="28"/>
          <w:highlight w:val="none"/>
          <w:lang w:bidi="ar"/>
        </w:rPr>
        <w:t>“中型企业/小型企业/微型企业”部分，供应商应依据企业上年度从业人员、营业收入、资产总额等指标，按照《中小企业划型标准规定》（工信部联企业〔2011〕300号）、《金融业企业划型标准规定》（银发〔2015〕309号），判断</w:t>
      </w:r>
      <w:r>
        <w:rPr>
          <w:rFonts w:hint="eastAsia" w:cs="宋体"/>
          <w:color w:val="auto"/>
          <w:kern w:val="0"/>
          <w:sz w:val="24"/>
          <w:szCs w:val="28"/>
          <w:highlight w:val="none"/>
          <w:lang w:bidi="ar"/>
        </w:rPr>
        <w:t>“</w:t>
      </w:r>
      <w:r>
        <w:rPr>
          <w:rFonts w:hint="eastAsia" w:ascii="宋体" w:hAnsi="宋体" w:cs="宋体"/>
          <w:color w:val="auto"/>
          <w:kern w:val="0"/>
          <w:sz w:val="24"/>
          <w:szCs w:val="28"/>
          <w:highlight w:val="none"/>
          <w:lang w:bidi="ar"/>
        </w:rPr>
        <w:t>中小企业声明函</w:t>
      </w:r>
      <w:r>
        <w:rPr>
          <w:rFonts w:hint="eastAsia" w:cs="宋体"/>
          <w:color w:val="auto"/>
          <w:kern w:val="0"/>
          <w:sz w:val="24"/>
          <w:szCs w:val="28"/>
          <w:highlight w:val="none"/>
          <w:lang w:bidi="ar"/>
        </w:rPr>
        <w:t>”</w:t>
      </w:r>
      <w:r>
        <w:rPr>
          <w:rFonts w:hint="eastAsia" w:ascii="宋体" w:hAnsi="宋体" w:cs="宋体"/>
          <w:color w:val="auto"/>
          <w:kern w:val="0"/>
          <w:sz w:val="24"/>
          <w:szCs w:val="28"/>
          <w:highlight w:val="none"/>
          <w:lang w:bidi="ar"/>
        </w:rPr>
        <w:t>载明的货物制造商/服务承接商/工程承建商（根据项目属性确定）是否属于采购文件所属行业的中型企业/小型企业/微型企业。</w:t>
      </w:r>
    </w:p>
    <w:p w14:paraId="16296741">
      <w:pPr>
        <w:widowControl/>
        <w:spacing w:line="360" w:lineRule="auto"/>
        <w:ind w:firstLine="480" w:firstLineChars="200"/>
        <w:jc w:val="left"/>
        <w:rPr>
          <w:rFonts w:hint="eastAsia" w:ascii="宋体" w:hAnsi="宋体" w:cs="宋体"/>
          <w:color w:val="auto"/>
          <w:kern w:val="0"/>
          <w:sz w:val="24"/>
          <w:szCs w:val="28"/>
          <w:highlight w:val="none"/>
          <w:lang w:bidi="ar"/>
        </w:rPr>
      </w:pPr>
      <w:r>
        <w:rPr>
          <w:rFonts w:hint="default" w:ascii="Times New Roman" w:hAnsi="Times New Roman" w:cs="Times New Roman"/>
          <w:color w:val="auto"/>
          <w:kern w:val="0"/>
          <w:sz w:val="24"/>
          <w:szCs w:val="28"/>
          <w:highlight w:val="none"/>
          <w:lang w:bidi="ar"/>
        </w:rPr>
        <w:t>8.</w:t>
      </w:r>
      <w:r>
        <w:rPr>
          <w:rFonts w:hint="eastAsia" w:ascii="宋体" w:hAnsi="宋体" w:cs="宋体"/>
          <w:color w:val="auto"/>
          <w:kern w:val="0"/>
          <w:sz w:val="24"/>
          <w:szCs w:val="28"/>
          <w:highlight w:val="none"/>
          <w:lang w:bidi="ar"/>
        </w:rPr>
        <w:t>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5FEDB19D">
      <w:pPr>
        <w:widowControl/>
        <w:ind w:firstLine="482" w:firstLineChars="200"/>
        <w:jc w:val="left"/>
        <w:rPr>
          <w:rStyle w:val="30"/>
          <w:rFonts w:hint="eastAsia" w:ascii="宋体" w:hAnsi="宋体" w:cs="宋体"/>
          <w:color w:val="auto"/>
          <w:kern w:val="0"/>
          <w:sz w:val="24"/>
          <w:szCs w:val="24"/>
          <w:highlight w:val="none"/>
          <w:lang w:bidi="ar"/>
        </w:rPr>
      </w:pPr>
      <w:r>
        <w:rPr>
          <w:rStyle w:val="30"/>
          <w:rFonts w:hint="eastAsia" w:ascii="宋体" w:hAnsi="宋体" w:cs="宋体"/>
          <w:color w:val="auto"/>
          <w:kern w:val="0"/>
          <w:sz w:val="24"/>
          <w:szCs w:val="24"/>
          <w:highlight w:val="none"/>
          <w:lang w:bidi="ar"/>
        </w:rPr>
        <w:t>（二）关于“中小企业声明函”的提交要求</w:t>
      </w:r>
    </w:p>
    <w:p w14:paraId="2C377CB3">
      <w:pPr>
        <w:widowControl/>
        <w:spacing w:line="360" w:lineRule="auto"/>
        <w:ind w:firstLine="480" w:firstLineChars="200"/>
        <w:jc w:val="left"/>
        <w:rPr>
          <w:rFonts w:hint="default" w:ascii="Times New Roman" w:hAnsi="Times New Roman" w:cs="Times New Roman"/>
          <w:color w:val="auto"/>
          <w:kern w:val="0"/>
          <w:sz w:val="24"/>
          <w:szCs w:val="28"/>
          <w:highlight w:val="none"/>
          <w:lang w:bidi="ar"/>
        </w:rPr>
      </w:pPr>
      <w:r>
        <w:rPr>
          <w:rFonts w:hint="default" w:ascii="Times New Roman" w:hAnsi="Times New Roman" w:cs="Times New Roman"/>
          <w:color w:val="auto"/>
          <w:kern w:val="0"/>
          <w:sz w:val="24"/>
          <w:szCs w:val="28"/>
          <w:highlight w:val="none"/>
          <w:lang w:bidi="ar"/>
        </w:rPr>
        <w:t>1.投标（响应）供应商对“中小企业声明函”的真实性负责。投标（响应）供应商应当核实投标（响应）的货物制造商/服务承接商/工程承建商（根据项目属性确定）的相关信息，如对相关信息了解不充分，或者不能确定相关信息真实、准确的，不建议出具“中小企业声明函”。</w:t>
      </w:r>
    </w:p>
    <w:p w14:paraId="62726CF4">
      <w:pPr>
        <w:widowControl/>
        <w:spacing w:line="360" w:lineRule="auto"/>
        <w:ind w:firstLine="480" w:firstLineChars="200"/>
        <w:jc w:val="left"/>
        <w:rPr>
          <w:rFonts w:hint="default" w:ascii="Times New Roman" w:hAnsi="Times New Roman" w:cs="Times New Roman"/>
          <w:color w:val="auto"/>
          <w:kern w:val="0"/>
          <w:sz w:val="24"/>
          <w:szCs w:val="28"/>
          <w:highlight w:val="none"/>
          <w:lang w:bidi="ar"/>
        </w:rPr>
      </w:pPr>
      <w:r>
        <w:rPr>
          <w:rFonts w:hint="default" w:ascii="Times New Roman" w:hAnsi="Times New Roman" w:cs="Times New Roman"/>
          <w:color w:val="auto"/>
          <w:kern w:val="0"/>
          <w:sz w:val="24"/>
          <w:szCs w:val="28"/>
          <w:highlight w:val="none"/>
          <w:lang w:bidi="ar"/>
        </w:rPr>
        <w:t>2.鼓励供应商在投标（响应）时一并提供对货物制造商、服务承接商、工程承建商相关信息的核实核验情况以及其他佐证材料。</w:t>
      </w:r>
    </w:p>
    <w:p w14:paraId="481FD11D">
      <w:pPr>
        <w:ind w:firstLine="480" w:firstLineChars="200"/>
        <w:rPr>
          <w:rFonts w:hint="default" w:ascii="Times New Roman" w:hAnsi="Times New Roman" w:cs="Times New Roman"/>
          <w:color w:val="auto"/>
          <w:kern w:val="0"/>
          <w:sz w:val="24"/>
          <w:szCs w:val="28"/>
          <w:highlight w:val="none"/>
          <w:lang w:bidi="ar"/>
        </w:rPr>
      </w:pPr>
      <w:r>
        <w:rPr>
          <w:rFonts w:hint="default" w:ascii="Times New Roman" w:hAnsi="Times New Roman" w:cs="Times New Roman"/>
          <w:color w:val="auto"/>
          <w:kern w:val="0"/>
          <w:sz w:val="24"/>
          <w:szCs w:val="28"/>
          <w:highlight w:val="none"/>
          <w:lang w:bidi="ar"/>
        </w:rPr>
        <w:t>3.如供应商提供的“中小企业声明函”存在按采购文件所属行业划型不实的，属于提供虚假材料谋取中标、成交，依照《中华人民共和国政府采购法》第七十七条的规定，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94E37F1">
      <w:pPr>
        <w:rPr>
          <w:rFonts w:hint="default" w:ascii="Times New Roman" w:hAnsi="Times New Roman" w:cs="Times New Roman"/>
          <w:color w:val="auto"/>
          <w:kern w:val="0"/>
          <w:sz w:val="24"/>
          <w:szCs w:val="28"/>
          <w:highlight w:val="none"/>
          <w:lang w:bidi="ar"/>
        </w:rPr>
      </w:pPr>
      <w:r>
        <w:rPr>
          <w:rFonts w:hint="default" w:ascii="Times New Roman" w:hAnsi="Times New Roman" w:cs="Times New Roman"/>
          <w:color w:val="auto"/>
          <w:kern w:val="0"/>
          <w:sz w:val="24"/>
          <w:szCs w:val="28"/>
          <w:highlight w:val="none"/>
          <w:lang w:bidi="ar"/>
        </w:rPr>
        <w:br w:type="page"/>
      </w:r>
    </w:p>
    <w:p w14:paraId="05BCD267">
      <w:pPr>
        <w:spacing w:line="360" w:lineRule="exact"/>
        <w:rPr>
          <w:rFonts w:hint="eastAsia"/>
          <w:b/>
          <w:bCs/>
          <w:color w:val="auto"/>
          <w:highlight w:val="none"/>
        </w:rPr>
      </w:pPr>
      <w:r>
        <w:rPr>
          <w:rFonts w:hint="eastAsia"/>
          <w:b/>
          <w:bCs/>
          <w:color w:val="auto"/>
          <w:highlight w:val="none"/>
        </w:rPr>
        <w:t>附件2：</w:t>
      </w:r>
    </w:p>
    <w:p w14:paraId="44335FF1">
      <w:pPr>
        <w:pStyle w:val="15"/>
        <w:jc w:val="center"/>
        <w:rPr>
          <w:rFonts w:hint="eastAsia" w:hAnsi="宋体" w:cs="宋体"/>
          <w:b/>
          <w:color w:val="auto"/>
          <w:sz w:val="32"/>
          <w:szCs w:val="32"/>
          <w:highlight w:val="none"/>
        </w:rPr>
      </w:pPr>
      <w:r>
        <w:rPr>
          <w:rFonts w:hint="eastAsia" w:hAnsi="宋体" w:cs="宋体"/>
          <w:b/>
          <w:color w:val="auto"/>
          <w:sz w:val="32"/>
          <w:szCs w:val="32"/>
          <w:highlight w:val="none"/>
        </w:rPr>
        <w:t>关于印发中小企业划型标准规定的通知</w:t>
      </w:r>
    </w:p>
    <w:p w14:paraId="4BA58605">
      <w:pPr>
        <w:spacing w:line="360" w:lineRule="exact"/>
        <w:jc w:val="center"/>
        <w:rPr>
          <w:rStyle w:val="30"/>
          <w:rFonts w:hint="eastAsia" w:ascii="宋体" w:hAnsi="宋体" w:cs="宋体"/>
          <w:b w:val="0"/>
          <w:color w:val="auto"/>
          <w:sz w:val="24"/>
          <w:szCs w:val="24"/>
          <w:highlight w:val="none"/>
        </w:rPr>
      </w:pPr>
      <w:r>
        <w:rPr>
          <w:rStyle w:val="30"/>
          <w:rFonts w:hint="eastAsia" w:ascii="宋体" w:hAnsi="宋体" w:cs="宋体"/>
          <w:b w:val="0"/>
          <w:color w:val="auto"/>
          <w:sz w:val="24"/>
          <w:szCs w:val="24"/>
          <w:highlight w:val="none"/>
        </w:rPr>
        <w:t>工信部联企业〔2011〕300号</w:t>
      </w:r>
    </w:p>
    <w:p w14:paraId="543C619A">
      <w:pPr>
        <w:spacing w:line="360" w:lineRule="exact"/>
        <w:jc w:val="center"/>
        <w:rPr>
          <w:rStyle w:val="30"/>
          <w:rFonts w:hint="eastAsia" w:ascii="宋体" w:hAnsi="宋体" w:cs="宋体"/>
          <w:b w:val="0"/>
          <w:color w:val="auto"/>
          <w:sz w:val="24"/>
          <w:szCs w:val="24"/>
          <w:highlight w:val="none"/>
        </w:rPr>
      </w:pPr>
    </w:p>
    <w:p w14:paraId="771B5B3F">
      <w:pPr>
        <w:spacing w:line="360" w:lineRule="exact"/>
        <w:rPr>
          <w:rStyle w:val="30"/>
          <w:rFonts w:hint="eastAsia" w:ascii="宋体" w:hAnsi="宋体" w:cs="宋体"/>
          <w:b w:val="0"/>
          <w:color w:val="auto"/>
          <w:sz w:val="24"/>
          <w:szCs w:val="24"/>
          <w:highlight w:val="none"/>
        </w:rPr>
      </w:pPr>
      <w:r>
        <w:rPr>
          <w:rStyle w:val="30"/>
          <w:rFonts w:hint="eastAsia" w:ascii="宋体" w:hAnsi="宋体" w:cs="宋体"/>
          <w:b w:val="0"/>
          <w:color w:val="auto"/>
          <w:sz w:val="24"/>
          <w:szCs w:val="24"/>
          <w:highlight w:val="none"/>
        </w:rPr>
        <w:t>各省、自治区、直辖市人民政府，国务院各部委、各直属机构及有关单位：</w:t>
      </w:r>
    </w:p>
    <w:p w14:paraId="40B267C0">
      <w:pPr>
        <w:spacing w:line="360" w:lineRule="exact"/>
        <w:rPr>
          <w:rStyle w:val="30"/>
          <w:rFonts w:hint="eastAsia" w:ascii="宋体" w:hAnsi="宋体" w:cs="宋体"/>
          <w:b w:val="0"/>
          <w:bCs w:val="0"/>
          <w:color w:val="auto"/>
          <w:sz w:val="24"/>
          <w:szCs w:val="24"/>
          <w:highlight w:val="none"/>
        </w:rPr>
      </w:pPr>
      <w:r>
        <w:rPr>
          <w:rStyle w:val="30"/>
          <w:rFonts w:hint="eastAsia" w:ascii="宋体" w:hAnsi="宋体" w:cs="宋体"/>
          <w:b w:val="0"/>
          <w:bCs w:val="0"/>
          <w:color w:val="auto"/>
          <w:sz w:val="24"/>
          <w:szCs w:val="24"/>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06103345">
      <w:pPr>
        <w:spacing w:line="360" w:lineRule="exact"/>
        <w:jc w:val="right"/>
        <w:rPr>
          <w:rStyle w:val="30"/>
          <w:rFonts w:hint="eastAsia" w:ascii="宋体" w:hAnsi="宋体" w:cs="宋体"/>
          <w:b w:val="0"/>
          <w:bCs w:val="0"/>
          <w:color w:val="auto"/>
          <w:sz w:val="24"/>
          <w:szCs w:val="24"/>
          <w:highlight w:val="none"/>
        </w:rPr>
      </w:pPr>
      <w:r>
        <w:rPr>
          <w:rStyle w:val="30"/>
          <w:rFonts w:hint="eastAsia" w:ascii="宋体" w:hAnsi="宋体" w:cs="宋体"/>
          <w:b w:val="0"/>
          <w:bCs w:val="0"/>
          <w:color w:val="auto"/>
          <w:sz w:val="24"/>
          <w:szCs w:val="24"/>
          <w:highlight w:val="none"/>
        </w:rPr>
        <w:t>工业和信息化部　国家统计局</w:t>
      </w:r>
    </w:p>
    <w:p w14:paraId="1BAF3CDB">
      <w:pPr>
        <w:spacing w:line="360" w:lineRule="exact"/>
        <w:jc w:val="right"/>
        <w:rPr>
          <w:rStyle w:val="30"/>
          <w:rFonts w:hint="eastAsia" w:ascii="宋体" w:hAnsi="宋体" w:cs="宋体"/>
          <w:b w:val="0"/>
          <w:bCs w:val="0"/>
          <w:color w:val="auto"/>
          <w:sz w:val="24"/>
          <w:szCs w:val="24"/>
          <w:highlight w:val="none"/>
        </w:rPr>
      </w:pPr>
      <w:r>
        <w:rPr>
          <w:rStyle w:val="30"/>
          <w:rFonts w:hint="eastAsia" w:ascii="宋体" w:hAnsi="宋体" w:cs="宋体"/>
          <w:b w:val="0"/>
          <w:bCs w:val="0"/>
          <w:color w:val="auto"/>
          <w:sz w:val="24"/>
          <w:szCs w:val="24"/>
          <w:highlight w:val="none"/>
        </w:rPr>
        <w:t>国家发展和改革委员会　财政部</w:t>
      </w:r>
    </w:p>
    <w:p w14:paraId="169F9400">
      <w:pPr>
        <w:spacing w:line="360" w:lineRule="exact"/>
        <w:jc w:val="center"/>
        <w:rPr>
          <w:rStyle w:val="30"/>
          <w:rFonts w:hint="eastAsia" w:ascii="宋体" w:hAnsi="宋体" w:cs="宋体"/>
          <w:b w:val="0"/>
          <w:bCs w:val="0"/>
          <w:color w:val="auto"/>
          <w:sz w:val="24"/>
          <w:szCs w:val="24"/>
          <w:highlight w:val="none"/>
        </w:rPr>
      </w:pPr>
      <w:r>
        <w:rPr>
          <w:rStyle w:val="30"/>
          <w:rFonts w:hint="eastAsia" w:ascii="宋体" w:hAnsi="宋体" w:cs="宋体"/>
          <w:b w:val="0"/>
          <w:bCs w:val="0"/>
          <w:color w:val="auto"/>
          <w:sz w:val="24"/>
          <w:szCs w:val="24"/>
          <w:highlight w:val="none"/>
          <w:lang w:val="en-US" w:eastAsia="zh-CN"/>
        </w:rPr>
        <w:t>二〇一一</w:t>
      </w:r>
      <w:r>
        <w:rPr>
          <w:rStyle w:val="30"/>
          <w:rFonts w:hint="eastAsia" w:ascii="宋体" w:hAnsi="宋体" w:cs="宋体"/>
          <w:b w:val="0"/>
          <w:bCs w:val="0"/>
          <w:color w:val="auto"/>
          <w:sz w:val="24"/>
          <w:szCs w:val="24"/>
          <w:highlight w:val="none"/>
        </w:rPr>
        <w:t>年六月十八日</w:t>
      </w:r>
    </w:p>
    <w:p w14:paraId="4D642F24">
      <w:pPr>
        <w:spacing w:line="360" w:lineRule="exact"/>
        <w:rPr>
          <w:rStyle w:val="30"/>
          <w:rFonts w:hint="eastAsia" w:ascii="宋体" w:hAnsi="宋体" w:eastAsia="宋体" w:cs="宋体"/>
          <w:b w:val="0"/>
          <w:bCs w:val="0"/>
          <w:color w:val="auto"/>
          <w:sz w:val="24"/>
          <w:szCs w:val="24"/>
          <w:highlight w:val="none"/>
          <w:lang w:eastAsia="zh-CN"/>
        </w:rPr>
      </w:pPr>
    </w:p>
    <w:p w14:paraId="423E95B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30"/>
          <w:rFonts w:hint="eastAsia" w:ascii="宋体" w:hAnsi="宋体" w:cs="宋体"/>
          <w:bCs w:val="0"/>
          <w:color w:val="auto"/>
          <w:sz w:val="30"/>
          <w:szCs w:val="30"/>
          <w:highlight w:val="none"/>
        </w:rPr>
      </w:pPr>
      <w:r>
        <w:rPr>
          <w:rStyle w:val="30"/>
          <w:rFonts w:hint="eastAsia" w:ascii="宋体" w:hAnsi="宋体" w:cs="宋体"/>
          <w:bCs w:val="0"/>
          <w:color w:val="auto"/>
          <w:sz w:val="28"/>
          <w:szCs w:val="28"/>
          <w:highlight w:val="none"/>
        </w:rPr>
        <w:t>中小企业划型标准规定</w:t>
      </w:r>
    </w:p>
    <w:p w14:paraId="7A420BA8">
      <w:pPr>
        <w:spacing w:line="400" w:lineRule="exact"/>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　　一、根据《中华人民共和国中小企业促进法》和《国务院关于进一步促进中小企业发展的若干意见》</w:t>
      </w:r>
      <w:r>
        <w:rPr>
          <w:rStyle w:val="30"/>
          <w:rFonts w:hint="default" w:ascii="Times New Roman" w:hAnsi="Times New Roman" w:cs="Times New Roman"/>
          <w:b w:val="0"/>
          <w:bCs w:val="0"/>
          <w:color w:val="auto"/>
          <w:sz w:val="24"/>
          <w:szCs w:val="24"/>
          <w:highlight w:val="none"/>
          <w:lang w:eastAsia="zh-CN"/>
        </w:rPr>
        <w:t>（</w:t>
      </w:r>
      <w:r>
        <w:rPr>
          <w:rStyle w:val="30"/>
          <w:rFonts w:hint="default" w:ascii="Times New Roman" w:hAnsi="Times New Roman" w:cs="Times New Roman"/>
          <w:b w:val="0"/>
          <w:bCs w:val="0"/>
          <w:color w:val="auto"/>
          <w:sz w:val="24"/>
          <w:szCs w:val="24"/>
          <w:highlight w:val="none"/>
        </w:rPr>
        <w:t>国发〔2009〕36号</w:t>
      </w:r>
      <w:r>
        <w:rPr>
          <w:rStyle w:val="30"/>
          <w:rFonts w:hint="default" w:ascii="Times New Roman" w:hAnsi="Times New Roman" w:cs="Times New Roman"/>
          <w:b w:val="0"/>
          <w:bCs w:val="0"/>
          <w:color w:val="auto"/>
          <w:sz w:val="24"/>
          <w:szCs w:val="24"/>
          <w:highlight w:val="none"/>
          <w:lang w:eastAsia="zh-CN"/>
        </w:rPr>
        <w:t>）</w:t>
      </w:r>
      <w:r>
        <w:rPr>
          <w:rStyle w:val="30"/>
          <w:rFonts w:hint="default" w:ascii="Times New Roman" w:hAnsi="Times New Roman" w:cs="Times New Roman"/>
          <w:b w:val="0"/>
          <w:bCs w:val="0"/>
          <w:color w:val="auto"/>
          <w:sz w:val="24"/>
          <w:szCs w:val="24"/>
          <w:highlight w:val="none"/>
        </w:rPr>
        <w:t>，制定本规定。</w:t>
      </w:r>
    </w:p>
    <w:p w14:paraId="702E898F">
      <w:pPr>
        <w:spacing w:line="400" w:lineRule="exact"/>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　　二、中小企业划分为中型、小型、微型三种类型，具体标准根据企业从业人员、营业收入、资产总额等指标，结合行业特点制定。</w:t>
      </w:r>
    </w:p>
    <w:p w14:paraId="1CB7EB42">
      <w:pPr>
        <w:spacing w:line="400" w:lineRule="exact"/>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D18CF05">
      <w:pPr>
        <w:spacing w:line="400" w:lineRule="exact"/>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　　四、各行业划型标准为：</w:t>
      </w:r>
    </w:p>
    <w:p w14:paraId="07E65D1A">
      <w:pPr>
        <w:spacing w:line="400" w:lineRule="exact"/>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　　（一）农、林、牧、渔业。营业收入20000万元以下的为中小微型企业。其中，营业收入500万元及以上的为中型企业，营业收入50万元及以上的为小型企业，营业收入50万元以下的为微型企业。</w:t>
      </w:r>
    </w:p>
    <w:p w14:paraId="7DE73075">
      <w:pPr>
        <w:spacing w:line="400" w:lineRule="exact"/>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F2E4260">
      <w:pPr>
        <w:spacing w:line="400" w:lineRule="exact"/>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47652FF">
      <w:pPr>
        <w:spacing w:line="400" w:lineRule="exact"/>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D665815">
      <w:pPr>
        <w:spacing w:line="400" w:lineRule="exact"/>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A6C2D42">
      <w:pPr>
        <w:spacing w:line="400" w:lineRule="exact"/>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30BA917">
      <w:pPr>
        <w:spacing w:line="400" w:lineRule="exact"/>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E61A937">
      <w:pPr>
        <w:spacing w:line="400" w:lineRule="exact"/>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353C35B">
      <w:pPr>
        <w:spacing w:line="400" w:lineRule="exact"/>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64ACD22">
      <w:pPr>
        <w:spacing w:line="400" w:lineRule="exact"/>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D9ED957">
      <w:pPr>
        <w:spacing w:line="400" w:lineRule="exact"/>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0691F38">
      <w:pPr>
        <w:spacing w:line="400" w:lineRule="exact"/>
        <w:rPr>
          <w:rStyle w:val="30"/>
          <w:rFonts w:hint="default" w:ascii="Times New Roman" w:hAnsi="Times New Roman" w:cs="Times New Roman"/>
          <w:b w:val="0"/>
          <w:bCs w:val="0"/>
          <w:color w:val="auto"/>
          <w:sz w:val="24"/>
          <w:szCs w:val="24"/>
          <w:highlight w:val="none"/>
        </w:rPr>
      </w:pPr>
      <w:r>
        <w:rPr>
          <w:rStyle w:val="30"/>
          <w:rFonts w:hint="eastAsia" w:ascii="宋体" w:hAnsi="宋体" w:cs="宋体"/>
          <w:b w:val="0"/>
          <w:bCs w:val="0"/>
          <w:color w:val="auto"/>
          <w:sz w:val="24"/>
          <w:szCs w:val="24"/>
          <w:highlight w:val="none"/>
        </w:rPr>
        <w:t>　　</w:t>
      </w:r>
      <w:r>
        <w:rPr>
          <w:rStyle w:val="30"/>
          <w:rFonts w:hint="default" w:ascii="Times New Roman" w:hAnsi="Times New Roman" w:cs="Times New Roman"/>
          <w:b w:val="0"/>
          <w:bCs w:val="0"/>
          <w:color w:val="auto"/>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C106F68">
      <w:pPr>
        <w:spacing w:line="400" w:lineRule="exact"/>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6B1DF01">
      <w:pPr>
        <w:spacing w:line="400" w:lineRule="exact"/>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CEEE7A0">
      <w:pPr>
        <w:spacing w:line="400" w:lineRule="exact"/>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E6698E6">
      <w:pPr>
        <w:spacing w:line="400" w:lineRule="exact"/>
        <w:ind w:firstLine="483"/>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（十六）其他未列明行业。从业人员300人以下的为中小微型企业。其中，从业人员100人及以上的为中型企业；从业人员10人及以上的为小型企业；从业人员10人以下的为微型企业。　　</w:t>
      </w:r>
    </w:p>
    <w:p w14:paraId="0D0E9FA4">
      <w:pPr>
        <w:spacing w:line="400" w:lineRule="exact"/>
        <w:ind w:firstLine="483"/>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五、企业类型的划分以统计部门的统计数据为依据。</w:t>
      </w:r>
    </w:p>
    <w:p w14:paraId="5FDCB369">
      <w:pPr>
        <w:spacing w:line="400" w:lineRule="exact"/>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　　六、本规定适用于在中华人民共和国境内依法设立的各类所有制和各种组织形式的企业。个体工商户和本规定以外的行业，参照本规定进行划型。</w:t>
      </w:r>
    </w:p>
    <w:p w14:paraId="4D835AA2">
      <w:pPr>
        <w:spacing w:line="400" w:lineRule="exact"/>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　　七、本规定的中型企业标准上限即为大型企业标准的下限，国家统计部门据此制定大中小微型企业的统计分类。国务院有关部门据此进行相关数据分析，不得制定与本规定不一致的企业划型标准。</w:t>
      </w:r>
    </w:p>
    <w:p w14:paraId="7772DD16">
      <w:pPr>
        <w:spacing w:line="400" w:lineRule="exact"/>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　　八、本规定由工业和信息化部、国家统计局会同有关部门根据《国民经济行业分类》修订情况和企业发展变化情况适时修订。</w:t>
      </w:r>
    </w:p>
    <w:p w14:paraId="46B9389D">
      <w:pPr>
        <w:spacing w:line="400" w:lineRule="exact"/>
        <w:rPr>
          <w:rStyle w:val="30"/>
          <w:rFonts w:hint="default" w:ascii="Times New Roman" w:hAnsi="Times New Roman" w:cs="Times New Roman"/>
          <w:b w:val="0"/>
          <w:bCs w:val="0"/>
          <w:color w:val="auto"/>
          <w:sz w:val="24"/>
          <w:szCs w:val="24"/>
          <w:highlight w:val="none"/>
        </w:rPr>
      </w:pPr>
      <w:r>
        <w:rPr>
          <w:rStyle w:val="30"/>
          <w:rFonts w:hint="default" w:ascii="Times New Roman" w:hAnsi="Times New Roman" w:cs="Times New Roman"/>
          <w:b w:val="0"/>
          <w:bCs w:val="0"/>
          <w:color w:val="auto"/>
          <w:sz w:val="24"/>
          <w:szCs w:val="24"/>
          <w:highlight w:val="none"/>
        </w:rPr>
        <w:t>　　九、本规定由工业和信息化部、国家统计局会同有关部门负责解释。</w:t>
      </w:r>
    </w:p>
    <w:p w14:paraId="76C6D92C">
      <w:pPr>
        <w:spacing w:line="400" w:lineRule="exact"/>
        <w:rPr>
          <w:rFonts w:hint="default" w:ascii="Times New Roman" w:hAnsi="Times New Roman" w:cs="Times New Roman"/>
          <w:color w:val="auto"/>
          <w:spacing w:val="6"/>
          <w:szCs w:val="21"/>
          <w:highlight w:val="none"/>
        </w:rPr>
      </w:pPr>
      <w:r>
        <w:rPr>
          <w:rStyle w:val="30"/>
          <w:rFonts w:hint="default" w:ascii="Times New Roman" w:hAnsi="Times New Roman" w:cs="Times New Roman"/>
          <w:b w:val="0"/>
          <w:bCs w:val="0"/>
          <w:color w:val="auto"/>
          <w:sz w:val="24"/>
          <w:szCs w:val="24"/>
          <w:highlight w:val="none"/>
        </w:rPr>
        <w:t>十、本规定自发布之日起执行，原国家经贸委、原国家计委、财政部和国家统计局2003年颁布的《中小企业标准暂行规定》同时废止。</w:t>
      </w:r>
    </w:p>
    <w:p w14:paraId="343A198D">
      <w:pPr>
        <w:ind w:firstLine="480" w:firstLineChars="200"/>
        <w:rPr>
          <w:rFonts w:hint="eastAsia" w:ascii="宋体" w:hAnsi="宋体" w:cs="宋体"/>
          <w:color w:val="auto"/>
          <w:kern w:val="0"/>
          <w:sz w:val="24"/>
          <w:szCs w:val="28"/>
          <w:highlight w:val="none"/>
          <w:lang w:bidi="ar"/>
        </w:rPr>
      </w:pPr>
    </w:p>
    <w:p w14:paraId="19BB8B1C">
      <w:pPr>
        <w:spacing w:line="360" w:lineRule="auto"/>
        <w:ind w:firstLine="482" w:firstLineChars="200"/>
        <w:rPr>
          <w:rFonts w:hint="eastAsia" w:ascii="宋体" w:hAnsi="宋体"/>
          <w:b/>
          <w:bCs/>
          <w:color w:val="auto"/>
          <w:kern w:val="0"/>
          <w:sz w:val="24"/>
          <w:highlight w:val="none"/>
        </w:rPr>
      </w:pPr>
    </w:p>
    <w:p w14:paraId="3C378281">
      <w:pPr>
        <w:bidi w:val="0"/>
        <w:jc w:val="center"/>
        <w:rPr>
          <w:rFonts w:ascii="宋体" w:hAnsi="宋体" w:cs="宋体"/>
          <w:b/>
          <w:color w:val="auto"/>
          <w:kern w:val="0"/>
          <w:szCs w:val="32"/>
          <w:highlight w:val="none"/>
        </w:rPr>
      </w:pPr>
      <w:r>
        <w:rPr>
          <w:rFonts w:hint="eastAsia" w:ascii="宋体" w:hAnsi="宋体"/>
          <w:b/>
          <w:color w:val="auto"/>
          <w:szCs w:val="32"/>
          <w:highlight w:val="none"/>
        </w:rPr>
        <w:br w:type="page"/>
      </w:r>
      <w:bookmarkStart w:id="67" w:name="_Toc22866"/>
      <w:r>
        <w:rPr>
          <w:rFonts w:hint="eastAsia" w:ascii="宋体" w:hAnsi="宋体" w:eastAsia="宋体" w:cs="宋体"/>
          <w:b/>
          <w:bCs/>
          <w:sz w:val="28"/>
          <w:szCs w:val="28"/>
          <w:highlight w:val="none"/>
        </w:rPr>
        <w:t>2监狱企业声明函</w:t>
      </w:r>
      <w:bookmarkEnd w:id="67"/>
    </w:p>
    <w:p w14:paraId="0516394E">
      <w:pPr>
        <w:spacing w:line="360" w:lineRule="auto"/>
        <w:jc w:val="center"/>
        <w:outlineLvl w:val="9"/>
        <w:rPr>
          <w:rFonts w:ascii="宋体" w:hAnsi="宋体"/>
          <w:color w:val="auto"/>
          <w:kern w:val="0"/>
          <w:sz w:val="24"/>
          <w:highlight w:val="none"/>
        </w:rPr>
      </w:pPr>
      <w:r>
        <w:rPr>
          <w:rFonts w:hint="eastAsia" w:ascii="宋体" w:hAnsi="宋体"/>
          <w:color w:val="auto"/>
          <w:kern w:val="0"/>
          <w:sz w:val="24"/>
          <w:highlight w:val="none"/>
        </w:rPr>
        <w:t>（监狱企业适用）</w:t>
      </w:r>
    </w:p>
    <w:p w14:paraId="68D6A869">
      <w:pPr>
        <w:spacing w:line="360" w:lineRule="auto"/>
        <w:ind w:firstLine="540" w:firstLineChars="225"/>
        <w:outlineLvl w:val="9"/>
        <w:rPr>
          <w:rFonts w:ascii="宋体" w:hAnsi="宋体"/>
          <w:color w:val="auto"/>
          <w:kern w:val="0"/>
          <w:sz w:val="24"/>
          <w:highlight w:val="none"/>
        </w:rPr>
      </w:pPr>
      <w:r>
        <w:rPr>
          <w:rFonts w:hint="eastAsia" w:ascii="宋体" w:hAnsi="宋体"/>
          <w:color w:val="auto"/>
          <w:kern w:val="0"/>
          <w:sz w:val="24"/>
          <w:highlight w:val="none"/>
        </w:rPr>
        <w:t>本公司郑重声明，根据《关于政府采购支持监狱企业发展有关问题的通知》（财库</w:t>
      </w:r>
      <w:r>
        <w:rPr>
          <w:rFonts w:hint="eastAsia" w:ascii="宋体" w:hAnsi="宋体"/>
          <w:color w:val="auto"/>
          <w:kern w:val="0"/>
          <w:sz w:val="24"/>
          <w:highlight w:val="none"/>
          <w:lang w:eastAsia="zh-CN"/>
        </w:rPr>
        <w:t>〔2014〕68号</w:t>
      </w:r>
      <w:r>
        <w:rPr>
          <w:rFonts w:hint="eastAsia" w:ascii="宋体" w:hAnsi="宋体"/>
          <w:color w:val="auto"/>
          <w:kern w:val="0"/>
          <w:sz w:val="24"/>
          <w:highlight w:val="none"/>
        </w:rPr>
        <w:t>）的规定，本公司为监狱企业。</w:t>
      </w:r>
    </w:p>
    <w:p w14:paraId="4D9D0723">
      <w:pPr>
        <w:spacing w:line="360" w:lineRule="auto"/>
        <w:ind w:firstLine="540" w:firstLineChars="225"/>
        <w:outlineLvl w:val="9"/>
        <w:rPr>
          <w:rFonts w:ascii="宋体" w:hAnsi="宋体"/>
          <w:color w:val="auto"/>
          <w:kern w:val="0"/>
          <w:sz w:val="24"/>
          <w:highlight w:val="none"/>
        </w:rPr>
      </w:pPr>
      <w:r>
        <w:rPr>
          <w:rFonts w:hint="eastAsia" w:ascii="宋体" w:hAnsi="宋体"/>
          <w:color w:val="auto"/>
          <w:kern w:val="0"/>
          <w:sz w:val="24"/>
          <w:highlight w:val="none"/>
        </w:rPr>
        <w:t>本公司参加</w:t>
      </w:r>
      <w:r>
        <w:rPr>
          <w:rFonts w:ascii="宋体" w:hAnsi="宋体"/>
          <w:color w:val="auto"/>
          <w:kern w:val="0"/>
          <w:sz w:val="24"/>
          <w:highlight w:val="none"/>
        </w:rPr>
        <w:t>______</w:t>
      </w:r>
      <w:r>
        <w:rPr>
          <w:rFonts w:hint="eastAsia" w:ascii="宋体" w:hAnsi="宋体"/>
          <w:color w:val="auto"/>
          <w:kern w:val="0"/>
          <w:sz w:val="24"/>
          <w:highlight w:val="none"/>
        </w:rPr>
        <w:t>单位的</w:t>
      </w:r>
      <w:r>
        <w:rPr>
          <w:rFonts w:ascii="宋体" w:hAnsi="宋体"/>
          <w:color w:val="auto"/>
          <w:kern w:val="0"/>
          <w:sz w:val="24"/>
          <w:highlight w:val="none"/>
        </w:rPr>
        <w:t>______</w:t>
      </w:r>
      <w:r>
        <w:rPr>
          <w:rFonts w:hint="eastAsia" w:ascii="宋体" w:hAnsi="宋体"/>
          <w:color w:val="auto"/>
          <w:kern w:val="0"/>
          <w:sz w:val="24"/>
          <w:highlight w:val="none"/>
        </w:rPr>
        <w:t>项目采购活动，采购活动提供本企业（填写制造的货物，由本企业承担工程、提供服务）。</w:t>
      </w:r>
    </w:p>
    <w:p w14:paraId="32B37B24">
      <w:pPr>
        <w:spacing w:line="360" w:lineRule="auto"/>
        <w:ind w:firstLine="540" w:firstLineChars="225"/>
        <w:outlineLvl w:val="9"/>
        <w:rPr>
          <w:rFonts w:ascii="宋体" w:hAnsi="宋体"/>
          <w:color w:val="auto"/>
          <w:kern w:val="0"/>
          <w:sz w:val="24"/>
          <w:highlight w:val="none"/>
        </w:rPr>
      </w:pPr>
      <w:r>
        <w:rPr>
          <w:rFonts w:hint="eastAsia" w:ascii="宋体" w:hAnsi="宋体"/>
          <w:color w:val="auto"/>
          <w:kern w:val="0"/>
          <w:sz w:val="24"/>
          <w:highlight w:val="none"/>
        </w:rPr>
        <w:t>本条所称货物不包括使用大型企业注册商标的货物和服务。</w:t>
      </w:r>
    </w:p>
    <w:p w14:paraId="79F79066">
      <w:pPr>
        <w:spacing w:line="360" w:lineRule="auto"/>
        <w:ind w:firstLine="540" w:firstLineChars="225"/>
        <w:outlineLvl w:val="9"/>
        <w:rPr>
          <w:rFonts w:ascii="宋体" w:hAnsi="宋体"/>
          <w:color w:val="auto"/>
          <w:kern w:val="0"/>
          <w:sz w:val="24"/>
          <w:highlight w:val="none"/>
        </w:rPr>
      </w:pPr>
      <w:r>
        <w:rPr>
          <w:rFonts w:hint="eastAsia" w:ascii="宋体" w:hAnsi="宋体"/>
          <w:color w:val="auto"/>
          <w:kern w:val="0"/>
          <w:sz w:val="24"/>
          <w:highlight w:val="none"/>
        </w:rPr>
        <w:t>本公司对上述声明的真实性负责。如有虚假，将依法承担相应责任。</w:t>
      </w:r>
    </w:p>
    <w:p w14:paraId="7754D08E">
      <w:pPr>
        <w:spacing w:line="360" w:lineRule="auto"/>
        <w:ind w:firstLine="4860" w:firstLineChars="2025"/>
        <w:outlineLvl w:val="9"/>
        <w:rPr>
          <w:rFonts w:ascii="宋体" w:hAnsi="宋体"/>
          <w:color w:val="auto"/>
          <w:kern w:val="0"/>
          <w:sz w:val="24"/>
          <w:highlight w:val="none"/>
        </w:rPr>
      </w:pPr>
    </w:p>
    <w:p w14:paraId="73B47D0E">
      <w:pPr>
        <w:keepNext w:val="0"/>
        <w:keepLines w:val="0"/>
        <w:pageBreakBefore w:val="0"/>
        <w:widowControl w:val="0"/>
        <w:kinsoku/>
        <w:wordWrap/>
        <w:overflowPunct/>
        <w:topLinePunct w:val="0"/>
        <w:autoSpaceDE/>
        <w:autoSpaceDN/>
        <w:bidi w:val="0"/>
        <w:adjustRightInd/>
        <w:snapToGrid/>
        <w:spacing w:line="360" w:lineRule="auto"/>
        <w:ind w:firstLine="4080" w:firstLineChars="1700"/>
        <w:textAlignment w:val="auto"/>
        <w:outlineLvl w:val="9"/>
        <w:rPr>
          <w:rFonts w:ascii="宋体" w:hAnsi="宋体"/>
          <w:color w:val="auto"/>
          <w:kern w:val="0"/>
          <w:sz w:val="24"/>
          <w:highlight w:val="none"/>
        </w:rPr>
      </w:pPr>
      <w:r>
        <w:rPr>
          <w:rFonts w:hint="eastAsia" w:ascii="宋体" w:hAnsi="宋体"/>
          <w:color w:val="auto"/>
          <w:kern w:val="0"/>
          <w:sz w:val="24"/>
          <w:highlight w:val="none"/>
        </w:rPr>
        <w:t>企业名称（电子签章）：</w:t>
      </w:r>
    </w:p>
    <w:p w14:paraId="06CCE548">
      <w:pPr>
        <w:keepNext w:val="0"/>
        <w:keepLines w:val="0"/>
        <w:pageBreakBefore w:val="0"/>
        <w:widowControl w:val="0"/>
        <w:kinsoku/>
        <w:wordWrap/>
        <w:overflowPunct/>
        <w:topLinePunct w:val="0"/>
        <w:autoSpaceDE/>
        <w:autoSpaceDN/>
        <w:bidi w:val="0"/>
        <w:adjustRightInd/>
        <w:snapToGrid/>
        <w:spacing w:line="360" w:lineRule="auto"/>
        <w:ind w:firstLine="1200" w:firstLineChars="500"/>
        <w:jc w:val="both"/>
        <w:textAlignment w:val="auto"/>
        <w:outlineLvl w:val="9"/>
        <w:rPr>
          <w:rFonts w:ascii="宋体" w:hAnsi="宋体"/>
          <w:color w:val="auto"/>
          <w:kern w:val="0"/>
          <w:sz w:val="24"/>
          <w:highlight w:val="none"/>
        </w:rPr>
      </w:pPr>
      <w:r>
        <w:rPr>
          <w:rFonts w:hint="eastAsia" w:ascii="宋体" w:hAnsi="宋体"/>
          <w:color w:val="auto"/>
          <w:kern w:val="0"/>
          <w:sz w:val="24"/>
          <w:highlight w:val="none"/>
        </w:rPr>
        <w:t>法定代表人（负责人）或其授权代表</w:t>
      </w:r>
      <w:r>
        <w:rPr>
          <w:rFonts w:hint="eastAsia" w:ascii="宋体" w:hAnsi="宋体"/>
          <w:color w:val="auto"/>
          <w:kern w:val="0"/>
          <w:sz w:val="24"/>
          <w:highlight w:val="none"/>
          <w:lang w:eastAsia="zh-CN"/>
        </w:rPr>
        <w:t>（</w:t>
      </w:r>
      <w:r>
        <w:rPr>
          <w:rFonts w:hint="eastAsia" w:ascii="宋体" w:hAnsi="宋体"/>
          <w:color w:val="auto"/>
          <w:kern w:val="0"/>
          <w:sz w:val="24"/>
          <w:highlight w:val="none"/>
        </w:rPr>
        <w:t>电子签名</w:t>
      </w:r>
      <w:r>
        <w:rPr>
          <w:rFonts w:hint="eastAsia" w:ascii="宋体" w:hAnsi="宋体"/>
          <w:color w:val="auto"/>
          <w:kern w:val="0"/>
          <w:sz w:val="24"/>
          <w:highlight w:val="none"/>
          <w:lang w:eastAsia="zh-CN"/>
        </w:rPr>
        <w:t>）</w:t>
      </w:r>
      <w:r>
        <w:rPr>
          <w:rFonts w:hint="eastAsia" w:ascii="宋体" w:hAnsi="宋体"/>
          <w:color w:val="auto"/>
          <w:kern w:val="0"/>
          <w:sz w:val="24"/>
          <w:highlight w:val="none"/>
        </w:rPr>
        <w:t>：</w:t>
      </w:r>
    </w:p>
    <w:p w14:paraId="065E9DA6">
      <w:pPr>
        <w:keepNext w:val="0"/>
        <w:keepLines w:val="0"/>
        <w:pageBreakBefore w:val="0"/>
        <w:widowControl w:val="0"/>
        <w:tabs>
          <w:tab w:val="left" w:pos="2880"/>
        </w:tabs>
        <w:kinsoku/>
        <w:wordWrap/>
        <w:overflowPunct/>
        <w:topLinePunct w:val="0"/>
        <w:autoSpaceDE/>
        <w:autoSpaceDN/>
        <w:bidi w:val="0"/>
        <w:adjustRightInd/>
        <w:snapToGrid/>
        <w:spacing w:line="360" w:lineRule="auto"/>
        <w:ind w:firstLine="5760" w:firstLineChars="2400"/>
        <w:textAlignment w:val="auto"/>
        <w:outlineLvl w:val="9"/>
        <w:rPr>
          <w:rFonts w:ascii="宋体" w:hAnsi="宋体"/>
          <w:color w:val="auto"/>
          <w:sz w:val="24"/>
          <w:szCs w:val="24"/>
          <w:highlight w:val="none"/>
        </w:rPr>
      </w:pPr>
      <w:r>
        <w:rPr>
          <w:rFonts w:hint="eastAsia" w:ascii="宋体" w:hAnsi="宋体"/>
          <w:color w:val="auto"/>
          <w:kern w:val="0"/>
          <w:sz w:val="24"/>
          <w:highlight w:val="none"/>
        </w:rPr>
        <w:t>日</w:t>
      </w:r>
      <w:r>
        <w:rPr>
          <w:rFonts w:hint="eastAsia" w:ascii="宋体" w:hAnsi="宋体"/>
          <w:color w:val="auto"/>
          <w:kern w:val="0"/>
          <w:sz w:val="24"/>
          <w:highlight w:val="none"/>
          <w:lang w:val="en-US" w:eastAsia="zh-CN"/>
        </w:rPr>
        <w:t xml:space="preserve"> </w:t>
      </w:r>
      <w:r>
        <w:rPr>
          <w:rFonts w:hint="eastAsia" w:ascii="宋体" w:hAnsi="宋体"/>
          <w:color w:val="auto"/>
          <w:kern w:val="0"/>
          <w:sz w:val="24"/>
          <w:highlight w:val="none"/>
        </w:rPr>
        <w:t>期</w:t>
      </w:r>
      <w:r>
        <w:rPr>
          <w:rFonts w:hint="eastAsia" w:ascii="宋体" w:hAnsi="宋体"/>
          <w:color w:val="auto"/>
          <w:kern w:val="0"/>
          <w:sz w:val="24"/>
          <w:highlight w:val="none"/>
          <w:lang w:val="en-US" w:eastAsia="zh-CN"/>
        </w:rPr>
        <w:t xml:space="preserve"> </w:t>
      </w:r>
      <w:r>
        <w:rPr>
          <w:rFonts w:hint="eastAsia" w:ascii="宋体" w:hAnsi="宋体"/>
          <w:color w:val="auto"/>
          <w:kern w:val="0"/>
          <w:sz w:val="24"/>
          <w:highlight w:val="none"/>
        </w:rPr>
        <w:t>：</w:t>
      </w:r>
    </w:p>
    <w:p w14:paraId="589A4F9E">
      <w:pPr>
        <w:spacing w:line="360" w:lineRule="auto"/>
        <w:ind w:firstLine="480" w:firstLineChars="200"/>
        <w:outlineLvl w:val="9"/>
        <w:rPr>
          <w:rFonts w:hint="eastAsia" w:ascii="宋体" w:hAnsi="宋体"/>
          <w:color w:val="auto"/>
          <w:kern w:val="0"/>
          <w:sz w:val="24"/>
          <w:highlight w:val="none"/>
        </w:rPr>
      </w:pPr>
    </w:p>
    <w:p w14:paraId="0453F91C">
      <w:pPr>
        <w:spacing w:line="360" w:lineRule="auto"/>
        <w:ind w:firstLine="480" w:firstLineChars="200"/>
        <w:outlineLvl w:val="9"/>
        <w:rPr>
          <w:rFonts w:hint="eastAsia" w:ascii="宋体" w:hAnsi="宋体"/>
          <w:color w:val="auto"/>
          <w:kern w:val="0"/>
          <w:sz w:val="24"/>
          <w:highlight w:val="none"/>
        </w:rPr>
      </w:pPr>
    </w:p>
    <w:p w14:paraId="3362BE2C">
      <w:pPr>
        <w:spacing w:line="360" w:lineRule="auto"/>
        <w:ind w:firstLine="480" w:firstLineChars="200"/>
        <w:outlineLvl w:val="9"/>
        <w:rPr>
          <w:rFonts w:hint="eastAsia" w:ascii="宋体" w:hAnsi="宋体"/>
          <w:color w:val="auto"/>
          <w:kern w:val="0"/>
          <w:sz w:val="24"/>
          <w:highlight w:val="none"/>
        </w:rPr>
      </w:pPr>
      <w:r>
        <w:rPr>
          <w:rFonts w:hint="eastAsia" w:ascii="宋体" w:hAnsi="宋体"/>
          <w:color w:val="auto"/>
          <w:kern w:val="0"/>
          <w:sz w:val="24"/>
          <w:highlight w:val="none"/>
        </w:rPr>
        <w:t>注：后附监狱企业资格证明文件</w:t>
      </w:r>
    </w:p>
    <w:p w14:paraId="5B1883CE">
      <w:pPr>
        <w:keepNext w:val="0"/>
        <w:keepLines w:val="0"/>
        <w:pageBreakBefore w:val="0"/>
        <w:widowControl w:val="0"/>
        <w:kinsoku/>
        <w:wordWrap/>
        <w:overflowPunct/>
        <w:topLinePunct w:val="0"/>
        <w:autoSpaceDE/>
        <w:autoSpaceDN/>
        <w:bidi w:val="0"/>
        <w:adjustRightInd/>
        <w:snapToGrid/>
        <w:spacing w:line="360" w:lineRule="auto"/>
        <w:ind w:firstLine="567"/>
        <w:textAlignment w:val="auto"/>
        <w:outlineLvl w:val="9"/>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1.省级以上监狱管理局、戒毒管理局（含新疆生产建设兵团）出具的属于监狱企业的证明文件；</w:t>
      </w:r>
    </w:p>
    <w:p w14:paraId="52FE1C5D">
      <w:pPr>
        <w:keepNext w:val="0"/>
        <w:keepLines w:val="0"/>
        <w:pageBreakBefore w:val="0"/>
        <w:widowControl w:val="0"/>
        <w:tabs>
          <w:tab w:val="left" w:pos="2880"/>
        </w:tabs>
        <w:kinsoku/>
        <w:wordWrap/>
        <w:overflowPunct/>
        <w:topLinePunct w:val="0"/>
        <w:autoSpaceDE/>
        <w:autoSpaceDN/>
        <w:bidi w:val="0"/>
        <w:adjustRightInd/>
        <w:snapToGrid/>
        <w:spacing w:line="360" w:lineRule="auto"/>
        <w:ind w:firstLine="566" w:firstLineChars="236"/>
        <w:jc w:val="left"/>
        <w:textAlignment w:val="auto"/>
        <w:outlineLvl w:val="9"/>
        <w:rPr>
          <w:rFonts w:hint="default" w:ascii="Times New Roman" w:hAnsi="Times New Roman" w:cs="Times New Roman"/>
          <w:b/>
          <w:color w:val="auto"/>
          <w:kern w:val="0"/>
          <w:sz w:val="24"/>
          <w:highlight w:val="none"/>
        </w:rPr>
      </w:pPr>
      <w:r>
        <w:rPr>
          <w:rFonts w:hint="default" w:ascii="Times New Roman" w:hAnsi="Times New Roman" w:cs="Times New Roman"/>
          <w:color w:val="auto"/>
          <w:sz w:val="24"/>
          <w:highlight w:val="none"/>
        </w:rPr>
        <w:t>2.证明材料加盖</w:t>
      </w:r>
      <w:r>
        <w:rPr>
          <w:rFonts w:hint="default" w:ascii="Times New Roman" w:hAnsi="Times New Roman" w:cs="Times New Roman"/>
          <w:color w:val="auto"/>
          <w:kern w:val="0"/>
          <w:sz w:val="24"/>
          <w:szCs w:val="24"/>
          <w:highlight w:val="none"/>
          <w:lang w:eastAsia="zh-CN"/>
        </w:rPr>
        <w:t>投标供应商</w:t>
      </w:r>
      <w:r>
        <w:rPr>
          <w:rFonts w:hint="default" w:ascii="Times New Roman" w:hAnsi="Times New Roman" w:cs="Times New Roman"/>
          <w:color w:val="auto"/>
          <w:sz w:val="24"/>
          <w:highlight w:val="none"/>
        </w:rPr>
        <w:t>公章。</w:t>
      </w:r>
    </w:p>
    <w:p w14:paraId="0719452B">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imes New Roman" w:hAnsi="Times New Roman" w:eastAsia="宋体" w:cs="Times New Roman"/>
          <w:color w:val="auto"/>
          <w:kern w:val="0"/>
          <w:sz w:val="24"/>
          <w:highlight w:val="none"/>
          <w:lang w:eastAsia="zh-CN"/>
        </w:rPr>
      </w:pPr>
      <w:r>
        <w:rPr>
          <w:rFonts w:hint="default" w:ascii="Times New Roman" w:hAnsi="Times New Roman" w:cs="Times New Roman"/>
          <w:color w:val="auto"/>
          <w:kern w:val="0"/>
          <w:sz w:val="24"/>
          <w:highlight w:val="none"/>
        </w:rPr>
        <w:t>（若响应性文件中无上述证明文件，则在评审时不考虑对该监狱企业的相关优惠。）</w:t>
      </w:r>
    </w:p>
    <w:p w14:paraId="7921CEF7">
      <w:pPr>
        <w:tabs>
          <w:tab w:val="left" w:pos="3600"/>
        </w:tabs>
        <w:adjustRightInd w:val="0"/>
        <w:snapToGrid w:val="0"/>
        <w:spacing w:line="440" w:lineRule="exact"/>
        <w:jc w:val="center"/>
        <w:outlineLvl w:val="9"/>
        <w:rPr>
          <w:rFonts w:hint="eastAsia" w:ascii="宋体" w:hAnsi="宋体"/>
          <w:color w:val="auto"/>
          <w:sz w:val="24"/>
          <w:szCs w:val="24"/>
          <w:highlight w:val="none"/>
        </w:rPr>
      </w:pPr>
    </w:p>
    <w:p w14:paraId="54AD4811">
      <w:pPr>
        <w:keepNext w:val="0"/>
        <w:keepLines w:val="0"/>
        <w:pageBreakBefore w:val="0"/>
        <w:widowControl w:val="0"/>
        <w:tabs>
          <w:tab w:val="left" w:pos="3600"/>
        </w:tabs>
        <w:kinsoku/>
        <w:wordWrap/>
        <w:overflowPunct/>
        <w:topLinePunct w:val="0"/>
        <w:autoSpaceDE/>
        <w:autoSpaceDN/>
        <w:bidi w:val="0"/>
        <w:adjustRightInd w:val="0"/>
        <w:snapToGrid w:val="0"/>
        <w:spacing w:line="360" w:lineRule="auto"/>
        <w:jc w:val="center"/>
        <w:textAlignment w:val="auto"/>
        <w:outlineLvl w:val="9"/>
        <w:rPr>
          <w:rFonts w:ascii="宋体" w:hAnsi="宋体" w:cs="??_GB2312"/>
          <w:b/>
          <w:bCs/>
          <w:color w:val="auto"/>
          <w:spacing w:val="6"/>
          <w:kern w:val="0"/>
          <w:sz w:val="24"/>
          <w:szCs w:val="24"/>
          <w:highlight w:val="none"/>
        </w:rPr>
      </w:pPr>
      <w:r>
        <w:rPr>
          <w:rFonts w:ascii="宋体" w:hAnsi="宋体"/>
          <w:b/>
          <w:color w:val="auto"/>
          <w:sz w:val="28"/>
          <w:szCs w:val="30"/>
          <w:highlight w:val="none"/>
        </w:rPr>
        <w:br w:type="page"/>
      </w:r>
      <w:r>
        <w:rPr>
          <w:rFonts w:ascii="宋体" w:hAnsi="宋体"/>
          <w:b/>
          <w:color w:val="auto"/>
          <w:sz w:val="28"/>
          <w:szCs w:val="30"/>
          <w:highlight w:val="none"/>
        </w:rPr>
        <w:t>3</w:t>
      </w:r>
      <w:r>
        <w:rPr>
          <w:rFonts w:hint="eastAsia" w:ascii="宋体" w:hAnsi="宋体" w:cs="宋体"/>
          <w:b/>
          <w:bCs/>
          <w:color w:val="auto"/>
          <w:spacing w:val="6"/>
          <w:kern w:val="0"/>
          <w:sz w:val="28"/>
          <w:szCs w:val="32"/>
          <w:highlight w:val="none"/>
        </w:rPr>
        <w:t>残疾人福利性单位声明函</w:t>
      </w:r>
    </w:p>
    <w:p w14:paraId="2317D2CB">
      <w:pPr>
        <w:widowControl/>
        <w:adjustRightInd w:val="0"/>
        <w:snapToGrid w:val="0"/>
        <w:spacing w:line="440" w:lineRule="exact"/>
        <w:ind w:firstLine="504" w:firstLineChars="200"/>
        <w:jc w:val="left"/>
        <w:outlineLvl w:val="9"/>
        <w:rPr>
          <w:rFonts w:ascii="宋体" w:hAnsi="宋体" w:cs="宋体"/>
          <w:color w:val="auto"/>
          <w:spacing w:val="6"/>
          <w:kern w:val="0"/>
          <w:sz w:val="24"/>
          <w:szCs w:val="24"/>
          <w:highlight w:val="none"/>
        </w:rPr>
      </w:pPr>
      <w:r>
        <w:rPr>
          <w:rFonts w:hint="eastAsia" w:ascii="宋体" w:hAnsi="宋体" w:cs="宋体"/>
          <w:color w:val="auto"/>
          <w:spacing w:val="6"/>
          <w:kern w:val="0"/>
          <w:sz w:val="24"/>
          <w:szCs w:val="24"/>
          <w:highlight w:val="none"/>
        </w:rPr>
        <w:t>本单位郑重声明，根据《财政部民政部中国残疾人联合会关于促进残疾人就业政府采购政策的通知》（财库〔</w:t>
      </w:r>
      <w:r>
        <w:rPr>
          <w:rFonts w:ascii="宋体" w:hAnsi="宋体" w:cs="宋体"/>
          <w:color w:val="auto"/>
          <w:spacing w:val="6"/>
          <w:kern w:val="0"/>
          <w:sz w:val="24"/>
          <w:szCs w:val="24"/>
          <w:highlight w:val="none"/>
        </w:rPr>
        <w:t>2017</w:t>
      </w:r>
      <w:r>
        <w:rPr>
          <w:rFonts w:hint="eastAsia" w:ascii="宋体" w:hAnsi="宋体" w:cs="宋体"/>
          <w:color w:val="auto"/>
          <w:spacing w:val="6"/>
          <w:kern w:val="0"/>
          <w:sz w:val="24"/>
          <w:szCs w:val="24"/>
          <w:highlight w:val="none"/>
        </w:rPr>
        <w:t>〕</w:t>
      </w:r>
      <w:r>
        <w:rPr>
          <w:rFonts w:ascii="宋体" w:hAnsi="宋体" w:cs="宋体"/>
          <w:color w:val="auto"/>
          <w:spacing w:val="6"/>
          <w:kern w:val="0"/>
          <w:sz w:val="24"/>
          <w:szCs w:val="24"/>
          <w:highlight w:val="none"/>
        </w:rPr>
        <w:t>141</w:t>
      </w:r>
      <w:r>
        <w:rPr>
          <w:rFonts w:hint="eastAsia" w:ascii="宋体" w:hAnsi="宋体" w:cs="宋体"/>
          <w:color w:val="auto"/>
          <w:spacing w:val="6"/>
          <w:kern w:val="0"/>
          <w:sz w:val="24"/>
          <w:szCs w:val="24"/>
          <w:highlight w:val="none"/>
        </w:rPr>
        <w:t>号）的规定，本单位为符合条件的残疾人福利性单位，且本单位参加单位的项目采购活动提供本单位制造的货物（由本单位承担工程</w:t>
      </w:r>
      <w:r>
        <w:rPr>
          <w:rFonts w:ascii="宋体" w:hAnsi="宋体" w:cs="宋体"/>
          <w:color w:val="auto"/>
          <w:spacing w:val="6"/>
          <w:kern w:val="0"/>
          <w:sz w:val="24"/>
          <w:szCs w:val="24"/>
          <w:highlight w:val="none"/>
        </w:rPr>
        <w:t>/</w:t>
      </w:r>
      <w:r>
        <w:rPr>
          <w:rFonts w:hint="eastAsia" w:ascii="宋体" w:hAnsi="宋体" w:cs="宋体"/>
          <w:color w:val="auto"/>
          <w:spacing w:val="6"/>
          <w:kern w:val="0"/>
          <w:sz w:val="24"/>
          <w:szCs w:val="24"/>
          <w:highlight w:val="none"/>
        </w:rPr>
        <w:t>提供服务），或者提供其他残疾人福利性单位制造的货物（不包括使用非残疾人福利性单位注册商标的货物）。</w:t>
      </w:r>
    </w:p>
    <w:p w14:paraId="7451A3E9">
      <w:pPr>
        <w:widowControl/>
        <w:adjustRightInd w:val="0"/>
        <w:snapToGrid w:val="0"/>
        <w:spacing w:line="440" w:lineRule="exact"/>
        <w:ind w:firstLine="504" w:firstLineChars="200"/>
        <w:jc w:val="left"/>
        <w:outlineLvl w:val="9"/>
        <w:rPr>
          <w:rFonts w:hint="eastAsia" w:ascii="宋体" w:hAnsi="宋体" w:eastAsia="宋体" w:cs="宋体"/>
          <w:color w:val="auto"/>
          <w:spacing w:val="6"/>
          <w:kern w:val="0"/>
          <w:sz w:val="24"/>
          <w:szCs w:val="24"/>
          <w:highlight w:val="none"/>
          <w:lang w:eastAsia="zh-CN"/>
        </w:rPr>
      </w:pPr>
      <w:r>
        <w:rPr>
          <w:rFonts w:hint="eastAsia" w:ascii="宋体" w:hAnsi="宋体" w:cs="宋体"/>
          <w:color w:val="auto"/>
          <w:spacing w:val="6"/>
          <w:kern w:val="0"/>
          <w:sz w:val="24"/>
          <w:szCs w:val="24"/>
          <w:highlight w:val="none"/>
        </w:rPr>
        <w:t>本单位对上述声明的真实性负责。如有虚假，将依法承担相应责任。</w:t>
      </w:r>
    </w:p>
    <w:p w14:paraId="20D080BA">
      <w:pPr>
        <w:widowControl/>
        <w:adjustRightInd w:val="0"/>
        <w:snapToGrid w:val="0"/>
        <w:spacing w:line="440" w:lineRule="exact"/>
        <w:ind w:firstLine="504" w:firstLineChars="200"/>
        <w:jc w:val="left"/>
        <w:outlineLvl w:val="9"/>
        <w:rPr>
          <w:rFonts w:ascii="宋体" w:hAnsi="宋体" w:cs="宋体"/>
          <w:color w:val="auto"/>
          <w:spacing w:val="6"/>
          <w:kern w:val="0"/>
          <w:sz w:val="24"/>
          <w:szCs w:val="24"/>
          <w:highlight w:val="none"/>
        </w:rPr>
      </w:pPr>
    </w:p>
    <w:p w14:paraId="3F158F99">
      <w:pPr>
        <w:widowControl/>
        <w:adjustRightInd w:val="0"/>
        <w:snapToGrid w:val="0"/>
        <w:spacing w:line="440" w:lineRule="exact"/>
        <w:ind w:left="0" w:leftChars="0" w:firstLine="4838" w:firstLineChars="1920"/>
        <w:jc w:val="left"/>
        <w:outlineLvl w:val="9"/>
        <w:rPr>
          <w:rFonts w:hint="eastAsia" w:ascii="宋体" w:hAnsi="宋体" w:cs="宋体"/>
          <w:color w:val="auto"/>
          <w:spacing w:val="6"/>
          <w:kern w:val="0"/>
          <w:sz w:val="24"/>
          <w:szCs w:val="24"/>
          <w:highlight w:val="none"/>
        </w:rPr>
      </w:pPr>
    </w:p>
    <w:p w14:paraId="59938141">
      <w:pPr>
        <w:widowControl/>
        <w:adjustRightInd w:val="0"/>
        <w:snapToGrid w:val="0"/>
        <w:spacing w:line="440" w:lineRule="exact"/>
        <w:ind w:firstLine="4284" w:firstLineChars="1700"/>
        <w:jc w:val="both"/>
        <w:outlineLvl w:val="9"/>
        <w:rPr>
          <w:rFonts w:ascii="宋体" w:hAnsi="宋体" w:cs="宋体"/>
          <w:color w:val="auto"/>
          <w:spacing w:val="6"/>
          <w:kern w:val="0"/>
          <w:sz w:val="24"/>
          <w:szCs w:val="24"/>
          <w:highlight w:val="none"/>
        </w:rPr>
      </w:pPr>
      <w:r>
        <w:rPr>
          <w:rFonts w:hint="eastAsia" w:ascii="宋体" w:hAnsi="宋体" w:cs="宋体"/>
          <w:color w:val="auto"/>
          <w:spacing w:val="6"/>
          <w:kern w:val="0"/>
          <w:sz w:val="24"/>
          <w:szCs w:val="24"/>
          <w:highlight w:val="none"/>
        </w:rPr>
        <w:t>单位名称（</w:t>
      </w:r>
      <w:r>
        <w:rPr>
          <w:rFonts w:hint="eastAsia" w:ascii="宋体" w:hAnsi="宋体"/>
          <w:color w:val="auto"/>
          <w:kern w:val="0"/>
          <w:sz w:val="24"/>
          <w:highlight w:val="none"/>
        </w:rPr>
        <w:t>电子签章</w:t>
      </w:r>
      <w:r>
        <w:rPr>
          <w:rFonts w:hint="eastAsia" w:ascii="宋体" w:hAnsi="宋体" w:cs="宋体"/>
          <w:color w:val="auto"/>
          <w:spacing w:val="6"/>
          <w:kern w:val="0"/>
          <w:sz w:val="24"/>
          <w:szCs w:val="24"/>
          <w:highlight w:val="none"/>
        </w:rPr>
        <w:t>）：</w:t>
      </w:r>
    </w:p>
    <w:p w14:paraId="6BA13002">
      <w:pPr>
        <w:widowControl/>
        <w:adjustRightInd w:val="0"/>
        <w:snapToGrid w:val="0"/>
        <w:spacing w:line="240" w:lineRule="auto"/>
        <w:ind w:firstLine="4284" w:firstLineChars="1700"/>
        <w:jc w:val="both"/>
        <w:outlineLvl w:val="9"/>
        <w:rPr>
          <w:rFonts w:ascii="宋体" w:hAnsi="宋体" w:cs="宋体"/>
          <w:color w:val="auto"/>
          <w:spacing w:val="6"/>
          <w:kern w:val="0"/>
          <w:sz w:val="24"/>
          <w:szCs w:val="24"/>
          <w:highlight w:val="none"/>
        </w:rPr>
      </w:pPr>
      <w:r>
        <w:rPr>
          <w:rFonts w:hint="eastAsia" w:ascii="宋体" w:hAnsi="宋体" w:cs="宋体"/>
          <w:color w:val="auto"/>
          <w:spacing w:val="6"/>
          <w:kern w:val="0"/>
          <w:sz w:val="24"/>
          <w:szCs w:val="24"/>
          <w:highlight w:val="none"/>
        </w:rPr>
        <w:t>日</w:t>
      </w:r>
      <w:r>
        <w:rPr>
          <w:rFonts w:hint="eastAsia" w:ascii="宋体" w:hAnsi="宋体" w:cs="宋体"/>
          <w:color w:val="auto"/>
          <w:spacing w:val="6"/>
          <w:kern w:val="0"/>
          <w:sz w:val="24"/>
          <w:szCs w:val="24"/>
          <w:highlight w:val="none"/>
          <w:lang w:val="en-US" w:eastAsia="zh-CN"/>
        </w:rPr>
        <w:t xml:space="preserve"> </w:t>
      </w:r>
      <w:r>
        <w:rPr>
          <w:rFonts w:hint="eastAsia" w:ascii="宋体" w:hAnsi="宋体" w:cs="宋体"/>
          <w:color w:val="auto"/>
          <w:spacing w:val="6"/>
          <w:kern w:val="0"/>
          <w:sz w:val="24"/>
          <w:szCs w:val="24"/>
          <w:highlight w:val="none"/>
        </w:rPr>
        <w:t>期</w:t>
      </w:r>
      <w:r>
        <w:rPr>
          <w:rFonts w:hint="eastAsia" w:ascii="宋体" w:hAnsi="宋体" w:cs="宋体"/>
          <w:color w:val="auto"/>
          <w:spacing w:val="6"/>
          <w:kern w:val="0"/>
          <w:sz w:val="24"/>
          <w:szCs w:val="24"/>
          <w:highlight w:val="none"/>
          <w:lang w:eastAsia="zh-CN"/>
        </w:rPr>
        <w:t>：</w:t>
      </w:r>
    </w:p>
    <w:p w14:paraId="2D4E574A">
      <w:pPr>
        <w:outlineLvl w:val="9"/>
        <w:rPr>
          <w:rFonts w:hint="eastAsia" w:ascii="宋体" w:hAnsi="宋体"/>
          <w:b/>
          <w:color w:val="auto"/>
          <w:sz w:val="28"/>
          <w:szCs w:val="28"/>
          <w:highlight w:val="none"/>
        </w:rPr>
      </w:pPr>
      <w:r>
        <w:rPr>
          <w:rFonts w:hint="eastAsia"/>
          <w:color w:val="auto"/>
          <w:highlight w:val="none"/>
        </w:rPr>
        <w:br w:type="page"/>
      </w:r>
    </w:p>
    <w:p w14:paraId="71D2050C">
      <w:pPr>
        <w:pStyle w:val="106"/>
        <w:spacing w:after="0"/>
        <w:ind w:left="0" w:leftChars="0" w:firstLine="3" w:firstLineChars="1"/>
        <w:jc w:val="center"/>
        <w:outlineLvl w:val="9"/>
        <w:rPr>
          <w:rFonts w:ascii="宋体" w:hAnsi="宋体"/>
          <w:b/>
          <w:color w:val="auto"/>
          <w:sz w:val="28"/>
          <w:szCs w:val="28"/>
          <w:highlight w:val="none"/>
        </w:rPr>
      </w:pPr>
      <w:r>
        <w:rPr>
          <w:rFonts w:hint="eastAsia" w:ascii="宋体" w:hAnsi="宋体"/>
          <w:b/>
          <w:color w:val="auto"/>
          <w:sz w:val="28"/>
          <w:szCs w:val="28"/>
          <w:highlight w:val="none"/>
        </w:rPr>
        <w:t>四、投标函</w:t>
      </w:r>
    </w:p>
    <w:p w14:paraId="1DBE53D2">
      <w:pPr>
        <w:keepNext w:val="0"/>
        <w:keepLines w:val="0"/>
        <w:pageBreakBefore w:val="0"/>
        <w:widowControl w:val="0"/>
        <w:kinsoku/>
        <w:wordWrap/>
        <w:overflowPunct/>
        <w:topLinePunct w:val="0"/>
        <w:autoSpaceDE/>
        <w:autoSpaceDN/>
        <w:bidi w:val="0"/>
        <w:spacing w:line="420" w:lineRule="exact"/>
        <w:ind w:firstLine="480" w:firstLineChars="200"/>
        <w:textAlignment w:val="auto"/>
        <w:outlineLvl w:val="9"/>
        <w:rPr>
          <w:rFonts w:hint="eastAsia" w:ascii="宋体" w:hAnsi="宋体"/>
          <w:color w:val="auto"/>
          <w:sz w:val="24"/>
          <w:highlight w:val="none"/>
        </w:rPr>
      </w:pPr>
      <w:r>
        <w:rPr>
          <w:rFonts w:hint="eastAsia" w:ascii="宋体" w:hAnsi="宋体"/>
          <w:color w:val="auto"/>
          <w:sz w:val="24"/>
          <w:highlight w:val="none"/>
        </w:rPr>
        <w:t>致：新疆守正项目管理咨询有限公司</w:t>
      </w:r>
    </w:p>
    <w:p w14:paraId="31644B3F">
      <w:pPr>
        <w:keepNext w:val="0"/>
        <w:keepLines w:val="0"/>
        <w:pageBreakBefore w:val="0"/>
        <w:widowControl w:val="0"/>
        <w:kinsoku/>
        <w:wordWrap/>
        <w:overflowPunct/>
        <w:topLinePunct w:val="0"/>
        <w:autoSpaceDE/>
        <w:autoSpaceDN/>
        <w:bidi w:val="0"/>
        <w:spacing w:line="420" w:lineRule="exact"/>
        <w:ind w:firstLine="480" w:firstLineChars="200"/>
        <w:textAlignment w:val="auto"/>
        <w:outlineLvl w:val="9"/>
        <w:rPr>
          <w:rFonts w:hint="eastAsia" w:ascii="宋体" w:hAnsi="宋体"/>
          <w:color w:val="auto"/>
          <w:sz w:val="24"/>
          <w:highlight w:val="none"/>
        </w:rPr>
      </w:pPr>
      <w:r>
        <w:rPr>
          <w:rFonts w:hint="eastAsia" w:ascii="宋体" w:hAnsi="宋体"/>
          <w:color w:val="auto"/>
          <w:sz w:val="24"/>
          <w:highlight w:val="none"/>
        </w:rPr>
        <w:t>根据贵方为项目招标的投标邀请</w:t>
      </w:r>
      <w:r>
        <w:rPr>
          <w:rFonts w:hint="eastAsia" w:ascii="宋体" w:hAnsi="宋体"/>
          <w:color w:val="auto"/>
          <w:sz w:val="24"/>
          <w:highlight w:val="none"/>
          <w:u w:val="single"/>
        </w:rPr>
        <w:t>项目编号</w:t>
      </w:r>
      <w:r>
        <w:rPr>
          <w:rFonts w:hint="eastAsia" w:ascii="宋体" w:hAnsi="宋体"/>
          <w:color w:val="auto"/>
          <w:sz w:val="24"/>
          <w:highlight w:val="none"/>
        </w:rPr>
        <w:t>，签字代表</w:t>
      </w:r>
      <w:r>
        <w:rPr>
          <w:rFonts w:hint="eastAsia" w:ascii="宋体" w:hAnsi="宋体"/>
          <w:color w:val="auto"/>
          <w:sz w:val="24"/>
          <w:highlight w:val="none"/>
          <w:u w:val="single"/>
        </w:rPr>
        <w:t>（姓名、职务）</w:t>
      </w:r>
      <w:r>
        <w:rPr>
          <w:rFonts w:hint="eastAsia" w:ascii="宋体" w:hAnsi="宋体"/>
          <w:color w:val="auto"/>
          <w:sz w:val="24"/>
          <w:highlight w:val="none"/>
        </w:rPr>
        <w:t>经正式授权并代表</w:t>
      </w:r>
      <w:r>
        <w:rPr>
          <w:rFonts w:hint="eastAsia" w:ascii="宋体" w:hAnsi="宋体"/>
          <w:color w:val="auto"/>
          <w:sz w:val="24"/>
          <w:highlight w:val="none"/>
          <w:lang w:eastAsia="zh-CN"/>
        </w:rPr>
        <w:t>投标供应商</w:t>
      </w:r>
      <w:r>
        <w:rPr>
          <w:rFonts w:hint="eastAsia" w:ascii="宋体" w:hAnsi="宋体"/>
          <w:color w:val="auto"/>
          <w:sz w:val="24"/>
          <w:highlight w:val="none"/>
          <w:u w:val="single"/>
        </w:rPr>
        <w:t>（</w:t>
      </w:r>
      <w:r>
        <w:rPr>
          <w:rFonts w:hint="eastAsia" w:ascii="宋体" w:hAnsi="宋体"/>
          <w:color w:val="auto"/>
          <w:sz w:val="24"/>
          <w:highlight w:val="none"/>
          <w:u w:val="single"/>
          <w:lang w:eastAsia="zh-CN"/>
        </w:rPr>
        <w:t>投标供应商</w:t>
      </w:r>
      <w:r>
        <w:rPr>
          <w:rFonts w:hint="eastAsia" w:ascii="宋体" w:hAnsi="宋体"/>
          <w:color w:val="auto"/>
          <w:sz w:val="24"/>
          <w:highlight w:val="none"/>
          <w:u w:val="single"/>
        </w:rPr>
        <w:t>名称、地址）</w:t>
      </w:r>
      <w:r>
        <w:rPr>
          <w:rFonts w:hint="eastAsia" w:ascii="宋体" w:hAnsi="宋体"/>
          <w:color w:val="auto"/>
          <w:sz w:val="24"/>
          <w:highlight w:val="none"/>
        </w:rPr>
        <w:t>对此项目进行投标。据此函，签字代表宣布并同意如下：</w:t>
      </w:r>
    </w:p>
    <w:p w14:paraId="2D4846E2">
      <w:pPr>
        <w:keepNext w:val="0"/>
        <w:keepLines w:val="0"/>
        <w:pageBreakBefore w:val="0"/>
        <w:widowControl w:val="0"/>
        <w:kinsoku/>
        <w:wordWrap/>
        <w:overflowPunct/>
        <w:topLinePunct w:val="0"/>
        <w:autoSpaceDE/>
        <w:autoSpaceDN/>
        <w:bidi w:val="0"/>
        <w:spacing w:line="420" w:lineRule="exact"/>
        <w:ind w:firstLine="472" w:firstLineChars="200"/>
        <w:textAlignment w:val="auto"/>
        <w:outlineLvl w:val="9"/>
        <w:rPr>
          <w:rFonts w:hint="default" w:ascii="Times New Roman" w:hAnsi="Times New Roman" w:cs="Times New Roman"/>
          <w:color w:val="auto"/>
          <w:spacing w:val="-2"/>
          <w:sz w:val="24"/>
          <w:highlight w:val="none"/>
          <w:u w:val="single"/>
        </w:rPr>
      </w:pPr>
      <w:r>
        <w:rPr>
          <w:rFonts w:hint="eastAsia" w:ascii="宋体" w:hAnsi="宋体"/>
          <w:color w:val="auto"/>
          <w:spacing w:val="-2"/>
          <w:sz w:val="24"/>
          <w:highlight w:val="none"/>
        </w:rPr>
        <w:t>按照</w:t>
      </w:r>
      <w:r>
        <w:rPr>
          <w:rFonts w:hint="eastAsia" w:ascii="宋体" w:hAnsi="宋体"/>
          <w:color w:val="auto"/>
          <w:spacing w:val="-2"/>
          <w:sz w:val="24"/>
          <w:highlight w:val="none"/>
          <w:lang w:eastAsia="zh-CN"/>
        </w:rPr>
        <w:t>公开招标文件</w:t>
      </w:r>
      <w:r>
        <w:rPr>
          <w:rFonts w:hint="eastAsia" w:ascii="宋体" w:hAnsi="宋体"/>
          <w:color w:val="auto"/>
          <w:spacing w:val="-2"/>
          <w:sz w:val="24"/>
          <w:highlight w:val="none"/>
        </w:rPr>
        <w:t>中的一切要求，提供投标</w:t>
      </w:r>
      <w:r>
        <w:rPr>
          <w:rFonts w:hint="eastAsia" w:ascii="宋体" w:hAnsi="宋体"/>
          <w:color w:val="auto"/>
          <w:spacing w:val="-2"/>
          <w:sz w:val="24"/>
          <w:highlight w:val="none"/>
          <w:lang w:val="en-US" w:eastAsia="zh-CN"/>
        </w:rPr>
        <w:t>餐饮</w:t>
      </w:r>
      <w:r>
        <w:rPr>
          <w:rFonts w:hint="eastAsia" w:ascii="宋体" w:hAnsi="宋体"/>
          <w:color w:val="auto"/>
          <w:spacing w:val="-2"/>
          <w:sz w:val="24"/>
          <w:highlight w:val="none"/>
        </w:rPr>
        <w:t>服务，投标</w:t>
      </w:r>
      <w:r>
        <w:rPr>
          <w:rFonts w:hint="eastAsia" w:ascii="宋体" w:hAnsi="宋体"/>
          <w:color w:val="auto"/>
          <w:spacing w:val="-2"/>
          <w:sz w:val="24"/>
          <w:highlight w:val="none"/>
          <w:lang w:val="en-US" w:eastAsia="zh-CN"/>
        </w:rPr>
        <w:t>餐饮服务支付比例</w:t>
      </w:r>
      <w:r>
        <w:rPr>
          <w:rFonts w:hint="eastAsia" w:ascii="宋体" w:hAnsi="宋体"/>
          <w:color w:val="auto"/>
          <w:spacing w:val="-2"/>
          <w:sz w:val="24"/>
          <w:highlight w:val="none"/>
          <w:u w:val="single"/>
          <w:lang w:val="en-US" w:eastAsia="zh-CN"/>
        </w:rPr>
        <w:t xml:space="preserve">        </w:t>
      </w:r>
      <w:r>
        <w:rPr>
          <w:rFonts w:hint="eastAsia" w:ascii="宋体" w:hAnsi="宋体"/>
          <w:color w:val="auto"/>
          <w:spacing w:val="-2"/>
          <w:sz w:val="24"/>
          <w:highlight w:val="none"/>
          <w:lang w:val="en-US" w:eastAsia="zh-CN"/>
        </w:rPr>
        <w:t>%</w:t>
      </w:r>
      <w:r>
        <w:rPr>
          <w:rFonts w:hint="default" w:ascii="Times New Roman" w:hAnsi="Times New Roman" w:cs="Times New Roman"/>
          <w:color w:val="auto"/>
          <w:spacing w:val="-2"/>
          <w:sz w:val="24"/>
          <w:highlight w:val="none"/>
        </w:rPr>
        <w:t>。</w:t>
      </w:r>
    </w:p>
    <w:p w14:paraId="20DB3674">
      <w:pPr>
        <w:keepNext w:val="0"/>
        <w:keepLines w:val="0"/>
        <w:pageBreakBefore w:val="0"/>
        <w:widowControl w:val="0"/>
        <w:kinsoku/>
        <w:wordWrap/>
        <w:overflowPunct/>
        <w:topLinePunct w:val="0"/>
        <w:autoSpaceDE/>
        <w:autoSpaceDN/>
        <w:bidi w:val="0"/>
        <w:spacing w:line="420" w:lineRule="exact"/>
        <w:ind w:firstLine="472" w:firstLineChars="200"/>
        <w:textAlignment w:val="auto"/>
        <w:outlineLvl w:val="9"/>
        <w:rPr>
          <w:rFonts w:hint="default" w:ascii="Times New Roman" w:hAnsi="Times New Roman" w:cs="Times New Roman"/>
          <w:color w:val="auto"/>
          <w:sz w:val="24"/>
          <w:highlight w:val="none"/>
        </w:rPr>
      </w:pPr>
      <w:r>
        <w:rPr>
          <w:rFonts w:hint="default" w:ascii="Times New Roman" w:hAnsi="Times New Roman" w:cs="Times New Roman"/>
          <w:color w:val="auto"/>
          <w:spacing w:val="-2"/>
          <w:sz w:val="24"/>
          <w:highlight w:val="none"/>
        </w:rPr>
        <w:t>1.我方同意在本项目</w:t>
      </w:r>
      <w:r>
        <w:rPr>
          <w:rFonts w:hint="default" w:ascii="Times New Roman" w:hAnsi="Times New Roman" w:cs="Times New Roman"/>
          <w:color w:val="auto"/>
          <w:spacing w:val="-2"/>
          <w:sz w:val="24"/>
          <w:highlight w:val="none"/>
          <w:lang w:eastAsia="zh-CN"/>
        </w:rPr>
        <w:t>公开招标文件</w:t>
      </w:r>
      <w:r>
        <w:rPr>
          <w:rFonts w:hint="default" w:ascii="Times New Roman" w:hAnsi="Times New Roman" w:cs="Times New Roman"/>
          <w:color w:val="auto"/>
          <w:spacing w:val="-2"/>
          <w:sz w:val="24"/>
          <w:highlight w:val="none"/>
        </w:rPr>
        <w:t>中规定的开标日起九十日内遵守本</w:t>
      </w:r>
      <w:r>
        <w:rPr>
          <w:rFonts w:hint="default" w:ascii="Times New Roman" w:hAnsi="Times New Roman" w:cs="Times New Roman"/>
          <w:color w:val="auto"/>
          <w:spacing w:val="-2"/>
          <w:sz w:val="24"/>
          <w:highlight w:val="none"/>
          <w:lang w:eastAsia="zh-CN"/>
        </w:rPr>
        <w:t>投标文件</w:t>
      </w:r>
      <w:r>
        <w:rPr>
          <w:rFonts w:hint="default" w:ascii="Times New Roman" w:hAnsi="Times New Roman" w:cs="Times New Roman"/>
          <w:color w:val="auto"/>
          <w:spacing w:val="-2"/>
          <w:sz w:val="24"/>
          <w:highlight w:val="none"/>
        </w:rPr>
        <w:t>中的承诺且在</w:t>
      </w:r>
      <w:r>
        <w:rPr>
          <w:rFonts w:hint="default" w:ascii="Times New Roman" w:hAnsi="Times New Roman" w:cs="Times New Roman"/>
          <w:color w:val="auto"/>
          <w:sz w:val="24"/>
          <w:highlight w:val="none"/>
        </w:rPr>
        <w:t>此期限期满之前均具有约束力。</w:t>
      </w:r>
    </w:p>
    <w:p w14:paraId="1553675F">
      <w:pPr>
        <w:keepNext w:val="0"/>
        <w:keepLines w:val="0"/>
        <w:pageBreakBefore w:val="0"/>
        <w:widowControl w:val="0"/>
        <w:kinsoku/>
        <w:wordWrap/>
        <w:overflowPunct/>
        <w:topLinePunct w:val="0"/>
        <w:autoSpaceDE/>
        <w:autoSpaceDN/>
        <w:bidi w:val="0"/>
        <w:spacing w:line="420" w:lineRule="exact"/>
        <w:ind w:firstLine="480" w:firstLineChars="200"/>
        <w:textAlignment w:val="auto"/>
        <w:outlineLvl w:val="9"/>
        <w:rPr>
          <w:rFonts w:hint="default" w:ascii="Times New Roman" w:hAnsi="Times New Roman" w:cs="Times New Roman"/>
          <w:color w:val="auto"/>
          <w:spacing w:val="-2"/>
          <w:sz w:val="24"/>
          <w:highlight w:val="none"/>
        </w:rPr>
      </w:pPr>
      <w:r>
        <w:rPr>
          <w:rFonts w:hint="default" w:ascii="Times New Roman" w:hAnsi="Times New Roman" w:cs="Times New Roman"/>
          <w:color w:val="auto"/>
          <w:sz w:val="24"/>
          <w:highlight w:val="none"/>
        </w:rPr>
        <w:t>2.</w:t>
      </w:r>
      <w:r>
        <w:rPr>
          <w:rFonts w:hint="default" w:ascii="Times New Roman" w:hAnsi="Times New Roman" w:cs="Times New Roman"/>
          <w:color w:val="auto"/>
          <w:spacing w:val="-2"/>
          <w:sz w:val="24"/>
          <w:highlight w:val="none"/>
        </w:rPr>
        <w:t>若我方中标，我方承诺按投标</w:t>
      </w:r>
      <w:r>
        <w:rPr>
          <w:rFonts w:hint="default" w:ascii="Times New Roman" w:hAnsi="Times New Roman" w:cs="Times New Roman"/>
          <w:color w:val="auto"/>
          <w:spacing w:val="-2"/>
          <w:sz w:val="24"/>
          <w:highlight w:val="none"/>
          <w:lang w:val="en-US" w:eastAsia="zh-CN"/>
        </w:rPr>
        <w:t>文件承诺</w:t>
      </w:r>
      <w:r>
        <w:rPr>
          <w:rFonts w:hint="default" w:ascii="Times New Roman" w:hAnsi="Times New Roman" w:cs="Times New Roman"/>
          <w:color w:val="auto"/>
          <w:spacing w:val="-2"/>
          <w:sz w:val="24"/>
          <w:highlight w:val="none"/>
        </w:rPr>
        <w:t>向甲方提供服务。</w:t>
      </w:r>
    </w:p>
    <w:p w14:paraId="1A5232E2">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outlineLvl w:val="9"/>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3.已详细审阅全部</w:t>
      </w:r>
      <w:r>
        <w:rPr>
          <w:rFonts w:hint="default" w:ascii="Times New Roman" w:hAnsi="Times New Roman" w:cs="Times New Roman"/>
          <w:color w:val="auto"/>
          <w:sz w:val="24"/>
          <w:highlight w:val="none"/>
          <w:lang w:eastAsia="zh-CN"/>
        </w:rPr>
        <w:t>公开招标文件（</w:t>
      </w:r>
      <w:r>
        <w:rPr>
          <w:rFonts w:hint="default" w:ascii="Times New Roman" w:hAnsi="Times New Roman" w:cs="Times New Roman"/>
          <w:color w:val="auto"/>
          <w:sz w:val="24"/>
          <w:highlight w:val="none"/>
        </w:rPr>
        <w:t>包括</w:t>
      </w:r>
      <w:r>
        <w:rPr>
          <w:rFonts w:hint="default" w:ascii="Times New Roman" w:hAnsi="Times New Roman" w:cs="Times New Roman"/>
          <w:color w:val="auto"/>
          <w:sz w:val="24"/>
          <w:highlight w:val="none"/>
          <w:lang w:eastAsia="zh-CN"/>
        </w:rPr>
        <w:t>公开招标文件</w:t>
      </w:r>
      <w:r>
        <w:rPr>
          <w:rFonts w:hint="default" w:ascii="Times New Roman" w:hAnsi="Times New Roman" w:cs="Times New Roman"/>
          <w:color w:val="auto"/>
          <w:sz w:val="24"/>
          <w:highlight w:val="none"/>
        </w:rPr>
        <w:t>澄清函</w:t>
      </w:r>
      <w:r>
        <w:rPr>
          <w:rFonts w:hint="default" w:ascii="Times New Roman" w:hAnsi="Times New Roman" w:cs="Times New Roman"/>
          <w:color w:val="auto"/>
          <w:sz w:val="24"/>
          <w:highlight w:val="none"/>
          <w:lang w:eastAsia="zh-CN"/>
        </w:rPr>
        <w:t>）</w:t>
      </w:r>
      <w:r>
        <w:rPr>
          <w:rFonts w:hint="default" w:ascii="Times New Roman" w:hAnsi="Times New Roman" w:cs="Times New Roman"/>
          <w:color w:val="auto"/>
          <w:sz w:val="24"/>
          <w:highlight w:val="none"/>
        </w:rPr>
        <w:t>，理解</w:t>
      </w:r>
      <w:r>
        <w:rPr>
          <w:rFonts w:hint="default" w:ascii="Times New Roman" w:hAnsi="Times New Roman" w:cs="Times New Roman"/>
          <w:color w:val="auto"/>
          <w:sz w:val="24"/>
          <w:highlight w:val="none"/>
          <w:lang w:eastAsia="zh-CN"/>
        </w:rPr>
        <w:t>投标供应商</w:t>
      </w:r>
      <w:r>
        <w:rPr>
          <w:rFonts w:hint="default" w:ascii="Times New Roman" w:hAnsi="Times New Roman" w:cs="Times New Roman"/>
          <w:color w:val="auto"/>
          <w:sz w:val="24"/>
          <w:highlight w:val="none"/>
        </w:rPr>
        <w:t>须知的所有条款。</w:t>
      </w:r>
    </w:p>
    <w:p w14:paraId="3D31959C">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outlineLvl w:val="9"/>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4.完全理解贵方“最低报价不能作为中标的保证”的规定。</w:t>
      </w:r>
    </w:p>
    <w:p w14:paraId="28648F59">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outlineLvl w:val="9"/>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5.接受</w:t>
      </w:r>
      <w:r>
        <w:rPr>
          <w:rFonts w:hint="default" w:ascii="Times New Roman" w:hAnsi="Times New Roman" w:cs="Times New Roman"/>
          <w:color w:val="auto"/>
          <w:sz w:val="24"/>
          <w:highlight w:val="none"/>
          <w:lang w:eastAsia="zh-CN"/>
        </w:rPr>
        <w:t>公开招标文件</w:t>
      </w:r>
      <w:r>
        <w:rPr>
          <w:rFonts w:hint="default" w:ascii="Times New Roman" w:hAnsi="Times New Roman" w:cs="Times New Roman"/>
          <w:color w:val="auto"/>
          <w:sz w:val="24"/>
          <w:highlight w:val="none"/>
        </w:rPr>
        <w:t>中全部合同条款，且无任何异议；保证忠实地执行双方所签订的合同，并承担合同规定的责任和义务。</w:t>
      </w:r>
    </w:p>
    <w:p w14:paraId="4D1F2897">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outlineLvl w:val="9"/>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6.完全满足和响应</w:t>
      </w:r>
      <w:r>
        <w:rPr>
          <w:rFonts w:hint="default" w:ascii="Times New Roman" w:hAnsi="Times New Roman" w:cs="Times New Roman"/>
          <w:color w:val="auto"/>
          <w:sz w:val="24"/>
          <w:highlight w:val="none"/>
          <w:lang w:eastAsia="zh-CN"/>
        </w:rPr>
        <w:t>公开招标文件</w:t>
      </w:r>
      <w:r>
        <w:rPr>
          <w:rFonts w:hint="default" w:ascii="Times New Roman" w:hAnsi="Times New Roman" w:cs="Times New Roman"/>
          <w:color w:val="auto"/>
          <w:sz w:val="24"/>
          <w:highlight w:val="none"/>
        </w:rPr>
        <w:t>中的各项商务和技术要求，若有偏差，已在</w:t>
      </w:r>
      <w:r>
        <w:rPr>
          <w:rFonts w:hint="default" w:ascii="Times New Roman" w:hAnsi="Times New Roman" w:cs="Times New Roman"/>
          <w:color w:val="auto"/>
          <w:sz w:val="24"/>
          <w:highlight w:val="none"/>
          <w:lang w:eastAsia="zh-CN"/>
        </w:rPr>
        <w:t>投标文件</w:t>
      </w:r>
      <w:r>
        <w:rPr>
          <w:rFonts w:hint="default" w:ascii="Times New Roman" w:hAnsi="Times New Roman" w:cs="Times New Roman"/>
          <w:color w:val="auto"/>
          <w:sz w:val="24"/>
          <w:highlight w:val="none"/>
        </w:rPr>
        <w:t>中明确说明。</w:t>
      </w:r>
    </w:p>
    <w:p w14:paraId="0036B623">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outlineLvl w:val="9"/>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7.愿意提供任何与投标有关的数据、情况和技术资料等。</w:t>
      </w:r>
    </w:p>
    <w:p w14:paraId="1EDA5AF1">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outlineLvl w:val="9"/>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8.我方已详细审核全部</w:t>
      </w:r>
      <w:r>
        <w:rPr>
          <w:rFonts w:hint="default" w:ascii="Times New Roman" w:hAnsi="Times New Roman" w:cs="Times New Roman"/>
          <w:color w:val="auto"/>
          <w:sz w:val="24"/>
          <w:highlight w:val="none"/>
          <w:lang w:eastAsia="zh-CN"/>
        </w:rPr>
        <w:t>投标文件</w:t>
      </w:r>
      <w:r>
        <w:rPr>
          <w:rFonts w:hint="default" w:ascii="Times New Roman" w:hAnsi="Times New Roman" w:cs="Times New Roman"/>
          <w:color w:val="auto"/>
          <w:sz w:val="24"/>
          <w:highlight w:val="none"/>
        </w:rPr>
        <w:t>、参考资料及有关附件，确认无误。</w:t>
      </w:r>
    </w:p>
    <w:p w14:paraId="00E69A69">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outlineLvl w:val="9"/>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9.对本次招标内容及与本项目有关的知识产权、技术资料、商业秘密及相关信息保密。</w:t>
      </w:r>
    </w:p>
    <w:p w14:paraId="6297E685">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outlineLvl w:val="9"/>
        <w:rPr>
          <w:rFonts w:ascii="宋体" w:hAnsi="宋体"/>
          <w:color w:val="auto"/>
          <w:sz w:val="24"/>
          <w:highlight w:val="none"/>
        </w:rPr>
      </w:pPr>
      <w:r>
        <w:rPr>
          <w:rFonts w:hint="default" w:ascii="Times New Roman" w:hAnsi="Times New Roman" w:cs="Times New Roman"/>
          <w:color w:val="auto"/>
          <w:sz w:val="24"/>
          <w:highlight w:val="none"/>
        </w:rPr>
        <w:t>10.与采购人和采购代理机构无</w:t>
      </w:r>
      <w:r>
        <w:rPr>
          <w:rFonts w:hint="default" w:ascii="Times New Roman" w:hAnsi="Times New Roman" w:cs="Times New Roman"/>
          <w:color w:val="auto"/>
          <w:sz w:val="24"/>
          <w:highlight w:val="none"/>
          <w:lang w:eastAsia="zh-CN"/>
        </w:rPr>
        <w:t>任何</w:t>
      </w:r>
      <w:r>
        <w:rPr>
          <w:rFonts w:hint="default" w:ascii="Times New Roman" w:hAnsi="Times New Roman" w:cs="Times New Roman"/>
          <w:color w:val="auto"/>
          <w:sz w:val="24"/>
          <w:highlight w:val="none"/>
        </w:rPr>
        <w:t>隶属关系或者其他利害关系。</w:t>
      </w:r>
    </w:p>
    <w:p w14:paraId="094C7BE2">
      <w:pPr>
        <w:keepNext w:val="0"/>
        <w:keepLines w:val="0"/>
        <w:pageBreakBefore w:val="0"/>
        <w:widowControl w:val="0"/>
        <w:kinsoku/>
        <w:wordWrap/>
        <w:overflowPunct/>
        <w:topLinePunct w:val="0"/>
        <w:autoSpaceDE/>
        <w:autoSpaceDN/>
        <w:bidi w:val="0"/>
        <w:spacing w:line="420" w:lineRule="exact"/>
        <w:ind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与本投标有关的一切正式往来信函请寄：</w:t>
      </w:r>
    </w:p>
    <w:p w14:paraId="5CF189FF">
      <w:pPr>
        <w:keepNext w:val="0"/>
        <w:keepLines w:val="0"/>
        <w:pageBreakBefore w:val="0"/>
        <w:widowControl w:val="0"/>
        <w:kinsoku/>
        <w:wordWrap/>
        <w:overflowPunct/>
        <w:topLinePunct w:val="0"/>
        <w:autoSpaceDE/>
        <w:autoSpaceDN/>
        <w:bidi w:val="0"/>
        <w:spacing w:line="420" w:lineRule="exact"/>
        <w:ind w:firstLine="480" w:firstLineChars="200"/>
        <w:textAlignment w:val="auto"/>
        <w:outlineLvl w:val="9"/>
        <w:rPr>
          <w:rFonts w:ascii="宋体" w:hAnsi="宋体"/>
          <w:color w:val="auto"/>
          <w:sz w:val="24"/>
          <w:highlight w:val="none"/>
          <w:u w:val="single"/>
        </w:rPr>
      </w:pPr>
      <w:r>
        <w:rPr>
          <w:rFonts w:hint="eastAsia" w:ascii="宋体" w:hAnsi="宋体"/>
          <w:color w:val="auto"/>
          <w:sz w:val="24"/>
          <w:highlight w:val="none"/>
        </w:rPr>
        <w:t>地址：</w:t>
      </w:r>
      <w:r>
        <w:rPr>
          <w:rFonts w:hint="eastAsia" w:ascii="宋体" w:hAnsi="宋体"/>
          <w:color w:val="auto"/>
          <w:sz w:val="24"/>
          <w:highlight w:val="none"/>
          <w:u w:val="single"/>
        </w:rPr>
        <w:t>　　　　　　　　　　</w:t>
      </w:r>
      <w:r>
        <w:rPr>
          <w:rFonts w:hint="eastAsia" w:ascii="宋体" w:hAnsi="宋体"/>
          <w:color w:val="auto"/>
          <w:sz w:val="24"/>
          <w:highlight w:val="none"/>
        </w:rPr>
        <w:t>邮编：</w:t>
      </w:r>
      <w:r>
        <w:rPr>
          <w:rFonts w:hint="eastAsia" w:ascii="宋体" w:hAnsi="宋体"/>
          <w:color w:val="auto"/>
          <w:sz w:val="24"/>
          <w:highlight w:val="none"/>
          <w:u w:val="single"/>
        </w:rPr>
        <w:t>　　　　　　　　　</w:t>
      </w:r>
    </w:p>
    <w:p w14:paraId="50FA2855">
      <w:pPr>
        <w:keepNext w:val="0"/>
        <w:keepLines w:val="0"/>
        <w:pageBreakBefore w:val="0"/>
        <w:widowControl w:val="0"/>
        <w:kinsoku/>
        <w:wordWrap/>
        <w:overflowPunct/>
        <w:topLinePunct w:val="0"/>
        <w:autoSpaceDE/>
        <w:autoSpaceDN/>
        <w:bidi w:val="0"/>
        <w:spacing w:line="420" w:lineRule="exact"/>
        <w:ind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电话：</w:t>
      </w:r>
      <w:r>
        <w:rPr>
          <w:rFonts w:hint="eastAsia" w:ascii="宋体" w:hAnsi="宋体"/>
          <w:color w:val="auto"/>
          <w:sz w:val="24"/>
          <w:highlight w:val="none"/>
          <w:u w:val="single"/>
        </w:rPr>
        <w:t>　　　　　　　　　　</w:t>
      </w:r>
      <w:r>
        <w:rPr>
          <w:rFonts w:hint="eastAsia" w:ascii="宋体" w:hAnsi="宋体"/>
          <w:color w:val="auto"/>
          <w:sz w:val="24"/>
          <w:highlight w:val="none"/>
        </w:rPr>
        <w:t>传真：</w:t>
      </w:r>
      <w:r>
        <w:rPr>
          <w:rFonts w:hint="eastAsia" w:ascii="宋体" w:hAnsi="宋体"/>
          <w:color w:val="auto"/>
          <w:sz w:val="24"/>
          <w:highlight w:val="none"/>
          <w:u w:val="single"/>
        </w:rPr>
        <w:t>　　　　　　　　　</w:t>
      </w:r>
    </w:p>
    <w:p w14:paraId="3A13BAA5">
      <w:pPr>
        <w:keepNext w:val="0"/>
        <w:keepLines w:val="0"/>
        <w:pageBreakBefore w:val="0"/>
        <w:widowControl w:val="0"/>
        <w:kinsoku/>
        <w:wordWrap/>
        <w:overflowPunct/>
        <w:topLinePunct w:val="0"/>
        <w:autoSpaceDE/>
        <w:autoSpaceDN/>
        <w:bidi w:val="0"/>
        <w:spacing w:line="420" w:lineRule="exact"/>
        <w:ind w:left="0" w:leftChars="0" w:firstLine="3578" w:firstLineChars="1491"/>
        <w:textAlignment w:val="auto"/>
        <w:outlineLvl w:val="9"/>
        <w:rPr>
          <w:rFonts w:ascii="宋体" w:hAnsi="宋体"/>
          <w:color w:val="auto"/>
          <w:sz w:val="24"/>
          <w:highlight w:val="none"/>
        </w:rPr>
      </w:pPr>
      <w:r>
        <w:rPr>
          <w:rFonts w:hint="eastAsia" w:ascii="宋体" w:hAnsi="宋体"/>
          <w:color w:val="auto"/>
          <w:sz w:val="24"/>
          <w:highlight w:val="none"/>
        </w:rPr>
        <w:t>　</w:t>
      </w:r>
      <w:r>
        <w:rPr>
          <w:rFonts w:hint="eastAsia" w:ascii="宋体" w:hAnsi="宋体"/>
          <w:color w:val="auto"/>
          <w:sz w:val="24"/>
          <w:highlight w:val="none"/>
          <w:lang w:eastAsia="zh-CN"/>
        </w:rPr>
        <w:t>投标供应商</w:t>
      </w:r>
      <w:r>
        <w:rPr>
          <w:rFonts w:hint="eastAsia" w:ascii="宋体" w:hAnsi="宋体"/>
          <w:color w:val="auto"/>
          <w:sz w:val="24"/>
          <w:highlight w:val="none"/>
        </w:rPr>
        <w:t>代表签字：</w:t>
      </w:r>
      <w:r>
        <w:rPr>
          <w:rFonts w:hint="eastAsia" w:ascii="宋体" w:hAnsi="宋体"/>
          <w:color w:val="auto"/>
          <w:sz w:val="24"/>
          <w:highlight w:val="none"/>
          <w:u w:val="single"/>
        </w:rPr>
        <w:t>　　　　　　　</w:t>
      </w:r>
    </w:p>
    <w:p w14:paraId="17302B22">
      <w:pPr>
        <w:keepNext w:val="0"/>
        <w:keepLines w:val="0"/>
        <w:pageBreakBefore w:val="0"/>
        <w:widowControl w:val="0"/>
        <w:kinsoku/>
        <w:wordWrap/>
        <w:overflowPunct/>
        <w:topLinePunct w:val="0"/>
        <w:autoSpaceDE/>
        <w:autoSpaceDN/>
        <w:bidi w:val="0"/>
        <w:spacing w:line="420" w:lineRule="exact"/>
        <w:ind w:left="0" w:leftChars="0" w:firstLine="3816" w:firstLineChars="1590"/>
        <w:textAlignment w:val="auto"/>
        <w:outlineLvl w:val="9"/>
        <w:rPr>
          <w:rFonts w:ascii="宋体" w:hAnsi="宋体"/>
          <w:color w:val="auto"/>
          <w:sz w:val="24"/>
          <w:highlight w:val="none"/>
        </w:rPr>
      </w:pPr>
      <w:r>
        <w:rPr>
          <w:rFonts w:hint="eastAsia" w:ascii="宋体" w:hAnsi="宋体"/>
          <w:color w:val="auto"/>
          <w:sz w:val="24"/>
          <w:highlight w:val="none"/>
          <w:lang w:eastAsia="zh-CN"/>
        </w:rPr>
        <w:t>投标供应商</w:t>
      </w:r>
      <w:r>
        <w:rPr>
          <w:rFonts w:hint="eastAsia" w:ascii="宋体" w:hAnsi="宋体"/>
          <w:color w:val="auto"/>
          <w:sz w:val="24"/>
          <w:highlight w:val="none"/>
        </w:rPr>
        <w:t>名称：</w:t>
      </w:r>
      <w:r>
        <w:rPr>
          <w:rFonts w:hint="eastAsia" w:ascii="宋体" w:hAnsi="宋体"/>
          <w:color w:val="auto"/>
          <w:sz w:val="24"/>
          <w:highlight w:val="none"/>
          <w:u w:val="single"/>
        </w:rPr>
        <w:t>　　　　　　　　　</w:t>
      </w:r>
    </w:p>
    <w:p w14:paraId="0EA6CE4E">
      <w:pPr>
        <w:keepNext w:val="0"/>
        <w:keepLines w:val="0"/>
        <w:pageBreakBefore w:val="0"/>
        <w:widowControl w:val="0"/>
        <w:kinsoku/>
        <w:wordWrap/>
        <w:overflowPunct/>
        <w:topLinePunct w:val="0"/>
        <w:autoSpaceDE/>
        <w:autoSpaceDN/>
        <w:bidi w:val="0"/>
        <w:spacing w:line="420" w:lineRule="exact"/>
        <w:ind w:firstLine="3840" w:firstLineChars="1600"/>
        <w:textAlignment w:val="auto"/>
        <w:outlineLvl w:val="9"/>
        <w:rPr>
          <w:rFonts w:ascii="宋体" w:hAnsi="宋体"/>
          <w:color w:val="auto"/>
          <w:sz w:val="24"/>
          <w:highlight w:val="none"/>
        </w:rPr>
      </w:pPr>
      <w:r>
        <w:rPr>
          <w:rFonts w:hint="eastAsia" w:ascii="宋体" w:hAnsi="宋体"/>
          <w:color w:val="auto"/>
          <w:sz w:val="24"/>
          <w:highlight w:val="none"/>
        </w:rPr>
        <w:t>（单位公章）</w:t>
      </w:r>
    </w:p>
    <w:p w14:paraId="3D8385B7">
      <w:pPr>
        <w:keepNext w:val="0"/>
        <w:keepLines w:val="0"/>
        <w:pageBreakBefore w:val="0"/>
        <w:widowControl w:val="0"/>
        <w:kinsoku/>
        <w:wordWrap/>
        <w:overflowPunct/>
        <w:topLinePunct w:val="0"/>
        <w:autoSpaceDE/>
        <w:autoSpaceDN/>
        <w:bidi w:val="0"/>
        <w:spacing w:line="420" w:lineRule="exact"/>
        <w:ind w:left="0" w:leftChars="0" w:firstLine="5488" w:firstLineChars="2287"/>
        <w:textAlignment w:val="auto"/>
        <w:outlineLvl w:val="9"/>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20</w:t>
      </w:r>
      <w:r>
        <w:rPr>
          <w:rFonts w:hint="eastAsia" w:cs="Times New Roman"/>
          <w:color w:val="auto"/>
          <w:sz w:val="24"/>
          <w:highlight w:val="none"/>
          <w:lang w:val="en-US" w:eastAsia="zh-CN"/>
        </w:rPr>
        <w:t xml:space="preserve">  </w:t>
      </w:r>
      <w:r>
        <w:rPr>
          <w:rFonts w:hint="default" w:ascii="Times New Roman" w:hAnsi="Times New Roman" w:cs="Times New Roman"/>
          <w:color w:val="auto"/>
          <w:sz w:val="24"/>
          <w:highlight w:val="none"/>
        </w:rPr>
        <w:t>年</w:t>
      </w:r>
      <w:r>
        <w:rPr>
          <w:rFonts w:hint="eastAsia" w:cs="Times New Roman"/>
          <w:color w:val="auto"/>
          <w:sz w:val="24"/>
          <w:highlight w:val="none"/>
          <w:lang w:val="en-US" w:eastAsia="zh-CN"/>
        </w:rPr>
        <w:t xml:space="preserve">  </w:t>
      </w:r>
      <w:r>
        <w:rPr>
          <w:rFonts w:hint="default" w:ascii="Times New Roman" w:hAnsi="Times New Roman" w:cs="Times New Roman"/>
          <w:color w:val="auto"/>
          <w:sz w:val="24"/>
          <w:highlight w:val="none"/>
        </w:rPr>
        <w:t>月</w:t>
      </w:r>
      <w:r>
        <w:rPr>
          <w:rFonts w:hint="eastAsia" w:cs="Times New Roman"/>
          <w:color w:val="auto"/>
          <w:sz w:val="24"/>
          <w:highlight w:val="none"/>
          <w:lang w:val="en-US" w:eastAsia="zh-CN"/>
        </w:rPr>
        <w:t xml:space="preserve">  </w:t>
      </w:r>
      <w:r>
        <w:rPr>
          <w:rFonts w:hint="default" w:ascii="Times New Roman" w:hAnsi="Times New Roman" w:cs="Times New Roman"/>
          <w:color w:val="auto"/>
          <w:sz w:val="24"/>
          <w:highlight w:val="none"/>
        </w:rPr>
        <w:t>日</w:t>
      </w:r>
    </w:p>
    <w:p w14:paraId="13CD2278">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outlineLvl w:val="9"/>
        <w:rPr>
          <w:rFonts w:hint="eastAsia" w:ascii="宋体" w:hAnsi="宋体"/>
          <w:b/>
          <w:color w:val="auto"/>
          <w:sz w:val="24"/>
          <w:highlight w:val="none"/>
          <w:em w:val="dot"/>
        </w:rPr>
      </w:pPr>
      <w:r>
        <w:rPr>
          <w:rFonts w:hint="eastAsia" w:ascii="宋体" w:hAnsi="宋体"/>
          <w:b/>
          <w:color w:val="auto"/>
          <w:sz w:val="24"/>
          <w:highlight w:val="none"/>
          <w:em w:val="dot"/>
        </w:rPr>
        <w:t>注：除可填报项目外，对本投标函的任何修改将被视为非实质性响应投标，从而导致该投标被拒绝。</w:t>
      </w:r>
    </w:p>
    <w:p w14:paraId="10EAD8FD">
      <w:pPr>
        <w:pStyle w:val="106"/>
        <w:spacing w:after="0"/>
        <w:ind w:left="0" w:leftChars="0" w:firstLine="3" w:firstLineChars="1"/>
        <w:jc w:val="center"/>
        <w:outlineLvl w:val="9"/>
        <w:rPr>
          <w:rFonts w:ascii="宋体" w:hAnsi="宋体"/>
          <w:b/>
          <w:color w:val="auto"/>
          <w:sz w:val="28"/>
          <w:szCs w:val="28"/>
          <w:highlight w:val="none"/>
        </w:rPr>
      </w:pPr>
      <w:r>
        <w:rPr>
          <w:b/>
          <w:color w:val="auto"/>
          <w:sz w:val="30"/>
          <w:szCs w:val="30"/>
          <w:highlight w:val="none"/>
        </w:rPr>
        <w:br w:type="page"/>
      </w:r>
      <w:r>
        <w:rPr>
          <w:rFonts w:hint="eastAsia" w:ascii="宋体" w:hAnsi="宋体"/>
          <w:b/>
          <w:color w:val="auto"/>
          <w:sz w:val="28"/>
          <w:szCs w:val="28"/>
          <w:highlight w:val="none"/>
        </w:rPr>
        <w:t>五、反商业贿赂承诺书</w:t>
      </w:r>
    </w:p>
    <w:p w14:paraId="4D092BFD">
      <w:pPr>
        <w:pStyle w:val="12"/>
        <w:keepNext w:val="0"/>
        <w:keepLines w:val="0"/>
        <w:pageBreakBefore w:val="0"/>
        <w:widowControl w:val="0"/>
        <w:kinsoku/>
        <w:wordWrap/>
        <w:overflowPunct/>
        <w:topLinePunct w:val="0"/>
        <w:autoSpaceDE/>
        <w:autoSpaceDN/>
        <w:bidi w:val="0"/>
        <w:adjustRightInd/>
        <w:snapToGrid/>
        <w:spacing w:after="0" w:line="560" w:lineRule="exact"/>
        <w:ind w:left="0" w:leftChars="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我公司承诺在</w:t>
      </w:r>
      <w:r>
        <w:rPr>
          <w:rFonts w:hint="eastAsia" w:ascii="宋体" w:hAnsi="宋体"/>
          <w:color w:val="auto"/>
          <w:sz w:val="24"/>
          <w:highlight w:val="none"/>
          <w:u w:val="single"/>
        </w:rPr>
        <w:t>（项目名称、项目编号）</w:t>
      </w:r>
      <w:r>
        <w:rPr>
          <w:rFonts w:hint="eastAsia" w:ascii="宋体" w:hAnsi="宋体"/>
          <w:color w:val="auto"/>
          <w:sz w:val="24"/>
          <w:highlight w:val="none"/>
        </w:rPr>
        <w:t>招标活动中，不给予采购方工作人员以及</w:t>
      </w:r>
      <w:r>
        <w:rPr>
          <w:rFonts w:hint="eastAsia" w:ascii="宋体" w:hAnsi="宋体"/>
          <w:color w:val="auto"/>
          <w:sz w:val="24"/>
          <w:highlight w:val="none"/>
          <w:lang w:eastAsia="zh-CN"/>
        </w:rPr>
        <w:t>采购代理机构</w:t>
      </w:r>
      <w:r>
        <w:rPr>
          <w:rFonts w:hint="eastAsia" w:ascii="宋体" w:hAnsi="宋体"/>
          <w:color w:val="auto"/>
          <w:sz w:val="24"/>
          <w:highlight w:val="none"/>
        </w:rPr>
        <w:t>工作人员及其亲属各种形式的商业贿赂（包括送礼金礼品、有价证券、购物券、回扣、佣金、咨询费、劳务费、赞助费、宣传费、支付旅游费用、报销各种消费凭证、宴请、娱乐等），如有上述行为，我公司及项目参与人员愿意按照《</w:t>
      </w:r>
      <w:r>
        <w:rPr>
          <w:rFonts w:hint="eastAsia" w:ascii="宋体" w:hAnsi="宋体"/>
          <w:color w:val="auto"/>
          <w:sz w:val="24"/>
          <w:highlight w:val="none"/>
          <w:lang w:eastAsia="zh-CN"/>
        </w:rPr>
        <w:t>中华人民共和国反不正当竞争法</w:t>
      </w:r>
      <w:r>
        <w:rPr>
          <w:rFonts w:hint="eastAsia" w:ascii="宋体" w:hAnsi="宋体"/>
          <w:color w:val="auto"/>
          <w:sz w:val="24"/>
          <w:highlight w:val="none"/>
        </w:rPr>
        <w:t>》的有关规定接受处罚。</w:t>
      </w:r>
    </w:p>
    <w:p w14:paraId="200EC798">
      <w:pPr>
        <w:pStyle w:val="12"/>
        <w:spacing w:line="440" w:lineRule="exact"/>
        <w:ind w:firstLine="482"/>
        <w:outlineLvl w:val="9"/>
        <w:rPr>
          <w:rFonts w:hint="eastAsia" w:ascii="宋体" w:hAnsi="宋体"/>
          <w:color w:val="auto"/>
          <w:sz w:val="24"/>
          <w:highlight w:val="none"/>
        </w:rPr>
      </w:pPr>
    </w:p>
    <w:p w14:paraId="631C41D5">
      <w:pPr>
        <w:pStyle w:val="12"/>
        <w:spacing w:line="440" w:lineRule="exact"/>
        <w:ind w:left="3780" w:leftChars="1800" w:firstLine="480" w:firstLineChars="200"/>
        <w:outlineLvl w:val="9"/>
        <w:rPr>
          <w:rFonts w:hint="eastAsia" w:ascii="宋体" w:hAnsi="宋体"/>
          <w:color w:val="auto"/>
          <w:sz w:val="24"/>
          <w:highlight w:val="none"/>
        </w:rPr>
      </w:pPr>
    </w:p>
    <w:p w14:paraId="581399F1">
      <w:pPr>
        <w:pStyle w:val="12"/>
        <w:spacing w:line="440" w:lineRule="exact"/>
        <w:ind w:left="3780" w:leftChars="1800" w:firstLine="480" w:firstLineChars="200"/>
        <w:outlineLvl w:val="9"/>
        <w:rPr>
          <w:rFonts w:hint="eastAsia" w:ascii="宋体" w:hAnsi="宋体"/>
          <w:color w:val="auto"/>
          <w:sz w:val="24"/>
          <w:highlight w:val="none"/>
        </w:rPr>
      </w:pPr>
      <w:r>
        <w:rPr>
          <w:rFonts w:hint="eastAsia" w:ascii="宋体" w:hAnsi="宋体"/>
          <w:color w:val="auto"/>
          <w:sz w:val="24"/>
          <w:highlight w:val="none"/>
        </w:rPr>
        <w:t>投标</w:t>
      </w:r>
      <w:r>
        <w:rPr>
          <w:rFonts w:hint="eastAsia" w:ascii="宋体" w:hAnsi="宋体"/>
          <w:color w:val="auto"/>
          <w:sz w:val="24"/>
          <w:highlight w:val="none"/>
          <w:lang w:eastAsia="zh-CN"/>
        </w:rPr>
        <w:t>供应商</w:t>
      </w:r>
      <w:r>
        <w:rPr>
          <w:rFonts w:hint="eastAsia" w:ascii="宋体" w:hAnsi="宋体"/>
          <w:color w:val="auto"/>
          <w:sz w:val="24"/>
          <w:highlight w:val="none"/>
        </w:rPr>
        <w:t>名称（电子签章）：</w:t>
      </w:r>
    </w:p>
    <w:p w14:paraId="040B1D78">
      <w:pPr>
        <w:pStyle w:val="12"/>
        <w:spacing w:line="440" w:lineRule="exact"/>
        <w:ind w:left="3780" w:leftChars="1800" w:firstLine="480" w:firstLineChars="200"/>
        <w:outlineLvl w:val="9"/>
        <w:rPr>
          <w:rFonts w:hint="eastAsia" w:ascii="宋体" w:hAnsi="宋体"/>
          <w:color w:val="auto"/>
          <w:sz w:val="24"/>
          <w:highlight w:val="none"/>
        </w:rPr>
      </w:pPr>
      <w:r>
        <w:rPr>
          <w:rFonts w:hint="eastAsia" w:ascii="宋体" w:hAnsi="宋体"/>
          <w:color w:val="auto"/>
          <w:sz w:val="24"/>
          <w:highlight w:val="none"/>
          <w:lang w:val="en-US" w:eastAsia="zh-CN"/>
        </w:rPr>
        <w:t>供应商</w:t>
      </w:r>
      <w:r>
        <w:rPr>
          <w:rFonts w:hint="eastAsia" w:ascii="宋体" w:hAnsi="宋体"/>
          <w:color w:val="auto"/>
          <w:sz w:val="24"/>
          <w:highlight w:val="none"/>
        </w:rPr>
        <w:t>法定代表</w:t>
      </w:r>
      <w:r>
        <w:rPr>
          <w:rFonts w:hint="eastAsia" w:ascii="宋体" w:hAnsi="宋体"/>
          <w:color w:val="auto"/>
          <w:sz w:val="24"/>
          <w:highlight w:val="none"/>
          <w:lang w:val="en-US" w:eastAsia="zh-CN"/>
        </w:rPr>
        <w:t>人</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电子签名</w:t>
      </w:r>
      <w:r>
        <w:rPr>
          <w:rFonts w:hint="eastAsia" w:ascii="宋体" w:hAnsi="宋体"/>
          <w:color w:val="auto"/>
          <w:sz w:val="24"/>
          <w:highlight w:val="none"/>
          <w:lang w:eastAsia="zh-CN"/>
        </w:rPr>
        <w:t>）</w:t>
      </w:r>
      <w:r>
        <w:rPr>
          <w:rFonts w:hint="eastAsia" w:ascii="宋体" w:hAnsi="宋体"/>
          <w:color w:val="auto"/>
          <w:sz w:val="24"/>
          <w:highlight w:val="none"/>
        </w:rPr>
        <w:t>：</w:t>
      </w:r>
    </w:p>
    <w:p w14:paraId="02C7D7D3">
      <w:pPr>
        <w:pStyle w:val="12"/>
        <w:spacing w:line="440" w:lineRule="exact"/>
        <w:ind w:left="3780" w:leftChars="1800" w:firstLine="480" w:firstLineChars="200"/>
        <w:outlineLvl w:val="9"/>
        <w:rPr>
          <w:rFonts w:hint="eastAsia" w:ascii="宋体" w:hAnsi="宋体"/>
          <w:color w:val="auto"/>
          <w:sz w:val="24"/>
          <w:highlight w:val="none"/>
        </w:rPr>
      </w:pPr>
      <w:r>
        <w:rPr>
          <w:rFonts w:hint="eastAsia" w:ascii="宋体" w:hAnsi="宋体"/>
          <w:color w:val="auto"/>
          <w:sz w:val="24"/>
          <w:highlight w:val="none"/>
        </w:rPr>
        <w:t>法人授权代表</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电子签名</w:t>
      </w:r>
      <w:r>
        <w:rPr>
          <w:rFonts w:hint="eastAsia" w:ascii="宋体" w:hAnsi="宋体"/>
          <w:color w:val="auto"/>
          <w:sz w:val="24"/>
          <w:highlight w:val="none"/>
          <w:lang w:eastAsia="zh-CN"/>
        </w:rPr>
        <w:t>）</w:t>
      </w:r>
      <w:r>
        <w:rPr>
          <w:rFonts w:hint="eastAsia" w:ascii="宋体" w:hAnsi="宋体"/>
          <w:color w:val="auto"/>
          <w:sz w:val="24"/>
          <w:highlight w:val="none"/>
        </w:rPr>
        <w:t>：</w:t>
      </w:r>
    </w:p>
    <w:p w14:paraId="6EC0A507">
      <w:pPr>
        <w:pStyle w:val="12"/>
        <w:spacing w:line="440" w:lineRule="exact"/>
        <w:ind w:left="3780" w:leftChars="1800" w:firstLine="480" w:firstLineChars="200"/>
        <w:outlineLvl w:val="9"/>
        <w:rPr>
          <w:rFonts w:ascii="宋体" w:hAnsi="宋体"/>
          <w:color w:val="auto"/>
          <w:sz w:val="24"/>
          <w:highlight w:val="none"/>
        </w:rPr>
      </w:pPr>
      <w:r>
        <w:rPr>
          <w:rFonts w:hint="eastAsia" w:ascii="宋体" w:hAnsi="宋体"/>
          <w:color w:val="auto"/>
          <w:sz w:val="24"/>
          <w:highlight w:val="none"/>
        </w:rPr>
        <w:t>日期：</w:t>
      </w:r>
    </w:p>
    <w:p w14:paraId="3EB6DAD4">
      <w:pPr>
        <w:numPr>
          <w:ilvl w:val="0"/>
          <w:numId w:val="4"/>
        </w:numPr>
        <w:spacing w:line="460" w:lineRule="atLeast"/>
        <w:jc w:val="center"/>
        <w:outlineLvl w:val="9"/>
        <w:rPr>
          <w:rFonts w:hint="eastAsia" w:ascii="宋体" w:hAnsi="宋体" w:eastAsia="宋体" w:cs="Times New Roman"/>
          <w:b/>
          <w:color w:val="auto"/>
          <w:kern w:val="2"/>
          <w:sz w:val="28"/>
          <w:szCs w:val="28"/>
          <w:highlight w:val="none"/>
          <w:lang w:val="en-US" w:eastAsia="zh-CN" w:bidi="ar-SA"/>
        </w:rPr>
      </w:pPr>
      <w:r>
        <w:rPr>
          <w:color w:val="auto"/>
          <w:highlight w:val="none"/>
        </w:rPr>
        <w:br w:type="page"/>
      </w:r>
      <w:r>
        <w:rPr>
          <w:rFonts w:hint="eastAsia" w:ascii="宋体" w:hAnsi="宋体" w:eastAsia="宋体" w:cs="Times New Roman"/>
          <w:b/>
          <w:color w:val="auto"/>
          <w:kern w:val="2"/>
          <w:sz w:val="28"/>
          <w:szCs w:val="28"/>
          <w:highlight w:val="none"/>
          <w:lang w:val="en-US" w:eastAsia="zh-CN" w:bidi="ar-SA"/>
        </w:rPr>
        <w:t>开标一览表</w:t>
      </w:r>
    </w:p>
    <w:p w14:paraId="6CED21C5">
      <w:pPr>
        <w:numPr>
          <w:ilvl w:val="0"/>
          <w:numId w:val="0"/>
        </w:numPr>
        <w:spacing w:line="460" w:lineRule="atLeast"/>
        <w:jc w:val="both"/>
        <w:outlineLvl w:val="9"/>
        <w:rPr>
          <w:rFonts w:hint="eastAsia" w:ascii="宋体" w:hAnsi="宋体" w:eastAsia="宋体" w:cs="Times New Roman"/>
          <w:b/>
          <w:color w:val="auto"/>
          <w:kern w:val="2"/>
          <w:sz w:val="28"/>
          <w:szCs w:val="28"/>
          <w:highlight w:val="none"/>
          <w:lang w:val="en-US" w:eastAsia="zh-CN" w:bidi="ar-SA"/>
        </w:rPr>
      </w:pPr>
    </w:p>
    <w:p w14:paraId="0367C585">
      <w:pPr>
        <w:outlineLvl w:val="9"/>
        <w:rPr>
          <w:rFonts w:hint="eastAsia"/>
          <w:b w:val="0"/>
          <w:bCs/>
          <w:color w:val="auto"/>
          <w:szCs w:val="21"/>
          <w:highlight w:val="none"/>
          <w:u w:val="single"/>
          <w:lang w:val="zh-CN"/>
        </w:rPr>
      </w:pPr>
      <w:r>
        <w:rPr>
          <w:rFonts w:hint="eastAsia"/>
          <w:b w:val="0"/>
          <w:bCs/>
          <w:color w:val="auto"/>
          <w:szCs w:val="21"/>
          <w:highlight w:val="none"/>
          <w:lang w:val="zh-CN"/>
        </w:rPr>
        <w:t>项目名称：</w:t>
      </w:r>
    </w:p>
    <w:p w14:paraId="7B88453D">
      <w:pPr>
        <w:outlineLvl w:val="9"/>
        <w:rPr>
          <w:rFonts w:hint="eastAsia"/>
          <w:b w:val="0"/>
          <w:bCs/>
          <w:color w:val="auto"/>
          <w:szCs w:val="21"/>
          <w:highlight w:val="none"/>
          <w:u w:val="single"/>
          <w:lang w:val="zh-CN"/>
        </w:rPr>
      </w:pPr>
    </w:p>
    <w:p w14:paraId="6368039D">
      <w:pPr>
        <w:outlineLvl w:val="9"/>
        <w:rPr>
          <w:rFonts w:hint="eastAsia"/>
          <w:b w:val="0"/>
          <w:bCs/>
          <w:color w:val="auto"/>
          <w:szCs w:val="21"/>
          <w:highlight w:val="none"/>
          <w:u w:val="single"/>
          <w:lang w:val="zh-CN"/>
        </w:rPr>
      </w:pPr>
      <w:r>
        <w:rPr>
          <w:rFonts w:hint="eastAsia"/>
          <w:b w:val="0"/>
          <w:bCs/>
          <w:color w:val="auto"/>
          <w:szCs w:val="21"/>
          <w:highlight w:val="none"/>
          <w:lang w:val="zh-CN"/>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p>
    <w:p w14:paraId="7E7F0EF7">
      <w:pPr>
        <w:outlineLvl w:val="9"/>
        <w:rPr>
          <w:rFonts w:hint="eastAsia"/>
          <w:b w:val="0"/>
          <w:bCs/>
          <w:color w:val="auto"/>
          <w:szCs w:val="21"/>
          <w:highlight w:val="none"/>
          <w:u w:val="single"/>
          <w:lang w:val="zh-CN"/>
        </w:rPr>
      </w:pPr>
    </w:p>
    <w:tbl>
      <w:tblPr>
        <w:tblStyle w:val="27"/>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3"/>
        <w:gridCol w:w="2955"/>
        <w:gridCol w:w="2220"/>
        <w:gridCol w:w="1949"/>
      </w:tblGrid>
      <w:tr w14:paraId="5CD5D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1403" w:type="dxa"/>
            <w:noWrap w:val="0"/>
            <w:vAlign w:val="center"/>
          </w:tcPr>
          <w:p w14:paraId="388DBFC5">
            <w:pPr>
              <w:keepNext w:val="0"/>
              <w:keepLines w:val="0"/>
              <w:widowControl/>
              <w:suppressLineNumbers w:val="0"/>
              <w:autoSpaceDE w:val="0"/>
              <w:autoSpaceDN w:val="0"/>
              <w:spacing w:before="0" w:beforeAutospacing="0" w:after="0" w:afterAutospacing="0"/>
              <w:ind w:left="0" w:right="0"/>
              <w:jc w:val="center"/>
              <w:textAlignment w:val="bottom"/>
              <w:outlineLvl w:val="9"/>
              <w:rPr>
                <w:rFonts w:hint="default"/>
                <w:color w:val="auto"/>
                <w:sz w:val="24"/>
                <w:szCs w:val="24"/>
                <w:highlight w:val="none"/>
              </w:rPr>
            </w:pPr>
            <w:r>
              <w:rPr>
                <w:rFonts w:hint="eastAsia"/>
                <w:color w:val="auto"/>
                <w:sz w:val="24"/>
                <w:szCs w:val="24"/>
                <w:highlight w:val="none"/>
              </w:rPr>
              <w:t>序号</w:t>
            </w:r>
          </w:p>
        </w:tc>
        <w:tc>
          <w:tcPr>
            <w:tcW w:w="2955" w:type="dxa"/>
            <w:noWrap w:val="0"/>
            <w:vAlign w:val="center"/>
          </w:tcPr>
          <w:p w14:paraId="7ADD17BB">
            <w:pPr>
              <w:keepNext w:val="0"/>
              <w:keepLines w:val="0"/>
              <w:widowControl/>
              <w:suppressLineNumbers w:val="0"/>
              <w:autoSpaceDE w:val="0"/>
              <w:autoSpaceDN w:val="0"/>
              <w:spacing w:before="0" w:beforeAutospacing="0" w:after="0" w:afterAutospacing="0"/>
              <w:ind w:left="0" w:right="0"/>
              <w:jc w:val="center"/>
              <w:textAlignment w:val="bottom"/>
              <w:outlineLvl w:val="9"/>
              <w:rPr>
                <w:rFonts w:hint="default"/>
                <w:color w:val="auto"/>
                <w:sz w:val="24"/>
                <w:szCs w:val="24"/>
                <w:highlight w:val="none"/>
              </w:rPr>
            </w:pPr>
            <w:r>
              <w:rPr>
                <w:rFonts w:hint="default"/>
                <w:color w:val="auto"/>
                <w:sz w:val="24"/>
                <w:szCs w:val="24"/>
                <w:highlight w:val="none"/>
              </w:rPr>
              <w:t>餐饮服务费支付比例：（%）</w:t>
            </w:r>
          </w:p>
        </w:tc>
        <w:tc>
          <w:tcPr>
            <w:tcW w:w="2220" w:type="dxa"/>
            <w:noWrap w:val="0"/>
            <w:vAlign w:val="center"/>
          </w:tcPr>
          <w:p w14:paraId="0D709816">
            <w:pPr>
              <w:keepNext w:val="0"/>
              <w:keepLines w:val="0"/>
              <w:widowControl/>
              <w:suppressLineNumbers w:val="0"/>
              <w:autoSpaceDE w:val="0"/>
              <w:autoSpaceDN w:val="0"/>
              <w:spacing w:before="0" w:beforeAutospacing="0" w:after="0" w:afterAutospacing="0"/>
              <w:ind w:left="851" w:right="0" w:hanging="851"/>
              <w:jc w:val="center"/>
              <w:textAlignment w:val="bottom"/>
              <w:outlineLvl w:val="9"/>
              <w:rPr>
                <w:rFonts w:hint="default"/>
                <w:color w:val="auto"/>
                <w:sz w:val="24"/>
                <w:szCs w:val="24"/>
                <w:highlight w:val="none"/>
              </w:rPr>
            </w:pPr>
            <w:r>
              <w:rPr>
                <w:rFonts w:hint="eastAsia"/>
                <w:color w:val="auto"/>
                <w:sz w:val="24"/>
                <w:szCs w:val="24"/>
                <w:highlight w:val="none"/>
                <w:lang w:val="en-US" w:eastAsia="zh-CN"/>
              </w:rPr>
              <w:t>服务</w:t>
            </w:r>
            <w:r>
              <w:rPr>
                <w:rFonts w:hint="eastAsia"/>
                <w:color w:val="auto"/>
                <w:sz w:val="24"/>
                <w:szCs w:val="24"/>
                <w:highlight w:val="none"/>
              </w:rPr>
              <w:t>期限</w:t>
            </w:r>
          </w:p>
        </w:tc>
        <w:tc>
          <w:tcPr>
            <w:tcW w:w="1949" w:type="dxa"/>
            <w:noWrap w:val="0"/>
            <w:vAlign w:val="center"/>
          </w:tcPr>
          <w:p w14:paraId="38C8E24A">
            <w:pPr>
              <w:keepNext w:val="0"/>
              <w:keepLines w:val="0"/>
              <w:widowControl/>
              <w:suppressLineNumbers w:val="0"/>
              <w:autoSpaceDE w:val="0"/>
              <w:autoSpaceDN w:val="0"/>
              <w:spacing w:before="0" w:beforeAutospacing="0" w:after="0" w:afterAutospacing="0"/>
              <w:ind w:left="0" w:right="0"/>
              <w:jc w:val="center"/>
              <w:textAlignment w:val="bottom"/>
              <w:outlineLvl w:val="9"/>
              <w:rPr>
                <w:rFonts w:hint="default"/>
                <w:color w:val="auto"/>
                <w:sz w:val="24"/>
                <w:szCs w:val="24"/>
                <w:highlight w:val="none"/>
              </w:rPr>
            </w:pPr>
            <w:r>
              <w:rPr>
                <w:rFonts w:hint="eastAsia"/>
                <w:color w:val="auto"/>
                <w:sz w:val="24"/>
                <w:szCs w:val="24"/>
                <w:highlight w:val="none"/>
              </w:rPr>
              <w:t>备注（如有）</w:t>
            </w:r>
          </w:p>
        </w:tc>
      </w:tr>
      <w:tr w14:paraId="4E7B1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403" w:type="dxa"/>
            <w:noWrap w:val="0"/>
            <w:vAlign w:val="center"/>
          </w:tcPr>
          <w:p w14:paraId="6F5977CB">
            <w:pPr>
              <w:keepNext w:val="0"/>
              <w:keepLines w:val="0"/>
              <w:suppressLineNumbers w:val="0"/>
              <w:spacing w:before="0" w:beforeAutospacing="0" w:after="0" w:afterAutospacing="0"/>
              <w:ind w:left="0" w:right="0"/>
              <w:jc w:val="center"/>
              <w:outlineLvl w:val="9"/>
              <w:rPr>
                <w:rFonts w:hint="default"/>
                <w:color w:val="auto"/>
                <w:sz w:val="24"/>
                <w:szCs w:val="24"/>
                <w:highlight w:val="none"/>
              </w:rPr>
            </w:pPr>
          </w:p>
        </w:tc>
        <w:tc>
          <w:tcPr>
            <w:tcW w:w="2955" w:type="dxa"/>
            <w:noWrap w:val="0"/>
            <w:vAlign w:val="center"/>
          </w:tcPr>
          <w:p w14:paraId="1E8BFC26">
            <w:pPr>
              <w:keepNext w:val="0"/>
              <w:keepLines w:val="0"/>
              <w:widowControl/>
              <w:suppressLineNumbers w:val="0"/>
              <w:autoSpaceDE w:val="0"/>
              <w:autoSpaceDN w:val="0"/>
              <w:spacing w:before="0" w:beforeAutospacing="0" w:after="0" w:afterAutospacing="0" w:line="240" w:lineRule="auto"/>
              <w:ind w:left="851" w:right="0" w:hanging="851"/>
              <w:jc w:val="both"/>
              <w:textAlignment w:val="bottom"/>
              <w:outlineLvl w:val="9"/>
              <w:rPr>
                <w:rFonts w:hint="eastAsia"/>
                <w:color w:val="auto"/>
                <w:sz w:val="24"/>
                <w:szCs w:val="24"/>
                <w:highlight w:val="none"/>
                <w:lang w:val="en-US" w:eastAsia="zh-CN"/>
              </w:rPr>
            </w:pPr>
            <w:r>
              <w:rPr>
                <w:rFonts w:hint="eastAsia"/>
                <w:color w:val="auto"/>
                <w:sz w:val="24"/>
                <w:szCs w:val="24"/>
                <w:highlight w:val="none"/>
                <w:lang w:val="en-US" w:eastAsia="zh-CN"/>
              </w:rPr>
              <w:t>小写：</w:t>
            </w:r>
          </w:p>
          <w:p w14:paraId="32FCB4A1">
            <w:pPr>
              <w:keepNext w:val="0"/>
              <w:keepLines w:val="0"/>
              <w:suppressLineNumbers w:val="0"/>
              <w:spacing w:before="0" w:beforeAutospacing="0" w:after="0" w:afterAutospacing="0"/>
              <w:ind w:left="0" w:right="0"/>
              <w:jc w:val="both"/>
              <w:outlineLvl w:val="9"/>
              <w:rPr>
                <w:rFonts w:hint="default"/>
                <w:color w:val="auto"/>
                <w:sz w:val="24"/>
                <w:szCs w:val="24"/>
                <w:highlight w:val="none"/>
              </w:rPr>
            </w:pPr>
            <w:r>
              <w:rPr>
                <w:rFonts w:hint="eastAsia"/>
                <w:color w:val="auto"/>
                <w:sz w:val="24"/>
                <w:szCs w:val="24"/>
                <w:highlight w:val="none"/>
                <w:lang w:val="en-US" w:eastAsia="zh-CN"/>
              </w:rPr>
              <w:t>大写：</w:t>
            </w:r>
          </w:p>
        </w:tc>
        <w:tc>
          <w:tcPr>
            <w:tcW w:w="2220" w:type="dxa"/>
            <w:noWrap w:val="0"/>
            <w:vAlign w:val="center"/>
          </w:tcPr>
          <w:p w14:paraId="770D09FC">
            <w:pPr>
              <w:keepNext w:val="0"/>
              <w:keepLines w:val="0"/>
              <w:suppressLineNumbers w:val="0"/>
              <w:spacing w:before="0" w:beforeAutospacing="0" w:after="0" w:afterAutospacing="0"/>
              <w:ind w:left="0" w:right="0"/>
              <w:jc w:val="center"/>
              <w:outlineLvl w:val="9"/>
              <w:rPr>
                <w:rFonts w:hint="default"/>
                <w:color w:val="auto"/>
                <w:sz w:val="24"/>
                <w:szCs w:val="24"/>
                <w:highlight w:val="none"/>
              </w:rPr>
            </w:pPr>
          </w:p>
        </w:tc>
        <w:tc>
          <w:tcPr>
            <w:tcW w:w="1949" w:type="dxa"/>
            <w:noWrap w:val="0"/>
            <w:vAlign w:val="center"/>
          </w:tcPr>
          <w:p w14:paraId="1D12D3C6">
            <w:pPr>
              <w:keepNext w:val="0"/>
              <w:keepLines w:val="0"/>
              <w:suppressLineNumbers w:val="0"/>
              <w:spacing w:before="0" w:beforeAutospacing="0" w:after="0" w:afterAutospacing="0"/>
              <w:ind w:left="0" w:right="0"/>
              <w:jc w:val="center"/>
              <w:outlineLvl w:val="9"/>
              <w:rPr>
                <w:rFonts w:hint="default"/>
                <w:color w:val="auto"/>
                <w:sz w:val="24"/>
                <w:szCs w:val="24"/>
                <w:highlight w:val="none"/>
              </w:rPr>
            </w:pPr>
          </w:p>
        </w:tc>
      </w:tr>
    </w:tbl>
    <w:p w14:paraId="50812E69">
      <w:pPr>
        <w:spacing w:line="300" w:lineRule="auto"/>
        <w:outlineLvl w:val="9"/>
        <w:rPr>
          <w:rFonts w:ascii="Arial" w:hAnsi="Arial" w:cs="Arial"/>
          <w:color w:val="auto"/>
          <w:szCs w:val="21"/>
          <w:highlight w:val="none"/>
          <w:u w:val="single"/>
        </w:rPr>
      </w:pPr>
    </w:p>
    <w:p w14:paraId="5A79C8EA">
      <w:pPr>
        <w:spacing w:line="300" w:lineRule="auto"/>
        <w:outlineLvl w:val="9"/>
        <w:rPr>
          <w:rFonts w:ascii="Arial" w:hAnsi="Arial" w:cs="Arial"/>
          <w:color w:val="auto"/>
          <w:szCs w:val="21"/>
          <w:highlight w:val="none"/>
        </w:rPr>
      </w:pPr>
      <w:r>
        <w:rPr>
          <w:rFonts w:ascii="Arial" w:hAnsi="Arial" w:cs="Arial"/>
          <w:color w:val="auto"/>
          <w:szCs w:val="21"/>
          <w:highlight w:val="none"/>
        </w:rPr>
        <w:t>投标</w:t>
      </w:r>
      <w:r>
        <w:rPr>
          <w:rFonts w:hint="eastAsia" w:ascii="Arial" w:hAnsi="Arial" w:cs="Arial"/>
          <w:color w:val="auto"/>
          <w:szCs w:val="21"/>
          <w:highlight w:val="none"/>
          <w:lang w:eastAsia="zh-CN"/>
        </w:rPr>
        <w:t>供应商</w:t>
      </w:r>
      <w:r>
        <w:rPr>
          <w:rFonts w:ascii="Arial" w:hAnsi="Arial" w:cs="Arial"/>
          <w:color w:val="auto"/>
          <w:szCs w:val="21"/>
          <w:highlight w:val="none"/>
        </w:rPr>
        <w:t>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szCs w:val="24"/>
          <w:highlight w:val="none"/>
          <w:lang w:eastAsia="zh-CN"/>
        </w:rPr>
        <w:t>）</w:t>
      </w:r>
      <w:r>
        <w:rPr>
          <w:rFonts w:ascii="Arial" w:hAnsi="Arial" w:cs="Arial"/>
          <w:color w:val="auto"/>
          <w:szCs w:val="21"/>
          <w:highlight w:val="none"/>
        </w:rPr>
        <w:t>：</w:t>
      </w:r>
    </w:p>
    <w:p w14:paraId="418A0620">
      <w:pPr>
        <w:spacing w:line="300" w:lineRule="auto"/>
        <w:outlineLvl w:val="9"/>
        <w:rPr>
          <w:rFonts w:ascii="Arial" w:hAnsi="Arial" w:cs="Arial"/>
          <w:color w:val="auto"/>
          <w:szCs w:val="21"/>
          <w:highlight w:val="none"/>
        </w:rPr>
      </w:pPr>
      <w:r>
        <w:rPr>
          <w:rFonts w:ascii="Arial" w:hAnsi="Arial" w:cs="Arial"/>
          <w:color w:val="auto"/>
          <w:szCs w:val="21"/>
          <w:highlight w:val="none"/>
        </w:rPr>
        <w:t>日期：</w:t>
      </w:r>
    </w:p>
    <w:p w14:paraId="5232D67B">
      <w:pPr>
        <w:spacing w:line="300" w:lineRule="auto"/>
        <w:outlineLvl w:val="9"/>
        <w:rPr>
          <w:rFonts w:ascii="Arial" w:hAnsi="Arial" w:cs="Arial"/>
          <w:color w:val="auto"/>
          <w:szCs w:val="21"/>
          <w:highlight w:val="none"/>
        </w:rPr>
      </w:pPr>
    </w:p>
    <w:p w14:paraId="165C20F0">
      <w:pPr>
        <w:outlineLvl w:val="9"/>
        <w:rPr>
          <w:rFonts w:cs="Arial"/>
          <w:color w:val="auto"/>
          <w:szCs w:val="24"/>
          <w:highlight w:val="none"/>
        </w:rPr>
      </w:pPr>
    </w:p>
    <w:p w14:paraId="2357B7CA">
      <w:pPr>
        <w:pStyle w:val="11"/>
        <w:outlineLvl w:val="9"/>
        <w:rPr>
          <w:rFonts w:cs="Arial"/>
          <w:color w:val="auto"/>
          <w:szCs w:val="24"/>
          <w:highlight w:val="none"/>
        </w:rPr>
      </w:pPr>
    </w:p>
    <w:p w14:paraId="4FBEB3C0">
      <w:pPr>
        <w:pStyle w:val="11"/>
        <w:outlineLvl w:val="9"/>
        <w:rPr>
          <w:rFonts w:cs="Arial"/>
          <w:color w:val="auto"/>
          <w:szCs w:val="24"/>
          <w:highlight w:val="none"/>
        </w:rPr>
      </w:pPr>
    </w:p>
    <w:p w14:paraId="23CC9D8B">
      <w:pPr>
        <w:pStyle w:val="11"/>
        <w:outlineLvl w:val="9"/>
        <w:rPr>
          <w:rFonts w:cs="Arial"/>
          <w:color w:val="auto"/>
          <w:szCs w:val="24"/>
          <w:highlight w:val="none"/>
        </w:rPr>
      </w:pPr>
    </w:p>
    <w:p w14:paraId="2E867F31">
      <w:pPr>
        <w:pStyle w:val="11"/>
        <w:outlineLvl w:val="9"/>
        <w:rPr>
          <w:rFonts w:cs="Arial"/>
          <w:color w:val="auto"/>
          <w:szCs w:val="24"/>
          <w:highlight w:val="none"/>
        </w:rPr>
      </w:pPr>
    </w:p>
    <w:p w14:paraId="7CB776B1">
      <w:pPr>
        <w:spacing w:line="360" w:lineRule="auto"/>
        <w:outlineLvl w:val="9"/>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注：</w:t>
      </w:r>
    </w:p>
    <w:p w14:paraId="6C2C1AD6">
      <w:pPr>
        <w:keepNext w:val="0"/>
        <w:keepLines w:val="0"/>
        <w:pageBreakBefore w:val="0"/>
        <w:widowControl w:val="0"/>
        <w:kinsoku/>
        <w:wordWrap/>
        <w:overflowPunct/>
        <w:topLinePunct w:val="0"/>
        <w:autoSpaceDE/>
        <w:autoSpaceDN/>
        <w:bidi w:val="0"/>
        <w:adjustRightInd/>
        <w:snapToGrid/>
        <w:spacing w:line="360" w:lineRule="auto"/>
        <w:ind w:firstLine="435"/>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1.此表用于开标唱标之用。</w:t>
      </w:r>
    </w:p>
    <w:p w14:paraId="77E4A5F3">
      <w:pPr>
        <w:keepNext w:val="0"/>
        <w:keepLines w:val="0"/>
        <w:pageBreakBefore w:val="0"/>
        <w:widowControl w:val="0"/>
        <w:kinsoku/>
        <w:wordWrap/>
        <w:overflowPunct/>
        <w:topLinePunct w:val="0"/>
        <w:autoSpaceDE/>
        <w:autoSpaceDN/>
        <w:bidi w:val="0"/>
        <w:adjustRightInd/>
        <w:snapToGrid/>
        <w:spacing w:line="360" w:lineRule="auto"/>
        <w:ind w:firstLine="435"/>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2.表中投标报价即为优惠后报价，并作为评审及定标依据。任何有选择或有条件的投标报价，或者表中某一包填写多个报价，均为无效报价。</w:t>
      </w:r>
    </w:p>
    <w:p w14:paraId="4DE6F132">
      <w:pPr>
        <w:pStyle w:val="11"/>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textAlignment w:val="auto"/>
        <w:outlineLvl w:val="9"/>
        <w:rPr>
          <w:rFonts w:hint="default" w:ascii="Times New Roman" w:hAnsi="Times New Roman" w:eastAsia="宋体" w:cs="Times New Roman"/>
          <w:color w:val="auto"/>
          <w:sz w:val="24"/>
          <w:szCs w:val="24"/>
          <w:highlight w:val="none"/>
        </w:rPr>
        <w:sectPr>
          <w:pgSz w:w="11905" w:h="16840"/>
          <w:pgMar w:top="1440" w:right="1800" w:bottom="1440" w:left="1800" w:header="851" w:footer="850" w:gutter="0"/>
          <w:pgBorders>
            <w:top w:val="none" w:sz="0" w:space="0"/>
            <w:left w:val="none" w:sz="0" w:space="0"/>
            <w:bottom w:val="none" w:sz="0" w:space="0"/>
            <w:right w:val="none" w:sz="0" w:space="0"/>
          </w:pgBorders>
          <w:pgNumType w:fmt="decimal"/>
          <w:cols w:space="720" w:num="1"/>
        </w:sect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.表中大写与小写不一致的，以大写为准。</w:t>
      </w:r>
    </w:p>
    <w:p w14:paraId="43594ED7">
      <w:pPr>
        <w:pStyle w:val="106"/>
        <w:spacing w:after="0"/>
        <w:ind w:left="0" w:leftChars="0" w:firstLine="3" w:firstLineChars="1"/>
        <w:jc w:val="center"/>
        <w:outlineLvl w:val="9"/>
        <w:rPr>
          <w:rFonts w:hint="eastAsia" w:ascii="宋体" w:hAnsi="宋体"/>
          <w:b/>
          <w:color w:val="auto"/>
          <w:sz w:val="28"/>
          <w:szCs w:val="28"/>
          <w:highlight w:val="none"/>
        </w:rPr>
      </w:pPr>
      <w:r>
        <w:rPr>
          <w:rFonts w:hint="eastAsia" w:ascii="宋体" w:hAnsi="宋体" w:eastAsia="宋体" w:cs="Times New Roman"/>
          <w:b/>
          <w:color w:val="auto"/>
          <w:sz w:val="28"/>
          <w:szCs w:val="28"/>
          <w:highlight w:val="none"/>
        </w:rPr>
        <w:t>七、</w:t>
      </w:r>
      <w:r>
        <w:rPr>
          <w:rFonts w:hint="eastAsia" w:ascii="宋体" w:hAnsi="宋体" w:eastAsia="宋体" w:cs="Times New Roman"/>
          <w:b/>
          <w:color w:val="auto"/>
          <w:sz w:val="28"/>
          <w:szCs w:val="28"/>
          <w:highlight w:val="none"/>
          <w:lang w:eastAsia="zh-CN"/>
        </w:rPr>
        <w:t>采购需求</w:t>
      </w:r>
      <w:r>
        <w:rPr>
          <w:rFonts w:hint="eastAsia" w:ascii="宋体" w:hAnsi="宋体"/>
          <w:b/>
          <w:color w:val="auto"/>
          <w:sz w:val="28"/>
          <w:szCs w:val="28"/>
          <w:highlight w:val="none"/>
        </w:rPr>
        <w:t>偏离表</w:t>
      </w:r>
    </w:p>
    <w:p w14:paraId="321E613E">
      <w:pPr>
        <w:pStyle w:val="12"/>
        <w:rPr>
          <w:highlight w:val="none"/>
        </w:rPr>
      </w:pPr>
    </w:p>
    <w:p w14:paraId="28BF267E">
      <w:pPr>
        <w:spacing w:line="440" w:lineRule="exact"/>
        <w:ind w:firstLine="120" w:firstLineChars="50"/>
        <w:outlineLvl w:val="9"/>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名称（电子签章）：</w:t>
      </w:r>
      <w:r>
        <w:rPr>
          <w:rFonts w:hint="eastAsia" w:ascii="宋体" w:hAnsi="宋体"/>
          <w:color w:val="auto"/>
          <w:sz w:val="24"/>
          <w:szCs w:val="24"/>
          <w:highlight w:val="none"/>
          <w:u w:val="single"/>
        </w:rPr>
        <w:t>　　　　　</w:t>
      </w:r>
      <w:r>
        <w:rPr>
          <w:rFonts w:hint="eastAsia" w:ascii="宋体" w:hAnsi="宋体"/>
          <w:color w:val="auto"/>
          <w:sz w:val="24"/>
          <w:szCs w:val="24"/>
          <w:highlight w:val="none"/>
        </w:rPr>
        <w:t>招标编号：</w:t>
      </w:r>
      <w:r>
        <w:rPr>
          <w:rFonts w:hint="eastAsia" w:ascii="宋体" w:hAnsi="宋体"/>
          <w:color w:val="auto"/>
          <w:sz w:val="24"/>
          <w:szCs w:val="24"/>
          <w:highlight w:val="none"/>
          <w:u w:val="single"/>
        </w:rPr>
        <w:t>　　　　</w:t>
      </w:r>
    </w:p>
    <w:p w14:paraId="146E40E7">
      <w:pPr>
        <w:spacing w:line="440" w:lineRule="exact"/>
        <w:ind w:firstLine="120" w:firstLineChars="50"/>
        <w:outlineLvl w:val="9"/>
        <w:rPr>
          <w:rFonts w:hint="eastAsia" w:ascii="宋体" w:hAnsi="宋体"/>
          <w:color w:val="auto"/>
          <w:sz w:val="24"/>
          <w:szCs w:val="24"/>
          <w:highlight w:val="none"/>
        </w:rPr>
      </w:pPr>
      <w:r>
        <w:rPr>
          <w:rFonts w:hint="eastAsia" w:ascii="宋体" w:hAnsi="宋体"/>
          <w:color w:val="auto"/>
          <w:sz w:val="24"/>
          <w:szCs w:val="24"/>
          <w:highlight w:val="none"/>
        </w:rPr>
        <w:t>分包序号、名称：</w:t>
      </w:r>
      <w:r>
        <w:rPr>
          <w:rFonts w:hint="eastAsia" w:ascii="宋体" w:hAnsi="宋体"/>
          <w:color w:val="auto"/>
          <w:sz w:val="24"/>
          <w:szCs w:val="24"/>
          <w:highlight w:val="none"/>
          <w:u w:val="single"/>
        </w:rPr>
        <w:t>　　　　</w:t>
      </w:r>
      <w:r>
        <w:rPr>
          <w:rFonts w:hint="eastAsia" w:ascii="宋体" w:hAnsi="宋体"/>
          <w:color w:val="auto"/>
          <w:sz w:val="24"/>
          <w:szCs w:val="24"/>
          <w:highlight w:val="none"/>
        </w:rPr>
        <w:t>　</w:t>
      </w:r>
    </w:p>
    <w:p w14:paraId="56B5D359">
      <w:pPr>
        <w:spacing w:line="440" w:lineRule="exact"/>
        <w:ind w:firstLine="120" w:firstLineChars="50"/>
        <w:outlineLvl w:val="9"/>
        <w:rPr>
          <w:rFonts w:hint="eastAsia" w:ascii="宋体" w:hAnsi="宋体"/>
          <w:color w:val="auto"/>
          <w:sz w:val="24"/>
          <w:szCs w:val="24"/>
          <w:highlight w:val="none"/>
        </w:rPr>
      </w:pPr>
    </w:p>
    <w:tbl>
      <w:tblPr>
        <w:tblStyle w:val="27"/>
        <w:tblW w:w="86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1968"/>
        <w:gridCol w:w="1845"/>
        <w:gridCol w:w="1935"/>
        <w:gridCol w:w="1980"/>
      </w:tblGrid>
      <w:tr w14:paraId="36B37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891" w:type="dxa"/>
            <w:noWrap w:val="0"/>
            <w:vAlign w:val="center"/>
          </w:tcPr>
          <w:p w14:paraId="0005FA81">
            <w:pPr>
              <w:keepNext w:val="0"/>
              <w:keepLines w:val="0"/>
              <w:suppressLineNumbers w:val="0"/>
              <w:spacing w:before="0" w:beforeAutospacing="0" w:after="0" w:afterAutospacing="0" w:line="440" w:lineRule="exact"/>
              <w:ind w:left="0" w:right="0"/>
              <w:jc w:val="center"/>
              <w:outlineLvl w:val="9"/>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序号</w:t>
            </w:r>
          </w:p>
        </w:tc>
        <w:tc>
          <w:tcPr>
            <w:tcW w:w="1968" w:type="dxa"/>
            <w:noWrap w:val="0"/>
            <w:vAlign w:val="center"/>
          </w:tcPr>
          <w:p w14:paraId="60E6772D">
            <w:pPr>
              <w:keepNext w:val="0"/>
              <w:keepLines w:val="0"/>
              <w:suppressLineNumbers w:val="0"/>
              <w:spacing w:before="0" w:beforeAutospacing="0" w:after="0" w:afterAutospacing="0" w:line="440" w:lineRule="exact"/>
              <w:ind w:left="0" w:right="0"/>
              <w:jc w:val="center"/>
              <w:outlineLvl w:val="9"/>
              <w:rPr>
                <w:rFonts w:hint="default" w:ascii="Times New Roman" w:hAnsi="Times New Roman" w:cs="Times New Roman"/>
                <w:color w:val="auto"/>
                <w:sz w:val="24"/>
                <w:szCs w:val="24"/>
                <w:highlight w:val="none"/>
                <w:lang w:eastAsia="zh-CN"/>
              </w:rPr>
            </w:pPr>
            <w:r>
              <w:rPr>
                <w:rFonts w:hint="default" w:ascii="Times New Roman" w:hAnsi="Times New Roman" w:cs="Times New Roman"/>
                <w:color w:val="auto"/>
                <w:sz w:val="24"/>
                <w:szCs w:val="24"/>
                <w:highlight w:val="none"/>
                <w:lang w:eastAsia="zh-CN"/>
              </w:rPr>
              <w:t>公开招标文件</w:t>
            </w:r>
          </w:p>
          <w:p w14:paraId="4B13DFFB">
            <w:pPr>
              <w:keepNext w:val="0"/>
              <w:keepLines w:val="0"/>
              <w:suppressLineNumbers w:val="0"/>
              <w:spacing w:before="0" w:beforeAutospacing="0" w:after="0" w:afterAutospacing="0" w:line="440" w:lineRule="exact"/>
              <w:ind w:left="0" w:right="0"/>
              <w:jc w:val="center"/>
              <w:outlineLvl w:val="9"/>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条目号</w:t>
            </w:r>
          </w:p>
        </w:tc>
        <w:tc>
          <w:tcPr>
            <w:tcW w:w="1845" w:type="dxa"/>
            <w:noWrap w:val="0"/>
            <w:vAlign w:val="center"/>
          </w:tcPr>
          <w:p w14:paraId="720B0AAE">
            <w:pPr>
              <w:keepNext w:val="0"/>
              <w:keepLines w:val="0"/>
              <w:suppressLineNumbers w:val="0"/>
              <w:spacing w:before="0" w:beforeAutospacing="0" w:after="0" w:afterAutospacing="0" w:line="440" w:lineRule="exact"/>
              <w:ind w:left="0" w:right="0"/>
              <w:jc w:val="center"/>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lang w:eastAsia="zh-CN"/>
              </w:rPr>
              <w:t>公开招标文件</w:t>
            </w:r>
            <w:r>
              <w:rPr>
                <w:rFonts w:hint="default" w:ascii="Times New Roman" w:hAnsi="Times New Roman" w:cs="Times New Roman"/>
                <w:color w:val="auto"/>
                <w:sz w:val="24"/>
                <w:szCs w:val="24"/>
                <w:highlight w:val="none"/>
              </w:rPr>
              <w:t>的</w:t>
            </w:r>
            <w:r>
              <w:rPr>
                <w:rFonts w:hint="default" w:ascii="Times New Roman" w:hAnsi="Times New Roman" w:cs="Times New Roman"/>
                <w:color w:val="auto"/>
                <w:sz w:val="24"/>
                <w:szCs w:val="24"/>
                <w:highlight w:val="none"/>
                <w:lang w:eastAsia="zh-CN"/>
              </w:rPr>
              <w:t>采购需求</w:t>
            </w:r>
          </w:p>
        </w:tc>
        <w:tc>
          <w:tcPr>
            <w:tcW w:w="1935" w:type="dxa"/>
            <w:noWrap w:val="0"/>
            <w:vAlign w:val="center"/>
          </w:tcPr>
          <w:p w14:paraId="66D42327">
            <w:pPr>
              <w:keepNext w:val="0"/>
              <w:keepLines w:val="0"/>
              <w:suppressLineNumbers w:val="0"/>
              <w:spacing w:before="0" w:beforeAutospacing="0" w:after="0" w:afterAutospacing="0" w:line="440" w:lineRule="exact"/>
              <w:ind w:left="0" w:right="0"/>
              <w:jc w:val="center"/>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lang w:eastAsia="zh-CN"/>
              </w:rPr>
              <w:t>投标文件</w:t>
            </w:r>
            <w:r>
              <w:rPr>
                <w:rFonts w:hint="default" w:ascii="Times New Roman" w:hAnsi="Times New Roman" w:cs="Times New Roman"/>
                <w:color w:val="auto"/>
                <w:sz w:val="24"/>
                <w:szCs w:val="24"/>
                <w:highlight w:val="none"/>
              </w:rPr>
              <w:t>的</w:t>
            </w:r>
            <w:r>
              <w:rPr>
                <w:rFonts w:hint="default" w:ascii="Times New Roman" w:hAnsi="Times New Roman" w:cs="Times New Roman"/>
                <w:color w:val="auto"/>
                <w:sz w:val="24"/>
                <w:szCs w:val="24"/>
                <w:highlight w:val="none"/>
                <w:lang w:eastAsia="zh-CN"/>
              </w:rPr>
              <w:t>采购需求</w:t>
            </w:r>
          </w:p>
        </w:tc>
        <w:tc>
          <w:tcPr>
            <w:tcW w:w="1980" w:type="dxa"/>
            <w:noWrap w:val="0"/>
            <w:vAlign w:val="center"/>
          </w:tcPr>
          <w:p w14:paraId="380BC983">
            <w:pPr>
              <w:keepNext w:val="0"/>
              <w:keepLines w:val="0"/>
              <w:suppressLineNumbers w:val="0"/>
              <w:spacing w:before="0" w:beforeAutospacing="0" w:after="0" w:afterAutospacing="0" w:line="440" w:lineRule="exact"/>
              <w:ind w:left="0" w:right="0"/>
              <w:jc w:val="center"/>
              <w:outlineLvl w:val="9"/>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说明</w:t>
            </w:r>
          </w:p>
        </w:tc>
      </w:tr>
      <w:tr w14:paraId="64762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noWrap w:val="0"/>
            <w:vAlign w:val="center"/>
          </w:tcPr>
          <w:p w14:paraId="5D8F1B85">
            <w:pPr>
              <w:keepNext w:val="0"/>
              <w:keepLines w:val="0"/>
              <w:suppressLineNumbers w:val="0"/>
              <w:spacing w:before="0" w:beforeAutospacing="0" w:after="0" w:afterAutospacing="0"/>
              <w:ind w:left="0" w:right="0"/>
              <w:jc w:val="center"/>
              <w:outlineLvl w:val="9"/>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w:t>
            </w:r>
          </w:p>
        </w:tc>
        <w:tc>
          <w:tcPr>
            <w:tcW w:w="1968" w:type="dxa"/>
            <w:noWrap w:val="0"/>
            <w:vAlign w:val="top"/>
          </w:tcPr>
          <w:p w14:paraId="5C116739">
            <w:pPr>
              <w:keepNext w:val="0"/>
              <w:keepLines w:val="0"/>
              <w:suppressLineNumbers w:val="0"/>
              <w:spacing w:before="0" w:beforeAutospacing="0" w:after="0" w:afterAutospacing="0" w:line="440" w:lineRule="exact"/>
              <w:ind w:left="0" w:right="0"/>
              <w:jc w:val="center"/>
              <w:outlineLvl w:val="9"/>
              <w:rPr>
                <w:rFonts w:hint="default" w:ascii="Times New Roman" w:hAnsi="Times New Roman" w:cs="Times New Roman"/>
                <w:color w:val="auto"/>
                <w:sz w:val="24"/>
                <w:szCs w:val="24"/>
                <w:highlight w:val="none"/>
              </w:rPr>
            </w:pPr>
          </w:p>
        </w:tc>
        <w:tc>
          <w:tcPr>
            <w:tcW w:w="1845" w:type="dxa"/>
            <w:noWrap w:val="0"/>
            <w:vAlign w:val="top"/>
          </w:tcPr>
          <w:p w14:paraId="5C898B94">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c>
          <w:tcPr>
            <w:tcW w:w="1935" w:type="dxa"/>
            <w:noWrap w:val="0"/>
            <w:vAlign w:val="top"/>
          </w:tcPr>
          <w:p w14:paraId="2FEFDF78">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c>
          <w:tcPr>
            <w:tcW w:w="1980" w:type="dxa"/>
            <w:noWrap w:val="0"/>
            <w:vAlign w:val="top"/>
          </w:tcPr>
          <w:p w14:paraId="30FF6984">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r>
      <w:tr w14:paraId="207D8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trPr>
        <w:tc>
          <w:tcPr>
            <w:tcW w:w="891" w:type="dxa"/>
            <w:noWrap w:val="0"/>
            <w:vAlign w:val="center"/>
          </w:tcPr>
          <w:p w14:paraId="3783740F">
            <w:pPr>
              <w:keepNext w:val="0"/>
              <w:keepLines w:val="0"/>
              <w:suppressLineNumbers w:val="0"/>
              <w:spacing w:before="0" w:beforeAutospacing="0" w:after="0" w:afterAutospacing="0"/>
              <w:ind w:left="0" w:right="0"/>
              <w:jc w:val="center"/>
              <w:outlineLvl w:val="9"/>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w:t>
            </w:r>
          </w:p>
        </w:tc>
        <w:tc>
          <w:tcPr>
            <w:tcW w:w="1968" w:type="dxa"/>
            <w:noWrap w:val="0"/>
            <w:vAlign w:val="top"/>
          </w:tcPr>
          <w:p w14:paraId="144781E6">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c>
          <w:tcPr>
            <w:tcW w:w="1845" w:type="dxa"/>
            <w:noWrap w:val="0"/>
            <w:vAlign w:val="top"/>
          </w:tcPr>
          <w:p w14:paraId="214A1C11">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c>
          <w:tcPr>
            <w:tcW w:w="1935" w:type="dxa"/>
            <w:noWrap w:val="0"/>
            <w:vAlign w:val="top"/>
          </w:tcPr>
          <w:p w14:paraId="0862EA4E">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c>
          <w:tcPr>
            <w:tcW w:w="1980" w:type="dxa"/>
            <w:noWrap w:val="0"/>
            <w:vAlign w:val="top"/>
          </w:tcPr>
          <w:p w14:paraId="64B36DE6">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r>
      <w:tr w14:paraId="12F04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noWrap w:val="0"/>
            <w:vAlign w:val="center"/>
          </w:tcPr>
          <w:p w14:paraId="283FF057">
            <w:pPr>
              <w:keepNext w:val="0"/>
              <w:keepLines w:val="0"/>
              <w:suppressLineNumbers w:val="0"/>
              <w:spacing w:before="0" w:beforeAutospacing="0" w:after="0" w:afterAutospacing="0"/>
              <w:ind w:left="0" w:right="0"/>
              <w:jc w:val="center"/>
              <w:outlineLvl w:val="9"/>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w:t>
            </w:r>
          </w:p>
        </w:tc>
        <w:tc>
          <w:tcPr>
            <w:tcW w:w="1968" w:type="dxa"/>
            <w:noWrap w:val="0"/>
            <w:vAlign w:val="top"/>
          </w:tcPr>
          <w:p w14:paraId="39466B9C">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c>
          <w:tcPr>
            <w:tcW w:w="1845" w:type="dxa"/>
            <w:noWrap w:val="0"/>
            <w:vAlign w:val="center"/>
          </w:tcPr>
          <w:p w14:paraId="3447AB91">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c>
          <w:tcPr>
            <w:tcW w:w="1935" w:type="dxa"/>
            <w:noWrap w:val="0"/>
            <w:vAlign w:val="top"/>
          </w:tcPr>
          <w:p w14:paraId="17FE78A0">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c>
          <w:tcPr>
            <w:tcW w:w="1980" w:type="dxa"/>
            <w:noWrap w:val="0"/>
            <w:vAlign w:val="top"/>
          </w:tcPr>
          <w:p w14:paraId="7502E721">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r>
      <w:tr w14:paraId="69BA2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noWrap w:val="0"/>
            <w:vAlign w:val="center"/>
          </w:tcPr>
          <w:p w14:paraId="7101D5E4">
            <w:pPr>
              <w:keepNext w:val="0"/>
              <w:keepLines w:val="0"/>
              <w:suppressLineNumbers w:val="0"/>
              <w:spacing w:before="0" w:beforeAutospacing="0" w:after="0" w:afterAutospacing="0"/>
              <w:ind w:left="0" w:right="0"/>
              <w:jc w:val="center"/>
              <w:outlineLvl w:val="9"/>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w:t>
            </w:r>
          </w:p>
        </w:tc>
        <w:tc>
          <w:tcPr>
            <w:tcW w:w="1968" w:type="dxa"/>
            <w:noWrap w:val="0"/>
            <w:vAlign w:val="top"/>
          </w:tcPr>
          <w:p w14:paraId="40A444FF">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c>
          <w:tcPr>
            <w:tcW w:w="1845" w:type="dxa"/>
            <w:noWrap w:val="0"/>
            <w:vAlign w:val="center"/>
          </w:tcPr>
          <w:p w14:paraId="5C9AF8A4">
            <w:pPr>
              <w:pStyle w:val="42"/>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kern w:val="2"/>
                <w:highlight w:val="none"/>
              </w:rPr>
            </w:pPr>
          </w:p>
        </w:tc>
        <w:tc>
          <w:tcPr>
            <w:tcW w:w="1935" w:type="dxa"/>
            <w:noWrap w:val="0"/>
            <w:vAlign w:val="top"/>
          </w:tcPr>
          <w:p w14:paraId="5E52FB19">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c>
          <w:tcPr>
            <w:tcW w:w="1980" w:type="dxa"/>
            <w:noWrap w:val="0"/>
            <w:vAlign w:val="top"/>
          </w:tcPr>
          <w:p w14:paraId="6D15D343">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r>
      <w:tr w14:paraId="2D113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noWrap w:val="0"/>
            <w:vAlign w:val="center"/>
          </w:tcPr>
          <w:p w14:paraId="126A2A91">
            <w:pPr>
              <w:keepNext w:val="0"/>
              <w:keepLines w:val="0"/>
              <w:suppressLineNumbers w:val="0"/>
              <w:spacing w:before="0" w:beforeAutospacing="0" w:after="0" w:afterAutospacing="0"/>
              <w:ind w:left="0" w:right="0"/>
              <w:jc w:val="center"/>
              <w:outlineLvl w:val="9"/>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w:t>
            </w:r>
          </w:p>
        </w:tc>
        <w:tc>
          <w:tcPr>
            <w:tcW w:w="1968" w:type="dxa"/>
            <w:noWrap w:val="0"/>
            <w:vAlign w:val="top"/>
          </w:tcPr>
          <w:p w14:paraId="4D4F3698">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c>
          <w:tcPr>
            <w:tcW w:w="1845" w:type="dxa"/>
            <w:noWrap w:val="0"/>
            <w:vAlign w:val="top"/>
          </w:tcPr>
          <w:p w14:paraId="4454539D">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c>
          <w:tcPr>
            <w:tcW w:w="1935" w:type="dxa"/>
            <w:noWrap w:val="0"/>
            <w:vAlign w:val="top"/>
          </w:tcPr>
          <w:p w14:paraId="2E408F47">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c>
          <w:tcPr>
            <w:tcW w:w="1980" w:type="dxa"/>
            <w:noWrap w:val="0"/>
            <w:vAlign w:val="top"/>
          </w:tcPr>
          <w:p w14:paraId="72F899DD">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r>
      <w:tr w14:paraId="11BF8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noWrap w:val="0"/>
            <w:vAlign w:val="center"/>
          </w:tcPr>
          <w:p w14:paraId="10E85982">
            <w:pPr>
              <w:keepNext w:val="0"/>
              <w:keepLines w:val="0"/>
              <w:suppressLineNumbers w:val="0"/>
              <w:spacing w:before="0" w:beforeAutospacing="0" w:after="0" w:afterAutospacing="0"/>
              <w:ind w:left="0" w:right="0"/>
              <w:jc w:val="center"/>
              <w:outlineLvl w:val="9"/>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w:t>
            </w:r>
          </w:p>
        </w:tc>
        <w:tc>
          <w:tcPr>
            <w:tcW w:w="1968" w:type="dxa"/>
            <w:noWrap w:val="0"/>
            <w:vAlign w:val="top"/>
          </w:tcPr>
          <w:p w14:paraId="0615C4F7">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c>
          <w:tcPr>
            <w:tcW w:w="1845" w:type="dxa"/>
            <w:noWrap w:val="0"/>
            <w:vAlign w:val="top"/>
          </w:tcPr>
          <w:p w14:paraId="403A1AE0">
            <w:pPr>
              <w:keepNext w:val="0"/>
              <w:keepLines w:val="0"/>
              <w:suppressLineNumbers w:val="0"/>
              <w:snapToGrid w:val="0"/>
              <w:spacing w:before="0" w:beforeAutospacing="0" w:after="0" w:afterAutospacing="0" w:line="440" w:lineRule="exact"/>
              <w:ind w:left="0" w:right="0" w:firstLine="480" w:firstLineChars="200"/>
              <w:outlineLvl w:val="9"/>
              <w:rPr>
                <w:rFonts w:hint="default" w:ascii="Times New Roman" w:hAnsi="Times New Roman" w:cs="Times New Roman"/>
                <w:color w:val="auto"/>
                <w:sz w:val="24"/>
                <w:szCs w:val="24"/>
                <w:highlight w:val="none"/>
              </w:rPr>
            </w:pPr>
          </w:p>
        </w:tc>
        <w:tc>
          <w:tcPr>
            <w:tcW w:w="1935" w:type="dxa"/>
            <w:noWrap w:val="0"/>
            <w:vAlign w:val="top"/>
          </w:tcPr>
          <w:p w14:paraId="7AC72D14">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c>
          <w:tcPr>
            <w:tcW w:w="1980" w:type="dxa"/>
            <w:noWrap w:val="0"/>
            <w:vAlign w:val="top"/>
          </w:tcPr>
          <w:p w14:paraId="05A1C839">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r>
      <w:tr w14:paraId="501A3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noWrap w:val="0"/>
            <w:vAlign w:val="center"/>
          </w:tcPr>
          <w:p w14:paraId="67C4302F">
            <w:pPr>
              <w:keepNext w:val="0"/>
              <w:keepLines w:val="0"/>
              <w:suppressLineNumbers w:val="0"/>
              <w:spacing w:before="0" w:beforeAutospacing="0" w:after="0" w:afterAutospacing="0"/>
              <w:ind w:left="0" w:right="0"/>
              <w:jc w:val="center"/>
              <w:outlineLvl w:val="9"/>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w:t>
            </w:r>
          </w:p>
        </w:tc>
        <w:tc>
          <w:tcPr>
            <w:tcW w:w="1968" w:type="dxa"/>
            <w:noWrap w:val="0"/>
            <w:vAlign w:val="top"/>
          </w:tcPr>
          <w:p w14:paraId="64BA1949">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c>
          <w:tcPr>
            <w:tcW w:w="1845" w:type="dxa"/>
            <w:noWrap w:val="0"/>
            <w:vAlign w:val="top"/>
          </w:tcPr>
          <w:p w14:paraId="74B7F95E">
            <w:pPr>
              <w:keepNext w:val="0"/>
              <w:keepLines w:val="0"/>
              <w:suppressLineNumbers w:val="0"/>
              <w:snapToGrid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c>
          <w:tcPr>
            <w:tcW w:w="1935" w:type="dxa"/>
            <w:noWrap w:val="0"/>
            <w:vAlign w:val="top"/>
          </w:tcPr>
          <w:p w14:paraId="1F496697">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c>
          <w:tcPr>
            <w:tcW w:w="1980" w:type="dxa"/>
            <w:noWrap w:val="0"/>
            <w:vAlign w:val="top"/>
          </w:tcPr>
          <w:p w14:paraId="65FB1748">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r>
      <w:tr w14:paraId="6BF91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noWrap w:val="0"/>
            <w:vAlign w:val="center"/>
          </w:tcPr>
          <w:p w14:paraId="0C8999F4">
            <w:pPr>
              <w:keepNext w:val="0"/>
              <w:keepLines w:val="0"/>
              <w:suppressLineNumbers w:val="0"/>
              <w:spacing w:before="0" w:beforeAutospacing="0" w:after="0" w:afterAutospacing="0"/>
              <w:ind w:left="0" w:right="0"/>
              <w:jc w:val="center"/>
              <w:outlineLvl w:val="9"/>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p>
        </w:tc>
        <w:tc>
          <w:tcPr>
            <w:tcW w:w="1968" w:type="dxa"/>
            <w:noWrap w:val="0"/>
            <w:vAlign w:val="top"/>
          </w:tcPr>
          <w:p w14:paraId="6873C626">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c>
          <w:tcPr>
            <w:tcW w:w="1845" w:type="dxa"/>
            <w:noWrap w:val="0"/>
            <w:vAlign w:val="top"/>
          </w:tcPr>
          <w:p w14:paraId="22C543F7">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c>
          <w:tcPr>
            <w:tcW w:w="1935" w:type="dxa"/>
            <w:noWrap w:val="0"/>
            <w:vAlign w:val="top"/>
          </w:tcPr>
          <w:p w14:paraId="3428CFBA">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c>
          <w:tcPr>
            <w:tcW w:w="1980" w:type="dxa"/>
            <w:noWrap w:val="0"/>
            <w:vAlign w:val="top"/>
          </w:tcPr>
          <w:p w14:paraId="5ACC838D">
            <w:pPr>
              <w:keepNext w:val="0"/>
              <w:keepLines w:val="0"/>
              <w:suppressLineNumbers w:val="0"/>
              <w:spacing w:before="0" w:beforeAutospacing="0" w:after="0" w:afterAutospacing="0" w:line="440" w:lineRule="exact"/>
              <w:ind w:left="0" w:right="0"/>
              <w:outlineLvl w:val="9"/>
              <w:rPr>
                <w:rFonts w:hint="default" w:ascii="Times New Roman" w:hAnsi="Times New Roman" w:cs="Times New Roman"/>
                <w:color w:val="auto"/>
                <w:sz w:val="24"/>
                <w:szCs w:val="24"/>
                <w:highlight w:val="none"/>
              </w:rPr>
            </w:pPr>
          </w:p>
        </w:tc>
      </w:tr>
    </w:tbl>
    <w:p w14:paraId="2861B84C">
      <w:pPr>
        <w:spacing w:line="440" w:lineRule="exact"/>
        <w:outlineLvl w:val="9"/>
        <w:rPr>
          <w:rFonts w:hint="default" w:ascii="Times New Roman" w:hAnsi="Times New Roman" w:cs="Times New Roman"/>
          <w:color w:val="auto"/>
          <w:sz w:val="24"/>
          <w:szCs w:val="24"/>
          <w:highlight w:val="none"/>
          <w:lang w:eastAsia="zh-CN"/>
        </w:rPr>
      </w:pPr>
    </w:p>
    <w:p w14:paraId="58FA7983">
      <w:pPr>
        <w:spacing w:line="440" w:lineRule="exact"/>
        <w:outlineLvl w:val="9"/>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投标供应商</w:t>
      </w:r>
      <w:r>
        <w:rPr>
          <w:rFonts w:hint="default" w:ascii="Times New Roman" w:hAnsi="Times New Roman" w:cs="Times New Roman"/>
          <w:color w:val="auto"/>
          <w:sz w:val="24"/>
          <w:szCs w:val="24"/>
          <w:highlight w:val="none"/>
        </w:rPr>
        <w:t>代表（电子签名）：</w:t>
      </w:r>
    </w:p>
    <w:p w14:paraId="05431C82">
      <w:pPr>
        <w:spacing w:line="440" w:lineRule="exact"/>
        <w:outlineLvl w:val="9"/>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日期：20年</w:t>
      </w:r>
      <w:r>
        <w:rPr>
          <w:rFonts w:hint="default" w:ascii="Times New Roman" w:hAnsi="Times New Roman" w:cs="Times New Roman"/>
          <w:color w:val="auto"/>
          <w:sz w:val="24"/>
          <w:szCs w:val="24"/>
          <w:highlight w:val="none"/>
          <w:u w:val="single"/>
        </w:rPr>
        <w:t>　</w:t>
      </w:r>
      <w:r>
        <w:rPr>
          <w:rFonts w:hint="default" w:ascii="Times New Roman" w:hAnsi="Times New Roman" w:cs="Times New Roman"/>
          <w:color w:val="auto"/>
          <w:sz w:val="24"/>
          <w:szCs w:val="24"/>
          <w:highlight w:val="none"/>
        </w:rPr>
        <w:t>月</w:t>
      </w:r>
      <w:r>
        <w:rPr>
          <w:rFonts w:hint="default" w:ascii="Times New Roman" w:hAnsi="Times New Roman" w:cs="Times New Roman"/>
          <w:color w:val="auto"/>
          <w:sz w:val="24"/>
          <w:szCs w:val="24"/>
          <w:highlight w:val="none"/>
          <w:u w:val="single"/>
        </w:rPr>
        <w:t>　</w:t>
      </w:r>
      <w:r>
        <w:rPr>
          <w:rFonts w:hint="default" w:ascii="Times New Roman" w:hAnsi="Times New Roman" w:cs="Times New Roman"/>
          <w:color w:val="auto"/>
          <w:sz w:val="24"/>
          <w:szCs w:val="24"/>
          <w:highlight w:val="none"/>
        </w:rPr>
        <w:t>日　</w:t>
      </w:r>
    </w:p>
    <w:p w14:paraId="13A2B0FA">
      <w:pPr>
        <w:pStyle w:val="106"/>
        <w:spacing w:after="0"/>
        <w:ind w:left="0" w:leftChars="0" w:firstLine="2" w:firstLineChars="1"/>
        <w:jc w:val="center"/>
        <w:outlineLvl w:val="9"/>
        <w:rPr>
          <w:rFonts w:hint="eastAsia" w:ascii="宋体" w:hAnsi="宋体"/>
          <w:b/>
          <w:color w:val="auto"/>
          <w:sz w:val="28"/>
          <w:szCs w:val="28"/>
          <w:highlight w:val="none"/>
        </w:rPr>
      </w:pPr>
      <w:r>
        <w:rPr>
          <w:color w:val="auto"/>
          <w:highlight w:val="none"/>
        </w:rPr>
        <w:br w:type="page"/>
      </w:r>
      <w:r>
        <w:rPr>
          <w:rFonts w:hint="eastAsia" w:ascii="宋体" w:hAnsi="宋体"/>
          <w:b/>
          <w:color w:val="auto"/>
          <w:sz w:val="28"/>
          <w:szCs w:val="28"/>
          <w:highlight w:val="none"/>
          <w:lang w:val="en-US" w:eastAsia="zh-CN"/>
        </w:rPr>
        <w:t>八</w:t>
      </w:r>
      <w:r>
        <w:rPr>
          <w:rFonts w:hint="eastAsia" w:ascii="宋体" w:hAnsi="宋体"/>
          <w:b/>
          <w:color w:val="auto"/>
          <w:sz w:val="28"/>
          <w:szCs w:val="28"/>
          <w:highlight w:val="none"/>
        </w:rPr>
        <w:t>、项目实施方案</w:t>
      </w:r>
    </w:p>
    <w:p w14:paraId="33B042FA">
      <w:pPr>
        <w:spacing w:line="360" w:lineRule="auto"/>
        <w:ind w:firstLine="480" w:firstLineChars="200"/>
        <w:outlineLvl w:val="9"/>
        <w:rPr>
          <w:rFonts w:cs="仿宋" w:asciiTheme="minorEastAsia" w:hAnsiTheme="minorEastAsia"/>
          <w:color w:val="auto"/>
          <w:sz w:val="24"/>
          <w:szCs w:val="24"/>
          <w:highlight w:val="none"/>
          <w:shd w:val="clear" w:color="auto" w:fill="FFFFFF" w:themeFill="background1"/>
        </w:rPr>
      </w:pPr>
      <w:r>
        <w:rPr>
          <w:rFonts w:hint="eastAsia" w:cs="仿宋" w:asciiTheme="minorEastAsia" w:hAnsiTheme="minorEastAsia"/>
          <w:bCs/>
          <w:color w:val="auto"/>
          <w:sz w:val="24"/>
          <w:szCs w:val="24"/>
          <w:highlight w:val="none"/>
          <w:shd w:val="clear" w:color="auto" w:fill="FFFFFF" w:themeFill="background1"/>
        </w:rPr>
        <w:t>供应商须提交拟完成本项目的</w:t>
      </w:r>
      <w:r>
        <w:rPr>
          <w:rFonts w:hint="eastAsia" w:cs="仿宋" w:asciiTheme="minorEastAsia" w:hAnsiTheme="minorEastAsia"/>
          <w:bCs/>
          <w:color w:val="auto"/>
          <w:sz w:val="24"/>
          <w:szCs w:val="24"/>
          <w:highlight w:val="none"/>
          <w:shd w:val="clear" w:color="auto" w:fill="FFFFFF" w:themeFill="background1"/>
          <w:lang w:val="en-US" w:eastAsia="zh-CN"/>
        </w:rPr>
        <w:t>实施</w:t>
      </w:r>
      <w:r>
        <w:rPr>
          <w:rFonts w:hint="eastAsia" w:cs="仿宋" w:asciiTheme="minorEastAsia" w:hAnsiTheme="minorEastAsia"/>
          <w:bCs/>
          <w:color w:val="auto"/>
          <w:sz w:val="24"/>
          <w:szCs w:val="24"/>
          <w:highlight w:val="none"/>
          <w:shd w:val="clear" w:color="auto" w:fill="FFFFFF" w:themeFill="background1"/>
        </w:rPr>
        <w:t>方案，方案的格式和内容由供应商根据本项目的具体情况</w:t>
      </w:r>
      <w:r>
        <w:rPr>
          <w:rFonts w:hint="eastAsia" w:cs="仿宋" w:asciiTheme="minorEastAsia" w:hAnsiTheme="minorEastAsia"/>
          <w:color w:val="auto"/>
          <w:sz w:val="24"/>
          <w:szCs w:val="24"/>
          <w:highlight w:val="none"/>
          <w:shd w:val="clear" w:color="auto" w:fill="FFFFFF" w:themeFill="background1"/>
        </w:rPr>
        <w:t>自行拟定。</w:t>
      </w:r>
    </w:p>
    <w:p w14:paraId="6BA4F871">
      <w:pPr>
        <w:pStyle w:val="39"/>
        <w:outlineLvl w:val="9"/>
        <w:rPr>
          <w:rFonts w:hint="eastAsia" w:ascii="宋体" w:hAnsi="宋体"/>
          <w:b/>
          <w:color w:val="auto"/>
          <w:szCs w:val="24"/>
          <w:highlight w:val="none"/>
          <w:lang w:eastAsia="zh-CN"/>
        </w:rPr>
      </w:pPr>
    </w:p>
    <w:p w14:paraId="68124E8B">
      <w:pPr>
        <w:pStyle w:val="39"/>
        <w:outlineLvl w:val="9"/>
        <w:rPr>
          <w:rFonts w:hint="eastAsia" w:ascii="宋体" w:hAnsi="宋体"/>
          <w:b/>
          <w:color w:val="auto"/>
          <w:szCs w:val="24"/>
          <w:highlight w:val="none"/>
          <w:lang w:eastAsia="zh-CN"/>
        </w:rPr>
        <w:sectPr>
          <w:pgSz w:w="11906" w:h="16838"/>
          <w:pgMar w:top="1440" w:right="1800" w:bottom="1440" w:left="1800" w:header="851" w:footer="992" w:gutter="0"/>
          <w:pgNumType w:fmt="decimal"/>
          <w:cols w:space="720" w:num="1"/>
          <w:docGrid w:type="lines" w:linePitch="344" w:charSpace="0"/>
        </w:sectPr>
      </w:pPr>
      <w:r>
        <w:rPr>
          <w:rFonts w:hint="eastAsia" w:ascii="宋体" w:hAnsi="宋体"/>
          <w:b/>
          <w:color w:val="auto"/>
          <w:szCs w:val="24"/>
          <w:highlight w:val="none"/>
          <w:lang w:eastAsia="zh-CN"/>
        </w:rPr>
        <w:t>注：按照序号顺序应答。</w:t>
      </w:r>
    </w:p>
    <w:p w14:paraId="258C9FA9">
      <w:pPr>
        <w:pStyle w:val="12"/>
        <w:outlineLvl w:val="9"/>
        <w:rPr>
          <w:rFonts w:hint="eastAsia"/>
          <w:color w:val="auto"/>
          <w:highlight w:val="none"/>
        </w:rPr>
      </w:pPr>
    </w:p>
    <w:p w14:paraId="3D939E23">
      <w:pPr>
        <w:pStyle w:val="106"/>
        <w:spacing w:after="0"/>
        <w:ind w:left="0" w:leftChars="0" w:firstLine="3" w:firstLineChars="1"/>
        <w:jc w:val="center"/>
        <w:outlineLvl w:val="9"/>
        <w:rPr>
          <w:rFonts w:ascii="宋体" w:hAnsi="宋体"/>
          <w:b/>
          <w:color w:val="auto"/>
          <w:sz w:val="28"/>
          <w:szCs w:val="28"/>
          <w:highlight w:val="none"/>
        </w:rPr>
      </w:pPr>
      <w:r>
        <w:rPr>
          <w:rFonts w:hint="eastAsia" w:ascii="宋体" w:hAnsi="宋体"/>
          <w:b/>
          <w:color w:val="auto"/>
          <w:sz w:val="28"/>
          <w:szCs w:val="28"/>
          <w:highlight w:val="none"/>
          <w:lang w:val="en-US" w:eastAsia="zh-CN"/>
        </w:rPr>
        <w:t>九</w:t>
      </w:r>
      <w:r>
        <w:rPr>
          <w:rFonts w:hint="eastAsia" w:ascii="宋体" w:hAnsi="宋体"/>
          <w:b/>
          <w:color w:val="auto"/>
          <w:sz w:val="28"/>
          <w:szCs w:val="28"/>
          <w:highlight w:val="none"/>
        </w:rPr>
        <w:t>、业绩</w:t>
      </w:r>
    </w:p>
    <w:p w14:paraId="70EE716E">
      <w:pPr>
        <w:pStyle w:val="12"/>
        <w:outlineLvl w:val="9"/>
        <w:rPr>
          <w:color w:val="auto"/>
          <w:highlight w:val="none"/>
        </w:rPr>
      </w:pPr>
    </w:p>
    <w:p w14:paraId="249D5E3F">
      <w:pPr>
        <w:pStyle w:val="13"/>
        <w:outlineLvl w:val="9"/>
        <w:rPr>
          <w:rFonts w:hint="eastAsia"/>
          <w:b/>
          <w:bCs/>
          <w:color w:val="auto"/>
          <w:sz w:val="24"/>
          <w:szCs w:val="24"/>
          <w:highlight w:val="none"/>
        </w:rPr>
        <w:sectPr>
          <w:pgSz w:w="11906" w:h="16838"/>
          <w:pgMar w:top="1440" w:right="1800" w:bottom="1440" w:left="1800" w:header="851" w:footer="992" w:gutter="0"/>
          <w:pgNumType w:fmt="decimal"/>
          <w:cols w:space="720" w:num="1"/>
          <w:docGrid w:type="lines" w:linePitch="344" w:charSpace="0"/>
        </w:sectPr>
      </w:pPr>
      <w:r>
        <w:rPr>
          <w:rFonts w:hint="eastAsia"/>
          <w:b/>
          <w:bCs/>
          <w:color w:val="auto"/>
          <w:sz w:val="24"/>
          <w:szCs w:val="24"/>
          <w:highlight w:val="none"/>
        </w:rPr>
        <w:t>（格式自拟）</w:t>
      </w:r>
    </w:p>
    <w:p w14:paraId="6658C9AF">
      <w:pPr>
        <w:pStyle w:val="106"/>
        <w:spacing w:after="0"/>
        <w:ind w:left="2" w:leftChars="1" w:firstLine="0" w:firstLineChars="0"/>
        <w:jc w:val="center"/>
        <w:outlineLvl w:val="9"/>
        <w:rPr>
          <w:rFonts w:hint="eastAsia" w:ascii="宋体" w:hAnsi="宋体"/>
          <w:b/>
          <w:color w:val="auto"/>
          <w:sz w:val="28"/>
          <w:szCs w:val="28"/>
          <w:highlight w:val="none"/>
        </w:rPr>
      </w:pPr>
      <w:r>
        <w:rPr>
          <w:rFonts w:hint="eastAsia" w:ascii="宋体" w:hAnsi="宋体"/>
          <w:b/>
          <w:color w:val="auto"/>
          <w:sz w:val="28"/>
          <w:szCs w:val="28"/>
          <w:highlight w:val="none"/>
        </w:rPr>
        <w:t>十、资格审查文件</w:t>
      </w:r>
    </w:p>
    <w:p w14:paraId="3F6BA49A">
      <w:pPr>
        <w:pStyle w:val="12"/>
        <w:ind w:left="0" w:leftChars="0"/>
        <w:outlineLvl w:val="9"/>
        <w:rPr>
          <w:color w:val="auto"/>
          <w:sz w:val="24"/>
          <w:szCs w:val="24"/>
          <w:highlight w:val="none"/>
        </w:rPr>
      </w:pPr>
      <w:r>
        <w:rPr>
          <w:rFonts w:hint="eastAsia"/>
          <w:color w:val="auto"/>
          <w:sz w:val="24"/>
          <w:szCs w:val="24"/>
          <w:highlight w:val="none"/>
        </w:rPr>
        <w:t>供应商需按照资格审查要求提供资格审查文件。</w:t>
      </w:r>
    </w:p>
    <w:p w14:paraId="4EE3B0A7">
      <w:pPr>
        <w:spacing w:line="276" w:lineRule="auto"/>
        <w:ind w:firstLine="241" w:firstLineChars="100"/>
        <w:outlineLvl w:val="9"/>
        <w:rPr>
          <w:rFonts w:hint="default" w:ascii="Times New Roman" w:hAnsi="Times New Roman" w:cs="Times New Roman"/>
          <w:bCs/>
          <w:color w:val="auto"/>
          <w:sz w:val="24"/>
          <w:highlight w:val="none"/>
        </w:rPr>
      </w:pPr>
      <w:r>
        <w:rPr>
          <w:rFonts w:hint="default" w:ascii="Times New Roman" w:hAnsi="Times New Roman" w:cs="Times New Roman"/>
          <w:b/>
          <w:color w:val="auto"/>
          <w:sz w:val="24"/>
          <w:highlight w:val="none"/>
        </w:rPr>
        <w:t>注：1.</w:t>
      </w:r>
      <w:r>
        <w:rPr>
          <w:rFonts w:hint="default" w:ascii="Times New Roman" w:hAnsi="Times New Roman" w:cs="Times New Roman"/>
          <w:b/>
          <w:color w:val="auto"/>
          <w:sz w:val="24"/>
          <w:highlight w:val="none"/>
          <w:lang w:eastAsia="zh-CN"/>
        </w:rPr>
        <w:t>投标供应商</w:t>
      </w:r>
      <w:r>
        <w:rPr>
          <w:rFonts w:hint="default" w:ascii="Times New Roman" w:hAnsi="Times New Roman" w:cs="Times New Roman"/>
          <w:b/>
          <w:color w:val="auto"/>
          <w:sz w:val="24"/>
          <w:highlight w:val="none"/>
        </w:rPr>
        <w:t>制作</w:t>
      </w:r>
      <w:r>
        <w:rPr>
          <w:rFonts w:hint="default" w:ascii="Times New Roman" w:hAnsi="Times New Roman" w:cs="Times New Roman"/>
          <w:b/>
          <w:color w:val="auto"/>
          <w:sz w:val="24"/>
          <w:highlight w:val="none"/>
          <w:lang w:eastAsia="zh-CN"/>
        </w:rPr>
        <w:t>投标文件</w:t>
      </w:r>
      <w:r>
        <w:rPr>
          <w:rFonts w:hint="default" w:ascii="Times New Roman" w:hAnsi="Times New Roman" w:cs="Times New Roman"/>
          <w:b/>
          <w:color w:val="auto"/>
          <w:sz w:val="24"/>
          <w:highlight w:val="none"/>
        </w:rPr>
        <w:t>，应按照</w:t>
      </w:r>
      <w:r>
        <w:rPr>
          <w:rFonts w:hint="default" w:ascii="Times New Roman" w:hAnsi="Times New Roman" w:cs="Times New Roman"/>
          <w:b/>
          <w:color w:val="auto"/>
          <w:sz w:val="24"/>
          <w:highlight w:val="none"/>
          <w:lang w:eastAsia="zh-CN"/>
        </w:rPr>
        <w:t>投标文件</w:t>
      </w:r>
      <w:r>
        <w:rPr>
          <w:rFonts w:hint="default" w:ascii="Times New Roman" w:hAnsi="Times New Roman" w:cs="Times New Roman"/>
          <w:b/>
          <w:color w:val="auto"/>
          <w:sz w:val="24"/>
          <w:highlight w:val="none"/>
        </w:rPr>
        <w:t>组成顺序制作，编好始末页码且在</w:t>
      </w:r>
      <w:r>
        <w:rPr>
          <w:rFonts w:hint="default" w:ascii="Times New Roman" w:hAnsi="Times New Roman" w:cs="Times New Roman"/>
          <w:b/>
          <w:color w:val="auto"/>
          <w:sz w:val="24"/>
          <w:highlight w:val="none"/>
          <w:lang w:eastAsia="zh-CN"/>
        </w:rPr>
        <w:t>投标文件</w:t>
      </w:r>
      <w:r>
        <w:rPr>
          <w:rFonts w:hint="default" w:ascii="Times New Roman" w:hAnsi="Times New Roman" w:cs="Times New Roman"/>
          <w:b/>
          <w:color w:val="auto"/>
          <w:sz w:val="24"/>
          <w:highlight w:val="none"/>
        </w:rPr>
        <w:t>目录中一一列明并对应。</w:t>
      </w:r>
    </w:p>
    <w:p w14:paraId="4BB52877">
      <w:pPr>
        <w:numPr>
          <w:ilvl w:val="0"/>
          <w:numId w:val="5"/>
        </w:numPr>
        <w:spacing w:line="276" w:lineRule="auto"/>
        <w:ind w:left="0" w:leftChars="0" w:firstLine="0" w:firstLineChars="0"/>
        <w:outlineLvl w:val="9"/>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lang w:eastAsia="zh-CN"/>
        </w:rPr>
        <w:t>公开招标文件</w:t>
      </w:r>
      <w:r>
        <w:rPr>
          <w:rFonts w:hint="default" w:ascii="Times New Roman" w:hAnsi="Times New Roman" w:cs="Times New Roman"/>
          <w:b/>
          <w:color w:val="auto"/>
          <w:sz w:val="24"/>
          <w:highlight w:val="none"/>
        </w:rPr>
        <w:t>没有提供格式的，</w:t>
      </w:r>
      <w:r>
        <w:rPr>
          <w:rFonts w:hint="default" w:ascii="Times New Roman" w:hAnsi="Times New Roman" w:cs="Times New Roman"/>
          <w:b/>
          <w:color w:val="auto"/>
          <w:sz w:val="24"/>
          <w:highlight w:val="none"/>
          <w:lang w:eastAsia="zh-CN"/>
        </w:rPr>
        <w:t>投标供应商</w:t>
      </w:r>
      <w:r>
        <w:rPr>
          <w:rFonts w:hint="default" w:ascii="Times New Roman" w:hAnsi="Times New Roman" w:cs="Times New Roman"/>
          <w:b/>
          <w:color w:val="auto"/>
          <w:sz w:val="24"/>
          <w:highlight w:val="none"/>
        </w:rPr>
        <w:t>可自行设置。</w:t>
      </w:r>
    </w:p>
    <w:p w14:paraId="4D85BA6C">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02BA0A1E">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279EA82B">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3AEA5E33">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43A42D79">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440875AB">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560609E5">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56C2F794">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27ABBE26">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3D6127F7">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13A4922E">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1F71443D">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1F58A5D1">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27F9C3B8">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7B08F694">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2DF2362E">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1B976B79">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013D052E">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44CF4CDC">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32DB3D3E">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4C6BC40F">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7C0F4854">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2B18D0AB">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6763029C">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1B8450DD">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3953D50C">
      <w:pPr>
        <w:widowControl w:val="0"/>
        <w:numPr>
          <w:ilvl w:val="0"/>
          <w:numId w:val="0"/>
        </w:numPr>
        <w:spacing w:line="276" w:lineRule="auto"/>
        <w:jc w:val="both"/>
        <w:outlineLvl w:val="9"/>
        <w:rPr>
          <w:rFonts w:hint="default" w:ascii="Times New Roman" w:hAnsi="Times New Roman" w:cs="Times New Roman"/>
          <w:b/>
          <w:color w:val="auto"/>
          <w:sz w:val="24"/>
          <w:highlight w:val="none"/>
        </w:rPr>
      </w:pPr>
    </w:p>
    <w:p w14:paraId="4E0D9935">
      <w:pPr>
        <w:rPr>
          <w:rFonts w:hint="eastAsia"/>
          <w:b/>
          <w:bCs/>
          <w:color w:val="auto"/>
          <w:highlight w:val="none"/>
        </w:rPr>
      </w:pPr>
      <w:r>
        <w:rPr>
          <w:rFonts w:hint="eastAsia"/>
          <w:b/>
          <w:bCs/>
          <w:color w:val="auto"/>
          <w:highlight w:val="none"/>
        </w:rPr>
        <w:br w:type="page"/>
      </w:r>
    </w:p>
    <w:p w14:paraId="30F4F60F">
      <w:pPr>
        <w:spacing w:line="360" w:lineRule="exact"/>
        <w:rPr>
          <w:rFonts w:hint="eastAsia"/>
          <w:b/>
          <w:bCs/>
          <w:color w:val="auto"/>
          <w:highlight w:val="none"/>
        </w:rPr>
      </w:pPr>
      <w:r>
        <w:rPr>
          <w:rFonts w:hint="eastAsia"/>
          <w:b/>
          <w:bCs/>
          <w:color w:val="auto"/>
          <w:highlight w:val="none"/>
        </w:rPr>
        <w:t>附件2：</w:t>
      </w:r>
    </w:p>
    <w:p w14:paraId="09E475FA">
      <w:pPr>
        <w:pStyle w:val="15"/>
        <w:jc w:val="center"/>
        <w:rPr>
          <w:rFonts w:hint="eastAsia" w:hAnsi="宋体" w:eastAsia="宋体" w:cs="宋体"/>
          <w:b/>
          <w:color w:val="auto"/>
          <w:sz w:val="32"/>
          <w:szCs w:val="32"/>
          <w:highlight w:val="none"/>
          <w:lang w:eastAsia="zh-CN"/>
        </w:rPr>
      </w:pPr>
      <w:r>
        <w:rPr>
          <w:rFonts w:hint="eastAsia" w:hAnsi="宋体" w:cs="宋体"/>
          <w:b/>
          <w:color w:val="auto"/>
          <w:sz w:val="32"/>
          <w:szCs w:val="32"/>
          <w:highlight w:val="none"/>
          <w:lang w:eastAsia="zh-CN"/>
        </w:rPr>
        <w:t>禾园一餐厅</w:t>
      </w:r>
      <w:r>
        <w:rPr>
          <w:rFonts w:hint="eastAsia" w:hAnsi="宋体" w:cs="宋体"/>
          <w:b/>
          <w:color w:val="auto"/>
          <w:sz w:val="32"/>
          <w:szCs w:val="32"/>
          <w:highlight w:val="none"/>
          <w:lang w:val="en-US" w:eastAsia="zh-CN"/>
        </w:rPr>
        <w:t>人员</w:t>
      </w:r>
      <w:r>
        <w:rPr>
          <w:rFonts w:hint="eastAsia" w:hAnsi="宋体" w:cs="宋体"/>
          <w:b/>
          <w:color w:val="auto"/>
          <w:sz w:val="32"/>
          <w:szCs w:val="32"/>
          <w:highlight w:val="none"/>
          <w:lang w:eastAsia="zh-CN"/>
        </w:rPr>
        <w:t>待遇参考标准</w:t>
      </w:r>
    </w:p>
    <w:p w14:paraId="2EFF515C">
      <w:pPr>
        <w:widowControl/>
        <w:spacing w:line="480" w:lineRule="atLeast"/>
        <w:jc w:val="left"/>
        <w:outlineLvl w:val="9"/>
        <w:rPr>
          <w:rFonts w:hint="eastAsia"/>
          <w:color w:val="auto"/>
          <w:highlight w:val="none"/>
        </w:rPr>
      </w:pPr>
    </w:p>
    <w:tbl>
      <w:tblPr>
        <w:tblStyle w:val="27"/>
        <w:tblW w:w="8379" w:type="dxa"/>
        <w:tblInd w:w="13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89"/>
        <w:gridCol w:w="1425"/>
        <w:gridCol w:w="1500"/>
        <w:gridCol w:w="1665"/>
        <w:gridCol w:w="2400"/>
      </w:tblGrid>
      <w:tr w14:paraId="3D0BD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2" w:hRule="atLeast"/>
        </w:trPr>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4F23C">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auto"/>
                <w:kern w:val="2"/>
                <w:sz w:val="21"/>
                <w:szCs w:val="21"/>
                <w:highlight w:val="none"/>
              </w:rPr>
            </w:pPr>
            <w:r>
              <w:rPr>
                <w:rFonts w:hint="eastAsia" w:ascii="黑体" w:hAnsi="宋体" w:eastAsia="黑体" w:cs="黑体"/>
                <w:b/>
                <w:bCs/>
                <w:i w:val="0"/>
                <w:iCs w:val="0"/>
                <w:color w:val="auto"/>
                <w:kern w:val="0"/>
                <w:sz w:val="21"/>
                <w:szCs w:val="21"/>
                <w:highlight w:val="none"/>
                <w:lang w:val="en-US" w:eastAsia="zh-CN" w:bidi="ar"/>
              </w:rPr>
              <w:t>岗位</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6587DF20">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auto"/>
                <w:kern w:val="2"/>
                <w:sz w:val="21"/>
                <w:szCs w:val="21"/>
                <w:highlight w:val="none"/>
                <w:lang w:eastAsia="zh-CN"/>
              </w:rPr>
            </w:pPr>
            <w:r>
              <w:rPr>
                <w:rFonts w:hint="eastAsia" w:ascii="黑体" w:hAnsi="宋体" w:eastAsia="黑体" w:cs="黑体"/>
                <w:b/>
                <w:bCs/>
                <w:i w:val="0"/>
                <w:iCs w:val="0"/>
                <w:color w:val="auto"/>
                <w:kern w:val="2"/>
                <w:sz w:val="21"/>
                <w:szCs w:val="21"/>
                <w:highlight w:val="none"/>
                <w:lang w:eastAsia="zh-CN"/>
              </w:rPr>
              <w:t>岗位工资</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11040B9C">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auto"/>
                <w:kern w:val="2"/>
                <w:sz w:val="21"/>
                <w:szCs w:val="21"/>
                <w:highlight w:val="none"/>
                <w:lang w:eastAsia="zh-CN"/>
              </w:rPr>
            </w:pPr>
            <w:r>
              <w:rPr>
                <w:rFonts w:hint="eastAsia" w:ascii="黑体" w:hAnsi="宋体" w:eastAsia="黑体" w:cs="黑体"/>
                <w:b/>
                <w:bCs/>
                <w:i w:val="0"/>
                <w:iCs w:val="0"/>
                <w:color w:val="auto"/>
                <w:kern w:val="2"/>
                <w:sz w:val="21"/>
                <w:szCs w:val="21"/>
                <w:highlight w:val="none"/>
                <w:lang w:eastAsia="zh-CN"/>
              </w:rPr>
              <w:t>基本工资</w:t>
            </w:r>
          </w:p>
        </w:tc>
        <w:tc>
          <w:tcPr>
            <w:tcW w:w="1665" w:type="dxa"/>
            <w:tcBorders>
              <w:top w:val="single" w:color="000000" w:sz="4" w:space="0"/>
              <w:left w:val="nil"/>
              <w:bottom w:val="single" w:color="000000" w:sz="4" w:space="0"/>
              <w:right w:val="single" w:color="000000" w:sz="4" w:space="0"/>
            </w:tcBorders>
            <w:shd w:val="clear" w:color="auto" w:fill="auto"/>
            <w:vAlign w:val="center"/>
          </w:tcPr>
          <w:p w14:paraId="5412466C">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auto"/>
                <w:kern w:val="2"/>
                <w:sz w:val="21"/>
                <w:szCs w:val="21"/>
                <w:highlight w:val="none"/>
                <w:lang w:eastAsia="zh-CN"/>
              </w:rPr>
            </w:pPr>
            <w:r>
              <w:rPr>
                <w:rFonts w:hint="eastAsia" w:ascii="黑体" w:hAnsi="宋体" w:eastAsia="黑体" w:cs="黑体"/>
                <w:b/>
                <w:bCs/>
                <w:i w:val="0"/>
                <w:iCs w:val="0"/>
                <w:color w:val="auto"/>
                <w:kern w:val="2"/>
                <w:sz w:val="21"/>
                <w:szCs w:val="21"/>
                <w:highlight w:val="none"/>
                <w:lang w:eastAsia="zh-CN"/>
              </w:rPr>
              <w:t>效益工资</w:t>
            </w:r>
          </w:p>
        </w:tc>
        <w:tc>
          <w:tcPr>
            <w:tcW w:w="2400" w:type="dxa"/>
            <w:tcBorders>
              <w:top w:val="single" w:color="000000" w:sz="4" w:space="0"/>
              <w:left w:val="nil"/>
              <w:bottom w:val="single" w:color="000000" w:sz="4" w:space="0"/>
              <w:right w:val="single" w:color="000000" w:sz="4" w:space="0"/>
            </w:tcBorders>
            <w:shd w:val="clear" w:color="auto" w:fill="auto"/>
            <w:vAlign w:val="center"/>
          </w:tcPr>
          <w:p w14:paraId="13909222">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auto"/>
                <w:kern w:val="2"/>
                <w:sz w:val="21"/>
                <w:szCs w:val="21"/>
                <w:highlight w:val="none"/>
                <w:lang w:val="en-US" w:eastAsia="zh-CN"/>
              </w:rPr>
            </w:pPr>
          </w:p>
          <w:p w14:paraId="3827816C">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auto"/>
                <w:kern w:val="2"/>
                <w:sz w:val="21"/>
                <w:szCs w:val="21"/>
                <w:highlight w:val="none"/>
                <w:lang w:eastAsia="zh-CN"/>
              </w:rPr>
            </w:pPr>
            <w:r>
              <w:rPr>
                <w:rFonts w:hint="eastAsia" w:ascii="黑体" w:hAnsi="宋体" w:eastAsia="黑体" w:cs="黑体"/>
                <w:b/>
                <w:bCs/>
                <w:i w:val="0"/>
                <w:iCs w:val="0"/>
                <w:color w:val="auto"/>
                <w:kern w:val="2"/>
                <w:sz w:val="21"/>
                <w:szCs w:val="21"/>
                <w:highlight w:val="none"/>
                <w:lang w:val="en-US" w:eastAsia="zh-CN"/>
              </w:rPr>
              <w:t>人均月工资待遇标准</w:t>
            </w:r>
          </w:p>
          <w:p w14:paraId="388BE63D">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auto"/>
                <w:kern w:val="2"/>
                <w:sz w:val="21"/>
                <w:szCs w:val="21"/>
                <w:highlight w:val="none"/>
                <w:lang w:eastAsia="zh-CN"/>
              </w:rPr>
            </w:pPr>
          </w:p>
        </w:tc>
      </w:tr>
      <w:tr w14:paraId="2DF19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4" w:hRule="atLeast"/>
        </w:trPr>
        <w:tc>
          <w:tcPr>
            <w:tcW w:w="1389" w:type="dxa"/>
            <w:tcBorders>
              <w:top w:val="single" w:color="000000" w:sz="4" w:space="0"/>
              <w:left w:val="single" w:color="000000" w:sz="4" w:space="0"/>
              <w:right w:val="single" w:color="000000" w:sz="4" w:space="0"/>
            </w:tcBorders>
            <w:shd w:val="clear" w:color="auto" w:fill="auto"/>
            <w:vAlign w:val="center"/>
          </w:tcPr>
          <w:p w14:paraId="49CB31BA">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餐厅管理</w:t>
            </w:r>
          </w:p>
          <w:p w14:paraId="138F1C2C">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服务</w:t>
            </w:r>
          </w:p>
        </w:tc>
        <w:tc>
          <w:tcPr>
            <w:tcW w:w="1425" w:type="dxa"/>
            <w:tcBorders>
              <w:top w:val="single" w:color="000000" w:sz="4" w:space="0"/>
              <w:left w:val="nil"/>
              <w:right w:val="single" w:color="000000" w:sz="4" w:space="0"/>
            </w:tcBorders>
            <w:shd w:val="clear" w:color="auto" w:fill="auto"/>
            <w:vAlign w:val="center"/>
          </w:tcPr>
          <w:p w14:paraId="44B7D23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4000</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13980B1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4020</w:t>
            </w:r>
          </w:p>
        </w:tc>
        <w:tc>
          <w:tcPr>
            <w:tcW w:w="1665" w:type="dxa"/>
            <w:tcBorders>
              <w:top w:val="single" w:color="000000" w:sz="4" w:space="0"/>
              <w:left w:val="nil"/>
              <w:right w:val="single" w:color="000000" w:sz="4" w:space="0"/>
            </w:tcBorders>
            <w:shd w:val="clear" w:color="auto" w:fill="auto"/>
            <w:vAlign w:val="center"/>
          </w:tcPr>
          <w:p w14:paraId="5DC2E80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2980</w:t>
            </w:r>
          </w:p>
        </w:tc>
        <w:tc>
          <w:tcPr>
            <w:tcW w:w="2400" w:type="dxa"/>
            <w:tcBorders>
              <w:top w:val="single" w:color="000000" w:sz="4" w:space="0"/>
              <w:left w:val="nil"/>
              <w:right w:val="single" w:color="000000" w:sz="4" w:space="0"/>
            </w:tcBorders>
            <w:shd w:val="clear" w:color="auto" w:fill="auto"/>
            <w:vAlign w:val="center"/>
          </w:tcPr>
          <w:p w14:paraId="7D94016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11000</w:t>
            </w:r>
          </w:p>
        </w:tc>
      </w:tr>
      <w:tr w14:paraId="1B6E4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E9325">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库房管理</w:t>
            </w:r>
          </w:p>
          <w:p w14:paraId="0664A0F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服务</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0AD3AC6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2300</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2DA0A6F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2900</w:t>
            </w:r>
          </w:p>
        </w:tc>
        <w:tc>
          <w:tcPr>
            <w:tcW w:w="1665" w:type="dxa"/>
            <w:tcBorders>
              <w:top w:val="single" w:color="000000" w:sz="4" w:space="0"/>
              <w:left w:val="nil"/>
              <w:bottom w:val="single" w:color="000000" w:sz="4" w:space="0"/>
              <w:right w:val="single" w:color="000000" w:sz="4" w:space="0"/>
            </w:tcBorders>
            <w:shd w:val="clear" w:color="auto" w:fill="auto"/>
            <w:vAlign w:val="center"/>
          </w:tcPr>
          <w:p w14:paraId="617ED94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2300</w:t>
            </w:r>
          </w:p>
        </w:tc>
        <w:tc>
          <w:tcPr>
            <w:tcW w:w="2400" w:type="dxa"/>
            <w:tcBorders>
              <w:top w:val="single" w:color="000000" w:sz="4" w:space="0"/>
              <w:left w:val="nil"/>
              <w:bottom w:val="single" w:color="000000" w:sz="4" w:space="0"/>
              <w:right w:val="single" w:color="000000" w:sz="4" w:space="0"/>
            </w:tcBorders>
            <w:shd w:val="clear" w:color="auto" w:fill="auto"/>
            <w:vAlign w:val="center"/>
          </w:tcPr>
          <w:p w14:paraId="5BC57E2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7500</w:t>
            </w:r>
          </w:p>
        </w:tc>
      </w:tr>
      <w:tr w14:paraId="67BB7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8" w:hRule="atLeast"/>
        </w:trPr>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441E4">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食品安全</w:t>
            </w:r>
          </w:p>
          <w:p w14:paraId="5F554AD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服务</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3B9B4D2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2300</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6A37043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2900</w:t>
            </w:r>
          </w:p>
        </w:tc>
        <w:tc>
          <w:tcPr>
            <w:tcW w:w="1665" w:type="dxa"/>
            <w:tcBorders>
              <w:top w:val="single" w:color="000000" w:sz="4" w:space="0"/>
              <w:left w:val="nil"/>
              <w:bottom w:val="single" w:color="000000" w:sz="4" w:space="0"/>
              <w:right w:val="single" w:color="000000" w:sz="4" w:space="0"/>
            </w:tcBorders>
            <w:shd w:val="clear" w:color="auto" w:fill="auto"/>
            <w:vAlign w:val="center"/>
          </w:tcPr>
          <w:p w14:paraId="41A627B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2300</w:t>
            </w:r>
          </w:p>
        </w:tc>
        <w:tc>
          <w:tcPr>
            <w:tcW w:w="2400" w:type="dxa"/>
            <w:tcBorders>
              <w:top w:val="single" w:color="000000" w:sz="4" w:space="0"/>
              <w:left w:val="nil"/>
              <w:bottom w:val="single" w:color="000000" w:sz="4" w:space="0"/>
              <w:right w:val="single" w:color="000000" w:sz="4" w:space="0"/>
            </w:tcBorders>
            <w:shd w:val="clear" w:color="auto" w:fill="auto"/>
            <w:vAlign w:val="center"/>
          </w:tcPr>
          <w:p w14:paraId="2A3FB56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7500</w:t>
            </w:r>
          </w:p>
        </w:tc>
      </w:tr>
      <w:tr w14:paraId="77C97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07E5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rPr>
            </w:pPr>
            <w:r>
              <w:rPr>
                <w:rFonts w:hint="eastAsia" w:ascii="宋体" w:hAnsi="宋体" w:eastAsia="宋体" w:cs="宋体"/>
                <w:color w:val="auto"/>
                <w:kern w:val="2"/>
                <w:sz w:val="21"/>
                <w:szCs w:val="21"/>
                <w:highlight w:val="none"/>
                <w:lang w:val="en-US" w:eastAsia="zh-CN" w:bidi="ar"/>
              </w:rPr>
              <w:t>厨师服务</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7103A8F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2500</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79A367E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3400</w:t>
            </w:r>
          </w:p>
        </w:tc>
        <w:tc>
          <w:tcPr>
            <w:tcW w:w="1665" w:type="dxa"/>
            <w:tcBorders>
              <w:top w:val="single" w:color="000000" w:sz="4" w:space="0"/>
              <w:left w:val="nil"/>
              <w:bottom w:val="single" w:color="000000" w:sz="4" w:space="0"/>
              <w:right w:val="single" w:color="000000" w:sz="4" w:space="0"/>
            </w:tcBorders>
            <w:shd w:val="clear" w:color="auto" w:fill="auto"/>
            <w:vAlign w:val="center"/>
          </w:tcPr>
          <w:p w14:paraId="5D4E026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3600</w:t>
            </w:r>
          </w:p>
        </w:tc>
        <w:tc>
          <w:tcPr>
            <w:tcW w:w="2400" w:type="dxa"/>
            <w:tcBorders>
              <w:top w:val="single" w:color="000000" w:sz="4" w:space="0"/>
              <w:left w:val="nil"/>
              <w:bottom w:val="single" w:color="000000" w:sz="4" w:space="0"/>
              <w:right w:val="single" w:color="000000" w:sz="4" w:space="0"/>
            </w:tcBorders>
            <w:shd w:val="clear" w:color="auto" w:fill="auto"/>
            <w:vAlign w:val="center"/>
          </w:tcPr>
          <w:p w14:paraId="254096A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9500</w:t>
            </w:r>
          </w:p>
        </w:tc>
      </w:tr>
      <w:tr w14:paraId="7466D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CA06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rPr>
            </w:pPr>
            <w:r>
              <w:rPr>
                <w:rFonts w:hint="eastAsia" w:ascii="宋体" w:hAnsi="宋体" w:eastAsia="宋体" w:cs="宋体"/>
                <w:color w:val="auto"/>
                <w:kern w:val="2"/>
                <w:sz w:val="21"/>
                <w:szCs w:val="21"/>
                <w:highlight w:val="none"/>
                <w:lang w:val="en-US" w:eastAsia="zh-CN" w:bidi="ar"/>
              </w:rPr>
              <w:t>厨工服务</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0509E9A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2000</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42645AF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2800</w:t>
            </w:r>
          </w:p>
        </w:tc>
        <w:tc>
          <w:tcPr>
            <w:tcW w:w="1665" w:type="dxa"/>
            <w:tcBorders>
              <w:top w:val="single" w:color="000000" w:sz="4" w:space="0"/>
              <w:left w:val="nil"/>
              <w:bottom w:val="single" w:color="000000" w:sz="4" w:space="0"/>
              <w:right w:val="single" w:color="000000" w:sz="4" w:space="0"/>
            </w:tcBorders>
            <w:shd w:val="clear" w:color="auto" w:fill="auto"/>
            <w:vAlign w:val="center"/>
          </w:tcPr>
          <w:p w14:paraId="70437B4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1700</w:t>
            </w:r>
          </w:p>
        </w:tc>
        <w:tc>
          <w:tcPr>
            <w:tcW w:w="2400" w:type="dxa"/>
            <w:tcBorders>
              <w:top w:val="single" w:color="000000" w:sz="4" w:space="0"/>
              <w:left w:val="nil"/>
              <w:bottom w:val="single" w:color="000000" w:sz="4" w:space="0"/>
              <w:right w:val="single" w:color="000000" w:sz="4" w:space="0"/>
            </w:tcBorders>
            <w:shd w:val="clear" w:color="auto" w:fill="auto"/>
            <w:vAlign w:val="center"/>
          </w:tcPr>
          <w:p w14:paraId="31D7420A">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6500</w:t>
            </w:r>
          </w:p>
        </w:tc>
      </w:tr>
      <w:tr w14:paraId="5B1B0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4D27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rPr>
            </w:pPr>
            <w:r>
              <w:rPr>
                <w:rFonts w:hint="eastAsia" w:ascii="宋体" w:hAnsi="宋体" w:eastAsia="宋体" w:cs="宋体"/>
                <w:color w:val="auto"/>
                <w:kern w:val="2"/>
                <w:sz w:val="21"/>
                <w:szCs w:val="21"/>
                <w:highlight w:val="none"/>
                <w:lang w:val="en-US" w:eastAsia="zh-CN" w:bidi="ar"/>
              </w:rPr>
              <w:t>保洁服务</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72547AA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1800</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6900BE2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2900</w:t>
            </w:r>
          </w:p>
        </w:tc>
        <w:tc>
          <w:tcPr>
            <w:tcW w:w="1665" w:type="dxa"/>
            <w:tcBorders>
              <w:top w:val="single" w:color="000000" w:sz="4" w:space="0"/>
              <w:left w:val="nil"/>
              <w:bottom w:val="single" w:color="000000" w:sz="4" w:space="0"/>
              <w:right w:val="single" w:color="000000" w:sz="4" w:space="0"/>
            </w:tcBorders>
            <w:shd w:val="clear" w:color="auto" w:fill="auto"/>
            <w:vAlign w:val="center"/>
          </w:tcPr>
          <w:p w14:paraId="32C5FB2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1300</w:t>
            </w:r>
          </w:p>
        </w:tc>
        <w:tc>
          <w:tcPr>
            <w:tcW w:w="2400" w:type="dxa"/>
            <w:tcBorders>
              <w:top w:val="single" w:color="000000" w:sz="4" w:space="0"/>
              <w:left w:val="nil"/>
              <w:bottom w:val="single" w:color="000000" w:sz="4" w:space="0"/>
              <w:right w:val="single" w:color="000000" w:sz="4" w:space="0"/>
            </w:tcBorders>
            <w:shd w:val="clear" w:color="auto" w:fill="auto"/>
            <w:vAlign w:val="center"/>
          </w:tcPr>
          <w:p w14:paraId="72898CA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6000</w:t>
            </w:r>
          </w:p>
        </w:tc>
      </w:tr>
      <w:tr w14:paraId="3779C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5165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rPr>
            </w:pPr>
            <w:r>
              <w:rPr>
                <w:rFonts w:hint="eastAsia" w:ascii="宋体" w:hAnsi="宋体" w:eastAsia="宋体" w:cs="宋体"/>
                <w:color w:val="auto"/>
                <w:kern w:val="2"/>
                <w:sz w:val="21"/>
                <w:szCs w:val="21"/>
                <w:highlight w:val="none"/>
                <w:lang w:val="en-US" w:eastAsia="zh-CN" w:bidi="ar"/>
              </w:rPr>
              <w:t>值班</w:t>
            </w:r>
            <w:r>
              <w:rPr>
                <w:rFonts w:hint="eastAsia" w:ascii="宋体" w:hAnsi="宋体" w:cs="宋体"/>
                <w:color w:val="auto"/>
                <w:kern w:val="2"/>
                <w:sz w:val="21"/>
                <w:szCs w:val="21"/>
                <w:highlight w:val="none"/>
                <w:lang w:val="en-US" w:eastAsia="zh-CN" w:bidi="ar"/>
              </w:rPr>
              <w:t>服务</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22C64C5A">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1800</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08794A1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2400</w:t>
            </w:r>
          </w:p>
        </w:tc>
        <w:tc>
          <w:tcPr>
            <w:tcW w:w="1665" w:type="dxa"/>
            <w:tcBorders>
              <w:top w:val="single" w:color="000000" w:sz="4" w:space="0"/>
              <w:left w:val="nil"/>
              <w:bottom w:val="single" w:color="000000" w:sz="4" w:space="0"/>
              <w:right w:val="single" w:color="000000" w:sz="4" w:space="0"/>
            </w:tcBorders>
            <w:shd w:val="clear" w:color="auto" w:fill="auto"/>
            <w:vAlign w:val="center"/>
          </w:tcPr>
          <w:p w14:paraId="040924C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1800</w:t>
            </w:r>
          </w:p>
        </w:tc>
        <w:tc>
          <w:tcPr>
            <w:tcW w:w="2400" w:type="dxa"/>
            <w:tcBorders>
              <w:top w:val="single" w:color="000000" w:sz="4" w:space="0"/>
              <w:left w:val="nil"/>
              <w:bottom w:val="single" w:color="000000" w:sz="4" w:space="0"/>
              <w:right w:val="single" w:color="000000" w:sz="4" w:space="0"/>
            </w:tcBorders>
            <w:shd w:val="clear" w:color="auto" w:fill="auto"/>
            <w:vAlign w:val="center"/>
          </w:tcPr>
          <w:p w14:paraId="0EC1CF9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6000</w:t>
            </w:r>
          </w:p>
        </w:tc>
      </w:tr>
      <w:tr w14:paraId="63480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8F91A">
            <w:pPr>
              <w:keepNext w:val="0"/>
              <w:keepLines w:val="0"/>
              <w:widowControl w:val="0"/>
              <w:suppressLineNumbers w:val="0"/>
              <w:spacing w:before="0" w:beforeAutospacing="0" w:after="0" w:afterAutospacing="0"/>
              <w:ind w:left="0" w:right="0"/>
              <w:jc w:val="center"/>
              <w:rPr>
                <w:rFonts w:hint="eastAsia" w:ascii="宋体" w:hAnsi="宋体" w:cs="宋体"/>
                <w:color w:val="auto"/>
                <w:kern w:val="2"/>
                <w:sz w:val="21"/>
                <w:szCs w:val="21"/>
                <w:highlight w:val="none"/>
                <w:lang w:val="en-US" w:eastAsia="zh-CN" w:bidi="ar"/>
              </w:rPr>
            </w:pPr>
            <w:r>
              <w:rPr>
                <w:rFonts w:hint="eastAsia" w:ascii="宋体" w:hAnsi="宋体" w:cs="宋体"/>
                <w:color w:val="auto"/>
                <w:kern w:val="2"/>
                <w:sz w:val="21"/>
                <w:szCs w:val="21"/>
                <w:highlight w:val="none"/>
                <w:lang w:val="en-US" w:eastAsia="zh-CN" w:bidi="ar"/>
              </w:rPr>
              <w:t>米饭生产线</w:t>
            </w:r>
          </w:p>
          <w:p w14:paraId="7B6F039A">
            <w:pPr>
              <w:keepNext w:val="0"/>
              <w:keepLines w:val="0"/>
              <w:widowControl w:val="0"/>
              <w:suppressLineNumbers w:val="0"/>
              <w:spacing w:before="0" w:beforeAutospacing="0" w:after="0" w:afterAutospacing="0"/>
              <w:ind w:left="0" w:right="0"/>
              <w:jc w:val="center"/>
              <w:rPr>
                <w:rFonts w:hint="default" w:ascii="宋体" w:hAnsi="宋体" w:eastAsia="宋体" w:cs="宋体"/>
                <w:color w:val="auto"/>
                <w:kern w:val="2"/>
                <w:sz w:val="21"/>
                <w:szCs w:val="21"/>
                <w:highlight w:val="none"/>
                <w:lang w:val="en-US" w:eastAsia="zh-CN" w:bidi="ar"/>
              </w:rPr>
            </w:pPr>
            <w:r>
              <w:rPr>
                <w:rFonts w:hint="eastAsia" w:ascii="宋体" w:hAnsi="宋体" w:cs="宋体"/>
                <w:color w:val="auto"/>
                <w:kern w:val="2"/>
                <w:sz w:val="21"/>
                <w:szCs w:val="21"/>
                <w:highlight w:val="none"/>
                <w:lang w:val="en-US" w:eastAsia="zh-CN" w:bidi="ar"/>
              </w:rPr>
              <w:t>操作服务</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59A86437">
            <w:pPr>
              <w:keepNext w:val="0"/>
              <w:keepLines w:val="0"/>
              <w:widowControl w:val="0"/>
              <w:suppressLineNumbers w:val="0"/>
              <w:spacing w:before="0" w:beforeAutospacing="0" w:after="0" w:afterAutospacing="0"/>
              <w:ind w:left="0" w:right="0"/>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1800</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38D06DD4">
            <w:pPr>
              <w:keepNext w:val="0"/>
              <w:keepLines w:val="0"/>
              <w:widowControl w:val="0"/>
              <w:suppressLineNumbers w:val="0"/>
              <w:spacing w:before="0" w:beforeAutospacing="0" w:after="0" w:afterAutospacing="0"/>
              <w:ind w:left="0" w:right="0"/>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2900</w:t>
            </w:r>
          </w:p>
        </w:tc>
        <w:tc>
          <w:tcPr>
            <w:tcW w:w="1665" w:type="dxa"/>
            <w:tcBorders>
              <w:top w:val="single" w:color="000000" w:sz="4" w:space="0"/>
              <w:left w:val="nil"/>
              <w:bottom w:val="single" w:color="000000" w:sz="4" w:space="0"/>
              <w:right w:val="single" w:color="000000" w:sz="4" w:space="0"/>
            </w:tcBorders>
            <w:shd w:val="clear" w:color="auto" w:fill="auto"/>
            <w:vAlign w:val="center"/>
          </w:tcPr>
          <w:p w14:paraId="783F2182">
            <w:pPr>
              <w:keepNext w:val="0"/>
              <w:keepLines w:val="0"/>
              <w:widowControl w:val="0"/>
              <w:suppressLineNumbers w:val="0"/>
              <w:spacing w:before="0" w:beforeAutospacing="0" w:after="0" w:afterAutospacing="0"/>
              <w:ind w:left="0" w:right="0"/>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2000</w:t>
            </w:r>
          </w:p>
        </w:tc>
        <w:tc>
          <w:tcPr>
            <w:tcW w:w="2400" w:type="dxa"/>
            <w:tcBorders>
              <w:top w:val="single" w:color="000000" w:sz="4" w:space="0"/>
              <w:left w:val="nil"/>
              <w:bottom w:val="single" w:color="000000" w:sz="4" w:space="0"/>
              <w:right w:val="single" w:color="000000" w:sz="4" w:space="0"/>
            </w:tcBorders>
            <w:shd w:val="clear" w:color="auto" w:fill="auto"/>
            <w:vAlign w:val="center"/>
          </w:tcPr>
          <w:p w14:paraId="6832881D">
            <w:pPr>
              <w:keepNext w:val="0"/>
              <w:keepLines w:val="0"/>
              <w:widowControl w:val="0"/>
              <w:suppressLineNumbers w:val="0"/>
              <w:spacing w:before="0" w:beforeAutospacing="0" w:after="0" w:afterAutospacing="0"/>
              <w:ind w:left="0" w:right="0"/>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6700</w:t>
            </w:r>
          </w:p>
        </w:tc>
      </w:tr>
    </w:tbl>
    <w:p w14:paraId="6FA5C00B">
      <w:pPr>
        <w:widowControl/>
        <w:spacing w:line="480" w:lineRule="atLeast"/>
        <w:jc w:val="left"/>
        <w:outlineLvl w:val="9"/>
        <w:rPr>
          <w:rFonts w:hint="eastAsia"/>
          <w:color w:val="auto"/>
          <w:highlight w:val="none"/>
        </w:rPr>
      </w:pPr>
    </w:p>
    <w:p w14:paraId="033CABCA">
      <w:pPr>
        <w:widowControl/>
        <w:spacing w:line="480" w:lineRule="atLeast"/>
        <w:jc w:val="left"/>
        <w:outlineLvl w:val="9"/>
        <w:rPr>
          <w:rFonts w:hint="eastAsia"/>
          <w:color w:val="auto"/>
          <w:highlight w:val="none"/>
        </w:rPr>
      </w:pPr>
    </w:p>
    <w:p w14:paraId="2F98EAA4">
      <w:pPr>
        <w:widowControl/>
        <w:spacing w:line="480" w:lineRule="atLeast"/>
        <w:jc w:val="left"/>
        <w:outlineLvl w:val="9"/>
        <w:rPr>
          <w:rFonts w:hint="eastAsia"/>
          <w:color w:val="auto"/>
          <w:highlight w:val="none"/>
        </w:rPr>
      </w:pPr>
    </w:p>
    <w:p w14:paraId="6CFAD848">
      <w:pPr>
        <w:widowControl/>
        <w:spacing w:line="480" w:lineRule="atLeast"/>
        <w:jc w:val="left"/>
        <w:outlineLvl w:val="9"/>
        <w:rPr>
          <w:rFonts w:hint="eastAsia"/>
          <w:color w:val="auto"/>
          <w:highlight w:val="none"/>
        </w:rPr>
      </w:pPr>
    </w:p>
    <w:p w14:paraId="159D37DF">
      <w:pPr>
        <w:rPr>
          <w:rFonts w:hint="eastAsia" w:hAnsi="宋体" w:cs="宋体"/>
          <w:b/>
          <w:color w:val="auto"/>
          <w:sz w:val="32"/>
          <w:szCs w:val="32"/>
          <w:highlight w:val="none"/>
          <w:lang w:eastAsia="zh-CN"/>
        </w:rPr>
      </w:pPr>
      <w:r>
        <w:rPr>
          <w:rFonts w:hint="eastAsia" w:hAnsi="宋体" w:cs="宋体"/>
          <w:b/>
          <w:color w:val="auto"/>
          <w:sz w:val="32"/>
          <w:szCs w:val="32"/>
          <w:highlight w:val="none"/>
          <w:lang w:eastAsia="zh-CN"/>
        </w:rPr>
        <w:br w:type="page"/>
      </w:r>
    </w:p>
    <w:p w14:paraId="299751B6">
      <w:pPr>
        <w:pStyle w:val="15"/>
        <w:jc w:val="center"/>
        <w:rPr>
          <w:rFonts w:hint="eastAsia" w:hAnsi="宋体" w:eastAsia="宋体" w:cs="宋体"/>
          <w:b/>
          <w:color w:val="auto"/>
          <w:sz w:val="32"/>
          <w:szCs w:val="32"/>
          <w:highlight w:val="none"/>
          <w:lang w:eastAsia="zh-CN"/>
        </w:rPr>
      </w:pPr>
      <w:r>
        <w:rPr>
          <w:rFonts w:hint="eastAsia" w:hAnsi="宋体" w:cs="宋体"/>
          <w:b/>
          <w:color w:val="auto"/>
          <w:sz w:val="32"/>
          <w:szCs w:val="32"/>
          <w:highlight w:val="none"/>
          <w:lang w:eastAsia="zh-CN"/>
        </w:rPr>
        <w:t>禾园二餐厅</w:t>
      </w:r>
      <w:r>
        <w:rPr>
          <w:rFonts w:hint="eastAsia" w:hAnsi="宋体" w:cs="宋体"/>
          <w:b/>
          <w:color w:val="auto"/>
          <w:sz w:val="32"/>
          <w:szCs w:val="32"/>
          <w:highlight w:val="none"/>
          <w:lang w:val="en-US" w:eastAsia="zh-CN"/>
        </w:rPr>
        <w:t>人员</w:t>
      </w:r>
      <w:r>
        <w:rPr>
          <w:rFonts w:hint="eastAsia" w:hAnsi="宋体" w:cs="宋体"/>
          <w:b/>
          <w:color w:val="auto"/>
          <w:sz w:val="32"/>
          <w:szCs w:val="32"/>
          <w:highlight w:val="none"/>
          <w:lang w:eastAsia="zh-CN"/>
        </w:rPr>
        <w:t>待遇参考标准</w:t>
      </w:r>
    </w:p>
    <w:p w14:paraId="6C654F60">
      <w:pPr>
        <w:widowControl/>
        <w:spacing w:line="480" w:lineRule="atLeast"/>
        <w:jc w:val="left"/>
        <w:outlineLvl w:val="9"/>
        <w:rPr>
          <w:rFonts w:hint="eastAsia"/>
          <w:color w:val="auto"/>
          <w:highlight w:val="none"/>
        </w:rPr>
      </w:pPr>
    </w:p>
    <w:tbl>
      <w:tblPr>
        <w:tblStyle w:val="27"/>
        <w:tblW w:w="8454" w:type="dxa"/>
        <w:tblInd w:w="13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89"/>
        <w:gridCol w:w="1425"/>
        <w:gridCol w:w="1500"/>
        <w:gridCol w:w="1665"/>
        <w:gridCol w:w="2475"/>
      </w:tblGrid>
      <w:tr w14:paraId="4EF63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2" w:hRule="atLeast"/>
        </w:trPr>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D29F5">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auto"/>
                <w:kern w:val="2"/>
                <w:sz w:val="21"/>
                <w:szCs w:val="21"/>
                <w:highlight w:val="none"/>
              </w:rPr>
            </w:pPr>
            <w:r>
              <w:rPr>
                <w:rFonts w:hint="eastAsia" w:ascii="黑体" w:hAnsi="宋体" w:eastAsia="黑体" w:cs="黑体"/>
                <w:b/>
                <w:bCs/>
                <w:i w:val="0"/>
                <w:iCs w:val="0"/>
                <w:color w:val="auto"/>
                <w:kern w:val="0"/>
                <w:sz w:val="21"/>
                <w:szCs w:val="21"/>
                <w:highlight w:val="none"/>
                <w:lang w:val="en-US" w:eastAsia="zh-CN" w:bidi="ar"/>
              </w:rPr>
              <w:t>岗位</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1158394E">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auto"/>
                <w:kern w:val="2"/>
                <w:sz w:val="21"/>
                <w:szCs w:val="21"/>
                <w:highlight w:val="none"/>
                <w:lang w:eastAsia="zh-CN"/>
              </w:rPr>
            </w:pPr>
            <w:r>
              <w:rPr>
                <w:rFonts w:hint="eastAsia" w:ascii="黑体" w:hAnsi="宋体" w:eastAsia="黑体" w:cs="黑体"/>
                <w:b/>
                <w:bCs/>
                <w:i w:val="0"/>
                <w:iCs w:val="0"/>
                <w:color w:val="auto"/>
                <w:kern w:val="2"/>
                <w:sz w:val="21"/>
                <w:szCs w:val="21"/>
                <w:highlight w:val="none"/>
                <w:lang w:eastAsia="zh-CN"/>
              </w:rPr>
              <w:t>岗位工资</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0CDCAEFE">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auto"/>
                <w:kern w:val="2"/>
                <w:sz w:val="21"/>
                <w:szCs w:val="21"/>
                <w:highlight w:val="none"/>
                <w:lang w:eastAsia="zh-CN"/>
              </w:rPr>
            </w:pPr>
            <w:r>
              <w:rPr>
                <w:rFonts w:hint="eastAsia" w:ascii="黑体" w:hAnsi="宋体" w:eastAsia="黑体" w:cs="黑体"/>
                <w:b/>
                <w:bCs/>
                <w:i w:val="0"/>
                <w:iCs w:val="0"/>
                <w:color w:val="auto"/>
                <w:kern w:val="2"/>
                <w:sz w:val="21"/>
                <w:szCs w:val="21"/>
                <w:highlight w:val="none"/>
                <w:lang w:eastAsia="zh-CN"/>
              </w:rPr>
              <w:t>基本工资</w:t>
            </w:r>
          </w:p>
        </w:tc>
        <w:tc>
          <w:tcPr>
            <w:tcW w:w="1665" w:type="dxa"/>
            <w:tcBorders>
              <w:top w:val="single" w:color="000000" w:sz="4" w:space="0"/>
              <w:left w:val="nil"/>
              <w:bottom w:val="single" w:color="000000" w:sz="4" w:space="0"/>
              <w:right w:val="single" w:color="000000" w:sz="4" w:space="0"/>
            </w:tcBorders>
            <w:shd w:val="clear" w:color="auto" w:fill="auto"/>
            <w:vAlign w:val="center"/>
          </w:tcPr>
          <w:p w14:paraId="3B037A52">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auto"/>
                <w:kern w:val="2"/>
                <w:sz w:val="21"/>
                <w:szCs w:val="21"/>
                <w:highlight w:val="none"/>
                <w:lang w:eastAsia="zh-CN"/>
              </w:rPr>
            </w:pPr>
            <w:r>
              <w:rPr>
                <w:rFonts w:hint="eastAsia" w:ascii="黑体" w:hAnsi="宋体" w:eastAsia="黑体" w:cs="黑体"/>
                <w:b/>
                <w:bCs/>
                <w:i w:val="0"/>
                <w:iCs w:val="0"/>
                <w:color w:val="auto"/>
                <w:kern w:val="2"/>
                <w:sz w:val="21"/>
                <w:szCs w:val="21"/>
                <w:highlight w:val="none"/>
                <w:lang w:eastAsia="zh-CN"/>
              </w:rPr>
              <w:t>效益工资</w:t>
            </w:r>
          </w:p>
        </w:tc>
        <w:tc>
          <w:tcPr>
            <w:tcW w:w="2475" w:type="dxa"/>
            <w:tcBorders>
              <w:top w:val="single" w:color="000000" w:sz="4" w:space="0"/>
              <w:left w:val="nil"/>
              <w:bottom w:val="single" w:color="000000" w:sz="4" w:space="0"/>
              <w:right w:val="single" w:color="000000" w:sz="4" w:space="0"/>
            </w:tcBorders>
            <w:shd w:val="clear" w:color="auto" w:fill="auto"/>
            <w:vAlign w:val="center"/>
          </w:tcPr>
          <w:p w14:paraId="47116832">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auto"/>
                <w:kern w:val="2"/>
                <w:sz w:val="21"/>
                <w:szCs w:val="21"/>
                <w:highlight w:val="none"/>
                <w:lang w:val="en-US" w:eastAsia="zh-CN"/>
              </w:rPr>
            </w:pPr>
          </w:p>
          <w:p w14:paraId="53A35E86">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auto"/>
                <w:kern w:val="2"/>
                <w:sz w:val="21"/>
                <w:szCs w:val="21"/>
                <w:highlight w:val="none"/>
                <w:lang w:eastAsia="zh-CN"/>
              </w:rPr>
            </w:pPr>
            <w:r>
              <w:rPr>
                <w:rFonts w:hint="eastAsia" w:ascii="黑体" w:hAnsi="宋体" w:eastAsia="黑体" w:cs="黑体"/>
                <w:b/>
                <w:bCs/>
                <w:i w:val="0"/>
                <w:iCs w:val="0"/>
                <w:color w:val="auto"/>
                <w:kern w:val="2"/>
                <w:sz w:val="21"/>
                <w:szCs w:val="21"/>
                <w:highlight w:val="none"/>
                <w:lang w:val="en-US" w:eastAsia="zh-CN"/>
              </w:rPr>
              <w:t>人均月工资待遇标准</w:t>
            </w:r>
          </w:p>
          <w:p w14:paraId="59282A05">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auto"/>
                <w:kern w:val="2"/>
                <w:sz w:val="21"/>
                <w:szCs w:val="21"/>
                <w:highlight w:val="none"/>
                <w:lang w:eastAsia="zh-CN"/>
              </w:rPr>
            </w:pPr>
          </w:p>
        </w:tc>
      </w:tr>
      <w:tr w14:paraId="15E11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4" w:hRule="atLeast"/>
        </w:trPr>
        <w:tc>
          <w:tcPr>
            <w:tcW w:w="1389" w:type="dxa"/>
            <w:tcBorders>
              <w:top w:val="single" w:color="000000" w:sz="4" w:space="0"/>
              <w:left w:val="single" w:color="000000" w:sz="4" w:space="0"/>
              <w:right w:val="single" w:color="000000" w:sz="4" w:space="0"/>
            </w:tcBorders>
            <w:shd w:val="clear" w:color="auto" w:fill="auto"/>
            <w:vAlign w:val="center"/>
          </w:tcPr>
          <w:p w14:paraId="10AB6803">
            <w:pPr>
              <w:keepNext w:val="0"/>
              <w:keepLines w:val="0"/>
              <w:widowControl/>
              <w:suppressLineNumbers w:val="0"/>
              <w:spacing w:before="0" w:beforeAutospacing="0" w:after="0" w:afterAutospacing="0" w:line="480" w:lineRule="atLeast"/>
              <w:ind w:left="0" w:right="0"/>
              <w:jc w:val="left"/>
              <w:outlineLvl w:val="9"/>
              <w:rPr>
                <w:rFonts w:hint="eastAsia"/>
                <w:color w:val="auto"/>
                <w:szCs w:val="20"/>
                <w:highlight w:val="none"/>
              </w:rPr>
            </w:pPr>
            <w:r>
              <w:rPr>
                <w:rFonts w:hint="eastAsia"/>
                <w:color w:val="auto"/>
                <w:szCs w:val="20"/>
                <w:highlight w:val="none"/>
              </w:rPr>
              <w:t>餐厅管理</w:t>
            </w:r>
          </w:p>
          <w:p w14:paraId="47EBEFE4">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服务</w:t>
            </w:r>
          </w:p>
        </w:tc>
        <w:tc>
          <w:tcPr>
            <w:tcW w:w="1425" w:type="dxa"/>
            <w:tcBorders>
              <w:top w:val="single" w:color="000000" w:sz="4" w:space="0"/>
              <w:left w:val="nil"/>
              <w:right w:val="single" w:color="000000" w:sz="4" w:space="0"/>
            </w:tcBorders>
            <w:shd w:val="clear" w:color="auto" w:fill="auto"/>
            <w:vAlign w:val="center"/>
          </w:tcPr>
          <w:p w14:paraId="12FAB3D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4000</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1389C1F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4020</w:t>
            </w:r>
          </w:p>
        </w:tc>
        <w:tc>
          <w:tcPr>
            <w:tcW w:w="1665" w:type="dxa"/>
            <w:tcBorders>
              <w:top w:val="single" w:color="000000" w:sz="4" w:space="0"/>
              <w:left w:val="nil"/>
              <w:right w:val="single" w:color="000000" w:sz="4" w:space="0"/>
            </w:tcBorders>
            <w:shd w:val="clear" w:color="auto" w:fill="auto"/>
            <w:vAlign w:val="center"/>
          </w:tcPr>
          <w:p w14:paraId="0A0B402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2980</w:t>
            </w:r>
          </w:p>
        </w:tc>
        <w:tc>
          <w:tcPr>
            <w:tcW w:w="2475" w:type="dxa"/>
            <w:tcBorders>
              <w:top w:val="single" w:color="000000" w:sz="4" w:space="0"/>
              <w:left w:val="nil"/>
              <w:right w:val="single" w:color="000000" w:sz="4" w:space="0"/>
            </w:tcBorders>
            <w:shd w:val="clear" w:color="auto" w:fill="auto"/>
            <w:vAlign w:val="center"/>
          </w:tcPr>
          <w:p w14:paraId="01B5C04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11000</w:t>
            </w:r>
          </w:p>
        </w:tc>
      </w:tr>
      <w:tr w14:paraId="5C039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EE5D1">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库房管理</w:t>
            </w:r>
          </w:p>
          <w:p w14:paraId="6252808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服务</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5239C43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2300</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1E343A1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2900</w:t>
            </w:r>
          </w:p>
        </w:tc>
        <w:tc>
          <w:tcPr>
            <w:tcW w:w="1665" w:type="dxa"/>
            <w:tcBorders>
              <w:top w:val="single" w:color="000000" w:sz="4" w:space="0"/>
              <w:left w:val="nil"/>
              <w:bottom w:val="single" w:color="000000" w:sz="4" w:space="0"/>
              <w:right w:val="single" w:color="000000" w:sz="4" w:space="0"/>
            </w:tcBorders>
            <w:shd w:val="clear" w:color="auto" w:fill="auto"/>
            <w:vAlign w:val="center"/>
          </w:tcPr>
          <w:p w14:paraId="395C7AC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2300</w:t>
            </w:r>
          </w:p>
        </w:tc>
        <w:tc>
          <w:tcPr>
            <w:tcW w:w="2475" w:type="dxa"/>
            <w:tcBorders>
              <w:top w:val="single" w:color="000000" w:sz="4" w:space="0"/>
              <w:left w:val="nil"/>
              <w:bottom w:val="single" w:color="000000" w:sz="4" w:space="0"/>
              <w:right w:val="single" w:color="000000" w:sz="4" w:space="0"/>
            </w:tcBorders>
            <w:shd w:val="clear" w:color="auto" w:fill="auto"/>
            <w:vAlign w:val="center"/>
          </w:tcPr>
          <w:p w14:paraId="49EB0CE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7500</w:t>
            </w:r>
          </w:p>
        </w:tc>
      </w:tr>
      <w:tr w14:paraId="5C41E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8" w:hRule="atLeast"/>
        </w:trPr>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44BA3">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食品安全</w:t>
            </w:r>
          </w:p>
          <w:p w14:paraId="33256DC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服务</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2859B75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2300</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36DE533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2900</w:t>
            </w:r>
          </w:p>
        </w:tc>
        <w:tc>
          <w:tcPr>
            <w:tcW w:w="1665" w:type="dxa"/>
            <w:tcBorders>
              <w:top w:val="single" w:color="000000" w:sz="4" w:space="0"/>
              <w:left w:val="nil"/>
              <w:bottom w:val="single" w:color="000000" w:sz="4" w:space="0"/>
              <w:right w:val="single" w:color="000000" w:sz="4" w:space="0"/>
            </w:tcBorders>
            <w:shd w:val="clear" w:color="auto" w:fill="auto"/>
            <w:vAlign w:val="center"/>
          </w:tcPr>
          <w:p w14:paraId="1000B83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2300</w:t>
            </w:r>
          </w:p>
        </w:tc>
        <w:tc>
          <w:tcPr>
            <w:tcW w:w="2475" w:type="dxa"/>
            <w:tcBorders>
              <w:top w:val="single" w:color="000000" w:sz="4" w:space="0"/>
              <w:left w:val="nil"/>
              <w:bottom w:val="single" w:color="000000" w:sz="4" w:space="0"/>
              <w:right w:val="single" w:color="000000" w:sz="4" w:space="0"/>
            </w:tcBorders>
            <w:shd w:val="clear" w:color="auto" w:fill="auto"/>
            <w:vAlign w:val="center"/>
          </w:tcPr>
          <w:p w14:paraId="7046AC0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7500</w:t>
            </w:r>
          </w:p>
        </w:tc>
      </w:tr>
      <w:tr w14:paraId="03E9A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609B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rPr>
            </w:pPr>
            <w:r>
              <w:rPr>
                <w:rFonts w:hint="eastAsia" w:ascii="宋体" w:hAnsi="宋体" w:eastAsia="宋体" w:cs="宋体"/>
                <w:color w:val="auto"/>
                <w:kern w:val="2"/>
                <w:sz w:val="21"/>
                <w:szCs w:val="21"/>
                <w:highlight w:val="none"/>
                <w:lang w:val="en-US" w:eastAsia="zh-CN" w:bidi="ar"/>
              </w:rPr>
              <w:t>厨师服务</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14A149D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2500</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158FD1F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3400</w:t>
            </w:r>
          </w:p>
        </w:tc>
        <w:tc>
          <w:tcPr>
            <w:tcW w:w="1665" w:type="dxa"/>
            <w:tcBorders>
              <w:top w:val="single" w:color="000000" w:sz="4" w:space="0"/>
              <w:left w:val="nil"/>
              <w:bottom w:val="single" w:color="000000" w:sz="4" w:space="0"/>
              <w:right w:val="single" w:color="000000" w:sz="4" w:space="0"/>
            </w:tcBorders>
            <w:shd w:val="clear" w:color="auto" w:fill="auto"/>
            <w:vAlign w:val="center"/>
          </w:tcPr>
          <w:p w14:paraId="61437B4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3600</w:t>
            </w:r>
          </w:p>
        </w:tc>
        <w:tc>
          <w:tcPr>
            <w:tcW w:w="2475" w:type="dxa"/>
            <w:tcBorders>
              <w:top w:val="single" w:color="000000" w:sz="4" w:space="0"/>
              <w:left w:val="nil"/>
              <w:bottom w:val="single" w:color="000000" w:sz="4" w:space="0"/>
              <w:right w:val="single" w:color="000000" w:sz="4" w:space="0"/>
            </w:tcBorders>
            <w:shd w:val="clear" w:color="auto" w:fill="auto"/>
            <w:vAlign w:val="center"/>
          </w:tcPr>
          <w:p w14:paraId="0FBB3F9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9500</w:t>
            </w:r>
          </w:p>
        </w:tc>
      </w:tr>
      <w:tr w14:paraId="78B18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DD8D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rPr>
            </w:pPr>
            <w:r>
              <w:rPr>
                <w:rFonts w:hint="eastAsia" w:ascii="宋体" w:hAnsi="宋体" w:eastAsia="宋体" w:cs="宋体"/>
                <w:color w:val="auto"/>
                <w:kern w:val="2"/>
                <w:sz w:val="21"/>
                <w:szCs w:val="21"/>
                <w:highlight w:val="none"/>
                <w:lang w:val="en-US" w:eastAsia="zh-CN" w:bidi="ar"/>
              </w:rPr>
              <w:t>厨工服务</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489B6D6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2000</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46EF84B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2800</w:t>
            </w:r>
          </w:p>
        </w:tc>
        <w:tc>
          <w:tcPr>
            <w:tcW w:w="1665" w:type="dxa"/>
            <w:tcBorders>
              <w:top w:val="single" w:color="000000" w:sz="4" w:space="0"/>
              <w:left w:val="nil"/>
              <w:bottom w:val="single" w:color="000000" w:sz="4" w:space="0"/>
              <w:right w:val="single" w:color="000000" w:sz="4" w:space="0"/>
            </w:tcBorders>
            <w:shd w:val="clear" w:color="auto" w:fill="auto"/>
            <w:vAlign w:val="center"/>
          </w:tcPr>
          <w:p w14:paraId="7878A9A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1700</w:t>
            </w:r>
          </w:p>
        </w:tc>
        <w:tc>
          <w:tcPr>
            <w:tcW w:w="2475" w:type="dxa"/>
            <w:tcBorders>
              <w:top w:val="single" w:color="000000" w:sz="4" w:space="0"/>
              <w:left w:val="nil"/>
              <w:bottom w:val="single" w:color="000000" w:sz="4" w:space="0"/>
              <w:right w:val="single" w:color="000000" w:sz="4" w:space="0"/>
            </w:tcBorders>
            <w:shd w:val="clear" w:color="auto" w:fill="auto"/>
            <w:vAlign w:val="center"/>
          </w:tcPr>
          <w:p w14:paraId="18D2AF4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6500</w:t>
            </w:r>
          </w:p>
        </w:tc>
      </w:tr>
      <w:tr w14:paraId="1382F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AD6B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rPr>
            </w:pPr>
            <w:r>
              <w:rPr>
                <w:rFonts w:hint="eastAsia" w:ascii="宋体" w:hAnsi="宋体" w:eastAsia="宋体" w:cs="宋体"/>
                <w:color w:val="auto"/>
                <w:kern w:val="2"/>
                <w:sz w:val="21"/>
                <w:szCs w:val="21"/>
                <w:highlight w:val="none"/>
                <w:lang w:val="en-US" w:eastAsia="zh-CN" w:bidi="ar"/>
              </w:rPr>
              <w:t>保洁服务</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2DB5886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1800</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6E6B98F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2900</w:t>
            </w:r>
          </w:p>
        </w:tc>
        <w:tc>
          <w:tcPr>
            <w:tcW w:w="1665" w:type="dxa"/>
            <w:tcBorders>
              <w:top w:val="single" w:color="000000" w:sz="4" w:space="0"/>
              <w:left w:val="nil"/>
              <w:bottom w:val="single" w:color="000000" w:sz="4" w:space="0"/>
              <w:right w:val="single" w:color="000000" w:sz="4" w:space="0"/>
            </w:tcBorders>
            <w:shd w:val="clear" w:color="auto" w:fill="auto"/>
            <w:vAlign w:val="center"/>
          </w:tcPr>
          <w:p w14:paraId="11B7C2D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1300</w:t>
            </w:r>
          </w:p>
        </w:tc>
        <w:tc>
          <w:tcPr>
            <w:tcW w:w="2475" w:type="dxa"/>
            <w:tcBorders>
              <w:top w:val="single" w:color="000000" w:sz="4" w:space="0"/>
              <w:left w:val="nil"/>
              <w:bottom w:val="single" w:color="000000" w:sz="4" w:space="0"/>
              <w:right w:val="single" w:color="000000" w:sz="4" w:space="0"/>
            </w:tcBorders>
            <w:shd w:val="clear" w:color="auto" w:fill="auto"/>
            <w:vAlign w:val="center"/>
          </w:tcPr>
          <w:p w14:paraId="4E097CD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6000</w:t>
            </w:r>
          </w:p>
        </w:tc>
      </w:tr>
      <w:tr w14:paraId="081D1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1724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rPr>
            </w:pPr>
            <w:r>
              <w:rPr>
                <w:rFonts w:hint="eastAsia" w:ascii="宋体" w:hAnsi="宋体" w:eastAsia="宋体" w:cs="宋体"/>
                <w:color w:val="auto"/>
                <w:kern w:val="2"/>
                <w:sz w:val="21"/>
                <w:szCs w:val="21"/>
                <w:highlight w:val="none"/>
                <w:lang w:val="en-US" w:eastAsia="zh-CN" w:bidi="ar"/>
              </w:rPr>
              <w:t>值班</w:t>
            </w:r>
            <w:r>
              <w:rPr>
                <w:rFonts w:hint="eastAsia" w:ascii="宋体" w:hAnsi="宋体" w:cs="宋体"/>
                <w:color w:val="auto"/>
                <w:kern w:val="2"/>
                <w:sz w:val="21"/>
                <w:szCs w:val="21"/>
                <w:highlight w:val="none"/>
                <w:lang w:val="en-US" w:eastAsia="zh-CN" w:bidi="ar"/>
              </w:rPr>
              <w:t>服务</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1AD536C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1800</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131386C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2400</w:t>
            </w:r>
          </w:p>
        </w:tc>
        <w:tc>
          <w:tcPr>
            <w:tcW w:w="1665" w:type="dxa"/>
            <w:tcBorders>
              <w:top w:val="single" w:color="000000" w:sz="4" w:space="0"/>
              <w:left w:val="nil"/>
              <w:bottom w:val="single" w:color="000000" w:sz="4" w:space="0"/>
              <w:right w:val="single" w:color="000000" w:sz="4" w:space="0"/>
            </w:tcBorders>
            <w:shd w:val="clear" w:color="auto" w:fill="auto"/>
            <w:vAlign w:val="center"/>
          </w:tcPr>
          <w:p w14:paraId="751AE46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1800</w:t>
            </w:r>
          </w:p>
        </w:tc>
        <w:tc>
          <w:tcPr>
            <w:tcW w:w="2475" w:type="dxa"/>
            <w:tcBorders>
              <w:top w:val="single" w:color="000000" w:sz="4" w:space="0"/>
              <w:left w:val="nil"/>
              <w:bottom w:val="single" w:color="000000" w:sz="4" w:space="0"/>
              <w:right w:val="single" w:color="000000" w:sz="4" w:space="0"/>
            </w:tcBorders>
            <w:shd w:val="clear" w:color="auto" w:fill="auto"/>
            <w:vAlign w:val="center"/>
          </w:tcPr>
          <w:p w14:paraId="148C025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6000</w:t>
            </w:r>
          </w:p>
        </w:tc>
      </w:tr>
      <w:tr w14:paraId="40568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atLeast"/>
        </w:trPr>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4C1A4">
            <w:pPr>
              <w:keepNext w:val="0"/>
              <w:keepLines w:val="0"/>
              <w:widowControl w:val="0"/>
              <w:suppressLineNumbers w:val="0"/>
              <w:spacing w:before="0" w:beforeAutospacing="0" w:after="0" w:afterAutospacing="0"/>
              <w:ind w:left="0" w:right="0"/>
              <w:jc w:val="center"/>
              <w:rPr>
                <w:rFonts w:hint="default" w:ascii="宋体" w:hAnsi="宋体" w:eastAsia="宋体" w:cs="宋体"/>
                <w:color w:val="auto"/>
                <w:kern w:val="2"/>
                <w:sz w:val="21"/>
                <w:szCs w:val="21"/>
                <w:highlight w:val="none"/>
                <w:lang w:val="en-US" w:eastAsia="zh-CN" w:bidi="ar"/>
              </w:rPr>
            </w:pPr>
            <w:r>
              <w:rPr>
                <w:rFonts w:hint="eastAsia" w:ascii="宋体" w:hAnsi="宋体" w:cs="宋体"/>
                <w:color w:val="auto"/>
                <w:kern w:val="2"/>
                <w:sz w:val="21"/>
                <w:szCs w:val="21"/>
                <w:highlight w:val="none"/>
                <w:lang w:val="en-US" w:eastAsia="zh-CN" w:bidi="ar"/>
              </w:rPr>
              <w:t>洗碗服务</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7FF176D0">
            <w:pPr>
              <w:keepNext w:val="0"/>
              <w:keepLines w:val="0"/>
              <w:widowControl w:val="0"/>
              <w:suppressLineNumbers w:val="0"/>
              <w:spacing w:before="0" w:beforeAutospacing="0" w:after="0" w:afterAutospacing="0"/>
              <w:ind w:left="0" w:right="0"/>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1800</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301F6BFF">
            <w:pPr>
              <w:keepNext w:val="0"/>
              <w:keepLines w:val="0"/>
              <w:widowControl w:val="0"/>
              <w:suppressLineNumbers w:val="0"/>
              <w:spacing w:before="0" w:beforeAutospacing="0" w:after="0" w:afterAutospacing="0"/>
              <w:ind w:left="0" w:right="0"/>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2900</w:t>
            </w:r>
          </w:p>
        </w:tc>
        <w:tc>
          <w:tcPr>
            <w:tcW w:w="1665" w:type="dxa"/>
            <w:tcBorders>
              <w:top w:val="single" w:color="000000" w:sz="4" w:space="0"/>
              <w:left w:val="nil"/>
              <w:bottom w:val="single" w:color="000000" w:sz="4" w:space="0"/>
              <w:right w:val="single" w:color="000000" w:sz="4" w:space="0"/>
            </w:tcBorders>
            <w:shd w:val="clear" w:color="auto" w:fill="auto"/>
            <w:vAlign w:val="center"/>
          </w:tcPr>
          <w:p w14:paraId="1D46A605">
            <w:pPr>
              <w:keepNext w:val="0"/>
              <w:keepLines w:val="0"/>
              <w:widowControl w:val="0"/>
              <w:suppressLineNumbers w:val="0"/>
              <w:spacing w:before="0" w:beforeAutospacing="0" w:after="0" w:afterAutospacing="0"/>
              <w:ind w:left="0" w:right="0"/>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1800</w:t>
            </w:r>
          </w:p>
        </w:tc>
        <w:tc>
          <w:tcPr>
            <w:tcW w:w="2475" w:type="dxa"/>
            <w:tcBorders>
              <w:top w:val="single" w:color="000000" w:sz="4" w:space="0"/>
              <w:left w:val="nil"/>
              <w:bottom w:val="single" w:color="000000" w:sz="4" w:space="0"/>
              <w:right w:val="single" w:color="000000" w:sz="4" w:space="0"/>
            </w:tcBorders>
            <w:shd w:val="clear" w:color="auto" w:fill="auto"/>
            <w:vAlign w:val="center"/>
          </w:tcPr>
          <w:p w14:paraId="347B5F09">
            <w:pPr>
              <w:keepNext w:val="0"/>
              <w:keepLines w:val="0"/>
              <w:widowControl w:val="0"/>
              <w:suppressLineNumbers w:val="0"/>
              <w:spacing w:before="0" w:beforeAutospacing="0" w:after="0" w:afterAutospacing="0"/>
              <w:ind w:left="0" w:right="0"/>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6500</w:t>
            </w:r>
          </w:p>
        </w:tc>
      </w:tr>
    </w:tbl>
    <w:p w14:paraId="753173DE">
      <w:pPr>
        <w:widowControl/>
        <w:spacing w:line="480" w:lineRule="atLeast"/>
        <w:jc w:val="left"/>
        <w:outlineLvl w:val="9"/>
        <w:rPr>
          <w:rFonts w:hint="eastAsia"/>
          <w:color w:val="auto"/>
          <w:highlight w:val="none"/>
        </w:rPr>
      </w:pPr>
    </w:p>
    <w:p w14:paraId="42FA4252">
      <w:pPr>
        <w:pStyle w:val="15"/>
        <w:jc w:val="center"/>
        <w:rPr>
          <w:rFonts w:hint="eastAsia" w:hAnsi="宋体" w:cs="宋体"/>
          <w:b/>
          <w:color w:val="auto"/>
          <w:sz w:val="32"/>
          <w:szCs w:val="32"/>
          <w:highlight w:val="none"/>
          <w:lang w:eastAsia="zh-CN"/>
        </w:rPr>
      </w:pPr>
    </w:p>
    <w:p w14:paraId="45785782">
      <w:pPr>
        <w:widowControl/>
        <w:spacing w:line="480" w:lineRule="atLeast"/>
        <w:jc w:val="left"/>
        <w:outlineLvl w:val="9"/>
        <w:rPr>
          <w:rFonts w:hint="eastAsia"/>
          <w:color w:val="auto"/>
          <w:highlight w:val="none"/>
        </w:rPr>
      </w:pPr>
    </w:p>
    <w:p w14:paraId="406FA53C">
      <w:pPr>
        <w:widowControl/>
        <w:spacing w:line="480" w:lineRule="atLeast"/>
        <w:jc w:val="left"/>
        <w:outlineLvl w:val="9"/>
        <w:rPr>
          <w:rFonts w:hint="eastAsia"/>
          <w:color w:val="auto"/>
          <w:highlight w:val="none"/>
        </w:rPr>
      </w:pPr>
    </w:p>
    <w:p w14:paraId="580968C5">
      <w:pPr>
        <w:widowControl/>
        <w:spacing w:line="480" w:lineRule="atLeast"/>
        <w:jc w:val="left"/>
        <w:outlineLvl w:val="9"/>
        <w:rPr>
          <w:rFonts w:hint="eastAsia"/>
          <w:color w:val="auto"/>
          <w:highlight w:val="none"/>
        </w:rPr>
      </w:pPr>
    </w:p>
    <w:p w14:paraId="74D7B3B8">
      <w:pPr>
        <w:widowControl/>
        <w:spacing w:line="480" w:lineRule="atLeast"/>
        <w:jc w:val="left"/>
        <w:outlineLvl w:val="9"/>
        <w:rPr>
          <w:rFonts w:hint="eastAsia"/>
          <w:color w:val="auto"/>
          <w:highlight w:val="none"/>
        </w:rPr>
      </w:pPr>
    </w:p>
    <w:p w14:paraId="7C7EC612">
      <w:pPr>
        <w:widowControl/>
        <w:spacing w:line="480" w:lineRule="atLeast"/>
        <w:jc w:val="left"/>
        <w:outlineLvl w:val="9"/>
        <w:rPr>
          <w:rFonts w:hint="eastAsia"/>
          <w:color w:val="auto"/>
          <w:highlight w:val="none"/>
        </w:rPr>
      </w:pPr>
    </w:p>
    <w:p w14:paraId="3BB655C6">
      <w:pPr>
        <w:spacing w:line="360" w:lineRule="exact"/>
        <w:rPr>
          <w:rFonts w:hint="eastAsia"/>
          <w:b/>
          <w:bCs/>
          <w:color w:val="auto"/>
          <w:highlight w:val="none"/>
        </w:rPr>
      </w:pPr>
    </w:p>
    <w:p w14:paraId="75F788C5">
      <w:pPr>
        <w:rPr>
          <w:rFonts w:hint="eastAsia" w:hAnsi="宋体" w:cs="宋体"/>
          <w:b/>
          <w:color w:val="auto"/>
          <w:sz w:val="32"/>
          <w:szCs w:val="32"/>
          <w:highlight w:val="none"/>
          <w:lang w:eastAsia="zh-CN"/>
        </w:rPr>
      </w:pPr>
      <w:r>
        <w:rPr>
          <w:rFonts w:hint="eastAsia" w:hAnsi="宋体" w:cs="宋体"/>
          <w:b/>
          <w:color w:val="auto"/>
          <w:sz w:val="32"/>
          <w:szCs w:val="32"/>
          <w:highlight w:val="none"/>
          <w:lang w:eastAsia="zh-CN"/>
        </w:rPr>
        <w:br w:type="page"/>
      </w:r>
    </w:p>
    <w:p w14:paraId="617A06CD">
      <w:pPr>
        <w:pStyle w:val="15"/>
        <w:jc w:val="center"/>
        <w:rPr>
          <w:rFonts w:hint="eastAsia" w:hAnsi="宋体" w:eastAsia="宋体" w:cs="宋体"/>
          <w:b/>
          <w:color w:val="auto"/>
          <w:sz w:val="32"/>
          <w:szCs w:val="32"/>
          <w:highlight w:val="none"/>
          <w:lang w:eastAsia="zh-CN"/>
        </w:rPr>
      </w:pPr>
      <w:r>
        <w:rPr>
          <w:rFonts w:hint="eastAsia" w:hAnsi="宋体" w:cs="宋体"/>
          <w:b/>
          <w:color w:val="auto"/>
          <w:sz w:val="32"/>
          <w:szCs w:val="32"/>
          <w:highlight w:val="none"/>
          <w:lang w:eastAsia="zh-CN"/>
        </w:rPr>
        <w:t>学苑二楼餐厅</w:t>
      </w:r>
      <w:r>
        <w:rPr>
          <w:rFonts w:hint="eastAsia" w:hAnsi="宋体" w:cs="宋体"/>
          <w:b/>
          <w:color w:val="auto"/>
          <w:sz w:val="32"/>
          <w:szCs w:val="32"/>
          <w:highlight w:val="none"/>
          <w:lang w:val="en-US" w:eastAsia="zh-CN"/>
        </w:rPr>
        <w:t>人员</w:t>
      </w:r>
      <w:r>
        <w:rPr>
          <w:rFonts w:hint="eastAsia" w:hAnsi="宋体" w:cs="宋体"/>
          <w:b/>
          <w:color w:val="auto"/>
          <w:sz w:val="32"/>
          <w:szCs w:val="32"/>
          <w:highlight w:val="none"/>
          <w:lang w:eastAsia="zh-CN"/>
        </w:rPr>
        <w:t>待遇</w:t>
      </w:r>
      <w:r>
        <w:rPr>
          <w:rFonts w:hint="eastAsia" w:hAnsi="宋体" w:cs="宋体"/>
          <w:b/>
          <w:color w:val="auto"/>
          <w:sz w:val="32"/>
          <w:szCs w:val="32"/>
          <w:highlight w:val="none"/>
          <w:lang w:val="en-US" w:eastAsia="zh-CN"/>
        </w:rPr>
        <w:t>参考</w:t>
      </w:r>
      <w:r>
        <w:rPr>
          <w:rFonts w:hint="eastAsia" w:hAnsi="宋体" w:cs="宋体"/>
          <w:b/>
          <w:color w:val="auto"/>
          <w:sz w:val="32"/>
          <w:szCs w:val="32"/>
          <w:highlight w:val="none"/>
          <w:lang w:eastAsia="zh-CN"/>
        </w:rPr>
        <w:t>标准</w:t>
      </w:r>
    </w:p>
    <w:p w14:paraId="1381C318">
      <w:pPr>
        <w:widowControl/>
        <w:spacing w:line="480" w:lineRule="atLeast"/>
        <w:jc w:val="left"/>
        <w:outlineLvl w:val="9"/>
        <w:rPr>
          <w:rFonts w:hint="eastAsia"/>
          <w:color w:val="auto"/>
          <w:highlight w:val="none"/>
        </w:rPr>
      </w:pPr>
    </w:p>
    <w:tbl>
      <w:tblPr>
        <w:tblStyle w:val="27"/>
        <w:tblW w:w="8364" w:type="dxa"/>
        <w:tblInd w:w="13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89"/>
        <w:gridCol w:w="1425"/>
        <w:gridCol w:w="1500"/>
        <w:gridCol w:w="1665"/>
        <w:gridCol w:w="2385"/>
      </w:tblGrid>
      <w:tr w14:paraId="16604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2" w:hRule="atLeast"/>
        </w:trPr>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63F57">
            <w:pPr>
              <w:keepNext w:val="0"/>
              <w:keepLines w:val="0"/>
              <w:widowControl/>
              <w:suppressLineNumbers w:val="0"/>
              <w:spacing w:before="0" w:beforeAutospacing="0" w:after="0" w:afterAutospacing="0"/>
              <w:ind w:left="0" w:right="0"/>
              <w:jc w:val="center"/>
              <w:textAlignment w:val="center"/>
              <w:rPr>
                <w:rFonts w:hint="default" w:ascii="黑体" w:hAnsi="宋体" w:eastAsia="黑体" w:cs="黑体"/>
                <w:b/>
                <w:bCs/>
                <w:i w:val="0"/>
                <w:iCs w:val="0"/>
                <w:color w:val="auto"/>
                <w:kern w:val="2"/>
                <w:sz w:val="21"/>
                <w:szCs w:val="21"/>
                <w:highlight w:val="none"/>
                <w:lang w:val="en-US"/>
              </w:rPr>
            </w:pPr>
            <w:r>
              <w:rPr>
                <w:rFonts w:hint="eastAsia" w:ascii="黑体" w:hAnsi="宋体" w:eastAsia="黑体" w:cs="黑体"/>
                <w:b/>
                <w:bCs/>
                <w:i w:val="0"/>
                <w:iCs w:val="0"/>
                <w:color w:val="auto"/>
                <w:kern w:val="0"/>
                <w:sz w:val="21"/>
                <w:szCs w:val="21"/>
                <w:highlight w:val="none"/>
                <w:lang w:val="en-US" w:eastAsia="zh-CN" w:bidi="ar"/>
              </w:rPr>
              <w:t>服务细则</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4CDFC831">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auto"/>
                <w:kern w:val="2"/>
                <w:sz w:val="21"/>
                <w:szCs w:val="21"/>
                <w:highlight w:val="none"/>
                <w:lang w:eastAsia="zh-CN"/>
              </w:rPr>
            </w:pPr>
            <w:r>
              <w:rPr>
                <w:rFonts w:hint="eastAsia" w:ascii="黑体" w:hAnsi="宋体" w:eastAsia="黑体" w:cs="黑体"/>
                <w:b/>
                <w:bCs/>
                <w:i w:val="0"/>
                <w:iCs w:val="0"/>
                <w:color w:val="auto"/>
                <w:kern w:val="2"/>
                <w:sz w:val="21"/>
                <w:szCs w:val="21"/>
                <w:highlight w:val="none"/>
                <w:lang w:eastAsia="zh-CN"/>
              </w:rPr>
              <w:t>岗位工资</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588D7CCA">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auto"/>
                <w:kern w:val="2"/>
                <w:sz w:val="21"/>
                <w:szCs w:val="21"/>
                <w:highlight w:val="none"/>
                <w:lang w:eastAsia="zh-CN"/>
              </w:rPr>
            </w:pPr>
            <w:r>
              <w:rPr>
                <w:rFonts w:hint="eastAsia" w:ascii="黑体" w:hAnsi="宋体" w:eastAsia="黑体" w:cs="黑体"/>
                <w:b/>
                <w:bCs/>
                <w:i w:val="0"/>
                <w:iCs w:val="0"/>
                <w:color w:val="auto"/>
                <w:kern w:val="2"/>
                <w:sz w:val="21"/>
                <w:szCs w:val="21"/>
                <w:highlight w:val="none"/>
                <w:lang w:eastAsia="zh-CN"/>
              </w:rPr>
              <w:t>基本工资</w:t>
            </w:r>
          </w:p>
        </w:tc>
        <w:tc>
          <w:tcPr>
            <w:tcW w:w="1665" w:type="dxa"/>
            <w:tcBorders>
              <w:top w:val="single" w:color="000000" w:sz="4" w:space="0"/>
              <w:left w:val="nil"/>
              <w:bottom w:val="single" w:color="000000" w:sz="4" w:space="0"/>
              <w:right w:val="single" w:color="000000" w:sz="4" w:space="0"/>
            </w:tcBorders>
            <w:shd w:val="clear" w:color="auto" w:fill="auto"/>
            <w:vAlign w:val="center"/>
          </w:tcPr>
          <w:p w14:paraId="5F2FAB93">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auto"/>
                <w:kern w:val="2"/>
                <w:sz w:val="21"/>
                <w:szCs w:val="21"/>
                <w:highlight w:val="none"/>
                <w:lang w:eastAsia="zh-CN"/>
              </w:rPr>
            </w:pPr>
            <w:r>
              <w:rPr>
                <w:rFonts w:hint="eastAsia" w:ascii="黑体" w:hAnsi="宋体" w:eastAsia="黑体" w:cs="黑体"/>
                <w:b/>
                <w:bCs/>
                <w:i w:val="0"/>
                <w:iCs w:val="0"/>
                <w:color w:val="auto"/>
                <w:kern w:val="2"/>
                <w:sz w:val="21"/>
                <w:szCs w:val="21"/>
                <w:highlight w:val="none"/>
                <w:lang w:eastAsia="zh-CN"/>
              </w:rPr>
              <w:t>效益工资</w:t>
            </w:r>
          </w:p>
        </w:tc>
        <w:tc>
          <w:tcPr>
            <w:tcW w:w="2385" w:type="dxa"/>
            <w:tcBorders>
              <w:top w:val="single" w:color="000000" w:sz="4" w:space="0"/>
              <w:left w:val="nil"/>
              <w:bottom w:val="single" w:color="000000" w:sz="4" w:space="0"/>
              <w:right w:val="single" w:color="000000" w:sz="4" w:space="0"/>
            </w:tcBorders>
            <w:shd w:val="clear" w:color="auto" w:fill="auto"/>
            <w:vAlign w:val="center"/>
          </w:tcPr>
          <w:p w14:paraId="44FF4235">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auto"/>
                <w:kern w:val="2"/>
                <w:sz w:val="21"/>
                <w:szCs w:val="21"/>
                <w:highlight w:val="none"/>
                <w:lang w:val="en-US" w:eastAsia="zh-CN"/>
              </w:rPr>
            </w:pPr>
          </w:p>
          <w:p w14:paraId="31AFEFE9">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auto"/>
                <w:kern w:val="2"/>
                <w:sz w:val="21"/>
                <w:szCs w:val="21"/>
                <w:highlight w:val="none"/>
                <w:lang w:eastAsia="zh-CN"/>
              </w:rPr>
            </w:pPr>
            <w:r>
              <w:rPr>
                <w:rFonts w:hint="eastAsia" w:ascii="黑体" w:hAnsi="宋体" w:eastAsia="黑体" w:cs="黑体"/>
                <w:b/>
                <w:bCs/>
                <w:i w:val="0"/>
                <w:iCs w:val="0"/>
                <w:color w:val="auto"/>
                <w:kern w:val="2"/>
                <w:sz w:val="21"/>
                <w:szCs w:val="21"/>
                <w:highlight w:val="none"/>
                <w:lang w:val="en-US" w:eastAsia="zh-CN"/>
              </w:rPr>
              <w:t>人均月工资待遇标准</w:t>
            </w:r>
          </w:p>
          <w:p w14:paraId="5517B3D7">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auto"/>
                <w:kern w:val="2"/>
                <w:sz w:val="21"/>
                <w:szCs w:val="21"/>
                <w:highlight w:val="none"/>
                <w:lang w:eastAsia="zh-CN"/>
              </w:rPr>
            </w:pPr>
          </w:p>
        </w:tc>
      </w:tr>
      <w:tr w14:paraId="3A4B3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4" w:hRule="atLeast"/>
        </w:trPr>
        <w:tc>
          <w:tcPr>
            <w:tcW w:w="1389" w:type="dxa"/>
            <w:tcBorders>
              <w:top w:val="single" w:color="000000" w:sz="4" w:space="0"/>
              <w:left w:val="single" w:color="000000" w:sz="4" w:space="0"/>
              <w:right w:val="single" w:color="000000" w:sz="4" w:space="0"/>
            </w:tcBorders>
            <w:shd w:val="clear" w:color="auto" w:fill="auto"/>
            <w:vAlign w:val="center"/>
          </w:tcPr>
          <w:p w14:paraId="7DCBDC07">
            <w:pPr>
              <w:keepNext w:val="0"/>
              <w:keepLines w:val="0"/>
              <w:widowControl w:val="0"/>
              <w:suppressLineNumbers w:val="0"/>
              <w:spacing w:before="0" w:beforeAutospacing="0" w:after="0" w:afterAutospacing="0"/>
              <w:ind w:left="0" w:right="0"/>
              <w:jc w:val="center"/>
              <w:rPr>
                <w:rFonts w:hint="eastAsia"/>
                <w:szCs w:val="20"/>
                <w:highlight w:val="none"/>
              </w:rPr>
            </w:pPr>
            <w:r>
              <w:rPr>
                <w:rFonts w:hint="eastAsia"/>
                <w:szCs w:val="20"/>
                <w:highlight w:val="none"/>
              </w:rPr>
              <w:t>餐厅管理</w:t>
            </w:r>
          </w:p>
          <w:p w14:paraId="1BDC7C46">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color w:val="auto"/>
                <w:kern w:val="2"/>
                <w:sz w:val="21"/>
                <w:szCs w:val="21"/>
                <w:highlight w:val="none"/>
              </w:rPr>
            </w:pPr>
            <w:r>
              <w:rPr>
                <w:rFonts w:hint="eastAsia"/>
                <w:szCs w:val="20"/>
                <w:highlight w:val="none"/>
              </w:rPr>
              <w:t>服务</w:t>
            </w:r>
          </w:p>
        </w:tc>
        <w:tc>
          <w:tcPr>
            <w:tcW w:w="1425" w:type="dxa"/>
            <w:tcBorders>
              <w:top w:val="single" w:color="000000" w:sz="4" w:space="0"/>
              <w:left w:val="nil"/>
              <w:right w:val="single" w:color="000000" w:sz="4" w:space="0"/>
            </w:tcBorders>
            <w:shd w:val="clear" w:color="auto" w:fill="auto"/>
            <w:vAlign w:val="center"/>
          </w:tcPr>
          <w:p w14:paraId="1588B93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4000</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7346C16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4020</w:t>
            </w:r>
          </w:p>
        </w:tc>
        <w:tc>
          <w:tcPr>
            <w:tcW w:w="1665" w:type="dxa"/>
            <w:tcBorders>
              <w:top w:val="single" w:color="000000" w:sz="4" w:space="0"/>
              <w:left w:val="nil"/>
              <w:right w:val="single" w:color="000000" w:sz="4" w:space="0"/>
            </w:tcBorders>
            <w:shd w:val="clear" w:color="auto" w:fill="auto"/>
            <w:vAlign w:val="center"/>
          </w:tcPr>
          <w:p w14:paraId="722600C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2980</w:t>
            </w:r>
          </w:p>
        </w:tc>
        <w:tc>
          <w:tcPr>
            <w:tcW w:w="2385" w:type="dxa"/>
            <w:tcBorders>
              <w:top w:val="single" w:color="000000" w:sz="4" w:space="0"/>
              <w:left w:val="nil"/>
              <w:right w:val="single" w:color="000000" w:sz="4" w:space="0"/>
            </w:tcBorders>
            <w:shd w:val="clear" w:color="auto" w:fill="auto"/>
            <w:vAlign w:val="center"/>
          </w:tcPr>
          <w:p w14:paraId="171046CA">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11000</w:t>
            </w:r>
          </w:p>
        </w:tc>
      </w:tr>
      <w:tr w14:paraId="4FE64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BB298">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库房管理</w:t>
            </w:r>
          </w:p>
          <w:p w14:paraId="3BBC02DA">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服务</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295010A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2300</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6C98CDD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2900</w:t>
            </w:r>
          </w:p>
        </w:tc>
        <w:tc>
          <w:tcPr>
            <w:tcW w:w="1665" w:type="dxa"/>
            <w:tcBorders>
              <w:top w:val="single" w:color="000000" w:sz="4" w:space="0"/>
              <w:left w:val="nil"/>
              <w:bottom w:val="single" w:color="000000" w:sz="4" w:space="0"/>
              <w:right w:val="single" w:color="000000" w:sz="4" w:space="0"/>
            </w:tcBorders>
            <w:shd w:val="clear" w:color="auto" w:fill="auto"/>
            <w:vAlign w:val="center"/>
          </w:tcPr>
          <w:p w14:paraId="735C3AE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2300</w:t>
            </w:r>
          </w:p>
        </w:tc>
        <w:tc>
          <w:tcPr>
            <w:tcW w:w="2385" w:type="dxa"/>
            <w:tcBorders>
              <w:top w:val="single" w:color="000000" w:sz="4" w:space="0"/>
              <w:left w:val="nil"/>
              <w:bottom w:val="single" w:color="000000" w:sz="4" w:space="0"/>
              <w:right w:val="single" w:color="000000" w:sz="4" w:space="0"/>
            </w:tcBorders>
            <w:shd w:val="clear" w:color="auto" w:fill="auto"/>
            <w:vAlign w:val="center"/>
          </w:tcPr>
          <w:p w14:paraId="524D44B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7500</w:t>
            </w:r>
          </w:p>
        </w:tc>
      </w:tr>
      <w:tr w14:paraId="4AD4F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8" w:hRule="atLeast"/>
        </w:trPr>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3AEDC">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食品安全</w:t>
            </w:r>
          </w:p>
          <w:p w14:paraId="4002DC8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服务</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6D9E9BA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2300</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1CCA7F1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2900</w:t>
            </w:r>
          </w:p>
        </w:tc>
        <w:tc>
          <w:tcPr>
            <w:tcW w:w="1665" w:type="dxa"/>
            <w:tcBorders>
              <w:top w:val="single" w:color="000000" w:sz="4" w:space="0"/>
              <w:left w:val="nil"/>
              <w:bottom w:val="single" w:color="000000" w:sz="4" w:space="0"/>
              <w:right w:val="single" w:color="000000" w:sz="4" w:space="0"/>
            </w:tcBorders>
            <w:shd w:val="clear" w:color="auto" w:fill="auto"/>
            <w:vAlign w:val="center"/>
          </w:tcPr>
          <w:p w14:paraId="4F2D473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2300</w:t>
            </w:r>
          </w:p>
        </w:tc>
        <w:tc>
          <w:tcPr>
            <w:tcW w:w="2385" w:type="dxa"/>
            <w:tcBorders>
              <w:top w:val="single" w:color="000000" w:sz="4" w:space="0"/>
              <w:left w:val="nil"/>
              <w:bottom w:val="single" w:color="000000" w:sz="4" w:space="0"/>
              <w:right w:val="single" w:color="000000" w:sz="4" w:space="0"/>
            </w:tcBorders>
            <w:shd w:val="clear" w:color="auto" w:fill="auto"/>
            <w:vAlign w:val="center"/>
          </w:tcPr>
          <w:p w14:paraId="112B671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7500</w:t>
            </w:r>
          </w:p>
        </w:tc>
      </w:tr>
      <w:tr w14:paraId="3F9E4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912C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rPr>
            </w:pPr>
            <w:r>
              <w:rPr>
                <w:rFonts w:hint="eastAsia" w:ascii="宋体" w:hAnsi="宋体" w:eastAsia="宋体" w:cs="宋体"/>
                <w:color w:val="auto"/>
                <w:kern w:val="2"/>
                <w:sz w:val="21"/>
                <w:szCs w:val="21"/>
                <w:highlight w:val="none"/>
                <w:lang w:val="en-US" w:eastAsia="zh-CN" w:bidi="ar"/>
              </w:rPr>
              <w:t>厨师服务</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6E71D45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2500</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365C74B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3400</w:t>
            </w:r>
          </w:p>
        </w:tc>
        <w:tc>
          <w:tcPr>
            <w:tcW w:w="1665" w:type="dxa"/>
            <w:tcBorders>
              <w:top w:val="single" w:color="000000" w:sz="4" w:space="0"/>
              <w:left w:val="nil"/>
              <w:bottom w:val="single" w:color="000000" w:sz="4" w:space="0"/>
              <w:right w:val="single" w:color="000000" w:sz="4" w:space="0"/>
            </w:tcBorders>
            <w:shd w:val="clear" w:color="auto" w:fill="auto"/>
            <w:vAlign w:val="center"/>
          </w:tcPr>
          <w:p w14:paraId="6E6A040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3600</w:t>
            </w:r>
          </w:p>
        </w:tc>
        <w:tc>
          <w:tcPr>
            <w:tcW w:w="2385" w:type="dxa"/>
            <w:tcBorders>
              <w:top w:val="single" w:color="000000" w:sz="4" w:space="0"/>
              <w:left w:val="nil"/>
              <w:bottom w:val="single" w:color="000000" w:sz="4" w:space="0"/>
              <w:right w:val="single" w:color="000000" w:sz="4" w:space="0"/>
            </w:tcBorders>
            <w:shd w:val="clear" w:color="auto" w:fill="auto"/>
            <w:vAlign w:val="center"/>
          </w:tcPr>
          <w:p w14:paraId="7E3D018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9500</w:t>
            </w:r>
          </w:p>
        </w:tc>
      </w:tr>
      <w:tr w14:paraId="097DB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D6AF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rPr>
            </w:pPr>
            <w:r>
              <w:rPr>
                <w:rFonts w:hint="eastAsia" w:ascii="宋体" w:hAnsi="宋体" w:eastAsia="宋体" w:cs="宋体"/>
                <w:color w:val="auto"/>
                <w:kern w:val="2"/>
                <w:sz w:val="21"/>
                <w:szCs w:val="21"/>
                <w:highlight w:val="none"/>
                <w:lang w:val="en-US" w:eastAsia="zh-CN" w:bidi="ar"/>
              </w:rPr>
              <w:t>厨工服务</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33E5978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2000</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534AA6F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2800</w:t>
            </w:r>
          </w:p>
        </w:tc>
        <w:tc>
          <w:tcPr>
            <w:tcW w:w="1665" w:type="dxa"/>
            <w:tcBorders>
              <w:top w:val="single" w:color="000000" w:sz="4" w:space="0"/>
              <w:left w:val="nil"/>
              <w:bottom w:val="single" w:color="000000" w:sz="4" w:space="0"/>
              <w:right w:val="single" w:color="000000" w:sz="4" w:space="0"/>
            </w:tcBorders>
            <w:shd w:val="clear" w:color="auto" w:fill="auto"/>
            <w:vAlign w:val="center"/>
          </w:tcPr>
          <w:p w14:paraId="3DB971C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1700</w:t>
            </w:r>
          </w:p>
        </w:tc>
        <w:tc>
          <w:tcPr>
            <w:tcW w:w="2385" w:type="dxa"/>
            <w:tcBorders>
              <w:top w:val="single" w:color="000000" w:sz="4" w:space="0"/>
              <w:left w:val="nil"/>
              <w:bottom w:val="single" w:color="000000" w:sz="4" w:space="0"/>
              <w:right w:val="single" w:color="000000" w:sz="4" w:space="0"/>
            </w:tcBorders>
            <w:shd w:val="clear" w:color="auto" w:fill="auto"/>
            <w:vAlign w:val="center"/>
          </w:tcPr>
          <w:p w14:paraId="183DF1B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6500</w:t>
            </w:r>
          </w:p>
        </w:tc>
      </w:tr>
      <w:tr w14:paraId="0C3E6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5373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rPr>
            </w:pPr>
            <w:r>
              <w:rPr>
                <w:rFonts w:hint="eastAsia" w:ascii="宋体" w:hAnsi="宋体" w:eastAsia="宋体" w:cs="宋体"/>
                <w:color w:val="auto"/>
                <w:kern w:val="2"/>
                <w:sz w:val="21"/>
                <w:szCs w:val="21"/>
                <w:highlight w:val="none"/>
                <w:lang w:val="en-US" w:eastAsia="zh-CN" w:bidi="ar"/>
              </w:rPr>
              <w:t>保洁服务</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55F09F4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1800</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3A3B7DD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2900</w:t>
            </w:r>
          </w:p>
        </w:tc>
        <w:tc>
          <w:tcPr>
            <w:tcW w:w="1665" w:type="dxa"/>
            <w:tcBorders>
              <w:top w:val="single" w:color="000000" w:sz="4" w:space="0"/>
              <w:left w:val="nil"/>
              <w:bottom w:val="single" w:color="000000" w:sz="4" w:space="0"/>
              <w:right w:val="single" w:color="000000" w:sz="4" w:space="0"/>
            </w:tcBorders>
            <w:shd w:val="clear" w:color="auto" w:fill="auto"/>
            <w:vAlign w:val="center"/>
          </w:tcPr>
          <w:p w14:paraId="12CE982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1300</w:t>
            </w:r>
          </w:p>
        </w:tc>
        <w:tc>
          <w:tcPr>
            <w:tcW w:w="2385" w:type="dxa"/>
            <w:tcBorders>
              <w:top w:val="single" w:color="000000" w:sz="4" w:space="0"/>
              <w:left w:val="nil"/>
              <w:bottom w:val="single" w:color="000000" w:sz="4" w:space="0"/>
              <w:right w:val="single" w:color="000000" w:sz="4" w:space="0"/>
            </w:tcBorders>
            <w:shd w:val="clear" w:color="auto" w:fill="auto"/>
            <w:vAlign w:val="center"/>
          </w:tcPr>
          <w:p w14:paraId="360D22D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6000</w:t>
            </w:r>
          </w:p>
        </w:tc>
      </w:tr>
      <w:tr w14:paraId="20F9E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D872A">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color w:val="auto"/>
                <w:kern w:val="2"/>
                <w:sz w:val="21"/>
                <w:szCs w:val="21"/>
                <w:highlight w:val="none"/>
                <w:lang w:val="en-US" w:eastAsia="zh-CN"/>
              </w:rPr>
            </w:pPr>
            <w:r>
              <w:rPr>
                <w:rFonts w:hint="eastAsia" w:eastAsia="宋体" w:cs="Times New Roman"/>
                <w:color w:val="auto"/>
                <w:kern w:val="2"/>
                <w:sz w:val="21"/>
                <w:szCs w:val="21"/>
                <w:highlight w:val="none"/>
                <w:lang w:val="en-US" w:eastAsia="zh-CN"/>
              </w:rPr>
              <w:t>包厢服务</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593427D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eastAsia="宋体" w:cs="Times New Roman"/>
                <w:color w:val="auto"/>
                <w:kern w:val="2"/>
                <w:sz w:val="21"/>
                <w:szCs w:val="21"/>
                <w:highlight w:val="none"/>
                <w:lang w:val="en-US" w:eastAsia="zh-CN"/>
              </w:rPr>
              <w:t>2000</w:t>
            </w:r>
          </w:p>
        </w:tc>
        <w:tc>
          <w:tcPr>
            <w:tcW w:w="1500" w:type="dxa"/>
            <w:tcBorders>
              <w:top w:val="single" w:color="000000" w:sz="4" w:space="0"/>
              <w:left w:val="nil"/>
              <w:bottom w:val="single" w:color="000000" w:sz="4" w:space="0"/>
              <w:right w:val="single" w:color="000000" w:sz="4" w:space="0"/>
            </w:tcBorders>
            <w:shd w:val="clear" w:color="auto" w:fill="auto"/>
            <w:vAlign w:val="center"/>
          </w:tcPr>
          <w:p w14:paraId="107B239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2800</w:t>
            </w:r>
          </w:p>
        </w:tc>
        <w:tc>
          <w:tcPr>
            <w:tcW w:w="1665" w:type="dxa"/>
            <w:tcBorders>
              <w:top w:val="single" w:color="000000" w:sz="4" w:space="0"/>
              <w:left w:val="nil"/>
              <w:bottom w:val="single" w:color="000000" w:sz="4" w:space="0"/>
              <w:right w:val="single" w:color="000000" w:sz="4" w:space="0"/>
            </w:tcBorders>
            <w:shd w:val="clear" w:color="auto" w:fill="auto"/>
            <w:vAlign w:val="center"/>
          </w:tcPr>
          <w:p w14:paraId="0EA7273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1700</w:t>
            </w:r>
          </w:p>
        </w:tc>
        <w:tc>
          <w:tcPr>
            <w:tcW w:w="2385" w:type="dxa"/>
            <w:tcBorders>
              <w:top w:val="single" w:color="000000" w:sz="4" w:space="0"/>
              <w:left w:val="nil"/>
              <w:bottom w:val="single" w:color="000000" w:sz="4" w:space="0"/>
              <w:right w:val="single" w:color="000000" w:sz="4" w:space="0"/>
            </w:tcBorders>
            <w:shd w:val="clear" w:color="auto" w:fill="auto"/>
            <w:vAlign w:val="center"/>
          </w:tcPr>
          <w:p w14:paraId="75B593D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rPr>
            </w:pPr>
            <w:r>
              <w:rPr>
                <w:rFonts w:hint="eastAsia" w:eastAsia="宋体" w:cs="Times New Roman"/>
                <w:color w:val="auto"/>
                <w:kern w:val="2"/>
                <w:sz w:val="21"/>
                <w:szCs w:val="21"/>
                <w:highlight w:val="none"/>
                <w:lang w:val="en-US" w:eastAsia="zh-CN"/>
              </w:rPr>
              <w:t>6500</w:t>
            </w:r>
          </w:p>
        </w:tc>
      </w:tr>
    </w:tbl>
    <w:p w14:paraId="0195103A">
      <w:pPr>
        <w:widowControl/>
        <w:spacing w:line="480" w:lineRule="atLeast"/>
        <w:jc w:val="left"/>
        <w:outlineLvl w:val="9"/>
        <w:rPr>
          <w:rFonts w:hint="eastAsia"/>
          <w:color w:val="auto"/>
          <w:highlight w:val="none"/>
        </w:rPr>
      </w:pPr>
    </w:p>
    <w:p w14:paraId="54E3E1FE">
      <w:pPr>
        <w:rPr>
          <w:rFonts w:hint="eastAsia"/>
          <w:color w:val="auto"/>
          <w:highlight w:val="none"/>
        </w:rPr>
      </w:pPr>
    </w:p>
    <w:sectPr>
      <w:headerReference r:id="rId9" w:type="first"/>
      <w:footerReference r:id="rId10" w:type="default"/>
      <w:headerReference r:id="rId8" w:type="even"/>
      <w:footerReference r:id="rId11" w:type="even"/>
      <w:pgSz w:w="11906" w:h="16838"/>
      <w:pgMar w:top="1440" w:right="1800" w:bottom="1440" w:left="1800" w:header="851" w:footer="992" w:gutter="0"/>
      <w:pgNumType w:fmt="decimal"/>
      <w:cols w:space="720" w:num="1"/>
      <w:docGrid w:type="lines" w:linePitch="34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A270731-C4A9-4538-AD5E-3E6412B9F0A8}"/>
  </w:font>
  <w:font w:name="Arial">
    <w:panose1 w:val="020B0604020202020204"/>
    <w:charset w:val="01"/>
    <w:family w:val="swiss"/>
    <w:pitch w:val="default"/>
    <w:sig w:usb0="E0002EFF" w:usb1="C000785B" w:usb2="00000009" w:usb3="00000000" w:csb0="400001FF" w:csb1="FFFF0000"/>
    <w:embedRegular r:id="rId2" w:fontKey="{AC98DCBD-ACBC-4D47-8072-F263BA64EC34}"/>
  </w:font>
  <w:font w:name="黑体">
    <w:panose1 w:val="02010609060101010101"/>
    <w:charset w:val="86"/>
    <w:family w:val="auto"/>
    <w:pitch w:val="default"/>
    <w:sig w:usb0="800002BF" w:usb1="38CF7CFA" w:usb2="00000016" w:usb3="00000000" w:csb0="00040001" w:csb1="00000000"/>
    <w:embedRegular r:id="rId3" w:fontKey="{C2066936-62E5-4DE4-8A14-97AA215D005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CG Times">
    <w:altName w:val="Segoe Print"/>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embedRegular r:id="rId4" w:fontKey="{F9E5B281-55B4-483C-B51E-EEB1AC5F66A5}"/>
  </w:font>
  <w:font w:name="Tahoma">
    <w:panose1 w:val="020B0604030504040204"/>
    <w:charset w:val="00"/>
    <w:family w:val="swiss"/>
    <w:pitch w:val="default"/>
    <w:sig w:usb0="E1002EFF" w:usb1="C000605B" w:usb2="00000029" w:usb3="00000000" w:csb0="200101FF" w:csb1="20280000"/>
  </w:font>
  <w:font w:name="Adobe 仿宋 Std R">
    <w:altName w:val="仿宋"/>
    <w:panose1 w:val="00000000000000000000"/>
    <w:charset w:val="00"/>
    <w:family w:val="auto"/>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embedRegular r:id="rId5" w:fontKey="{B7E94194-B553-4948-8C0D-530C39B22DF2}"/>
  </w:font>
  <w:font w:name="等线">
    <w:panose1 w:val="02010600030101010101"/>
    <w:charset w:val="86"/>
    <w:family w:val="auto"/>
    <w:pitch w:val="default"/>
    <w:sig w:usb0="A00002BF" w:usb1="38CF7CFA" w:usb2="00000016" w:usb3="00000000" w:csb0="0004000F" w:csb1="00000000"/>
  </w:font>
  <w:font w:name="方正小标宋简体">
    <w:panose1 w:val="02010600010101010101"/>
    <w:charset w:val="86"/>
    <w:family w:val="auto"/>
    <w:pitch w:val="default"/>
    <w:sig w:usb0="00000001" w:usb1="080E0000" w:usb2="00000000" w:usb3="00000000" w:csb0="00040000" w:csb1="00000000"/>
    <w:embedRegular r:id="rId6" w:fontKey="{6E7E8AED-BAC9-4320-8D12-D4AD1A690820}"/>
  </w:font>
  <w:font w:name="??_GB2312">
    <w:altName w:val="Segoe Print"/>
    <w:panose1 w:val="00000000000000000000"/>
    <w:charset w:val="00"/>
    <w:family w:val="auto"/>
    <w:pitch w:val="default"/>
    <w:sig w:usb0="00000000" w:usb1="00000000" w:usb2="00000000" w:usb3="00000000" w:csb0="00000001" w:csb1="00000000"/>
  </w:font>
  <w:font w:name="WPSEMBED81">
    <w:panose1 w:val="02010609030101010101"/>
    <w:charset w:val="86"/>
    <w:family w:val="auto"/>
    <w:pitch w:val="default"/>
    <w:sig w:usb0="00000001" w:usb1="080E0000" w:usb2="00000000" w:usb3="00000000" w:csb0="00040000" w:csb1="00000000"/>
  </w:font>
  <w:font w:name="WPSEMBED82">
    <w:panose1 w:val="0201060001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AC80A">
    <w:pPr>
      <w:spacing w:line="14" w:lineRule="auto"/>
      <w:rPr>
        <w:rFonts w:ascii="Arial"/>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9A09E">
    <w:pPr>
      <w:pStyle w:val="19"/>
    </w:pPr>
    <w:r>
      <mc:AlternateContent>
        <mc:Choice Requires="wps">
          <w:drawing>
            <wp:anchor distT="0" distB="0" distL="114300" distR="114300" simplePos="0" relativeHeight="251662336" behindDoc="0" locked="0" layoutInCell="1" allowOverlap="1">
              <wp:simplePos x="0" y="0"/>
              <wp:positionH relativeFrom="margin">
                <wp:align>inside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58007B7">
                          <w:pPr>
                            <w:pStyle w:val="19"/>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  \* MERGEFORMAT </w:instrText>
                          </w:r>
                          <w:r>
                            <w:rPr>
                              <w:rFonts w:hint="eastAsia" w:ascii="仿宋" w:hAnsi="仿宋" w:eastAsia="仿宋" w:cs="仿宋"/>
                              <w:sz w:val="32"/>
                              <w:szCs w:val="32"/>
                            </w:rPr>
                            <w:fldChar w:fldCharType="separate"/>
                          </w:r>
                          <w:r>
                            <w:rPr>
                              <w:rFonts w:hint="eastAsia" w:ascii="仿宋" w:hAnsi="仿宋" w:eastAsia="仿宋" w:cs="仿宋"/>
                              <w:sz w:val="32"/>
                              <w:szCs w:val="32"/>
                            </w:rPr>
                            <w:t>1</w:t>
                          </w:r>
                          <w:r>
                            <w:rPr>
                              <w:rFonts w:hint="eastAsia" w:ascii="仿宋" w:hAnsi="仿宋" w:eastAsia="仿宋" w:cs="仿宋"/>
                              <w:sz w:val="32"/>
                              <w:szCs w:val="32"/>
                            </w:rPr>
                            <w:fldChar w:fldCharType="end"/>
                          </w:r>
                          <w:r>
                            <w:rPr>
                              <w:rFonts w:hint="eastAsia" w:ascii="仿宋" w:hAnsi="仿宋" w:eastAsia="仿宋" w:cs="仿宋"/>
                              <w:sz w:val="32"/>
                              <w:szCs w:val="32"/>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cYOQyAgAAY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Zg8y8JG&#10;by2P0FEeb5eHADmTylGUTgl0Jx4we6lPlz2Jw/3nOUU9/TcsH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Zxg5DICAABjBAAADgAAAAAAAAABACAAAAAfAQAAZHJzL2Uyb0RvYy54bWxQSwUG&#10;AAAAAAYABgBZAQAAwwUAAAAA&#10;">
              <v:fill on="f" focussize="0,0"/>
              <v:stroke on="f" weight="0.5pt"/>
              <v:imagedata o:title=""/>
              <o:lock v:ext="edit" aspectratio="f"/>
              <v:textbox inset="0mm,0mm,0mm,0mm" style="mso-fit-shape-to-text:t;">
                <w:txbxContent>
                  <w:p w14:paraId="658007B7">
                    <w:pPr>
                      <w:pStyle w:val="19"/>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  \* MERGEFORMAT </w:instrText>
                    </w:r>
                    <w:r>
                      <w:rPr>
                        <w:rFonts w:hint="eastAsia" w:ascii="仿宋" w:hAnsi="仿宋" w:eastAsia="仿宋" w:cs="仿宋"/>
                        <w:sz w:val="32"/>
                        <w:szCs w:val="32"/>
                      </w:rPr>
                      <w:fldChar w:fldCharType="separate"/>
                    </w:r>
                    <w:r>
                      <w:rPr>
                        <w:rFonts w:hint="eastAsia" w:ascii="仿宋" w:hAnsi="仿宋" w:eastAsia="仿宋" w:cs="仿宋"/>
                        <w:sz w:val="32"/>
                        <w:szCs w:val="32"/>
                      </w:rPr>
                      <w:t>1</w:t>
                    </w:r>
                    <w:r>
                      <w:rPr>
                        <w:rFonts w:hint="eastAsia" w:ascii="仿宋" w:hAnsi="仿宋" w:eastAsia="仿宋" w:cs="仿宋"/>
                        <w:sz w:val="32"/>
                        <w:szCs w:val="32"/>
                      </w:rPr>
                      <w:fldChar w:fldCharType="end"/>
                    </w:r>
                    <w:r>
                      <w:rPr>
                        <w:rFonts w:hint="eastAsia" w:ascii="仿宋" w:hAnsi="仿宋" w:eastAsia="仿宋" w:cs="仿宋"/>
                        <w:sz w:val="32"/>
                        <w:szCs w:val="32"/>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D70CE">
    <w:pPr>
      <w:pStyle w:val="1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B58893">
                          <w:pPr>
                            <w:pStyle w:val="19"/>
                          </w:pPr>
                          <w:r>
                            <w:fldChar w:fldCharType="begin"/>
                          </w:r>
                          <w:r>
                            <w:instrText xml:space="preserve"> PAGE  \* MERGEFORMAT </w:instrText>
                          </w:r>
                          <w:r>
                            <w:fldChar w:fldCharType="separate"/>
                          </w:r>
                          <w:r>
                            <w:t>- 49 -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DB58893">
                    <w:pPr>
                      <w:pStyle w:val="19"/>
                    </w:pPr>
                    <w:r>
                      <w:fldChar w:fldCharType="begin"/>
                    </w:r>
                    <w:r>
                      <w:instrText xml:space="preserve"> PAGE  \* MERGEFORMAT </w:instrText>
                    </w:r>
                    <w:r>
                      <w:fldChar w:fldCharType="separate"/>
                    </w:r>
                    <w:r>
                      <w:t>- 49 -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D4D95">
    <w:pPr>
      <w:pStyle w:val="19"/>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BDB92A">
                          <w:pPr>
                            <w:pStyle w:val="19"/>
                          </w:pPr>
                          <w:r>
                            <w:fldChar w:fldCharType="begin"/>
                          </w:r>
                          <w:r>
                            <w:instrText xml:space="preserve"> PAGE  \* MERGEFORMAT </w:instrText>
                          </w:r>
                          <w:r>
                            <w:fldChar w:fldCharType="separate"/>
                          </w:r>
                          <w:r>
                            <w:t>- 65 -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3BDB92A">
                    <w:pPr>
                      <w:pStyle w:val="19"/>
                    </w:pPr>
                    <w:r>
                      <w:fldChar w:fldCharType="begin"/>
                    </w:r>
                    <w:r>
                      <w:instrText xml:space="preserve"> PAGE  \* MERGEFORMAT </w:instrText>
                    </w:r>
                    <w:r>
                      <w:fldChar w:fldCharType="separate"/>
                    </w:r>
                    <w:r>
                      <w:t>- 65 -</w:t>
                    </w:r>
                    <w:r>
                      <w:fldChar w:fldCharType="end"/>
                    </w:r>
                  </w:p>
                </w:txbxContent>
              </v:textbox>
            </v:shape>
          </w:pict>
        </mc:Fallback>
      </mc:AlternateContent>
    </w:r>
  </w:p>
  <w:p w14:paraId="020B67FE">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BB41C">
    <w:pPr>
      <w:pStyle w:val="19"/>
      <w:framePr w:wrap="around" w:vAnchor="text" w:hAnchor="margin" w:xAlign="center" w:y="1"/>
      <w:rPr>
        <w:rStyle w:val="31"/>
      </w:rPr>
    </w:pPr>
    <w:r>
      <w:fldChar w:fldCharType="begin"/>
    </w:r>
    <w:r>
      <w:rPr>
        <w:rStyle w:val="31"/>
      </w:rPr>
      <w:instrText xml:space="preserve">PAGE  </w:instrText>
    </w:r>
    <w:r>
      <w:fldChar w:fldCharType="end"/>
    </w:r>
  </w:p>
  <w:p w14:paraId="74D65AC6">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5A4E0">
    <w:pPr>
      <w:pBdr>
        <w:bottom w:val="none" w:color="auto" w:sz="0" w:space="0"/>
      </w:pBd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B0AC8">
    <w:pPr>
      <w:pStyle w:val="20"/>
      <w:pBdr>
        <w:bottom w:val="dashDotStroked" w:color="auto" w:sz="24"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943B0">
    <w:pPr>
      <w:pStyle w:val="2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05AD2">
    <w:pPr>
      <w:pStyle w:val="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DD90A3"/>
    <w:multiLevelType w:val="singleLevel"/>
    <w:tmpl w:val="9BDD90A3"/>
    <w:lvl w:ilvl="0" w:tentative="0">
      <w:start w:val="6"/>
      <w:numFmt w:val="chineseCounting"/>
      <w:suff w:val="nothing"/>
      <w:lvlText w:val="%1、"/>
      <w:lvlJc w:val="left"/>
      <w:rPr>
        <w:rFonts w:hint="eastAsia"/>
      </w:rPr>
    </w:lvl>
  </w:abstractNum>
  <w:abstractNum w:abstractNumId="1">
    <w:nsid w:val="00000004"/>
    <w:multiLevelType w:val="multilevel"/>
    <w:tmpl w:val="00000004"/>
    <w:lvl w:ilvl="0" w:tentative="0">
      <w:start w:val="1"/>
      <w:numFmt w:val="chineseCountingThousand"/>
      <w:suff w:val="nothing"/>
      <w:lvlText w:val="第%1部分"/>
      <w:lvlJc w:val="left"/>
      <w:pPr>
        <w:ind w:left="840" w:firstLine="0"/>
      </w:pPr>
      <w:rPr>
        <w:rFonts w:hint="eastAsia" w:ascii="黑体" w:eastAsia="黑体"/>
        <w:sz w:val="32"/>
      </w:rPr>
    </w:lvl>
    <w:lvl w:ilvl="1" w:tentative="0">
      <w:start w:val="1"/>
      <w:numFmt w:val="upperLetter"/>
      <w:suff w:val="nothing"/>
      <w:lvlText w:val="%2"/>
      <w:lvlJc w:val="left"/>
      <w:pPr>
        <w:ind w:left="3393" w:firstLine="0"/>
      </w:pPr>
      <w:rPr>
        <w:rFonts w:hint="default" w:ascii="CG Times" w:hAnsi="CG Times"/>
        <w:b/>
        <w:i w:val="0"/>
        <w:sz w:val="28"/>
      </w:rPr>
    </w:lvl>
    <w:lvl w:ilvl="2" w:tentative="0">
      <w:start w:val="1"/>
      <w:numFmt w:val="decimal"/>
      <w:lvlRestart w:val="0"/>
      <w:suff w:val="nothing"/>
      <w:lvlText w:val="%3"/>
      <w:lvlJc w:val="left"/>
      <w:pPr>
        <w:ind w:left="840" w:firstLine="0"/>
      </w:pPr>
      <w:rPr>
        <w:rFonts w:hint="eastAsia" w:ascii="宋体" w:eastAsia="宋体"/>
        <w:b/>
        <w:i w:val="0"/>
        <w:sz w:val="28"/>
      </w:rPr>
    </w:lvl>
    <w:lvl w:ilvl="3" w:tentative="0">
      <w:start w:val="1"/>
      <w:numFmt w:val="none"/>
      <w:suff w:val="nothing"/>
      <w:lvlText w:val=""/>
      <w:lvlJc w:val="left"/>
      <w:pPr>
        <w:ind w:left="840" w:firstLine="0"/>
      </w:pPr>
      <w:rPr>
        <w:rFonts w:hint="eastAsia"/>
      </w:rPr>
    </w:lvl>
    <w:lvl w:ilvl="4" w:tentative="0">
      <w:start w:val="1"/>
      <w:numFmt w:val="none"/>
      <w:suff w:val="nothing"/>
      <w:lvlText w:val=""/>
      <w:lvlJc w:val="left"/>
      <w:pPr>
        <w:ind w:left="840" w:firstLine="0"/>
      </w:pPr>
      <w:rPr>
        <w:rFonts w:hint="eastAsia"/>
      </w:rPr>
    </w:lvl>
    <w:lvl w:ilvl="5" w:tentative="0">
      <w:start w:val="1"/>
      <w:numFmt w:val="none"/>
      <w:suff w:val="nothing"/>
      <w:lvlText w:val=""/>
      <w:lvlJc w:val="left"/>
      <w:pPr>
        <w:ind w:left="840" w:firstLine="0"/>
      </w:pPr>
      <w:rPr>
        <w:rFonts w:hint="eastAsia"/>
      </w:rPr>
    </w:lvl>
    <w:lvl w:ilvl="6" w:tentative="0">
      <w:start w:val="1"/>
      <w:numFmt w:val="none"/>
      <w:pStyle w:val="6"/>
      <w:suff w:val="nothing"/>
      <w:lvlText w:val=""/>
      <w:lvlJc w:val="left"/>
      <w:pPr>
        <w:ind w:left="840" w:firstLine="0"/>
      </w:pPr>
      <w:rPr>
        <w:rFonts w:hint="eastAsia"/>
      </w:rPr>
    </w:lvl>
    <w:lvl w:ilvl="7" w:tentative="0">
      <w:start w:val="1"/>
      <w:numFmt w:val="none"/>
      <w:suff w:val="nothing"/>
      <w:lvlText w:val=""/>
      <w:lvlJc w:val="left"/>
      <w:pPr>
        <w:ind w:left="840" w:firstLine="0"/>
      </w:pPr>
      <w:rPr>
        <w:rFonts w:hint="eastAsia"/>
      </w:rPr>
    </w:lvl>
    <w:lvl w:ilvl="8" w:tentative="0">
      <w:start w:val="1"/>
      <w:numFmt w:val="none"/>
      <w:suff w:val="nothing"/>
      <w:lvlText w:val=""/>
      <w:lvlJc w:val="left"/>
      <w:pPr>
        <w:ind w:left="840" w:firstLine="0"/>
      </w:pPr>
      <w:rPr>
        <w:rFonts w:hint="eastAsia"/>
      </w:rPr>
    </w:lvl>
  </w:abstractNum>
  <w:abstractNum w:abstractNumId="2">
    <w:nsid w:val="15812A10"/>
    <w:multiLevelType w:val="multilevel"/>
    <w:tmpl w:val="15812A10"/>
    <w:lvl w:ilvl="0" w:tentative="0">
      <w:start w:val="1"/>
      <w:numFmt w:val="upperLetter"/>
      <w:pStyle w:val="2"/>
      <w:lvlText w:val="%1、"/>
      <w:lvlJc w:val="left"/>
      <w:pPr>
        <w:tabs>
          <w:tab w:val="left" w:pos="360"/>
        </w:tabs>
        <w:ind w:left="360" w:hanging="360"/>
      </w:pPr>
      <w:rPr>
        <w:rFonts w:hint="eastAsia" w:cs="Times New Roman"/>
      </w:rPr>
    </w:lvl>
    <w:lvl w:ilvl="1" w:tentative="0">
      <w:start w:val="1"/>
      <w:numFmt w:val="decimal"/>
      <w:lvlText w:val="%2."/>
      <w:lvlJc w:val="left"/>
      <w:pPr>
        <w:tabs>
          <w:tab w:val="left" w:pos="780"/>
        </w:tabs>
        <w:ind w:left="780" w:hanging="360"/>
      </w:pPr>
      <w:rPr>
        <w:rFonts w:hint="eastAsia"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53D55E62"/>
    <w:multiLevelType w:val="multilevel"/>
    <w:tmpl w:val="53D55E62"/>
    <w:lvl w:ilvl="0" w:tentative="0">
      <w:start w:val="1"/>
      <w:numFmt w:val="chineseCountingThousand"/>
      <w:suff w:val="space"/>
      <w:lvlText w:val="第%1章"/>
      <w:lvlJc w:val="left"/>
      <w:pPr>
        <w:ind w:left="0" w:firstLine="0"/>
      </w:pPr>
      <w:rPr>
        <w:rFonts w:hint="eastAsia"/>
      </w:rPr>
    </w:lvl>
    <w:lvl w:ilvl="1" w:tentative="0">
      <w:start w:val="1"/>
      <w:numFmt w:val="chineseCountingThousand"/>
      <w:suff w:val="space"/>
      <w:lvlText w:val="%2、"/>
      <w:lvlJc w:val="left"/>
      <w:pPr>
        <w:ind w:left="113" w:firstLine="0"/>
      </w:pPr>
      <w:rPr>
        <w:rFonts w:hint="eastAsia"/>
      </w:rPr>
    </w:lvl>
    <w:lvl w:ilvl="2" w:tentative="0">
      <w:start w:val="1"/>
      <w:numFmt w:val="decimal"/>
      <w:pStyle w:val="48"/>
      <w:lvlText w:val="%3"/>
      <w:lvlJc w:val="left"/>
      <w:pPr>
        <w:ind w:left="226" w:firstLine="0"/>
      </w:pPr>
      <w:rPr>
        <w:rFonts w:hint="eastAsia"/>
      </w:rPr>
    </w:lvl>
    <w:lvl w:ilvl="3" w:tentative="0">
      <w:start w:val="1"/>
      <w:numFmt w:val="decimal"/>
      <w:suff w:val="space"/>
      <w:lvlText w:val="%3.%4"/>
      <w:lvlJc w:val="left"/>
      <w:pPr>
        <w:ind w:left="339" w:firstLine="0"/>
      </w:pPr>
      <w:rPr>
        <w:rFonts w:ascii="Times New Roman" w:hAnsi="Times New Roman" w:cs="Times New Roman"/>
        <w:b/>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rPr>
    </w:lvl>
    <w:lvl w:ilvl="4" w:tentative="0">
      <w:start w:val="1"/>
      <w:numFmt w:val="decimal"/>
      <w:suff w:val="space"/>
      <w:lvlText w:val="%3.%4.%5"/>
      <w:lvlJc w:val="left"/>
      <w:pPr>
        <w:ind w:left="452" w:firstLine="0"/>
      </w:pPr>
      <w:rPr>
        <w:rFonts w:hint="eastAsia" w:ascii="Times New Roman" w:hAnsi="Times New Roman" w:cs="Times New Roman"/>
        <w:b/>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rPr>
    </w:lvl>
    <w:lvl w:ilvl="5" w:tentative="0">
      <w:start w:val="1"/>
      <w:numFmt w:val="decimal"/>
      <w:lvlText w:val="（%6）"/>
      <w:lvlJc w:val="left"/>
      <w:pPr>
        <w:ind w:left="565" w:firstLine="0"/>
      </w:pPr>
      <w:rPr>
        <w:rFonts w:hint="eastAsia"/>
      </w:rPr>
    </w:lvl>
    <w:lvl w:ilvl="6" w:tentative="0">
      <w:start w:val="1"/>
      <w:numFmt w:val="decimal"/>
      <w:lvlText w:val="%7."/>
      <w:lvlJc w:val="left"/>
      <w:pPr>
        <w:ind w:left="678" w:firstLine="0"/>
      </w:pPr>
      <w:rPr>
        <w:rFonts w:hint="eastAsia"/>
      </w:rPr>
    </w:lvl>
    <w:lvl w:ilvl="7" w:tentative="0">
      <w:start w:val="1"/>
      <w:numFmt w:val="lowerLetter"/>
      <w:lvlText w:val="%8."/>
      <w:lvlJc w:val="left"/>
      <w:pPr>
        <w:ind w:left="791" w:firstLine="0"/>
      </w:pPr>
      <w:rPr>
        <w:rFonts w:hint="eastAsia"/>
      </w:rPr>
    </w:lvl>
    <w:lvl w:ilvl="8" w:tentative="0">
      <w:start w:val="1"/>
      <w:numFmt w:val="lowerRoman"/>
      <w:lvlText w:val="%9."/>
      <w:lvlJc w:val="left"/>
      <w:pPr>
        <w:ind w:left="904" w:firstLine="0"/>
      </w:pPr>
      <w:rPr>
        <w:rFonts w:hint="eastAsia"/>
      </w:rPr>
    </w:lvl>
  </w:abstractNum>
  <w:abstractNum w:abstractNumId="4">
    <w:nsid w:val="55B42F57"/>
    <w:multiLevelType w:val="singleLevel"/>
    <w:tmpl w:val="55B42F57"/>
    <w:lvl w:ilvl="0" w:tentative="0">
      <w:start w:val="1"/>
      <w:numFmt w:val="decimal"/>
      <w:lvlText w:val="%1."/>
      <w:lvlJc w:val="left"/>
      <w:pPr>
        <w:tabs>
          <w:tab w:val="left" w:pos="312"/>
        </w:tabs>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hyphenationZone w:val="360"/>
  <w:drawingGridHorizontalSpacing w:val="105"/>
  <w:drawingGridVerticalSpacing w:val="172"/>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BkODUxMzAxYTg1YzMyN2NiMTZiZGRmMDNkMjQ1MjgifQ=="/>
  </w:docVars>
  <w:rsids>
    <w:rsidRoot w:val="00172A27"/>
    <w:rsid w:val="000007CA"/>
    <w:rsid w:val="00000946"/>
    <w:rsid w:val="000010C1"/>
    <w:rsid w:val="00001206"/>
    <w:rsid w:val="00001422"/>
    <w:rsid w:val="00001737"/>
    <w:rsid w:val="000018AE"/>
    <w:rsid w:val="00001DDF"/>
    <w:rsid w:val="00001FC9"/>
    <w:rsid w:val="000025BD"/>
    <w:rsid w:val="0000289D"/>
    <w:rsid w:val="00002B40"/>
    <w:rsid w:val="000032EF"/>
    <w:rsid w:val="000035E2"/>
    <w:rsid w:val="00003D89"/>
    <w:rsid w:val="00003EB4"/>
    <w:rsid w:val="00004402"/>
    <w:rsid w:val="00004562"/>
    <w:rsid w:val="0000485D"/>
    <w:rsid w:val="0000521C"/>
    <w:rsid w:val="00005696"/>
    <w:rsid w:val="000065C3"/>
    <w:rsid w:val="000069AD"/>
    <w:rsid w:val="000075D1"/>
    <w:rsid w:val="00010054"/>
    <w:rsid w:val="00010334"/>
    <w:rsid w:val="0001130B"/>
    <w:rsid w:val="000119AC"/>
    <w:rsid w:val="00011BD2"/>
    <w:rsid w:val="000132BE"/>
    <w:rsid w:val="00013E5A"/>
    <w:rsid w:val="000140C4"/>
    <w:rsid w:val="00014240"/>
    <w:rsid w:val="00014915"/>
    <w:rsid w:val="000149C7"/>
    <w:rsid w:val="00014C79"/>
    <w:rsid w:val="00014D10"/>
    <w:rsid w:val="00015752"/>
    <w:rsid w:val="00015CFE"/>
    <w:rsid w:val="000162C6"/>
    <w:rsid w:val="00016851"/>
    <w:rsid w:val="00016C25"/>
    <w:rsid w:val="00017272"/>
    <w:rsid w:val="000200EF"/>
    <w:rsid w:val="00020F99"/>
    <w:rsid w:val="000214E5"/>
    <w:rsid w:val="00021580"/>
    <w:rsid w:val="00021826"/>
    <w:rsid w:val="00021D4C"/>
    <w:rsid w:val="00021DD1"/>
    <w:rsid w:val="00022402"/>
    <w:rsid w:val="0002253E"/>
    <w:rsid w:val="00022556"/>
    <w:rsid w:val="00022946"/>
    <w:rsid w:val="00022C5E"/>
    <w:rsid w:val="00023C04"/>
    <w:rsid w:val="00024627"/>
    <w:rsid w:val="00024672"/>
    <w:rsid w:val="00024867"/>
    <w:rsid w:val="00024A4B"/>
    <w:rsid w:val="00025182"/>
    <w:rsid w:val="000253B0"/>
    <w:rsid w:val="00025981"/>
    <w:rsid w:val="00025AE3"/>
    <w:rsid w:val="0002600E"/>
    <w:rsid w:val="000262D0"/>
    <w:rsid w:val="00026679"/>
    <w:rsid w:val="000272EA"/>
    <w:rsid w:val="00027866"/>
    <w:rsid w:val="00027A09"/>
    <w:rsid w:val="00027C23"/>
    <w:rsid w:val="000300F5"/>
    <w:rsid w:val="00030427"/>
    <w:rsid w:val="0003147A"/>
    <w:rsid w:val="00031EF1"/>
    <w:rsid w:val="0003210C"/>
    <w:rsid w:val="000322ED"/>
    <w:rsid w:val="0003265E"/>
    <w:rsid w:val="00032AC7"/>
    <w:rsid w:val="00033760"/>
    <w:rsid w:val="00033897"/>
    <w:rsid w:val="00033B35"/>
    <w:rsid w:val="00033E26"/>
    <w:rsid w:val="000343F9"/>
    <w:rsid w:val="00034506"/>
    <w:rsid w:val="00034A16"/>
    <w:rsid w:val="00034A9F"/>
    <w:rsid w:val="00034BB1"/>
    <w:rsid w:val="000350BD"/>
    <w:rsid w:val="000359A8"/>
    <w:rsid w:val="00035DAB"/>
    <w:rsid w:val="00035DC5"/>
    <w:rsid w:val="0003607E"/>
    <w:rsid w:val="00036B10"/>
    <w:rsid w:val="00037343"/>
    <w:rsid w:val="00037572"/>
    <w:rsid w:val="0003795A"/>
    <w:rsid w:val="00037BB5"/>
    <w:rsid w:val="000401EE"/>
    <w:rsid w:val="00040BBD"/>
    <w:rsid w:val="00040D7D"/>
    <w:rsid w:val="00040D81"/>
    <w:rsid w:val="00040F2D"/>
    <w:rsid w:val="00041479"/>
    <w:rsid w:val="000421FE"/>
    <w:rsid w:val="00042621"/>
    <w:rsid w:val="00042901"/>
    <w:rsid w:val="000429C4"/>
    <w:rsid w:val="00042CE4"/>
    <w:rsid w:val="00043704"/>
    <w:rsid w:val="00043BF6"/>
    <w:rsid w:val="00044290"/>
    <w:rsid w:val="000449EE"/>
    <w:rsid w:val="00044B70"/>
    <w:rsid w:val="0004516B"/>
    <w:rsid w:val="00045BD3"/>
    <w:rsid w:val="0004638E"/>
    <w:rsid w:val="00046D90"/>
    <w:rsid w:val="00046F97"/>
    <w:rsid w:val="0004705F"/>
    <w:rsid w:val="00047902"/>
    <w:rsid w:val="00050527"/>
    <w:rsid w:val="000505FF"/>
    <w:rsid w:val="0005081A"/>
    <w:rsid w:val="0005094D"/>
    <w:rsid w:val="00050BA5"/>
    <w:rsid w:val="00051638"/>
    <w:rsid w:val="0005166A"/>
    <w:rsid w:val="00051D1F"/>
    <w:rsid w:val="000528C9"/>
    <w:rsid w:val="00052C72"/>
    <w:rsid w:val="00052C96"/>
    <w:rsid w:val="0005343A"/>
    <w:rsid w:val="00053500"/>
    <w:rsid w:val="00053D48"/>
    <w:rsid w:val="00053E30"/>
    <w:rsid w:val="00054621"/>
    <w:rsid w:val="0005521A"/>
    <w:rsid w:val="000554A7"/>
    <w:rsid w:val="00055D55"/>
    <w:rsid w:val="0005650E"/>
    <w:rsid w:val="00056B3D"/>
    <w:rsid w:val="00057081"/>
    <w:rsid w:val="0005777E"/>
    <w:rsid w:val="00057E72"/>
    <w:rsid w:val="00060BC8"/>
    <w:rsid w:val="00061327"/>
    <w:rsid w:val="00062523"/>
    <w:rsid w:val="000632F5"/>
    <w:rsid w:val="000634D5"/>
    <w:rsid w:val="000637E8"/>
    <w:rsid w:val="00063B26"/>
    <w:rsid w:val="00063E3E"/>
    <w:rsid w:val="000641CC"/>
    <w:rsid w:val="0006422F"/>
    <w:rsid w:val="0006470B"/>
    <w:rsid w:val="00064AE3"/>
    <w:rsid w:val="00064E33"/>
    <w:rsid w:val="00064F4A"/>
    <w:rsid w:val="00065800"/>
    <w:rsid w:val="00065CA9"/>
    <w:rsid w:val="00066450"/>
    <w:rsid w:val="00066822"/>
    <w:rsid w:val="0006704B"/>
    <w:rsid w:val="00067AD3"/>
    <w:rsid w:val="0007037D"/>
    <w:rsid w:val="00070A3A"/>
    <w:rsid w:val="0007136C"/>
    <w:rsid w:val="00071F67"/>
    <w:rsid w:val="000720A6"/>
    <w:rsid w:val="000721BF"/>
    <w:rsid w:val="00072CAF"/>
    <w:rsid w:val="00073399"/>
    <w:rsid w:val="000734B0"/>
    <w:rsid w:val="000738D6"/>
    <w:rsid w:val="00073954"/>
    <w:rsid w:val="000739FA"/>
    <w:rsid w:val="00073C48"/>
    <w:rsid w:val="00074148"/>
    <w:rsid w:val="000741BF"/>
    <w:rsid w:val="00074525"/>
    <w:rsid w:val="000746DD"/>
    <w:rsid w:val="000750D5"/>
    <w:rsid w:val="00075235"/>
    <w:rsid w:val="00075385"/>
    <w:rsid w:val="0007548F"/>
    <w:rsid w:val="00075A7C"/>
    <w:rsid w:val="00075E16"/>
    <w:rsid w:val="000761CC"/>
    <w:rsid w:val="00076E70"/>
    <w:rsid w:val="00077B0A"/>
    <w:rsid w:val="00077DCF"/>
    <w:rsid w:val="00077FD2"/>
    <w:rsid w:val="00080311"/>
    <w:rsid w:val="0008069C"/>
    <w:rsid w:val="0008073B"/>
    <w:rsid w:val="00080C86"/>
    <w:rsid w:val="00081762"/>
    <w:rsid w:val="00082761"/>
    <w:rsid w:val="000829D6"/>
    <w:rsid w:val="0008303D"/>
    <w:rsid w:val="0008377B"/>
    <w:rsid w:val="00083E84"/>
    <w:rsid w:val="000843CC"/>
    <w:rsid w:val="000852C4"/>
    <w:rsid w:val="0008549C"/>
    <w:rsid w:val="00086248"/>
    <w:rsid w:val="00086608"/>
    <w:rsid w:val="000876E0"/>
    <w:rsid w:val="00087AC0"/>
    <w:rsid w:val="00090C90"/>
    <w:rsid w:val="00090C9C"/>
    <w:rsid w:val="00090FCA"/>
    <w:rsid w:val="00091A6F"/>
    <w:rsid w:val="00091E2E"/>
    <w:rsid w:val="000930F0"/>
    <w:rsid w:val="0009324F"/>
    <w:rsid w:val="00093325"/>
    <w:rsid w:val="0009350F"/>
    <w:rsid w:val="00093540"/>
    <w:rsid w:val="0009380D"/>
    <w:rsid w:val="00093EDC"/>
    <w:rsid w:val="000949D5"/>
    <w:rsid w:val="00094BED"/>
    <w:rsid w:val="00094F63"/>
    <w:rsid w:val="00095A0D"/>
    <w:rsid w:val="00095BA1"/>
    <w:rsid w:val="00095DC7"/>
    <w:rsid w:val="00095FE0"/>
    <w:rsid w:val="0009611B"/>
    <w:rsid w:val="000961A3"/>
    <w:rsid w:val="00096CBA"/>
    <w:rsid w:val="00096D65"/>
    <w:rsid w:val="00097196"/>
    <w:rsid w:val="00097658"/>
    <w:rsid w:val="00097A28"/>
    <w:rsid w:val="00097FAD"/>
    <w:rsid w:val="000A0708"/>
    <w:rsid w:val="000A0EBD"/>
    <w:rsid w:val="000A0EE4"/>
    <w:rsid w:val="000A1DC7"/>
    <w:rsid w:val="000A1E2E"/>
    <w:rsid w:val="000A28E1"/>
    <w:rsid w:val="000A2A3D"/>
    <w:rsid w:val="000A2C99"/>
    <w:rsid w:val="000A3331"/>
    <w:rsid w:val="000A3400"/>
    <w:rsid w:val="000A411F"/>
    <w:rsid w:val="000A4261"/>
    <w:rsid w:val="000A4627"/>
    <w:rsid w:val="000A4B04"/>
    <w:rsid w:val="000A5144"/>
    <w:rsid w:val="000A5177"/>
    <w:rsid w:val="000A52F5"/>
    <w:rsid w:val="000A530A"/>
    <w:rsid w:val="000A5763"/>
    <w:rsid w:val="000A581D"/>
    <w:rsid w:val="000A5A40"/>
    <w:rsid w:val="000A5FBA"/>
    <w:rsid w:val="000A6A56"/>
    <w:rsid w:val="000A6B6A"/>
    <w:rsid w:val="000A726E"/>
    <w:rsid w:val="000A7520"/>
    <w:rsid w:val="000A779D"/>
    <w:rsid w:val="000A7DBF"/>
    <w:rsid w:val="000A7E5F"/>
    <w:rsid w:val="000B090D"/>
    <w:rsid w:val="000B0AB7"/>
    <w:rsid w:val="000B10DE"/>
    <w:rsid w:val="000B134C"/>
    <w:rsid w:val="000B158E"/>
    <w:rsid w:val="000B1776"/>
    <w:rsid w:val="000B1914"/>
    <w:rsid w:val="000B1F22"/>
    <w:rsid w:val="000B2247"/>
    <w:rsid w:val="000B2E47"/>
    <w:rsid w:val="000B3363"/>
    <w:rsid w:val="000B374D"/>
    <w:rsid w:val="000B3CB5"/>
    <w:rsid w:val="000B4208"/>
    <w:rsid w:val="000B4583"/>
    <w:rsid w:val="000B45BE"/>
    <w:rsid w:val="000B4701"/>
    <w:rsid w:val="000B4970"/>
    <w:rsid w:val="000B4974"/>
    <w:rsid w:val="000B4DB0"/>
    <w:rsid w:val="000B4E84"/>
    <w:rsid w:val="000B50CC"/>
    <w:rsid w:val="000B5270"/>
    <w:rsid w:val="000B556A"/>
    <w:rsid w:val="000B5CCA"/>
    <w:rsid w:val="000B6191"/>
    <w:rsid w:val="000B64FB"/>
    <w:rsid w:val="000B7503"/>
    <w:rsid w:val="000B760A"/>
    <w:rsid w:val="000B78B2"/>
    <w:rsid w:val="000B7D7D"/>
    <w:rsid w:val="000C02AC"/>
    <w:rsid w:val="000C0522"/>
    <w:rsid w:val="000C0ABB"/>
    <w:rsid w:val="000C1046"/>
    <w:rsid w:val="000C133D"/>
    <w:rsid w:val="000C15B3"/>
    <w:rsid w:val="000C1669"/>
    <w:rsid w:val="000C1775"/>
    <w:rsid w:val="000C1835"/>
    <w:rsid w:val="000C1A4A"/>
    <w:rsid w:val="000C1B36"/>
    <w:rsid w:val="000C1E06"/>
    <w:rsid w:val="000C1F07"/>
    <w:rsid w:val="000C22CB"/>
    <w:rsid w:val="000C2B67"/>
    <w:rsid w:val="000C4086"/>
    <w:rsid w:val="000C4C0D"/>
    <w:rsid w:val="000C541F"/>
    <w:rsid w:val="000C5EC1"/>
    <w:rsid w:val="000C6503"/>
    <w:rsid w:val="000C670A"/>
    <w:rsid w:val="000C6C14"/>
    <w:rsid w:val="000C6D25"/>
    <w:rsid w:val="000C7AE5"/>
    <w:rsid w:val="000C7B11"/>
    <w:rsid w:val="000D0089"/>
    <w:rsid w:val="000D0191"/>
    <w:rsid w:val="000D0A29"/>
    <w:rsid w:val="000D0BA8"/>
    <w:rsid w:val="000D104B"/>
    <w:rsid w:val="000D125E"/>
    <w:rsid w:val="000D148E"/>
    <w:rsid w:val="000D1C0A"/>
    <w:rsid w:val="000D1E09"/>
    <w:rsid w:val="000D218A"/>
    <w:rsid w:val="000D30D2"/>
    <w:rsid w:val="000D3976"/>
    <w:rsid w:val="000D3FB7"/>
    <w:rsid w:val="000D40D3"/>
    <w:rsid w:val="000D4363"/>
    <w:rsid w:val="000D556E"/>
    <w:rsid w:val="000D575C"/>
    <w:rsid w:val="000D5841"/>
    <w:rsid w:val="000D6560"/>
    <w:rsid w:val="000D658A"/>
    <w:rsid w:val="000D6C43"/>
    <w:rsid w:val="000D6E3C"/>
    <w:rsid w:val="000D6EA4"/>
    <w:rsid w:val="000D78EA"/>
    <w:rsid w:val="000D7F9D"/>
    <w:rsid w:val="000E06FC"/>
    <w:rsid w:val="000E0701"/>
    <w:rsid w:val="000E0AD9"/>
    <w:rsid w:val="000E10F1"/>
    <w:rsid w:val="000E1D4A"/>
    <w:rsid w:val="000E1F3C"/>
    <w:rsid w:val="000E298D"/>
    <w:rsid w:val="000E2ADB"/>
    <w:rsid w:val="000E2DE4"/>
    <w:rsid w:val="000E2EEF"/>
    <w:rsid w:val="000E3E6E"/>
    <w:rsid w:val="000E4136"/>
    <w:rsid w:val="000E4D45"/>
    <w:rsid w:val="000E4F82"/>
    <w:rsid w:val="000E4FE7"/>
    <w:rsid w:val="000E5258"/>
    <w:rsid w:val="000E5332"/>
    <w:rsid w:val="000E535C"/>
    <w:rsid w:val="000E5EAC"/>
    <w:rsid w:val="000E6A61"/>
    <w:rsid w:val="000E73A7"/>
    <w:rsid w:val="000E76E8"/>
    <w:rsid w:val="000E787A"/>
    <w:rsid w:val="000E7A62"/>
    <w:rsid w:val="000E7B86"/>
    <w:rsid w:val="000E7D31"/>
    <w:rsid w:val="000F0506"/>
    <w:rsid w:val="000F0592"/>
    <w:rsid w:val="000F1C0D"/>
    <w:rsid w:val="000F23E7"/>
    <w:rsid w:val="000F3166"/>
    <w:rsid w:val="000F3431"/>
    <w:rsid w:val="000F35F1"/>
    <w:rsid w:val="000F3A54"/>
    <w:rsid w:val="000F3C67"/>
    <w:rsid w:val="000F3D04"/>
    <w:rsid w:val="000F3DD1"/>
    <w:rsid w:val="000F3E0A"/>
    <w:rsid w:val="000F404B"/>
    <w:rsid w:val="000F4270"/>
    <w:rsid w:val="000F45F2"/>
    <w:rsid w:val="000F485A"/>
    <w:rsid w:val="000F4979"/>
    <w:rsid w:val="000F5295"/>
    <w:rsid w:val="000F5349"/>
    <w:rsid w:val="000F5499"/>
    <w:rsid w:val="000F56DD"/>
    <w:rsid w:val="000F56E3"/>
    <w:rsid w:val="000F58A7"/>
    <w:rsid w:val="000F5B6C"/>
    <w:rsid w:val="000F66AE"/>
    <w:rsid w:val="000F6850"/>
    <w:rsid w:val="000F6AB8"/>
    <w:rsid w:val="000F72A5"/>
    <w:rsid w:val="000F74E7"/>
    <w:rsid w:val="000F75DB"/>
    <w:rsid w:val="000F77B3"/>
    <w:rsid w:val="000F7BAF"/>
    <w:rsid w:val="001007D9"/>
    <w:rsid w:val="00100D1A"/>
    <w:rsid w:val="00101031"/>
    <w:rsid w:val="001012EC"/>
    <w:rsid w:val="00101459"/>
    <w:rsid w:val="00101636"/>
    <w:rsid w:val="0010166E"/>
    <w:rsid w:val="00101678"/>
    <w:rsid w:val="00102507"/>
    <w:rsid w:val="00102883"/>
    <w:rsid w:val="00102A9B"/>
    <w:rsid w:val="00102C4E"/>
    <w:rsid w:val="00103995"/>
    <w:rsid w:val="00103C20"/>
    <w:rsid w:val="00103CB6"/>
    <w:rsid w:val="0010407D"/>
    <w:rsid w:val="00105ED1"/>
    <w:rsid w:val="0010670B"/>
    <w:rsid w:val="00107261"/>
    <w:rsid w:val="00107689"/>
    <w:rsid w:val="00110CF1"/>
    <w:rsid w:val="00110D2A"/>
    <w:rsid w:val="00110FAD"/>
    <w:rsid w:val="00111195"/>
    <w:rsid w:val="0011129C"/>
    <w:rsid w:val="00111CFD"/>
    <w:rsid w:val="001123F1"/>
    <w:rsid w:val="00112824"/>
    <w:rsid w:val="00112AD8"/>
    <w:rsid w:val="00112C49"/>
    <w:rsid w:val="00113CF8"/>
    <w:rsid w:val="00114050"/>
    <w:rsid w:val="001148A2"/>
    <w:rsid w:val="00114DAD"/>
    <w:rsid w:val="0011524E"/>
    <w:rsid w:val="0011590D"/>
    <w:rsid w:val="0011685D"/>
    <w:rsid w:val="00116C35"/>
    <w:rsid w:val="00117389"/>
    <w:rsid w:val="0011747D"/>
    <w:rsid w:val="001176B2"/>
    <w:rsid w:val="00117D41"/>
    <w:rsid w:val="00120597"/>
    <w:rsid w:val="00122086"/>
    <w:rsid w:val="00122145"/>
    <w:rsid w:val="001223E8"/>
    <w:rsid w:val="001229C4"/>
    <w:rsid w:val="00122B88"/>
    <w:rsid w:val="00122D59"/>
    <w:rsid w:val="00122EF4"/>
    <w:rsid w:val="001237BC"/>
    <w:rsid w:val="0012391A"/>
    <w:rsid w:val="00123DFF"/>
    <w:rsid w:val="00123E14"/>
    <w:rsid w:val="00123E6D"/>
    <w:rsid w:val="00124409"/>
    <w:rsid w:val="00124669"/>
    <w:rsid w:val="0012646F"/>
    <w:rsid w:val="0012649E"/>
    <w:rsid w:val="00126E7B"/>
    <w:rsid w:val="00126F36"/>
    <w:rsid w:val="00126FFB"/>
    <w:rsid w:val="001273B9"/>
    <w:rsid w:val="001274EF"/>
    <w:rsid w:val="0013017D"/>
    <w:rsid w:val="001304E9"/>
    <w:rsid w:val="00130AAE"/>
    <w:rsid w:val="00130DAF"/>
    <w:rsid w:val="00130F08"/>
    <w:rsid w:val="001310BA"/>
    <w:rsid w:val="00131A58"/>
    <w:rsid w:val="00131B4B"/>
    <w:rsid w:val="00131BAF"/>
    <w:rsid w:val="00131E9F"/>
    <w:rsid w:val="00132146"/>
    <w:rsid w:val="00132CBE"/>
    <w:rsid w:val="0013422C"/>
    <w:rsid w:val="0013423D"/>
    <w:rsid w:val="00134991"/>
    <w:rsid w:val="00135110"/>
    <w:rsid w:val="00135BFC"/>
    <w:rsid w:val="0013640E"/>
    <w:rsid w:val="0013642F"/>
    <w:rsid w:val="0013680B"/>
    <w:rsid w:val="00136CBA"/>
    <w:rsid w:val="00136D6D"/>
    <w:rsid w:val="00136DC0"/>
    <w:rsid w:val="00137B89"/>
    <w:rsid w:val="00137E14"/>
    <w:rsid w:val="00140BE6"/>
    <w:rsid w:val="00140C0D"/>
    <w:rsid w:val="00140F7C"/>
    <w:rsid w:val="00141864"/>
    <w:rsid w:val="001419FB"/>
    <w:rsid w:val="00141C05"/>
    <w:rsid w:val="00141C0E"/>
    <w:rsid w:val="00141E24"/>
    <w:rsid w:val="00142063"/>
    <w:rsid w:val="001422CB"/>
    <w:rsid w:val="00142453"/>
    <w:rsid w:val="001432EF"/>
    <w:rsid w:val="00143459"/>
    <w:rsid w:val="00143EC3"/>
    <w:rsid w:val="001443A5"/>
    <w:rsid w:val="00145272"/>
    <w:rsid w:val="001459B1"/>
    <w:rsid w:val="00145E39"/>
    <w:rsid w:val="001467ED"/>
    <w:rsid w:val="00146E5E"/>
    <w:rsid w:val="00146FE4"/>
    <w:rsid w:val="0014701B"/>
    <w:rsid w:val="00147752"/>
    <w:rsid w:val="00147A51"/>
    <w:rsid w:val="00147CF0"/>
    <w:rsid w:val="00150000"/>
    <w:rsid w:val="001500A3"/>
    <w:rsid w:val="001509D2"/>
    <w:rsid w:val="001513FB"/>
    <w:rsid w:val="00151988"/>
    <w:rsid w:val="00152AB5"/>
    <w:rsid w:val="001540D5"/>
    <w:rsid w:val="00154974"/>
    <w:rsid w:val="001549EB"/>
    <w:rsid w:val="00154AD0"/>
    <w:rsid w:val="001553B4"/>
    <w:rsid w:val="00155AD7"/>
    <w:rsid w:val="00155D70"/>
    <w:rsid w:val="00155DA6"/>
    <w:rsid w:val="00155DFF"/>
    <w:rsid w:val="00156157"/>
    <w:rsid w:val="001567EB"/>
    <w:rsid w:val="00156C57"/>
    <w:rsid w:val="001572E8"/>
    <w:rsid w:val="001573F8"/>
    <w:rsid w:val="00157449"/>
    <w:rsid w:val="00157A9A"/>
    <w:rsid w:val="0016051A"/>
    <w:rsid w:val="00161D22"/>
    <w:rsid w:val="0016224C"/>
    <w:rsid w:val="0016363D"/>
    <w:rsid w:val="00163DF0"/>
    <w:rsid w:val="00164D74"/>
    <w:rsid w:val="0016532E"/>
    <w:rsid w:val="00165603"/>
    <w:rsid w:val="00165F5D"/>
    <w:rsid w:val="001662A9"/>
    <w:rsid w:val="001662FB"/>
    <w:rsid w:val="00166749"/>
    <w:rsid w:val="00166FD1"/>
    <w:rsid w:val="00167245"/>
    <w:rsid w:val="001679F1"/>
    <w:rsid w:val="00167B25"/>
    <w:rsid w:val="00167C1A"/>
    <w:rsid w:val="00170012"/>
    <w:rsid w:val="0017038C"/>
    <w:rsid w:val="001708BB"/>
    <w:rsid w:val="001715DF"/>
    <w:rsid w:val="001720C4"/>
    <w:rsid w:val="001720F2"/>
    <w:rsid w:val="00172588"/>
    <w:rsid w:val="00173415"/>
    <w:rsid w:val="00173619"/>
    <w:rsid w:val="00173791"/>
    <w:rsid w:val="001739E7"/>
    <w:rsid w:val="00173AFC"/>
    <w:rsid w:val="00174151"/>
    <w:rsid w:val="00174167"/>
    <w:rsid w:val="001745C5"/>
    <w:rsid w:val="00174631"/>
    <w:rsid w:val="001746D6"/>
    <w:rsid w:val="001758E4"/>
    <w:rsid w:val="001762F3"/>
    <w:rsid w:val="00176C93"/>
    <w:rsid w:val="00176F1D"/>
    <w:rsid w:val="0017756B"/>
    <w:rsid w:val="00177A39"/>
    <w:rsid w:val="00177CD6"/>
    <w:rsid w:val="0018029D"/>
    <w:rsid w:val="00180B13"/>
    <w:rsid w:val="00180FEE"/>
    <w:rsid w:val="00182926"/>
    <w:rsid w:val="00182DB5"/>
    <w:rsid w:val="00182FC2"/>
    <w:rsid w:val="001831E9"/>
    <w:rsid w:val="00183AC0"/>
    <w:rsid w:val="00183B2C"/>
    <w:rsid w:val="00184225"/>
    <w:rsid w:val="001843E7"/>
    <w:rsid w:val="00184A90"/>
    <w:rsid w:val="00184DAA"/>
    <w:rsid w:val="0018563B"/>
    <w:rsid w:val="00185842"/>
    <w:rsid w:val="00185A3F"/>
    <w:rsid w:val="00185C18"/>
    <w:rsid w:val="0018609B"/>
    <w:rsid w:val="001863FE"/>
    <w:rsid w:val="00186DAF"/>
    <w:rsid w:val="00187035"/>
    <w:rsid w:val="0018785E"/>
    <w:rsid w:val="00187FDF"/>
    <w:rsid w:val="0019057E"/>
    <w:rsid w:val="00190897"/>
    <w:rsid w:val="00190BAC"/>
    <w:rsid w:val="00190CA3"/>
    <w:rsid w:val="001917CC"/>
    <w:rsid w:val="001920A3"/>
    <w:rsid w:val="00192634"/>
    <w:rsid w:val="00192760"/>
    <w:rsid w:val="001928EC"/>
    <w:rsid w:val="00192F51"/>
    <w:rsid w:val="0019302D"/>
    <w:rsid w:val="001938CC"/>
    <w:rsid w:val="00193F6C"/>
    <w:rsid w:val="00193F77"/>
    <w:rsid w:val="00194297"/>
    <w:rsid w:val="001944AA"/>
    <w:rsid w:val="001949A8"/>
    <w:rsid w:val="00194A8B"/>
    <w:rsid w:val="00194D27"/>
    <w:rsid w:val="00194E25"/>
    <w:rsid w:val="001958D6"/>
    <w:rsid w:val="00195BA9"/>
    <w:rsid w:val="00195C30"/>
    <w:rsid w:val="00195C7A"/>
    <w:rsid w:val="00195D34"/>
    <w:rsid w:val="00195E1E"/>
    <w:rsid w:val="0019618D"/>
    <w:rsid w:val="00196684"/>
    <w:rsid w:val="00197082"/>
    <w:rsid w:val="001973D3"/>
    <w:rsid w:val="0019779D"/>
    <w:rsid w:val="001A001B"/>
    <w:rsid w:val="001A03E7"/>
    <w:rsid w:val="001A0405"/>
    <w:rsid w:val="001A0BA3"/>
    <w:rsid w:val="001A0F83"/>
    <w:rsid w:val="001A22D5"/>
    <w:rsid w:val="001A22F3"/>
    <w:rsid w:val="001A3643"/>
    <w:rsid w:val="001A3B7C"/>
    <w:rsid w:val="001A3BBD"/>
    <w:rsid w:val="001A3DE4"/>
    <w:rsid w:val="001A4115"/>
    <w:rsid w:val="001A4AF9"/>
    <w:rsid w:val="001A4D75"/>
    <w:rsid w:val="001A4DB6"/>
    <w:rsid w:val="001A57AC"/>
    <w:rsid w:val="001A5C4C"/>
    <w:rsid w:val="001A5C6F"/>
    <w:rsid w:val="001A7CAD"/>
    <w:rsid w:val="001B04CF"/>
    <w:rsid w:val="001B0BF3"/>
    <w:rsid w:val="001B1176"/>
    <w:rsid w:val="001B15B2"/>
    <w:rsid w:val="001B1D9D"/>
    <w:rsid w:val="001B213E"/>
    <w:rsid w:val="001B2815"/>
    <w:rsid w:val="001B2E51"/>
    <w:rsid w:val="001B424D"/>
    <w:rsid w:val="001B4ACF"/>
    <w:rsid w:val="001B4D39"/>
    <w:rsid w:val="001B4E01"/>
    <w:rsid w:val="001B55E0"/>
    <w:rsid w:val="001B5ABE"/>
    <w:rsid w:val="001B6281"/>
    <w:rsid w:val="001B67EA"/>
    <w:rsid w:val="001B693E"/>
    <w:rsid w:val="001B6FAA"/>
    <w:rsid w:val="001B702F"/>
    <w:rsid w:val="001C0130"/>
    <w:rsid w:val="001C0150"/>
    <w:rsid w:val="001C0480"/>
    <w:rsid w:val="001C0506"/>
    <w:rsid w:val="001C0EE8"/>
    <w:rsid w:val="001C159B"/>
    <w:rsid w:val="001C1EC2"/>
    <w:rsid w:val="001C2747"/>
    <w:rsid w:val="001C2BA5"/>
    <w:rsid w:val="001C385F"/>
    <w:rsid w:val="001C3D41"/>
    <w:rsid w:val="001C443D"/>
    <w:rsid w:val="001C447A"/>
    <w:rsid w:val="001C4BA1"/>
    <w:rsid w:val="001C4DD6"/>
    <w:rsid w:val="001C4E2C"/>
    <w:rsid w:val="001C579F"/>
    <w:rsid w:val="001C595E"/>
    <w:rsid w:val="001C5AB4"/>
    <w:rsid w:val="001C6190"/>
    <w:rsid w:val="001C6340"/>
    <w:rsid w:val="001C703C"/>
    <w:rsid w:val="001C7073"/>
    <w:rsid w:val="001C748E"/>
    <w:rsid w:val="001C7728"/>
    <w:rsid w:val="001C7BAF"/>
    <w:rsid w:val="001D01A7"/>
    <w:rsid w:val="001D02A0"/>
    <w:rsid w:val="001D04A5"/>
    <w:rsid w:val="001D0C4B"/>
    <w:rsid w:val="001D0EF8"/>
    <w:rsid w:val="001D1698"/>
    <w:rsid w:val="001D17C5"/>
    <w:rsid w:val="001D1909"/>
    <w:rsid w:val="001D1CA7"/>
    <w:rsid w:val="001D2283"/>
    <w:rsid w:val="001D23E2"/>
    <w:rsid w:val="001D240B"/>
    <w:rsid w:val="001D244B"/>
    <w:rsid w:val="001D2525"/>
    <w:rsid w:val="001D314A"/>
    <w:rsid w:val="001D3441"/>
    <w:rsid w:val="001D35F6"/>
    <w:rsid w:val="001D3850"/>
    <w:rsid w:val="001D3B33"/>
    <w:rsid w:val="001D3BC0"/>
    <w:rsid w:val="001D4AF9"/>
    <w:rsid w:val="001D4C6F"/>
    <w:rsid w:val="001D4CD1"/>
    <w:rsid w:val="001D58D9"/>
    <w:rsid w:val="001D5EFF"/>
    <w:rsid w:val="001D6290"/>
    <w:rsid w:val="001D62BC"/>
    <w:rsid w:val="001D65FC"/>
    <w:rsid w:val="001D6E1B"/>
    <w:rsid w:val="001D707A"/>
    <w:rsid w:val="001D7771"/>
    <w:rsid w:val="001E001B"/>
    <w:rsid w:val="001E0931"/>
    <w:rsid w:val="001E0A9A"/>
    <w:rsid w:val="001E0F59"/>
    <w:rsid w:val="001E101F"/>
    <w:rsid w:val="001E128F"/>
    <w:rsid w:val="001E1810"/>
    <w:rsid w:val="001E1B51"/>
    <w:rsid w:val="001E1B90"/>
    <w:rsid w:val="001E21BE"/>
    <w:rsid w:val="001E2B5E"/>
    <w:rsid w:val="001E2D8B"/>
    <w:rsid w:val="001E2F1F"/>
    <w:rsid w:val="001E3178"/>
    <w:rsid w:val="001E34ED"/>
    <w:rsid w:val="001E38D5"/>
    <w:rsid w:val="001E3AA0"/>
    <w:rsid w:val="001E3CDF"/>
    <w:rsid w:val="001E4184"/>
    <w:rsid w:val="001E439C"/>
    <w:rsid w:val="001E513E"/>
    <w:rsid w:val="001E5753"/>
    <w:rsid w:val="001E5A30"/>
    <w:rsid w:val="001E5CCE"/>
    <w:rsid w:val="001E68C5"/>
    <w:rsid w:val="001E6989"/>
    <w:rsid w:val="001E6FAE"/>
    <w:rsid w:val="001E72FF"/>
    <w:rsid w:val="001E75AE"/>
    <w:rsid w:val="001E78DE"/>
    <w:rsid w:val="001E7B08"/>
    <w:rsid w:val="001E7BC6"/>
    <w:rsid w:val="001E7C2F"/>
    <w:rsid w:val="001F02B7"/>
    <w:rsid w:val="001F074E"/>
    <w:rsid w:val="001F1186"/>
    <w:rsid w:val="001F15A2"/>
    <w:rsid w:val="001F1694"/>
    <w:rsid w:val="001F19DB"/>
    <w:rsid w:val="001F1A09"/>
    <w:rsid w:val="001F1E7B"/>
    <w:rsid w:val="001F217A"/>
    <w:rsid w:val="001F2955"/>
    <w:rsid w:val="001F30D5"/>
    <w:rsid w:val="001F36EA"/>
    <w:rsid w:val="001F3959"/>
    <w:rsid w:val="001F3D15"/>
    <w:rsid w:val="001F42B9"/>
    <w:rsid w:val="001F4807"/>
    <w:rsid w:val="001F4843"/>
    <w:rsid w:val="001F4CBF"/>
    <w:rsid w:val="001F5C7C"/>
    <w:rsid w:val="001F6229"/>
    <w:rsid w:val="001F631E"/>
    <w:rsid w:val="001F65B8"/>
    <w:rsid w:val="001F69A3"/>
    <w:rsid w:val="001F6D7B"/>
    <w:rsid w:val="001F70EF"/>
    <w:rsid w:val="001F7347"/>
    <w:rsid w:val="001F7A61"/>
    <w:rsid w:val="001F7BCF"/>
    <w:rsid w:val="0020014C"/>
    <w:rsid w:val="00200D9D"/>
    <w:rsid w:val="0020190B"/>
    <w:rsid w:val="002021D9"/>
    <w:rsid w:val="00202602"/>
    <w:rsid w:val="002028CF"/>
    <w:rsid w:val="00202E45"/>
    <w:rsid w:val="002030AC"/>
    <w:rsid w:val="002042D4"/>
    <w:rsid w:val="002044E6"/>
    <w:rsid w:val="00204859"/>
    <w:rsid w:val="00205BB7"/>
    <w:rsid w:val="00205BCB"/>
    <w:rsid w:val="00205C29"/>
    <w:rsid w:val="00206190"/>
    <w:rsid w:val="00207476"/>
    <w:rsid w:val="00207C97"/>
    <w:rsid w:val="00207F31"/>
    <w:rsid w:val="00210267"/>
    <w:rsid w:val="00210B14"/>
    <w:rsid w:val="00211020"/>
    <w:rsid w:val="0021114C"/>
    <w:rsid w:val="002113FB"/>
    <w:rsid w:val="002120AC"/>
    <w:rsid w:val="0021276E"/>
    <w:rsid w:val="00212D38"/>
    <w:rsid w:val="00212DC1"/>
    <w:rsid w:val="0021312B"/>
    <w:rsid w:val="002135E5"/>
    <w:rsid w:val="00213D6C"/>
    <w:rsid w:val="002142A7"/>
    <w:rsid w:val="002149FB"/>
    <w:rsid w:val="002151DA"/>
    <w:rsid w:val="002156C1"/>
    <w:rsid w:val="00215A95"/>
    <w:rsid w:val="00215B8F"/>
    <w:rsid w:val="00215DE0"/>
    <w:rsid w:val="00216366"/>
    <w:rsid w:val="00216523"/>
    <w:rsid w:val="0021682B"/>
    <w:rsid w:val="002176D8"/>
    <w:rsid w:val="00217928"/>
    <w:rsid w:val="00220E23"/>
    <w:rsid w:val="00221092"/>
    <w:rsid w:val="002210F0"/>
    <w:rsid w:val="00221729"/>
    <w:rsid w:val="0022181E"/>
    <w:rsid w:val="002219C8"/>
    <w:rsid w:val="00221AA3"/>
    <w:rsid w:val="00221EF2"/>
    <w:rsid w:val="00221FE1"/>
    <w:rsid w:val="002222B9"/>
    <w:rsid w:val="002233E3"/>
    <w:rsid w:val="00223704"/>
    <w:rsid w:val="0022395D"/>
    <w:rsid w:val="00223BD4"/>
    <w:rsid w:val="00223F76"/>
    <w:rsid w:val="00224007"/>
    <w:rsid w:val="00224B11"/>
    <w:rsid w:val="002253B8"/>
    <w:rsid w:val="0022558A"/>
    <w:rsid w:val="002259CD"/>
    <w:rsid w:val="00226930"/>
    <w:rsid w:val="00226E55"/>
    <w:rsid w:val="00226F24"/>
    <w:rsid w:val="00230167"/>
    <w:rsid w:val="00230ED0"/>
    <w:rsid w:val="00232335"/>
    <w:rsid w:val="00232613"/>
    <w:rsid w:val="0023278C"/>
    <w:rsid w:val="002328DC"/>
    <w:rsid w:val="00232C82"/>
    <w:rsid w:val="00232DC8"/>
    <w:rsid w:val="00233488"/>
    <w:rsid w:val="00233E3E"/>
    <w:rsid w:val="002349B4"/>
    <w:rsid w:val="00234C6C"/>
    <w:rsid w:val="00235587"/>
    <w:rsid w:val="00235D45"/>
    <w:rsid w:val="00235E2A"/>
    <w:rsid w:val="002365C4"/>
    <w:rsid w:val="002369A2"/>
    <w:rsid w:val="00236EB7"/>
    <w:rsid w:val="00237398"/>
    <w:rsid w:val="002413C0"/>
    <w:rsid w:val="00243325"/>
    <w:rsid w:val="00243C04"/>
    <w:rsid w:val="00243ECB"/>
    <w:rsid w:val="00243F60"/>
    <w:rsid w:val="0024405F"/>
    <w:rsid w:val="002440DA"/>
    <w:rsid w:val="00244253"/>
    <w:rsid w:val="002442FB"/>
    <w:rsid w:val="0024490B"/>
    <w:rsid w:val="00245078"/>
    <w:rsid w:val="002450F8"/>
    <w:rsid w:val="00245233"/>
    <w:rsid w:val="00245BEF"/>
    <w:rsid w:val="002460BE"/>
    <w:rsid w:val="002463A3"/>
    <w:rsid w:val="00246A84"/>
    <w:rsid w:val="00250103"/>
    <w:rsid w:val="0025022F"/>
    <w:rsid w:val="0025070B"/>
    <w:rsid w:val="00250917"/>
    <w:rsid w:val="00250F82"/>
    <w:rsid w:val="00251152"/>
    <w:rsid w:val="00251772"/>
    <w:rsid w:val="00251AB8"/>
    <w:rsid w:val="00251CD2"/>
    <w:rsid w:val="00252661"/>
    <w:rsid w:val="00254224"/>
    <w:rsid w:val="00254410"/>
    <w:rsid w:val="00254458"/>
    <w:rsid w:val="00254B5B"/>
    <w:rsid w:val="00254E35"/>
    <w:rsid w:val="0025508B"/>
    <w:rsid w:val="0025525D"/>
    <w:rsid w:val="00255396"/>
    <w:rsid w:val="002557B0"/>
    <w:rsid w:val="002557D3"/>
    <w:rsid w:val="00255F08"/>
    <w:rsid w:val="00256182"/>
    <w:rsid w:val="002561D7"/>
    <w:rsid w:val="002567FC"/>
    <w:rsid w:val="00256915"/>
    <w:rsid w:val="00256C99"/>
    <w:rsid w:val="00256E7C"/>
    <w:rsid w:val="002577AB"/>
    <w:rsid w:val="00257A86"/>
    <w:rsid w:val="00257F5C"/>
    <w:rsid w:val="00260577"/>
    <w:rsid w:val="002605A6"/>
    <w:rsid w:val="002606C6"/>
    <w:rsid w:val="00260D0A"/>
    <w:rsid w:val="00261DD9"/>
    <w:rsid w:val="00261F26"/>
    <w:rsid w:val="0026251C"/>
    <w:rsid w:val="002633B1"/>
    <w:rsid w:val="00263BBB"/>
    <w:rsid w:val="00263CC0"/>
    <w:rsid w:val="00263DA9"/>
    <w:rsid w:val="002641A0"/>
    <w:rsid w:val="00264773"/>
    <w:rsid w:val="0026482B"/>
    <w:rsid w:val="00264C25"/>
    <w:rsid w:val="0026652F"/>
    <w:rsid w:val="002674A6"/>
    <w:rsid w:val="002675EC"/>
    <w:rsid w:val="00267CB9"/>
    <w:rsid w:val="00267F6F"/>
    <w:rsid w:val="0027030D"/>
    <w:rsid w:val="00270420"/>
    <w:rsid w:val="00271F77"/>
    <w:rsid w:val="002724C4"/>
    <w:rsid w:val="00272842"/>
    <w:rsid w:val="00273017"/>
    <w:rsid w:val="002731FA"/>
    <w:rsid w:val="002734D3"/>
    <w:rsid w:val="00273AAB"/>
    <w:rsid w:val="00273AFB"/>
    <w:rsid w:val="002740D3"/>
    <w:rsid w:val="002747BB"/>
    <w:rsid w:val="00275020"/>
    <w:rsid w:val="00275291"/>
    <w:rsid w:val="00275811"/>
    <w:rsid w:val="00275AEB"/>
    <w:rsid w:val="00275EDC"/>
    <w:rsid w:val="002762A0"/>
    <w:rsid w:val="00276441"/>
    <w:rsid w:val="00276726"/>
    <w:rsid w:val="00277574"/>
    <w:rsid w:val="00277814"/>
    <w:rsid w:val="00277819"/>
    <w:rsid w:val="00280125"/>
    <w:rsid w:val="00280D68"/>
    <w:rsid w:val="00280DB6"/>
    <w:rsid w:val="00281240"/>
    <w:rsid w:val="0028133F"/>
    <w:rsid w:val="0028147F"/>
    <w:rsid w:val="0028171F"/>
    <w:rsid w:val="0028183B"/>
    <w:rsid w:val="00281CFB"/>
    <w:rsid w:val="00281D60"/>
    <w:rsid w:val="0028276C"/>
    <w:rsid w:val="002837E3"/>
    <w:rsid w:val="002838AD"/>
    <w:rsid w:val="002847FD"/>
    <w:rsid w:val="002848B9"/>
    <w:rsid w:val="00284A74"/>
    <w:rsid w:val="00284BF8"/>
    <w:rsid w:val="00284D05"/>
    <w:rsid w:val="0028576E"/>
    <w:rsid w:val="00285B86"/>
    <w:rsid w:val="002860A7"/>
    <w:rsid w:val="0028649C"/>
    <w:rsid w:val="00286E42"/>
    <w:rsid w:val="0028713E"/>
    <w:rsid w:val="00287ACB"/>
    <w:rsid w:val="00287C7E"/>
    <w:rsid w:val="00287DE3"/>
    <w:rsid w:val="00287EE3"/>
    <w:rsid w:val="002903F6"/>
    <w:rsid w:val="00290459"/>
    <w:rsid w:val="00290907"/>
    <w:rsid w:val="002910DB"/>
    <w:rsid w:val="0029113A"/>
    <w:rsid w:val="002919BA"/>
    <w:rsid w:val="002924C6"/>
    <w:rsid w:val="002927C9"/>
    <w:rsid w:val="00292AB7"/>
    <w:rsid w:val="0029318A"/>
    <w:rsid w:val="00293416"/>
    <w:rsid w:val="00293604"/>
    <w:rsid w:val="00293658"/>
    <w:rsid w:val="00293891"/>
    <w:rsid w:val="00293BBE"/>
    <w:rsid w:val="00294986"/>
    <w:rsid w:val="00294CDE"/>
    <w:rsid w:val="002953A3"/>
    <w:rsid w:val="002955D2"/>
    <w:rsid w:val="00295AC9"/>
    <w:rsid w:val="002960C4"/>
    <w:rsid w:val="00297148"/>
    <w:rsid w:val="002971EE"/>
    <w:rsid w:val="00297651"/>
    <w:rsid w:val="00297C40"/>
    <w:rsid w:val="002A0246"/>
    <w:rsid w:val="002A08B9"/>
    <w:rsid w:val="002A0A86"/>
    <w:rsid w:val="002A0BDA"/>
    <w:rsid w:val="002A0C47"/>
    <w:rsid w:val="002A0D2B"/>
    <w:rsid w:val="002A129C"/>
    <w:rsid w:val="002A1AB2"/>
    <w:rsid w:val="002A2474"/>
    <w:rsid w:val="002A3036"/>
    <w:rsid w:val="002A332A"/>
    <w:rsid w:val="002A38E5"/>
    <w:rsid w:val="002A3E87"/>
    <w:rsid w:val="002A423C"/>
    <w:rsid w:val="002A441D"/>
    <w:rsid w:val="002A478F"/>
    <w:rsid w:val="002A4C23"/>
    <w:rsid w:val="002A4E1A"/>
    <w:rsid w:val="002A4FE1"/>
    <w:rsid w:val="002A518A"/>
    <w:rsid w:val="002A56A8"/>
    <w:rsid w:val="002A56F8"/>
    <w:rsid w:val="002A6011"/>
    <w:rsid w:val="002A641F"/>
    <w:rsid w:val="002A6EF0"/>
    <w:rsid w:val="002A72B8"/>
    <w:rsid w:val="002A7495"/>
    <w:rsid w:val="002A78B7"/>
    <w:rsid w:val="002A7B5A"/>
    <w:rsid w:val="002B02F7"/>
    <w:rsid w:val="002B0495"/>
    <w:rsid w:val="002B09F8"/>
    <w:rsid w:val="002B1865"/>
    <w:rsid w:val="002B1B4E"/>
    <w:rsid w:val="002B1DC9"/>
    <w:rsid w:val="002B1F15"/>
    <w:rsid w:val="002B1F1B"/>
    <w:rsid w:val="002B1FE5"/>
    <w:rsid w:val="002B20DD"/>
    <w:rsid w:val="002B2307"/>
    <w:rsid w:val="002B2327"/>
    <w:rsid w:val="002B24DF"/>
    <w:rsid w:val="002B2867"/>
    <w:rsid w:val="002B2B08"/>
    <w:rsid w:val="002B3762"/>
    <w:rsid w:val="002B3FCA"/>
    <w:rsid w:val="002B421B"/>
    <w:rsid w:val="002B4B1A"/>
    <w:rsid w:val="002B50F0"/>
    <w:rsid w:val="002B5173"/>
    <w:rsid w:val="002B52AB"/>
    <w:rsid w:val="002B5341"/>
    <w:rsid w:val="002B5540"/>
    <w:rsid w:val="002B5909"/>
    <w:rsid w:val="002B5DF5"/>
    <w:rsid w:val="002B5E35"/>
    <w:rsid w:val="002B5E84"/>
    <w:rsid w:val="002B60DF"/>
    <w:rsid w:val="002B637B"/>
    <w:rsid w:val="002B7153"/>
    <w:rsid w:val="002B745D"/>
    <w:rsid w:val="002B74F6"/>
    <w:rsid w:val="002C06AC"/>
    <w:rsid w:val="002C127A"/>
    <w:rsid w:val="002C14F1"/>
    <w:rsid w:val="002C1952"/>
    <w:rsid w:val="002C2195"/>
    <w:rsid w:val="002C2316"/>
    <w:rsid w:val="002C2BC7"/>
    <w:rsid w:val="002C4962"/>
    <w:rsid w:val="002C4B63"/>
    <w:rsid w:val="002C4F73"/>
    <w:rsid w:val="002C4FC5"/>
    <w:rsid w:val="002C5167"/>
    <w:rsid w:val="002C51AF"/>
    <w:rsid w:val="002C51E3"/>
    <w:rsid w:val="002C524E"/>
    <w:rsid w:val="002C5720"/>
    <w:rsid w:val="002C5CE7"/>
    <w:rsid w:val="002C6E39"/>
    <w:rsid w:val="002C6E69"/>
    <w:rsid w:val="002C733C"/>
    <w:rsid w:val="002C747C"/>
    <w:rsid w:val="002C7728"/>
    <w:rsid w:val="002D1091"/>
    <w:rsid w:val="002D11AF"/>
    <w:rsid w:val="002D2732"/>
    <w:rsid w:val="002D2738"/>
    <w:rsid w:val="002D2939"/>
    <w:rsid w:val="002D2A2D"/>
    <w:rsid w:val="002D2A92"/>
    <w:rsid w:val="002D2D30"/>
    <w:rsid w:val="002D31B8"/>
    <w:rsid w:val="002D387C"/>
    <w:rsid w:val="002D4142"/>
    <w:rsid w:val="002D4637"/>
    <w:rsid w:val="002D49EE"/>
    <w:rsid w:val="002D4A6D"/>
    <w:rsid w:val="002D4C3F"/>
    <w:rsid w:val="002D5976"/>
    <w:rsid w:val="002D5A0A"/>
    <w:rsid w:val="002D5BA2"/>
    <w:rsid w:val="002D631B"/>
    <w:rsid w:val="002D6836"/>
    <w:rsid w:val="002D6B84"/>
    <w:rsid w:val="002D6D2E"/>
    <w:rsid w:val="002D7E91"/>
    <w:rsid w:val="002E00D8"/>
    <w:rsid w:val="002E0284"/>
    <w:rsid w:val="002E0748"/>
    <w:rsid w:val="002E0BDA"/>
    <w:rsid w:val="002E0D6E"/>
    <w:rsid w:val="002E0DD5"/>
    <w:rsid w:val="002E0EC4"/>
    <w:rsid w:val="002E1672"/>
    <w:rsid w:val="002E1EF0"/>
    <w:rsid w:val="002E22CE"/>
    <w:rsid w:val="002E2922"/>
    <w:rsid w:val="002E30E1"/>
    <w:rsid w:val="002E3506"/>
    <w:rsid w:val="002E3752"/>
    <w:rsid w:val="002E3A28"/>
    <w:rsid w:val="002E3A72"/>
    <w:rsid w:val="002E4674"/>
    <w:rsid w:val="002E4E06"/>
    <w:rsid w:val="002E5613"/>
    <w:rsid w:val="002E5624"/>
    <w:rsid w:val="002E5A10"/>
    <w:rsid w:val="002E5BF0"/>
    <w:rsid w:val="002E5E85"/>
    <w:rsid w:val="002E5EC2"/>
    <w:rsid w:val="002E5F11"/>
    <w:rsid w:val="002E626C"/>
    <w:rsid w:val="002E65A5"/>
    <w:rsid w:val="002E6D75"/>
    <w:rsid w:val="002E6E5B"/>
    <w:rsid w:val="002E7B96"/>
    <w:rsid w:val="002E7F6F"/>
    <w:rsid w:val="002F1514"/>
    <w:rsid w:val="002F1B9C"/>
    <w:rsid w:val="002F21B2"/>
    <w:rsid w:val="002F25A8"/>
    <w:rsid w:val="002F26FC"/>
    <w:rsid w:val="002F27D2"/>
    <w:rsid w:val="002F3018"/>
    <w:rsid w:val="002F32B2"/>
    <w:rsid w:val="002F34D8"/>
    <w:rsid w:val="002F3650"/>
    <w:rsid w:val="002F382D"/>
    <w:rsid w:val="002F394A"/>
    <w:rsid w:val="002F3CA1"/>
    <w:rsid w:val="002F400C"/>
    <w:rsid w:val="002F408E"/>
    <w:rsid w:val="002F4250"/>
    <w:rsid w:val="002F4674"/>
    <w:rsid w:val="002F49D7"/>
    <w:rsid w:val="002F4E31"/>
    <w:rsid w:val="002F51CC"/>
    <w:rsid w:val="002F5675"/>
    <w:rsid w:val="002F59D6"/>
    <w:rsid w:val="002F5AA3"/>
    <w:rsid w:val="002F72BA"/>
    <w:rsid w:val="002F7529"/>
    <w:rsid w:val="002F752C"/>
    <w:rsid w:val="002F756E"/>
    <w:rsid w:val="002F7626"/>
    <w:rsid w:val="002F7811"/>
    <w:rsid w:val="002F7A6B"/>
    <w:rsid w:val="0030012D"/>
    <w:rsid w:val="0030033A"/>
    <w:rsid w:val="0030044D"/>
    <w:rsid w:val="003005BD"/>
    <w:rsid w:val="0030061C"/>
    <w:rsid w:val="00300CB1"/>
    <w:rsid w:val="0030136D"/>
    <w:rsid w:val="00301416"/>
    <w:rsid w:val="003019D8"/>
    <w:rsid w:val="003021B5"/>
    <w:rsid w:val="00302A6F"/>
    <w:rsid w:val="00302ED5"/>
    <w:rsid w:val="003031F4"/>
    <w:rsid w:val="0030369D"/>
    <w:rsid w:val="00303794"/>
    <w:rsid w:val="003047B3"/>
    <w:rsid w:val="00304E20"/>
    <w:rsid w:val="00304E41"/>
    <w:rsid w:val="00305547"/>
    <w:rsid w:val="003061CF"/>
    <w:rsid w:val="00306434"/>
    <w:rsid w:val="00306A8E"/>
    <w:rsid w:val="00306DF1"/>
    <w:rsid w:val="00306F6F"/>
    <w:rsid w:val="003072C3"/>
    <w:rsid w:val="0030732F"/>
    <w:rsid w:val="0030744E"/>
    <w:rsid w:val="00307894"/>
    <w:rsid w:val="00307CCD"/>
    <w:rsid w:val="003100F3"/>
    <w:rsid w:val="0031034C"/>
    <w:rsid w:val="0031093B"/>
    <w:rsid w:val="00311034"/>
    <w:rsid w:val="0031117C"/>
    <w:rsid w:val="0031142B"/>
    <w:rsid w:val="00311877"/>
    <w:rsid w:val="00311D12"/>
    <w:rsid w:val="00312128"/>
    <w:rsid w:val="0031240B"/>
    <w:rsid w:val="003125DD"/>
    <w:rsid w:val="003128DE"/>
    <w:rsid w:val="0031397B"/>
    <w:rsid w:val="00313C3B"/>
    <w:rsid w:val="00314006"/>
    <w:rsid w:val="00314337"/>
    <w:rsid w:val="00314E6D"/>
    <w:rsid w:val="0031545A"/>
    <w:rsid w:val="00315D65"/>
    <w:rsid w:val="00316332"/>
    <w:rsid w:val="0031658C"/>
    <w:rsid w:val="00317738"/>
    <w:rsid w:val="0031776E"/>
    <w:rsid w:val="00317A4C"/>
    <w:rsid w:val="00320A1F"/>
    <w:rsid w:val="00320B40"/>
    <w:rsid w:val="00320F91"/>
    <w:rsid w:val="00321025"/>
    <w:rsid w:val="0032109F"/>
    <w:rsid w:val="00321586"/>
    <w:rsid w:val="00321954"/>
    <w:rsid w:val="00321AC4"/>
    <w:rsid w:val="00321DE8"/>
    <w:rsid w:val="00321E00"/>
    <w:rsid w:val="00322083"/>
    <w:rsid w:val="003223C9"/>
    <w:rsid w:val="00322619"/>
    <w:rsid w:val="00322623"/>
    <w:rsid w:val="00322F1E"/>
    <w:rsid w:val="00322F5E"/>
    <w:rsid w:val="00323190"/>
    <w:rsid w:val="00323B98"/>
    <w:rsid w:val="003241FB"/>
    <w:rsid w:val="00324A26"/>
    <w:rsid w:val="00324DFC"/>
    <w:rsid w:val="003251AA"/>
    <w:rsid w:val="00325289"/>
    <w:rsid w:val="00326465"/>
    <w:rsid w:val="0032649F"/>
    <w:rsid w:val="00326830"/>
    <w:rsid w:val="00326BB3"/>
    <w:rsid w:val="00327318"/>
    <w:rsid w:val="00330087"/>
    <w:rsid w:val="00330345"/>
    <w:rsid w:val="0033092D"/>
    <w:rsid w:val="00331FD1"/>
    <w:rsid w:val="003332C4"/>
    <w:rsid w:val="003332E3"/>
    <w:rsid w:val="0033384B"/>
    <w:rsid w:val="00333AEA"/>
    <w:rsid w:val="00334555"/>
    <w:rsid w:val="00334589"/>
    <w:rsid w:val="003349CF"/>
    <w:rsid w:val="00334BE4"/>
    <w:rsid w:val="00335357"/>
    <w:rsid w:val="0033546C"/>
    <w:rsid w:val="00336635"/>
    <w:rsid w:val="003366F0"/>
    <w:rsid w:val="00336E80"/>
    <w:rsid w:val="00337338"/>
    <w:rsid w:val="00337779"/>
    <w:rsid w:val="00337A3D"/>
    <w:rsid w:val="00337D02"/>
    <w:rsid w:val="00337DD8"/>
    <w:rsid w:val="0034038A"/>
    <w:rsid w:val="003405BA"/>
    <w:rsid w:val="003405C4"/>
    <w:rsid w:val="00341516"/>
    <w:rsid w:val="00341685"/>
    <w:rsid w:val="00341748"/>
    <w:rsid w:val="00341824"/>
    <w:rsid w:val="00341845"/>
    <w:rsid w:val="00342984"/>
    <w:rsid w:val="00342D26"/>
    <w:rsid w:val="00342F4C"/>
    <w:rsid w:val="00343C0B"/>
    <w:rsid w:val="0034406E"/>
    <w:rsid w:val="00344124"/>
    <w:rsid w:val="003442C9"/>
    <w:rsid w:val="003445E4"/>
    <w:rsid w:val="00344635"/>
    <w:rsid w:val="00344726"/>
    <w:rsid w:val="0034528A"/>
    <w:rsid w:val="0034550A"/>
    <w:rsid w:val="00345A4A"/>
    <w:rsid w:val="00345F5B"/>
    <w:rsid w:val="003460E6"/>
    <w:rsid w:val="003465B3"/>
    <w:rsid w:val="00346EDC"/>
    <w:rsid w:val="00347053"/>
    <w:rsid w:val="003472C0"/>
    <w:rsid w:val="003474FD"/>
    <w:rsid w:val="003478B0"/>
    <w:rsid w:val="003479FD"/>
    <w:rsid w:val="00347D03"/>
    <w:rsid w:val="00347EF8"/>
    <w:rsid w:val="0035094D"/>
    <w:rsid w:val="003518A8"/>
    <w:rsid w:val="00351B4E"/>
    <w:rsid w:val="003526F2"/>
    <w:rsid w:val="00352CDA"/>
    <w:rsid w:val="00352F34"/>
    <w:rsid w:val="00353081"/>
    <w:rsid w:val="003534CF"/>
    <w:rsid w:val="003538EF"/>
    <w:rsid w:val="003542C1"/>
    <w:rsid w:val="003542F4"/>
    <w:rsid w:val="003548DF"/>
    <w:rsid w:val="00354903"/>
    <w:rsid w:val="0035533B"/>
    <w:rsid w:val="0035568C"/>
    <w:rsid w:val="00355974"/>
    <w:rsid w:val="0035599A"/>
    <w:rsid w:val="00356502"/>
    <w:rsid w:val="00357FE7"/>
    <w:rsid w:val="00360273"/>
    <w:rsid w:val="00360331"/>
    <w:rsid w:val="003606F3"/>
    <w:rsid w:val="00360D9A"/>
    <w:rsid w:val="00360E67"/>
    <w:rsid w:val="00360F2B"/>
    <w:rsid w:val="00361299"/>
    <w:rsid w:val="0036164B"/>
    <w:rsid w:val="00361702"/>
    <w:rsid w:val="0036186D"/>
    <w:rsid w:val="00361882"/>
    <w:rsid w:val="003618C1"/>
    <w:rsid w:val="003619C2"/>
    <w:rsid w:val="003621C7"/>
    <w:rsid w:val="003622DD"/>
    <w:rsid w:val="00362E8B"/>
    <w:rsid w:val="00363235"/>
    <w:rsid w:val="003633AF"/>
    <w:rsid w:val="0036360A"/>
    <w:rsid w:val="00363944"/>
    <w:rsid w:val="00364915"/>
    <w:rsid w:val="00364D4A"/>
    <w:rsid w:val="00364F06"/>
    <w:rsid w:val="00365BCA"/>
    <w:rsid w:val="0036601D"/>
    <w:rsid w:val="003663C2"/>
    <w:rsid w:val="00366586"/>
    <w:rsid w:val="00366F86"/>
    <w:rsid w:val="003670F9"/>
    <w:rsid w:val="003674BE"/>
    <w:rsid w:val="0036763B"/>
    <w:rsid w:val="00367DDB"/>
    <w:rsid w:val="00367E76"/>
    <w:rsid w:val="0037069E"/>
    <w:rsid w:val="003718CA"/>
    <w:rsid w:val="003719A8"/>
    <w:rsid w:val="003723C4"/>
    <w:rsid w:val="003738A4"/>
    <w:rsid w:val="0037452F"/>
    <w:rsid w:val="003747BD"/>
    <w:rsid w:val="0037488E"/>
    <w:rsid w:val="0037488F"/>
    <w:rsid w:val="00374ABA"/>
    <w:rsid w:val="00374B1E"/>
    <w:rsid w:val="00375657"/>
    <w:rsid w:val="00375765"/>
    <w:rsid w:val="003758CD"/>
    <w:rsid w:val="00375D46"/>
    <w:rsid w:val="00380106"/>
    <w:rsid w:val="0038047D"/>
    <w:rsid w:val="00380730"/>
    <w:rsid w:val="00381295"/>
    <w:rsid w:val="003814A7"/>
    <w:rsid w:val="0038183E"/>
    <w:rsid w:val="00381946"/>
    <w:rsid w:val="00382CB4"/>
    <w:rsid w:val="00383147"/>
    <w:rsid w:val="003834D1"/>
    <w:rsid w:val="003841D8"/>
    <w:rsid w:val="003846C9"/>
    <w:rsid w:val="003856EC"/>
    <w:rsid w:val="0038603C"/>
    <w:rsid w:val="00386188"/>
    <w:rsid w:val="003868B8"/>
    <w:rsid w:val="00390532"/>
    <w:rsid w:val="0039070C"/>
    <w:rsid w:val="00390C65"/>
    <w:rsid w:val="00391022"/>
    <w:rsid w:val="0039152E"/>
    <w:rsid w:val="0039256D"/>
    <w:rsid w:val="00392DB3"/>
    <w:rsid w:val="00393E68"/>
    <w:rsid w:val="00393FD2"/>
    <w:rsid w:val="003942B3"/>
    <w:rsid w:val="0039448A"/>
    <w:rsid w:val="003944E8"/>
    <w:rsid w:val="00395146"/>
    <w:rsid w:val="00395317"/>
    <w:rsid w:val="00395474"/>
    <w:rsid w:val="003957F5"/>
    <w:rsid w:val="0039582C"/>
    <w:rsid w:val="00396709"/>
    <w:rsid w:val="003977B5"/>
    <w:rsid w:val="00397E3F"/>
    <w:rsid w:val="003A01CA"/>
    <w:rsid w:val="003A065C"/>
    <w:rsid w:val="003A0B69"/>
    <w:rsid w:val="003A177C"/>
    <w:rsid w:val="003A1D06"/>
    <w:rsid w:val="003A240F"/>
    <w:rsid w:val="003A2DD4"/>
    <w:rsid w:val="003A3643"/>
    <w:rsid w:val="003A420B"/>
    <w:rsid w:val="003A4353"/>
    <w:rsid w:val="003A4626"/>
    <w:rsid w:val="003A4FD1"/>
    <w:rsid w:val="003A51CC"/>
    <w:rsid w:val="003A58C3"/>
    <w:rsid w:val="003A5938"/>
    <w:rsid w:val="003A6184"/>
    <w:rsid w:val="003A6270"/>
    <w:rsid w:val="003A67D3"/>
    <w:rsid w:val="003A72EC"/>
    <w:rsid w:val="003A7678"/>
    <w:rsid w:val="003B0279"/>
    <w:rsid w:val="003B03C7"/>
    <w:rsid w:val="003B067D"/>
    <w:rsid w:val="003B0FA7"/>
    <w:rsid w:val="003B17E8"/>
    <w:rsid w:val="003B17FF"/>
    <w:rsid w:val="003B1896"/>
    <w:rsid w:val="003B19EF"/>
    <w:rsid w:val="003B1C86"/>
    <w:rsid w:val="003B1E8F"/>
    <w:rsid w:val="003B27FA"/>
    <w:rsid w:val="003B2855"/>
    <w:rsid w:val="003B2D48"/>
    <w:rsid w:val="003B2DC5"/>
    <w:rsid w:val="003B3526"/>
    <w:rsid w:val="003B354C"/>
    <w:rsid w:val="003B38C1"/>
    <w:rsid w:val="003B3AD7"/>
    <w:rsid w:val="003B3D77"/>
    <w:rsid w:val="003B3F62"/>
    <w:rsid w:val="003B487A"/>
    <w:rsid w:val="003B4C24"/>
    <w:rsid w:val="003B4D8D"/>
    <w:rsid w:val="003B4FE5"/>
    <w:rsid w:val="003B5B55"/>
    <w:rsid w:val="003B662E"/>
    <w:rsid w:val="003B7923"/>
    <w:rsid w:val="003B7933"/>
    <w:rsid w:val="003C04F1"/>
    <w:rsid w:val="003C05AF"/>
    <w:rsid w:val="003C0CC7"/>
    <w:rsid w:val="003C0D11"/>
    <w:rsid w:val="003C18E7"/>
    <w:rsid w:val="003C19BA"/>
    <w:rsid w:val="003C1F5F"/>
    <w:rsid w:val="003C1FC8"/>
    <w:rsid w:val="003C20EA"/>
    <w:rsid w:val="003C2301"/>
    <w:rsid w:val="003C2584"/>
    <w:rsid w:val="003C26AF"/>
    <w:rsid w:val="003C2CC4"/>
    <w:rsid w:val="003C306B"/>
    <w:rsid w:val="003C327C"/>
    <w:rsid w:val="003C3DCA"/>
    <w:rsid w:val="003C450E"/>
    <w:rsid w:val="003C45F2"/>
    <w:rsid w:val="003C4818"/>
    <w:rsid w:val="003C541E"/>
    <w:rsid w:val="003C57BC"/>
    <w:rsid w:val="003C5854"/>
    <w:rsid w:val="003C5A2F"/>
    <w:rsid w:val="003C5D43"/>
    <w:rsid w:val="003C657C"/>
    <w:rsid w:val="003C6D0B"/>
    <w:rsid w:val="003C6DCE"/>
    <w:rsid w:val="003C7D16"/>
    <w:rsid w:val="003C7F5D"/>
    <w:rsid w:val="003D0129"/>
    <w:rsid w:val="003D04B3"/>
    <w:rsid w:val="003D0CC3"/>
    <w:rsid w:val="003D1128"/>
    <w:rsid w:val="003D1495"/>
    <w:rsid w:val="003D18AE"/>
    <w:rsid w:val="003D19F8"/>
    <w:rsid w:val="003D2120"/>
    <w:rsid w:val="003D271C"/>
    <w:rsid w:val="003D2828"/>
    <w:rsid w:val="003D35F7"/>
    <w:rsid w:val="003D363A"/>
    <w:rsid w:val="003D3830"/>
    <w:rsid w:val="003D39BC"/>
    <w:rsid w:val="003D4300"/>
    <w:rsid w:val="003D4473"/>
    <w:rsid w:val="003D4D62"/>
    <w:rsid w:val="003D4DCB"/>
    <w:rsid w:val="003D4DF2"/>
    <w:rsid w:val="003D4EA6"/>
    <w:rsid w:val="003D4F5B"/>
    <w:rsid w:val="003D552C"/>
    <w:rsid w:val="003D571D"/>
    <w:rsid w:val="003D5A8D"/>
    <w:rsid w:val="003D5D37"/>
    <w:rsid w:val="003D5E24"/>
    <w:rsid w:val="003D5E8A"/>
    <w:rsid w:val="003D5ED3"/>
    <w:rsid w:val="003D628B"/>
    <w:rsid w:val="003D6E2D"/>
    <w:rsid w:val="003D6ED8"/>
    <w:rsid w:val="003D7F30"/>
    <w:rsid w:val="003E0078"/>
    <w:rsid w:val="003E067B"/>
    <w:rsid w:val="003E111B"/>
    <w:rsid w:val="003E15E7"/>
    <w:rsid w:val="003E1628"/>
    <w:rsid w:val="003E162A"/>
    <w:rsid w:val="003E224D"/>
    <w:rsid w:val="003E2667"/>
    <w:rsid w:val="003E27F5"/>
    <w:rsid w:val="003E2B1F"/>
    <w:rsid w:val="003E2B55"/>
    <w:rsid w:val="003E2D23"/>
    <w:rsid w:val="003E33E0"/>
    <w:rsid w:val="003E3D86"/>
    <w:rsid w:val="003E3E05"/>
    <w:rsid w:val="003E3F3A"/>
    <w:rsid w:val="003E4902"/>
    <w:rsid w:val="003E4B68"/>
    <w:rsid w:val="003E4F42"/>
    <w:rsid w:val="003E510B"/>
    <w:rsid w:val="003E581E"/>
    <w:rsid w:val="003E5AF8"/>
    <w:rsid w:val="003E5D83"/>
    <w:rsid w:val="003E66A0"/>
    <w:rsid w:val="003E68E7"/>
    <w:rsid w:val="003E6917"/>
    <w:rsid w:val="003E6CD9"/>
    <w:rsid w:val="003E6D4F"/>
    <w:rsid w:val="003E6E85"/>
    <w:rsid w:val="003E70B0"/>
    <w:rsid w:val="003E7502"/>
    <w:rsid w:val="003F00F5"/>
    <w:rsid w:val="003F0132"/>
    <w:rsid w:val="003F1345"/>
    <w:rsid w:val="003F16DA"/>
    <w:rsid w:val="003F260F"/>
    <w:rsid w:val="003F2B8D"/>
    <w:rsid w:val="003F2FD3"/>
    <w:rsid w:val="003F37EE"/>
    <w:rsid w:val="003F3AC4"/>
    <w:rsid w:val="003F4685"/>
    <w:rsid w:val="003F4A37"/>
    <w:rsid w:val="003F4E8E"/>
    <w:rsid w:val="003F5704"/>
    <w:rsid w:val="003F5EB2"/>
    <w:rsid w:val="003F6B93"/>
    <w:rsid w:val="003F6E06"/>
    <w:rsid w:val="003F74CD"/>
    <w:rsid w:val="003F7840"/>
    <w:rsid w:val="003F7E7B"/>
    <w:rsid w:val="003F7ED0"/>
    <w:rsid w:val="003F7FB3"/>
    <w:rsid w:val="004000AE"/>
    <w:rsid w:val="00400DF1"/>
    <w:rsid w:val="00400F56"/>
    <w:rsid w:val="00400FA0"/>
    <w:rsid w:val="00401AB6"/>
    <w:rsid w:val="00402817"/>
    <w:rsid w:val="00402BCF"/>
    <w:rsid w:val="00402FAA"/>
    <w:rsid w:val="00403527"/>
    <w:rsid w:val="004040DD"/>
    <w:rsid w:val="004042DE"/>
    <w:rsid w:val="00404646"/>
    <w:rsid w:val="0040518B"/>
    <w:rsid w:val="00405E62"/>
    <w:rsid w:val="00405EF8"/>
    <w:rsid w:val="00406C20"/>
    <w:rsid w:val="004072ED"/>
    <w:rsid w:val="004100DF"/>
    <w:rsid w:val="004104A1"/>
    <w:rsid w:val="00411244"/>
    <w:rsid w:val="004115E9"/>
    <w:rsid w:val="00411D4C"/>
    <w:rsid w:val="00411E04"/>
    <w:rsid w:val="004124AF"/>
    <w:rsid w:val="004128C2"/>
    <w:rsid w:val="004129AB"/>
    <w:rsid w:val="0041324B"/>
    <w:rsid w:val="00413976"/>
    <w:rsid w:val="00413AA7"/>
    <w:rsid w:val="00413B8F"/>
    <w:rsid w:val="00413D20"/>
    <w:rsid w:val="0041422C"/>
    <w:rsid w:val="004143A6"/>
    <w:rsid w:val="0041451F"/>
    <w:rsid w:val="00414ABB"/>
    <w:rsid w:val="00415111"/>
    <w:rsid w:val="004151A6"/>
    <w:rsid w:val="00416BC0"/>
    <w:rsid w:val="00416FE6"/>
    <w:rsid w:val="0041704C"/>
    <w:rsid w:val="00417094"/>
    <w:rsid w:val="004178D5"/>
    <w:rsid w:val="00420793"/>
    <w:rsid w:val="004211BA"/>
    <w:rsid w:val="0042125E"/>
    <w:rsid w:val="0042149C"/>
    <w:rsid w:val="00421AA7"/>
    <w:rsid w:val="00421DFA"/>
    <w:rsid w:val="00422373"/>
    <w:rsid w:val="0042256A"/>
    <w:rsid w:val="00422BFD"/>
    <w:rsid w:val="00422F36"/>
    <w:rsid w:val="004236FF"/>
    <w:rsid w:val="00423D6A"/>
    <w:rsid w:val="00423DCF"/>
    <w:rsid w:val="0042508F"/>
    <w:rsid w:val="004250CC"/>
    <w:rsid w:val="004253D1"/>
    <w:rsid w:val="0042570F"/>
    <w:rsid w:val="004258D4"/>
    <w:rsid w:val="0042645B"/>
    <w:rsid w:val="0042698D"/>
    <w:rsid w:val="00426A18"/>
    <w:rsid w:val="00426A5E"/>
    <w:rsid w:val="00426D47"/>
    <w:rsid w:val="00427855"/>
    <w:rsid w:val="004278AA"/>
    <w:rsid w:val="00427D72"/>
    <w:rsid w:val="00430008"/>
    <w:rsid w:val="00430C40"/>
    <w:rsid w:val="00431F8E"/>
    <w:rsid w:val="00431FFE"/>
    <w:rsid w:val="0043236C"/>
    <w:rsid w:val="00432860"/>
    <w:rsid w:val="004331DF"/>
    <w:rsid w:val="004333C1"/>
    <w:rsid w:val="004333EE"/>
    <w:rsid w:val="004336A5"/>
    <w:rsid w:val="00433CF1"/>
    <w:rsid w:val="00435903"/>
    <w:rsid w:val="00435C88"/>
    <w:rsid w:val="00436954"/>
    <w:rsid w:val="004369FB"/>
    <w:rsid w:val="00436AD8"/>
    <w:rsid w:val="00437CCD"/>
    <w:rsid w:val="0044032E"/>
    <w:rsid w:val="0044078F"/>
    <w:rsid w:val="00440808"/>
    <w:rsid w:val="004410C5"/>
    <w:rsid w:val="004411B7"/>
    <w:rsid w:val="00441A93"/>
    <w:rsid w:val="00442F7D"/>
    <w:rsid w:val="004430D5"/>
    <w:rsid w:val="00443C1E"/>
    <w:rsid w:val="0044430C"/>
    <w:rsid w:val="00444BC4"/>
    <w:rsid w:val="00444E71"/>
    <w:rsid w:val="00445410"/>
    <w:rsid w:val="0044578C"/>
    <w:rsid w:val="004465C1"/>
    <w:rsid w:val="00446820"/>
    <w:rsid w:val="00447396"/>
    <w:rsid w:val="0044745A"/>
    <w:rsid w:val="00447669"/>
    <w:rsid w:val="0044782F"/>
    <w:rsid w:val="004479F6"/>
    <w:rsid w:val="00447FE2"/>
    <w:rsid w:val="00450860"/>
    <w:rsid w:val="004508C5"/>
    <w:rsid w:val="00450A17"/>
    <w:rsid w:val="00450B06"/>
    <w:rsid w:val="00450C67"/>
    <w:rsid w:val="004511D0"/>
    <w:rsid w:val="004518A0"/>
    <w:rsid w:val="00451D3C"/>
    <w:rsid w:val="00452DA6"/>
    <w:rsid w:val="00453533"/>
    <w:rsid w:val="004536AF"/>
    <w:rsid w:val="00453E69"/>
    <w:rsid w:val="004544C8"/>
    <w:rsid w:val="004545D7"/>
    <w:rsid w:val="00454709"/>
    <w:rsid w:val="00454A77"/>
    <w:rsid w:val="00454B84"/>
    <w:rsid w:val="0045552C"/>
    <w:rsid w:val="00455813"/>
    <w:rsid w:val="004559A8"/>
    <w:rsid w:val="00455A69"/>
    <w:rsid w:val="00455BB7"/>
    <w:rsid w:val="00455D9E"/>
    <w:rsid w:val="004562B6"/>
    <w:rsid w:val="00456538"/>
    <w:rsid w:val="00456B2F"/>
    <w:rsid w:val="0045754F"/>
    <w:rsid w:val="0045761F"/>
    <w:rsid w:val="00460415"/>
    <w:rsid w:val="00460812"/>
    <w:rsid w:val="00460E1A"/>
    <w:rsid w:val="00461763"/>
    <w:rsid w:val="00461933"/>
    <w:rsid w:val="00461C68"/>
    <w:rsid w:val="00461DC3"/>
    <w:rsid w:val="004623B2"/>
    <w:rsid w:val="00463542"/>
    <w:rsid w:val="00463DE2"/>
    <w:rsid w:val="00464270"/>
    <w:rsid w:val="00464746"/>
    <w:rsid w:val="0046480A"/>
    <w:rsid w:val="00464D00"/>
    <w:rsid w:val="0046504C"/>
    <w:rsid w:val="00465672"/>
    <w:rsid w:val="004656C0"/>
    <w:rsid w:val="00465ABC"/>
    <w:rsid w:val="0046604E"/>
    <w:rsid w:val="00466378"/>
    <w:rsid w:val="004668D0"/>
    <w:rsid w:val="00466A76"/>
    <w:rsid w:val="00466D48"/>
    <w:rsid w:val="0046708B"/>
    <w:rsid w:val="004672DE"/>
    <w:rsid w:val="004672F9"/>
    <w:rsid w:val="00467585"/>
    <w:rsid w:val="00467A2A"/>
    <w:rsid w:val="00467BB6"/>
    <w:rsid w:val="0047035C"/>
    <w:rsid w:val="00470958"/>
    <w:rsid w:val="004710EE"/>
    <w:rsid w:val="00471373"/>
    <w:rsid w:val="00471686"/>
    <w:rsid w:val="0047217C"/>
    <w:rsid w:val="004723E6"/>
    <w:rsid w:val="00473737"/>
    <w:rsid w:val="004739CC"/>
    <w:rsid w:val="00473CEC"/>
    <w:rsid w:val="00475E1A"/>
    <w:rsid w:val="004761E0"/>
    <w:rsid w:val="00476A05"/>
    <w:rsid w:val="00477D57"/>
    <w:rsid w:val="0048002C"/>
    <w:rsid w:val="004800AF"/>
    <w:rsid w:val="0048029E"/>
    <w:rsid w:val="0048069A"/>
    <w:rsid w:val="00481116"/>
    <w:rsid w:val="00481719"/>
    <w:rsid w:val="0048193A"/>
    <w:rsid w:val="00481F2D"/>
    <w:rsid w:val="00481F9C"/>
    <w:rsid w:val="004831C0"/>
    <w:rsid w:val="00483576"/>
    <w:rsid w:val="0048378A"/>
    <w:rsid w:val="00484617"/>
    <w:rsid w:val="004846E3"/>
    <w:rsid w:val="00484CE2"/>
    <w:rsid w:val="00485049"/>
    <w:rsid w:val="0048547E"/>
    <w:rsid w:val="0048549E"/>
    <w:rsid w:val="00485E05"/>
    <w:rsid w:val="00486436"/>
    <w:rsid w:val="004866D6"/>
    <w:rsid w:val="00486BB7"/>
    <w:rsid w:val="00486E76"/>
    <w:rsid w:val="00487410"/>
    <w:rsid w:val="00487750"/>
    <w:rsid w:val="00487B68"/>
    <w:rsid w:val="00487B71"/>
    <w:rsid w:val="00487E66"/>
    <w:rsid w:val="00490568"/>
    <w:rsid w:val="00490648"/>
    <w:rsid w:val="00490A0B"/>
    <w:rsid w:val="0049127E"/>
    <w:rsid w:val="004913C4"/>
    <w:rsid w:val="00491D1C"/>
    <w:rsid w:val="004926D3"/>
    <w:rsid w:val="00492706"/>
    <w:rsid w:val="00492A3F"/>
    <w:rsid w:val="00492BE7"/>
    <w:rsid w:val="0049319C"/>
    <w:rsid w:val="00493A85"/>
    <w:rsid w:val="00494237"/>
    <w:rsid w:val="0049514D"/>
    <w:rsid w:val="004959A5"/>
    <w:rsid w:val="00496308"/>
    <w:rsid w:val="00496647"/>
    <w:rsid w:val="00496DD1"/>
    <w:rsid w:val="004971CE"/>
    <w:rsid w:val="004976C9"/>
    <w:rsid w:val="00497A0B"/>
    <w:rsid w:val="004A0965"/>
    <w:rsid w:val="004A09EB"/>
    <w:rsid w:val="004A1056"/>
    <w:rsid w:val="004A17E9"/>
    <w:rsid w:val="004A1CC7"/>
    <w:rsid w:val="004A20D5"/>
    <w:rsid w:val="004A22F6"/>
    <w:rsid w:val="004A23D9"/>
    <w:rsid w:val="004A2648"/>
    <w:rsid w:val="004A2FDD"/>
    <w:rsid w:val="004A377B"/>
    <w:rsid w:val="004A3F58"/>
    <w:rsid w:val="004A422A"/>
    <w:rsid w:val="004A43C7"/>
    <w:rsid w:val="004A4693"/>
    <w:rsid w:val="004A4952"/>
    <w:rsid w:val="004A50F4"/>
    <w:rsid w:val="004A5237"/>
    <w:rsid w:val="004A5330"/>
    <w:rsid w:val="004A5758"/>
    <w:rsid w:val="004A5C6F"/>
    <w:rsid w:val="004A5CED"/>
    <w:rsid w:val="004A5CF7"/>
    <w:rsid w:val="004A6782"/>
    <w:rsid w:val="004A6EE7"/>
    <w:rsid w:val="004A76A2"/>
    <w:rsid w:val="004A7E49"/>
    <w:rsid w:val="004B07A5"/>
    <w:rsid w:val="004B0A75"/>
    <w:rsid w:val="004B1536"/>
    <w:rsid w:val="004B1AF3"/>
    <w:rsid w:val="004B1D5A"/>
    <w:rsid w:val="004B2417"/>
    <w:rsid w:val="004B269D"/>
    <w:rsid w:val="004B2983"/>
    <w:rsid w:val="004B2CB2"/>
    <w:rsid w:val="004B317A"/>
    <w:rsid w:val="004B34DC"/>
    <w:rsid w:val="004B3DBA"/>
    <w:rsid w:val="004B41B1"/>
    <w:rsid w:val="004B48BA"/>
    <w:rsid w:val="004B4B4C"/>
    <w:rsid w:val="004B5162"/>
    <w:rsid w:val="004B542C"/>
    <w:rsid w:val="004B5695"/>
    <w:rsid w:val="004B58B6"/>
    <w:rsid w:val="004B6997"/>
    <w:rsid w:val="004B6B88"/>
    <w:rsid w:val="004B75F7"/>
    <w:rsid w:val="004B7980"/>
    <w:rsid w:val="004B7C14"/>
    <w:rsid w:val="004B7CCC"/>
    <w:rsid w:val="004C020B"/>
    <w:rsid w:val="004C0437"/>
    <w:rsid w:val="004C05F3"/>
    <w:rsid w:val="004C0B8D"/>
    <w:rsid w:val="004C2302"/>
    <w:rsid w:val="004C2A9B"/>
    <w:rsid w:val="004C2FB4"/>
    <w:rsid w:val="004C3713"/>
    <w:rsid w:val="004C37CE"/>
    <w:rsid w:val="004C3F22"/>
    <w:rsid w:val="004C433C"/>
    <w:rsid w:val="004C4CAE"/>
    <w:rsid w:val="004C4EEC"/>
    <w:rsid w:val="004C500D"/>
    <w:rsid w:val="004C5210"/>
    <w:rsid w:val="004C5278"/>
    <w:rsid w:val="004C5564"/>
    <w:rsid w:val="004C563F"/>
    <w:rsid w:val="004C5CE3"/>
    <w:rsid w:val="004C6AA7"/>
    <w:rsid w:val="004C7ABE"/>
    <w:rsid w:val="004C7E68"/>
    <w:rsid w:val="004D03E9"/>
    <w:rsid w:val="004D07B2"/>
    <w:rsid w:val="004D0D86"/>
    <w:rsid w:val="004D17E7"/>
    <w:rsid w:val="004D1B93"/>
    <w:rsid w:val="004D1EBB"/>
    <w:rsid w:val="004D1EBE"/>
    <w:rsid w:val="004D277E"/>
    <w:rsid w:val="004D2E44"/>
    <w:rsid w:val="004D3277"/>
    <w:rsid w:val="004D33AA"/>
    <w:rsid w:val="004D394A"/>
    <w:rsid w:val="004D3A1D"/>
    <w:rsid w:val="004D4099"/>
    <w:rsid w:val="004D412C"/>
    <w:rsid w:val="004D4467"/>
    <w:rsid w:val="004D48CA"/>
    <w:rsid w:val="004D4B66"/>
    <w:rsid w:val="004D4BFE"/>
    <w:rsid w:val="004D4C97"/>
    <w:rsid w:val="004D5099"/>
    <w:rsid w:val="004D5340"/>
    <w:rsid w:val="004D5C44"/>
    <w:rsid w:val="004D5CEB"/>
    <w:rsid w:val="004D697A"/>
    <w:rsid w:val="004D7360"/>
    <w:rsid w:val="004D75FC"/>
    <w:rsid w:val="004D7624"/>
    <w:rsid w:val="004D7727"/>
    <w:rsid w:val="004E0356"/>
    <w:rsid w:val="004E0456"/>
    <w:rsid w:val="004E06E9"/>
    <w:rsid w:val="004E09F2"/>
    <w:rsid w:val="004E0C6D"/>
    <w:rsid w:val="004E0D6F"/>
    <w:rsid w:val="004E12F2"/>
    <w:rsid w:val="004E15BE"/>
    <w:rsid w:val="004E19CA"/>
    <w:rsid w:val="004E1E34"/>
    <w:rsid w:val="004E1E7B"/>
    <w:rsid w:val="004E220E"/>
    <w:rsid w:val="004E2DC7"/>
    <w:rsid w:val="004E2E1F"/>
    <w:rsid w:val="004E2F31"/>
    <w:rsid w:val="004E3905"/>
    <w:rsid w:val="004E3A59"/>
    <w:rsid w:val="004E3C86"/>
    <w:rsid w:val="004E427C"/>
    <w:rsid w:val="004E45BD"/>
    <w:rsid w:val="004E45D7"/>
    <w:rsid w:val="004E4779"/>
    <w:rsid w:val="004E4912"/>
    <w:rsid w:val="004E4A1E"/>
    <w:rsid w:val="004E4BE5"/>
    <w:rsid w:val="004E4C21"/>
    <w:rsid w:val="004E4FD4"/>
    <w:rsid w:val="004E509E"/>
    <w:rsid w:val="004E50B2"/>
    <w:rsid w:val="004E5A10"/>
    <w:rsid w:val="004E5C80"/>
    <w:rsid w:val="004E5FBF"/>
    <w:rsid w:val="004E6093"/>
    <w:rsid w:val="004E64AE"/>
    <w:rsid w:val="004E6E66"/>
    <w:rsid w:val="004E6F23"/>
    <w:rsid w:val="004E6F8C"/>
    <w:rsid w:val="004E71EF"/>
    <w:rsid w:val="004F0026"/>
    <w:rsid w:val="004F042C"/>
    <w:rsid w:val="004F0609"/>
    <w:rsid w:val="004F0719"/>
    <w:rsid w:val="004F09A4"/>
    <w:rsid w:val="004F0C9C"/>
    <w:rsid w:val="004F177D"/>
    <w:rsid w:val="004F179B"/>
    <w:rsid w:val="004F1D43"/>
    <w:rsid w:val="004F2654"/>
    <w:rsid w:val="004F2713"/>
    <w:rsid w:val="004F2842"/>
    <w:rsid w:val="004F2A33"/>
    <w:rsid w:val="004F3D81"/>
    <w:rsid w:val="004F420E"/>
    <w:rsid w:val="004F4236"/>
    <w:rsid w:val="004F427C"/>
    <w:rsid w:val="004F528B"/>
    <w:rsid w:val="004F5929"/>
    <w:rsid w:val="004F71AE"/>
    <w:rsid w:val="004F722F"/>
    <w:rsid w:val="004F7DDF"/>
    <w:rsid w:val="0050003D"/>
    <w:rsid w:val="00500322"/>
    <w:rsid w:val="00500C52"/>
    <w:rsid w:val="005010B8"/>
    <w:rsid w:val="005010BB"/>
    <w:rsid w:val="005010ED"/>
    <w:rsid w:val="00501143"/>
    <w:rsid w:val="005012FF"/>
    <w:rsid w:val="00501BFA"/>
    <w:rsid w:val="0050208A"/>
    <w:rsid w:val="00503039"/>
    <w:rsid w:val="00504615"/>
    <w:rsid w:val="0050473E"/>
    <w:rsid w:val="0050525F"/>
    <w:rsid w:val="00505411"/>
    <w:rsid w:val="00505ADB"/>
    <w:rsid w:val="00506624"/>
    <w:rsid w:val="005066ED"/>
    <w:rsid w:val="005069E4"/>
    <w:rsid w:val="00506FB8"/>
    <w:rsid w:val="005070EC"/>
    <w:rsid w:val="0050730E"/>
    <w:rsid w:val="00507356"/>
    <w:rsid w:val="00507ACB"/>
    <w:rsid w:val="00507B30"/>
    <w:rsid w:val="0051047C"/>
    <w:rsid w:val="005106B8"/>
    <w:rsid w:val="005106F2"/>
    <w:rsid w:val="005107EC"/>
    <w:rsid w:val="00511385"/>
    <w:rsid w:val="0051167E"/>
    <w:rsid w:val="00511AE5"/>
    <w:rsid w:val="0051278C"/>
    <w:rsid w:val="00512AF4"/>
    <w:rsid w:val="00513D15"/>
    <w:rsid w:val="00513D1A"/>
    <w:rsid w:val="005144A7"/>
    <w:rsid w:val="00514A63"/>
    <w:rsid w:val="00514C0B"/>
    <w:rsid w:val="00514E85"/>
    <w:rsid w:val="005156F2"/>
    <w:rsid w:val="00515AFB"/>
    <w:rsid w:val="00515E46"/>
    <w:rsid w:val="00516213"/>
    <w:rsid w:val="005164B5"/>
    <w:rsid w:val="005165A5"/>
    <w:rsid w:val="00516615"/>
    <w:rsid w:val="0051664F"/>
    <w:rsid w:val="005168CE"/>
    <w:rsid w:val="00516917"/>
    <w:rsid w:val="00517C0E"/>
    <w:rsid w:val="00520111"/>
    <w:rsid w:val="005201E4"/>
    <w:rsid w:val="005201F0"/>
    <w:rsid w:val="00520A7E"/>
    <w:rsid w:val="00520E3F"/>
    <w:rsid w:val="005214E7"/>
    <w:rsid w:val="00521998"/>
    <w:rsid w:val="00521BC0"/>
    <w:rsid w:val="005230E0"/>
    <w:rsid w:val="00523589"/>
    <w:rsid w:val="00523B37"/>
    <w:rsid w:val="00523C7D"/>
    <w:rsid w:val="00525DA4"/>
    <w:rsid w:val="00525F00"/>
    <w:rsid w:val="0052608A"/>
    <w:rsid w:val="005264CF"/>
    <w:rsid w:val="00526FFB"/>
    <w:rsid w:val="005272C8"/>
    <w:rsid w:val="00527336"/>
    <w:rsid w:val="00527F08"/>
    <w:rsid w:val="005301D8"/>
    <w:rsid w:val="005305A7"/>
    <w:rsid w:val="005310E2"/>
    <w:rsid w:val="00531439"/>
    <w:rsid w:val="0053181C"/>
    <w:rsid w:val="00531AD2"/>
    <w:rsid w:val="005321D4"/>
    <w:rsid w:val="00532688"/>
    <w:rsid w:val="0053290A"/>
    <w:rsid w:val="00532C19"/>
    <w:rsid w:val="00532CEB"/>
    <w:rsid w:val="005332AA"/>
    <w:rsid w:val="00533501"/>
    <w:rsid w:val="00533ADB"/>
    <w:rsid w:val="00533AFA"/>
    <w:rsid w:val="00533C57"/>
    <w:rsid w:val="00533DBD"/>
    <w:rsid w:val="005346F2"/>
    <w:rsid w:val="00534884"/>
    <w:rsid w:val="00534895"/>
    <w:rsid w:val="00535B25"/>
    <w:rsid w:val="005363E7"/>
    <w:rsid w:val="00536672"/>
    <w:rsid w:val="00536CE6"/>
    <w:rsid w:val="00536FF3"/>
    <w:rsid w:val="00537047"/>
    <w:rsid w:val="00537A70"/>
    <w:rsid w:val="005410FE"/>
    <w:rsid w:val="005415CF"/>
    <w:rsid w:val="005426E8"/>
    <w:rsid w:val="00542F18"/>
    <w:rsid w:val="0054304E"/>
    <w:rsid w:val="00543308"/>
    <w:rsid w:val="0054341E"/>
    <w:rsid w:val="00543427"/>
    <w:rsid w:val="00543726"/>
    <w:rsid w:val="00543822"/>
    <w:rsid w:val="005440BA"/>
    <w:rsid w:val="00544366"/>
    <w:rsid w:val="005445F7"/>
    <w:rsid w:val="00544EBA"/>
    <w:rsid w:val="00545257"/>
    <w:rsid w:val="00545ACC"/>
    <w:rsid w:val="00545D06"/>
    <w:rsid w:val="005469BE"/>
    <w:rsid w:val="00546BD5"/>
    <w:rsid w:val="005470D8"/>
    <w:rsid w:val="00547110"/>
    <w:rsid w:val="00547497"/>
    <w:rsid w:val="005477B4"/>
    <w:rsid w:val="00547B66"/>
    <w:rsid w:val="00547F98"/>
    <w:rsid w:val="0055002A"/>
    <w:rsid w:val="0055075F"/>
    <w:rsid w:val="00550DEA"/>
    <w:rsid w:val="00551468"/>
    <w:rsid w:val="00551AAC"/>
    <w:rsid w:val="00551EDC"/>
    <w:rsid w:val="005524EE"/>
    <w:rsid w:val="005530A2"/>
    <w:rsid w:val="00553291"/>
    <w:rsid w:val="00553375"/>
    <w:rsid w:val="0055354A"/>
    <w:rsid w:val="00553712"/>
    <w:rsid w:val="005538A6"/>
    <w:rsid w:val="00553CFE"/>
    <w:rsid w:val="00553EE6"/>
    <w:rsid w:val="00554178"/>
    <w:rsid w:val="00554D5D"/>
    <w:rsid w:val="00554EFC"/>
    <w:rsid w:val="00554F87"/>
    <w:rsid w:val="00555A2F"/>
    <w:rsid w:val="00555D32"/>
    <w:rsid w:val="00556D9D"/>
    <w:rsid w:val="00560866"/>
    <w:rsid w:val="005609F1"/>
    <w:rsid w:val="0056136D"/>
    <w:rsid w:val="0056158D"/>
    <w:rsid w:val="00561AB7"/>
    <w:rsid w:val="00561CDA"/>
    <w:rsid w:val="00562050"/>
    <w:rsid w:val="005620FC"/>
    <w:rsid w:val="005624F1"/>
    <w:rsid w:val="00562867"/>
    <w:rsid w:val="00562E84"/>
    <w:rsid w:val="00562EE9"/>
    <w:rsid w:val="00563157"/>
    <w:rsid w:val="0056354C"/>
    <w:rsid w:val="005636DC"/>
    <w:rsid w:val="00563B01"/>
    <w:rsid w:val="00563F57"/>
    <w:rsid w:val="00564150"/>
    <w:rsid w:val="005643DE"/>
    <w:rsid w:val="005644B6"/>
    <w:rsid w:val="00564D10"/>
    <w:rsid w:val="00564F32"/>
    <w:rsid w:val="00565860"/>
    <w:rsid w:val="00565C0E"/>
    <w:rsid w:val="0056726C"/>
    <w:rsid w:val="00567A18"/>
    <w:rsid w:val="005701EE"/>
    <w:rsid w:val="00570454"/>
    <w:rsid w:val="00570CE1"/>
    <w:rsid w:val="00570E2F"/>
    <w:rsid w:val="0057164E"/>
    <w:rsid w:val="005717F1"/>
    <w:rsid w:val="00571BCB"/>
    <w:rsid w:val="005728CD"/>
    <w:rsid w:val="00572E1F"/>
    <w:rsid w:val="005730AD"/>
    <w:rsid w:val="00573237"/>
    <w:rsid w:val="00573BE0"/>
    <w:rsid w:val="00573CC8"/>
    <w:rsid w:val="00574229"/>
    <w:rsid w:val="0057450E"/>
    <w:rsid w:val="005745EF"/>
    <w:rsid w:val="00574C03"/>
    <w:rsid w:val="00574CA0"/>
    <w:rsid w:val="00575306"/>
    <w:rsid w:val="0057593B"/>
    <w:rsid w:val="00575DC2"/>
    <w:rsid w:val="00576087"/>
    <w:rsid w:val="005761C8"/>
    <w:rsid w:val="00576224"/>
    <w:rsid w:val="0057670D"/>
    <w:rsid w:val="00576DC8"/>
    <w:rsid w:val="0057795C"/>
    <w:rsid w:val="00577D1D"/>
    <w:rsid w:val="00580191"/>
    <w:rsid w:val="00580F5C"/>
    <w:rsid w:val="00580F9D"/>
    <w:rsid w:val="005811EF"/>
    <w:rsid w:val="005811F8"/>
    <w:rsid w:val="00581209"/>
    <w:rsid w:val="0058122A"/>
    <w:rsid w:val="005816D3"/>
    <w:rsid w:val="00581A73"/>
    <w:rsid w:val="00581AB2"/>
    <w:rsid w:val="00582E47"/>
    <w:rsid w:val="00582F8B"/>
    <w:rsid w:val="00583945"/>
    <w:rsid w:val="00583B6D"/>
    <w:rsid w:val="00584065"/>
    <w:rsid w:val="0058443C"/>
    <w:rsid w:val="005844C5"/>
    <w:rsid w:val="0058458B"/>
    <w:rsid w:val="00584AF3"/>
    <w:rsid w:val="00584B88"/>
    <w:rsid w:val="00585389"/>
    <w:rsid w:val="005858FB"/>
    <w:rsid w:val="0058635E"/>
    <w:rsid w:val="005863C2"/>
    <w:rsid w:val="00586B45"/>
    <w:rsid w:val="00586FE9"/>
    <w:rsid w:val="00587389"/>
    <w:rsid w:val="00587A0E"/>
    <w:rsid w:val="00587D7B"/>
    <w:rsid w:val="00590919"/>
    <w:rsid w:val="00590A65"/>
    <w:rsid w:val="00590C24"/>
    <w:rsid w:val="0059126E"/>
    <w:rsid w:val="005912D9"/>
    <w:rsid w:val="0059146F"/>
    <w:rsid w:val="0059162E"/>
    <w:rsid w:val="005916F2"/>
    <w:rsid w:val="00591C33"/>
    <w:rsid w:val="005925C6"/>
    <w:rsid w:val="0059262E"/>
    <w:rsid w:val="00592738"/>
    <w:rsid w:val="00593B60"/>
    <w:rsid w:val="00593B77"/>
    <w:rsid w:val="0059407F"/>
    <w:rsid w:val="00594261"/>
    <w:rsid w:val="00594923"/>
    <w:rsid w:val="005949F7"/>
    <w:rsid w:val="00594C16"/>
    <w:rsid w:val="005953DF"/>
    <w:rsid w:val="0059567F"/>
    <w:rsid w:val="00595702"/>
    <w:rsid w:val="00595F02"/>
    <w:rsid w:val="00595F3F"/>
    <w:rsid w:val="0059613A"/>
    <w:rsid w:val="00596512"/>
    <w:rsid w:val="0059655E"/>
    <w:rsid w:val="005965FB"/>
    <w:rsid w:val="00596850"/>
    <w:rsid w:val="00596FBA"/>
    <w:rsid w:val="005972C7"/>
    <w:rsid w:val="005973D1"/>
    <w:rsid w:val="005975D2"/>
    <w:rsid w:val="00597954"/>
    <w:rsid w:val="005A056D"/>
    <w:rsid w:val="005A05F1"/>
    <w:rsid w:val="005A13CD"/>
    <w:rsid w:val="005A14B8"/>
    <w:rsid w:val="005A1817"/>
    <w:rsid w:val="005A23AC"/>
    <w:rsid w:val="005A291A"/>
    <w:rsid w:val="005A2A52"/>
    <w:rsid w:val="005A37D9"/>
    <w:rsid w:val="005A37F9"/>
    <w:rsid w:val="005A3B06"/>
    <w:rsid w:val="005A400A"/>
    <w:rsid w:val="005A4293"/>
    <w:rsid w:val="005A441E"/>
    <w:rsid w:val="005A51CF"/>
    <w:rsid w:val="005A5B86"/>
    <w:rsid w:val="005A6110"/>
    <w:rsid w:val="005A6F06"/>
    <w:rsid w:val="005A7961"/>
    <w:rsid w:val="005A7998"/>
    <w:rsid w:val="005B0251"/>
    <w:rsid w:val="005B11D4"/>
    <w:rsid w:val="005B1764"/>
    <w:rsid w:val="005B20D2"/>
    <w:rsid w:val="005B21E9"/>
    <w:rsid w:val="005B2317"/>
    <w:rsid w:val="005B23D4"/>
    <w:rsid w:val="005B2800"/>
    <w:rsid w:val="005B296B"/>
    <w:rsid w:val="005B2A87"/>
    <w:rsid w:val="005B2CE5"/>
    <w:rsid w:val="005B3953"/>
    <w:rsid w:val="005B3CDC"/>
    <w:rsid w:val="005B3FCF"/>
    <w:rsid w:val="005B46A4"/>
    <w:rsid w:val="005B46FE"/>
    <w:rsid w:val="005B47DA"/>
    <w:rsid w:val="005B5005"/>
    <w:rsid w:val="005B5053"/>
    <w:rsid w:val="005B557A"/>
    <w:rsid w:val="005B59A7"/>
    <w:rsid w:val="005B5C03"/>
    <w:rsid w:val="005B5E67"/>
    <w:rsid w:val="005B60AD"/>
    <w:rsid w:val="005B6731"/>
    <w:rsid w:val="005B72F0"/>
    <w:rsid w:val="005B7341"/>
    <w:rsid w:val="005B7973"/>
    <w:rsid w:val="005C01FD"/>
    <w:rsid w:val="005C11B7"/>
    <w:rsid w:val="005C17FC"/>
    <w:rsid w:val="005C1F3E"/>
    <w:rsid w:val="005C350E"/>
    <w:rsid w:val="005C3829"/>
    <w:rsid w:val="005C3A93"/>
    <w:rsid w:val="005C3F3C"/>
    <w:rsid w:val="005C431E"/>
    <w:rsid w:val="005C4635"/>
    <w:rsid w:val="005C4884"/>
    <w:rsid w:val="005C494B"/>
    <w:rsid w:val="005C4B6B"/>
    <w:rsid w:val="005C503F"/>
    <w:rsid w:val="005C556B"/>
    <w:rsid w:val="005C58CF"/>
    <w:rsid w:val="005C62D1"/>
    <w:rsid w:val="005C6936"/>
    <w:rsid w:val="005C745C"/>
    <w:rsid w:val="005D0629"/>
    <w:rsid w:val="005D0DD0"/>
    <w:rsid w:val="005D1073"/>
    <w:rsid w:val="005D10C2"/>
    <w:rsid w:val="005D1D3B"/>
    <w:rsid w:val="005D1D94"/>
    <w:rsid w:val="005D236F"/>
    <w:rsid w:val="005D2456"/>
    <w:rsid w:val="005D2859"/>
    <w:rsid w:val="005D28A0"/>
    <w:rsid w:val="005D2B76"/>
    <w:rsid w:val="005D2C6E"/>
    <w:rsid w:val="005D2E6B"/>
    <w:rsid w:val="005D3A03"/>
    <w:rsid w:val="005D3B48"/>
    <w:rsid w:val="005D3D7E"/>
    <w:rsid w:val="005D3E2A"/>
    <w:rsid w:val="005D3FB0"/>
    <w:rsid w:val="005D5480"/>
    <w:rsid w:val="005D5A92"/>
    <w:rsid w:val="005D5D68"/>
    <w:rsid w:val="005D62BC"/>
    <w:rsid w:val="005D69B1"/>
    <w:rsid w:val="005D73C6"/>
    <w:rsid w:val="005D7737"/>
    <w:rsid w:val="005D7988"/>
    <w:rsid w:val="005D7AB3"/>
    <w:rsid w:val="005D7B1A"/>
    <w:rsid w:val="005D7BBA"/>
    <w:rsid w:val="005D7F8B"/>
    <w:rsid w:val="005E03CE"/>
    <w:rsid w:val="005E0E04"/>
    <w:rsid w:val="005E0FC5"/>
    <w:rsid w:val="005E144C"/>
    <w:rsid w:val="005E1522"/>
    <w:rsid w:val="005E1923"/>
    <w:rsid w:val="005E1B91"/>
    <w:rsid w:val="005E1DB4"/>
    <w:rsid w:val="005E2268"/>
    <w:rsid w:val="005E2461"/>
    <w:rsid w:val="005E2AFC"/>
    <w:rsid w:val="005E391E"/>
    <w:rsid w:val="005E3AAC"/>
    <w:rsid w:val="005E3ED4"/>
    <w:rsid w:val="005E3F54"/>
    <w:rsid w:val="005E4889"/>
    <w:rsid w:val="005E4C8A"/>
    <w:rsid w:val="005E4FF6"/>
    <w:rsid w:val="005E5745"/>
    <w:rsid w:val="005E583B"/>
    <w:rsid w:val="005E624E"/>
    <w:rsid w:val="005E6FAD"/>
    <w:rsid w:val="005E7B89"/>
    <w:rsid w:val="005F0229"/>
    <w:rsid w:val="005F0CC7"/>
    <w:rsid w:val="005F0D85"/>
    <w:rsid w:val="005F0D94"/>
    <w:rsid w:val="005F0F44"/>
    <w:rsid w:val="005F1577"/>
    <w:rsid w:val="005F2750"/>
    <w:rsid w:val="005F290B"/>
    <w:rsid w:val="005F2C16"/>
    <w:rsid w:val="005F3102"/>
    <w:rsid w:val="005F3ADA"/>
    <w:rsid w:val="005F3E4B"/>
    <w:rsid w:val="005F4029"/>
    <w:rsid w:val="005F438E"/>
    <w:rsid w:val="005F4A0C"/>
    <w:rsid w:val="005F5859"/>
    <w:rsid w:val="005F63AF"/>
    <w:rsid w:val="005F68C4"/>
    <w:rsid w:val="005F7437"/>
    <w:rsid w:val="005F74DC"/>
    <w:rsid w:val="005F7807"/>
    <w:rsid w:val="005F7FF0"/>
    <w:rsid w:val="006002E8"/>
    <w:rsid w:val="00600718"/>
    <w:rsid w:val="0060085F"/>
    <w:rsid w:val="006009BF"/>
    <w:rsid w:val="00600E8C"/>
    <w:rsid w:val="0060114F"/>
    <w:rsid w:val="006015CB"/>
    <w:rsid w:val="00601E66"/>
    <w:rsid w:val="00601EB6"/>
    <w:rsid w:val="00601FE2"/>
    <w:rsid w:val="006020B4"/>
    <w:rsid w:val="00603473"/>
    <w:rsid w:val="0060370F"/>
    <w:rsid w:val="00603B2C"/>
    <w:rsid w:val="00603CA0"/>
    <w:rsid w:val="00603F91"/>
    <w:rsid w:val="006045DC"/>
    <w:rsid w:val="006047A3"/>
    <w:rsid w:val="00604984"/>
    <w:rsid w:val="006049A4"/>
    <w:rsid w:val="006049CF"/>
    <w:rsid w:val="00604C4D"/>
    <w:rsid w:val="00604F48"/>
    <w:rsid w:val="00604FB0"/>
    <w:rsid w:val="00605D12"/>
    <w:rsid w:val="00605F41"/>
    <w:rsid w:val="00606743"/>
    <w:rsid w:val="006068E7"/>
    <w:rsid w:val="00606986"/>
    <w:rsid w:val="00606C2F"/>
    <w:rsid w:val="00607730"/>
    <w:rsid w:val="00607E9C"/>
    <w:rsid w:val="00610126"/>
    <w:rsid w:val="00610281"/>
    <w:rsid w:val="00610539"/>
    <w:rsid w:val="00610818"/>
    <w:rsid w:val="006117FD"/>
    <w:rsid w:val="00611CAA"/>
    <w:rsid w:val="0061216C"/>
    <w:rsid w:val="0061361A"/>
    <w:rsid w:val="006136C9"/>
    <w:rsid w:val="00613C11"/>
    <w:rsid w:val="00613CD9"/>
    <w:rsid w:val="00614127"/>
    <w:rsid w:val="00614442"/>
    <w:rsid w:val="00614A4E"/>
    <w:rsid w:val="00615178"/>
    <w:rsid w:val="006159F3"/>
    <w:rsid w:val="00615BDA"/>
    <w:rsid w:val="00615CB4"/>
    <w:rsid w:val="00616127"/>
    <w:rsid w:val="00616465"/>
    <w:rsid w:val="00616EE7"/>
    <w:rsid w:val="0061727E"/>
    <w:rsid w:val="00617308"/>
    <w:rsid w:val="00617776"/>
    <w:rsid w:val="0061795C"/>
    <w:rsid w:val="0062009C"/>
    <w:rsid w:val="006207C8"/>
    <w:rsid w:val="006208C7"/>
    <w:rsid w:val="006213F6"/>
    <w:rsid w:val="00623DC5"/>
    <w:rsid w:val="006250B7"/>
    <w:rsid w:val="006259E7"/>
    <w:rsid w:val="00625D9E"/>
    <w:rsid w:val="00626500"/>
    <w:rsid w:val="00626859"/>
    <w:rsid w:val="00626A58"/>
    <w:rsid w:val="00626F2B"/>
    <w:rsid w:val="00627D56"/>
    <w:rsid w:val="00630D9B"/>
    <w:rsid w:val="00631E52"/>
    <w:rsid w:val="0063254F"/>
    <w:rsid w:val="00632B69"/>
    <w:rsid w:val="00633569"/>
    <w:rsid w:val="00633F06"/>
    <w:rsid w:val="006341A5"/>
    <w:rsid w:val="006348F5"/>
    <w:rsid w:val="00634B0A"/>
    <w:rsid w:val="00634E1C"/>
    <w:rsid w:val="00635113"/>
    <w:rsid w:val="00635879"/>
    <w:rsid w:val="00635F8A"/>
    <w:rsid w:val="00636086"/>
    <w:rsid w:val="006365A4"/>
    <w:rsid w:val="00636823"/>
    <w:rsid w:val="0063755A"/>
    <w:rsid w:val="00640A3C"/>
    <w:rsid w:val="00641242"/>
    <w:rsid w:val="006416A1"/>
    <w:rsid w:val="00641754"/>
    <w:rsid w:val="00641B51"/>
    <w:rsid w:val="00641D43"/>
    <w:rsid w:val="00641F40"/>
    <w:rsid w:val="00642351"/>
    <w:rsid w:val="00642574"/>
    <w:rsid w:val="00642DC8"/>
    <w:rsid w:val="00643120"/>
    <w:rsid w:val="00643361"/>
    <w:rsid w:val="0064430F"/>
    <w:rsid w:val="006444EF"/>
    <w:rsid w:val="0064465C"/>
    <w:rsid w:val="006446E3"/>
    <w:rsid w:val="00644744"/>
    <w:rsid w:val="00644FC7"/>
    <w:rsid w:val="006453F7"/>
    <w:rsid w:val="00645604"/>
    <w:rsid w:val="0064562E"/>
    <w:rsid w:val="0064569F"/>
    <w:rsid w:val="00645CB6"/>
    <w:rsid w:val="00646123"/>
    <w:rsid w:val="00646269"/>
    <w:rsid w:val="00646678"/>
    <w:rsid w:val="006468F2"/>
    <w:rsid w:val="0065030A"/>
    <w:rsid w:val="006503E2"/>
    <w:rsid w:val="00650A38"/>
    <w:rsid w:val="00650C31"/>
    <w:rsid w:val="00650C6D"/>
    <w:rsid w:val="006514CE"/>
    <w:rsid w:val="00651DA6"/>
    <w:rsid w:val="006521DA"/>
    <w:rsid w:val="00652545"/>
    <w:rsid w:val="00652A86"/>
    <w:rsid w:val="00654D37"/>
    <w:rsid w:val="00654D64"/>
    <w:rsid w:val="006552D6"/>
    <w:rsid w:val="006563CE"/>
    <w:rsid w:val="00657049"/>
    <w:rsid w:val="00657174"/>
    <w:rsid w:val="00657667"/>
    <w:rsid w:val="00657A99"/>
    <w:rsid w:val="00657C40"/>
    <w:rsid w:val="00657F18"/>
    <w:rsid w:val="006601DF"/>
    <w:rsid w:val="0066020C"/>
    <w:rsid w:val="00660618"/>
    <w:rsid w:val="00660F4F"/>
    <w:rsid w:val="0066147F"/>
    <w:rsid w:val="00661D33"/>
    <w:rsid w:val="00662498"/>
    <w:rsid w:val="006626E1"/>
    <w:rsid w:val="00662AE9"/>
    <w:rsid w:val="00663429"/>
    <w:rsid w:val="0066375B"/>
    <w:rsid w:val="00663CCD"/>
    <w:rsid w:val="00664031"/>
    <w:rsid w:val="00664072"/>
    <w:rsid w:val="0066437F"/>
    <w:rsid w:val="0066533B"/>
    <w:rsid w:val="00665A35"/>
    <w:rsid w:val="006663CD"/>
    <w:rsid w:val="006668DE"/>
    <w:rsid w:val="00666BFA"/>
    <w:rsid w:val="00666DA4"/>
    <w:rsid w:val="006670B7"/>
    <w:rsid w:val="00667999"/>
    <w:rsid w:val="00667D7B"/>
    <w:rsid w:val="00667DEF"/>
    <w:rsid w:val="00667E93"/>
    <w:rsid w:val="00670212"/>
    <w:rsid w:val="00670C23"/>
    <w:rsid w:val="00670E4F"/>
    <w:rsid w:val="0067111A"/>
    <w:rsid w:val="00671DA3"/>
    <w:rsid w:val="00672366"/>
    <w:rsid w:val="006727DF"/>
    <w:rsid w:val="006727F3"/>
    <w:rsid w:val="0067339E"/>
    <w:rsid w:val="006734D9"/>
    <w:rsid w:val="00673C6F"/>
    <w:rsid w:val="006740A3"/>
    <w:rsid w:val="0067410F"/>
    <w:rsid w:val="006743FE"/>
    <w:rsid w:val="006752C8"/>
    <w:rsid w:val="006764FD"/>
    <w:rsid w:val="006766EF"/>
    <w:rsid w:val="00676D57"/>
    <w:rsid w:val="00676F19"/>
    <w:rsid w:val="00676F9D"/>
    <w:rsid w:val="00677079"/>
    <w:rsid w:val="00677719"/>
    <w:rsid w:val="00680424"/>
    <w:rsid w:val="00680B7D"/>
    <w:rsid w:val="00680D02"/>
    <w:rsid w:val="00680DE3"/>
    <w:rsid w:val="00680E6D"/>
    <w:rsid w:val="00680FB1"/>
    <w:rsid w:val="00681503"/>
    <w:rsid w:val="006818BF"/>
    <w:rsid w:val="00681C44"/>
    <w:rsid w:val="00682E40"/>
    <w:rsid w:val="0068345F"/>
    <w:rsid w:val="00684282"/>
    <w:rsid w:val="006847D2"/>
    <w:rsid w:val="00685091"/>
    <w:rsid w:val="0068512F"/>
    <w:rsid w:val="00685382"/>
    <w:rsid w:val="006857FE"/>
    <w:rsid w:val="00685C6C"/>
    <w:rsid w:val="00685ED9"/>
    <w:rsid w:val="006864BB"/>
    <w:rsid w:val="006865E6"/>
    <w:rsid w:val="006865F0"/>
    <w:rsid w:val="0068705B"/>
    <w:rsid w:val="00687061"/>
    <w:rsid w:val="006876F4"/>
    <w:rsid w:val="00687C00"/>
    <w:rsid w:val="00690015"/>
    <w:rsid w:val="00690298"/>
    <w:rsid w:val="00690FDF"/>
    <w:rsid w:val="006910FB"/>
    <w:rsid w:val="006919B6"/>
    <w:rsid w:val="00691AEF"/>
    <w:rsid w:val="00691C2C"/>
    <w:rsid w:val="00691E72"/>
    <w:rsid w:val="00692EA9"/>
    <w:rsid w:val="006937FE"/>
    <w:rsid w:val="006939E3"/>
    <w:rsid w:val="00693F4C"/>
    <w:rsid w:val="006944F9"/>
    <w:rsid w:val="00694C23"/>
    <w:rsid w:val="00694CD5"/>
    <w:rsid w:val="00694DA2"/>
    <w:rsid w:val="00694E7B"/>
    <w:rsid w:val="00695054"/>
    <w:rsid w:val="006953E2"/>
    <w:rsid w:val="006955C2"/>
    <w:rsid w:val="0069578B"/>
    <w:rsid w:val="00695915"/>
    <w:rsid w:val="00695F71"/>
    <w:rsid w:val="00696AA2"/>
    <w:rsid w:val="00696F65"/>
    <w:rsid w:val="00697008"/>
    <w:rsid w:val="0069799C"/>
    <w:rsid w:val="00697A4B"/>
    <w:rsid w:val="006A015A"/>
    <w:rsid w:val="006A04DA"/>
    <w:rsid w:val="006A0695"/>
    <w:rsid w:val="006A0CDD"/>
    <w:rsid w:val="006A109B"/>
    <w:rsid w:val="006A1678"/>
    <w:rsid w:val="006A1AF0"/>
    <w:rsid w:val="006A1B53"/>
    <w:rsid w:val="006A23E7"/>
    <w:rsid w:val="006A2401"/>
    <w:rsid w:val="006A282A"/>
    <w:rsid w:val="006A2CED"/>
    <w:rsid w:val="006A307A"/>
    <w:rsid w:val="006A3A04"/>
    <w:rsid w:val="006A3AC4"/>
    <w:rsid w:val="006A400A"/>
    <w:rsid w:val="006A412F"/>
    <w:rsid w:val="006A44E6"/>
    <w:rsid w:val="006A46CB"/>
    <w:rsid w:val="006A4DEC"/>
    <w:rsid w:val="006A539F"/>
    <w:rsid w:val="006A5A39"/>
    <w:rsid w:val="006A5A81"/>
    <w:rsid w:val="006A6BE2"/>
    <w:rsid w:val="006A7856"/>
    <w:rsid w:val="006A794E"/>
    <w:rsid w:val="006A79A1"/>
    <w:rsid w:val="006B014C"/>
    <w:rsid w:val="006B0559"/>
    <w:rsid w:val="006B06B5"/>
    <w:rsid w:val="006B11C2"/>
    <w:rsid w:val="006B11FD"/>
    <w:rsid w:val="006B2079"/>
    <w:rsid w:val="006B2E3F"/>
    <w:rsid w:val="006B2F19"/>
    <w:rsid w:val="006B3867"/>
    <w:rsid w:val="006B3EF1"/>
    <w:rsid w:val="006B3F0B"/>
    <w:rsid w:val="006B4A48"/>
    <w:rsid w:val="006B581B"/>
    <w:rsid w:val="006B5A07"/>
    <w:rsid w:val="006B6034"/>
    <w:rsid w:val="006B60C1"/>
    <w:rsid w:val="006B611B"/>
    <w:rsid w:val="006B6F4E"/>
    <w:rsid w:val="006C04C8"/>
    <w:rsid w:val="006C057F"/>
    <w:rsid w:val="006C07B1"/>
    <w:rsid w:val="006C0F41"/>
    <w:rsid w:val="006C1430"/>
    <w:rsid w:val="006C2188"/>
    <w:rsid w:val="006C21B8"/>
    <w:rsid w:val="006C2908"/>
    <w:rsid w:val="006C2CE2"/>
    <w:rsid w:val="006C3598"/>
    <w:rsid w:val="006C375C"/>
    <w:rsid w:val="006C375E"/>
    <w:rsid w:val="006C3D70"/>
    <w:rsid w:val="006C3DE2"/>
    <w:rsid w:val="006C3F98"/>
    <w:rsid w:val="006C496E"/>
    <w:rsid w:val="006C5168"/>
    <w:rsid w:val="006C60B0"/>
    <w:rsid w:val="006C6E6D"/>
    <w:rsid w:val="006C725A"/>
    <w:rsid w:val="006C7BAA"/>
    <w:rsid w:val="006D0043"/>
    <w:rsid w:val="006D0643"/>
    <w:rsid w:val="006D0939"/>
    <w:rsid w:val="006D17BB"/>
    <w:rsid w:val="006D1E6B"/>
    <w:rsid w:val="006D2BC4"/>
    <w:rsid w:val="006D2C52"/>
    <w:rsid w:val="006D2CC4"/>
    <w:rsid w:val="006D2EFE"/>
    <w:rsid w:val="006D33A3"/>
    <w:rsid w:val="006D3499"/>
    <w:rsid w:val="006D38B5"/>
    <w:rsid w:val="006D39E5"/>
    <w:rsid w:val="006D3DA3"/>
    <w:rsid w:val="006D48FF"/>
    <w:rsid w:val="006D5FA3"/>
    <w:rsid w:val="006D6169"/>
    <w:rsid w:val="006D6178"/>
    <w:rsid w:val="006D6379"/>
    <w:rsid w:val="006D6625"/>
    <w:rsid w:val="006D68AB"/>
    <w:rsid w:val="006D69DD"/>
    <w:rsid w:val="006D6D94"/>
    <w:rsid w:val="006D6F71"/>
    <w:rsid w:val="006D6FD8"/>
    <w:rsid w:val="006D7458"/>
    <w:rsid w:val="006D76ED"/>
    <w:rsid w:val="006E0B43"/>
    <w:rsid w:val="006E0FD9"/>
    <w:rsid w:val="006E145A"/>
    <w:rsid w:val="006E1872"/>
    <w:rsid w:val="006E324D"/>
    <w:rsid w:val="006E3CED"/>
    <w:rsid w:val="006E3E0F"/>
    <w:rsid w:val="006E43BB"/>
    <w:rsid w:val="006E4700"/>
    <w:rsid w:val="006E4AD6"/>
    <w:rsid w:val="006E601B"/>
    <w:rsid w:val="006E67BF"/>
    <w:rsid w:val="006E6DD7"/>
    <w:rsid w:val="006E76F0"/>
    <w:rsid w:val="006E7991"/>
    <w:rsid w:val="006F008F"/>
    <w:rsid w:val="006F02C5"/>
    <w:rsid w:val="006F06D8"/>
    <w:rsid w:val="006F0BAE"/>
    <w:rsid w:val="006F113B"/>
    <w:rsid w:val="006F15E3"/>
    <w:rsid w:val="006F1C4A"/>
    <w:rsid w:val="006F243B"/>
    <w:rsid w:val="006F252C"/>
    <w:rsid w:val="006F258E"/>
    <w:rsid w:val="006F27B4"/>
    <w:rsid w:val="006F2A7E"/>
    <w:rsid w:val="006F2D8A"/>
    <w:rsid w:val="006F2DF8"/>
    <w:rsid w:val="006F34A1"/>
    <w:rsid w:val="006F36A6"/>
    <w:rsid w:val="006F37CF"/>
    <w:rsid w:val="006F3D85"/>
    <w:rsid w:val="006F3E4C"/>
    <w:rsid w:val="006F3E4D"/>
    <w:rsid w:val="006F3ED8"/>
    <w:rsid w:val="006F3F1E"/>
    <w:rsid w:val="006F4361"/>
    <w:rsid w:val="006F5472"/>
    <w:rsid w:val="006F55B5"/>
    <w:rsid w:val="006F55C2"/>
    <w:rsid w:val="006F5798"/>
    <w:rsid w:val="006F5DCA"/>
    <w:rsid w:val="006F65EE"/>
    <w:rsid w:val="006F67AC"/>
    <w:rsid w:val="006F7688"/>
    <w:rsid w:val="006F7766"/>
    <w:rsid w:val="006F7CCE"/>
    <w:rsid w:val="0070002B"/>
    <w:rsid w:val="00700630"/>
    <w:rsid w:val="00700B6A"/>
    <w:rsid w:val="00701472"/>
    <w:rsid w:val="007020AC"/>
    <w:rsid w:val="007023CA"/>
    <w:rsid w:val="00703213"/>
    <w:rsid w:val="00703660"/>
    <w:rsid w:val="00703A61"/>
    <w:rsid w:val="00703D9B"/>
    <w:rsid w:val="00703ECF"/>
    <w:rsid w:val="00704053"/>
    <w:rsid w:val="007045B0"/>
    <w:rsid w:val="00705082"/>
    <w:rsid w:val="0070594E"/>
    <w:rsid w:val="007059E8"/>
    <w:rsid w:val="007066CC"/>
    <w:rsid w:val="00707127"/>
    <w:rsid w:val="007073B1"/>
    <w:rsid w:val="00707446"/>
    <w:rsid w:val="00707F7A"/>
    <w:rsid w:val="007107F7"/>
    <w:rsid w:val="007110E6"/>
    <w:rsid w:val="00711347"/>
    <w:rsid w:val="00711492"/>
    <w:rsid w:val="007115B3"/>
    <w:rsid w:val="00711DA5"/>
    <w:rsid w:val="0071294D"/>
    <w:rsid w:val="00712B28"/>
    <w:rsid w:val="00713381"/>
    <w:rsid w:val="0071366F"/>
    <w:rsid w:val="00714449"/>
    <w:rsid w:val="00715773"/>
    <w:rsid w:val="00715D93"/>
    <w:rsid w:val="0071611B"/>
    <w:rsid w:val="00716154"/>
    <w:rsid w:val="00716830"/>
    <w:rsid w:val="00716969"/>
    <w:rsid w:val="00716B59"/>
    <w:rsid w:val="00717315"/>
    <w:rsid w:val="0071749C"/>
    <w:rsid w:val="00717895"/>
    <w:rsid w:val="00717A94"/>
    <w:rsid w:val="00717CA5"/>
    <w:rsid w:val="0072031B"/>
    <w:rsid w:val="00721059"/>
    <w:rsid w:val="00721E45"/>
    <w:rsid w:val="00721F5B"/>
    <w:rsid w:val="00721FE4"/>
    <w:rsid w:val="00722859"/>
    <w:rsid w:val="00722B72"/>
    <w:rsid w:val="00722C74"/>
    <w:rsid w:val="00722CE0"/>
    <w:rsid w:val="00722EFF"/>
    <w:rsid w:val="00722F5C"/>
    <w:rsid w:val="007231BA"/>
    <w:rsid w:val="007233B9"/>
    <w:rsid w:val="00723FBB"/>
    <w:rsid w:val="00724419"/>
    <w:rsid w:val="007247E3"/>
    <w:rsid w:val="007247E4"/>
    <w:rsid w:val="007252F1"/>
    <w:rsid w:val="00725EF5"/>
    <w:rsid w:val="00725F1A"/>
    <w:rsid w:val="0072609B"/>
    <w:rsid w:val="0072617D"/>
    <w:rsid w:val="007267D0"/>
    <w:rsid w:val="00726CCC"/>
    <w:rsid w:val="007270D1"/>
    <w:rsid w:val="0072744D"/>
    <w:rsid w:val="00730022"/>
    <w:rsid w:val="007305F3"/>
    <w:rsid w:val="007306B7"/>
    <w:rsid w:val="00730846"/>
    <w:rsid w:val="00730AB4"/>
    <w:rsid w:val="00730DC6"/>
    <w:rsid w:val="00730DCB"/>
    <w:rsid w:val="00731101"/>
    <w:rsid w:val="00731503"/>
    <w:rsid w:val="00731B72"/>
    <w:rsid w:val="00731E73"/>
    <w:rsid w:val="00731EAF"/>
    <w:rsid w:val="0073223F"/>
    <w:rsid w:val="007323FB"/>
    <w:rsid w:val="00732DD1"/>
    <w:rsid w:val="00733A6D"/>
    <w:rsid w:val="00733B3B"/>
    <w:rsid w:val="007348DE"/>
    <w:rsid w:val="007353F5"/>
    <w:rsid w:val="00735474"/>
    <w:rsid w:val="00735701"/>
    <w:rsid w:val="00735DA8"/>
    <w:rsid w:val="00735DF1"/>
    <w:rsid w:val="00736075"/>
    <w:rsid w:val="007362A3"/>
    <w:rsid w:val="00736DB1"/>
    <w:rsid w:val="0073745C"/>
    <w:rsid w:val="00737603"/>
    <w:rsid w:val="00737B47"/>
    <w:rsid w:val="00737F3F"/>
    <w:rsid w:val="007402B4"/>
    <w:rsid w:val="00740C28"/>
    <w:rsid w:val="00741236"/>
    <w:rsid w:val="007416CC"/>
    <w:rsid w:val="00741784"/>
    <w:rsid w:val="0074195D"/>
    <w:rsid w:val="007423B9"/>
    <w:rsid w:val="00742701"/>
    <w:rsid w:val="00742BCA"/>
    <w:rsid w:val="00743829"/>
    <w:rsid w:val="00743A49"/>
    <w:rsid w:val="00744032"/>
    <w:rsid w:val="0074437E"/>
    <w:rsid w:val="007445B8"/>
    <w:rsid w:val="00744A00"/>
    <w:rsid w:val="00744E64"/>
    <w:rsid w:val="007455F7"/>
    <w:rsid w:val="00745E4D"/>
    <w:rsid w:val="0074623B"/>
    <w:rsid w:val="00746660"/>
    <w:rsid w:val="00746E2A"/>
    <w:rsid w:val="00746F91"/>
    <w:rsid w:val="007472E3"/>
    <w:rsid w:val="007476BA"/>
    <w:rsid w:val="00747FC6"/>
    <w:rsid w:val="0075023F"/>
    <w:rsid w:val="00750B7B"/>
    <w:rsid w:val="00750B7D"/>
    <w:rsid w:val="00750F4C"/>
    <w:rsid w:val="007516F0"/>
    <w:rsid w:val="0075307F"/>
    <w:rsid w:val="007534EA"/>
    <w:rsid w:val="00753518"/>
    <w:rsid w:val="00753799"/>
    <w:rsid w:val="007538C1"/>
    <w:rsid w:val="0075434C"/>
    <w:rsid w:val="007550BF"/>
    <w:rsid w:val="00755245"/>
    <w:rsid w:val="007557A0"/>
    <w:rsid w:val="00755D0D"/>
    <w:rsid w:val="0075657B"/>
    <w:rsid w:val="0075687F"/>
    <w:rsid w:val="00756941"/>
    <w:rsid w:val="00756DC7"/>
    <w:rsid w:val="0075716A"/>
    <w:rsid w:val="007574B0"/>
    <w:rsid w:val="007600DE"/>
    <w:rsid w:val="0076087C"/>
    <w:rsid w:val="00761151"/>
    <w:rsid w:val="007612EC"/>
    <w:rsid w:val="00761352"/>
    <w:rsid w:val="00761862"/>
    <w:rsid w:val="00761C74"/>
    <w:rsid w:val="00761E8C"/>
    <w:rsid w:val="00761F33"/>
    <w:rsid w:val="0076255D"/>
    <w:rsid w:val="00763B71"/>
    <w:rsid w:val="00763FDD"/>
    <w:rsid w:val="00764895"/>
    <w:rsid w:val="007648D0"/>
    <w:rsid w:val="00764981"/>
    <w:rsid w:val="007650F6"/>
    <w:rsid w:val="0076525E"/>
    <w:rsid w:val="0076561F"/>
    <w:rsid w:val="00766326"/>
    <w:rsid w:val="007664E3"/>
    <w:rsid w:val="00766820"/>
    <w:rsid w:val="0076682D"/>
    <w:rsid w:val="00766A41"/>
    <w:rsid w:val="007670FD"/>
    <w:rsid w:val="007703CB"/>
    <w:rsid w:val="00770827"/>
    <w:rsid w:val="00770D92"/>
    <w:rsid w:val="00770F03"/>
    <w:rsid w:val="0077102B"/>
    <w:rsid w:val="00771842"/>
    <w:rsid w:val="0077274A"/>
    <w:rsid w:val="00772F43"/>
    <w:rsid w:val="0077315F"/>
    <w:rsid w:val="00773699"/>
    <w:rsid w:val="00773874"/>
    <w:rsid w:val="00774158"/>
    <w:rsid w:val="007743C5"/>
    <w:rsid w:val="007747D2"/>
    <w:rsid w:val="007748BF"/>
    <w:rsid w:val="0077545C"/>
    <w:rsid w:val="0077570E"/>
    <w:rsid w:val="00775DB7"/>
    <w:rsid w:val="00775E11"/>
    <w:rsid w:val="0077623F"/>
    <w:rsid w:val="007762DB"/>
    <w:rsid w:val="00777894"/>
    <w:rsid w:val="00780092"/>
    <w:rsid w:val="007800EE"/>
    <w:rsid w:val="007807FE"/>
    <w:rsid w:val="00780A30"/>
    <w:rsid w:val="00780C33"/>
    <w:rsid w:val="007813FC"/>
    <w:rsid w:val="00781914"/>
    <w:rsid w:val="00781ED7"/>
    <w:rsid w:val="007820D4"/>
    <w:rsid w:val="007828F2"/>
    <w:rsid w:val="00782DFE"/>
    <w:rsid w:val="00782F90"/>
    <w:rsid w:val="007831C7"/>
    <w:rsid w:val="007841A6"/>
    <w:rsid w:val="00784464"/>
    <w:rsid w:val="00784C44"/>
    <w:rsid w:val="00785136"/>
    <w:rsid w:val="007857C4"/>
    <w:rsid w:val="00786C5C"/>
    <w:rsid w:val="007879FA"/>
    <w:rsid w:val="00787A4F"/>
    <w:rsid w:val="00787C53"/>
    <w:rsid w:val="00790573"/>
    <w:rsid w:val="00790824"/>
    <w:rsid w:val="00790D73"/>
    <w:rsid w:val="00791BD7"/>
    <w:rsid w:val="00791C1C"/>
    <w:rsid w:val="007921AF"/>
    <w:rsid w:val="007923A4"/>
    <w:rsid w:val="0079258F"/>
    <w:rsid w:val="00792B0B"/>
    <w:rsid w:val="00792B9A"/>
    <w:rsid w:val="00792FE1"/>
    <w:rsid w:val="00793199"/>
    <w:rsid w:val="007931D1"/>
    <w:rsid w:val="00793545"/>
    <w:rsid w:val="00793EE2"/>
    <w:rsid w:val="00794264"/>
    <w:rsid w:val="00794A23"/>
    <w:rsid w:val="00794C78"/>
    <w:rsid w:val="00794FE4"/>
    <w:rsid w:val="00795FDB"/>
    <w:rsid w:val="0079684C"/>
    <w:rsid w:val="00796CB2"/>
    <w:rsid w:val="00797B27"/>
    <w:rsid w:val="007A007C"/>
    <w:rsid w:val="007A022D"/>
    <w:rsid w:val="007A0519"/>
    <w:rsid w:val="007A06D6"/>
    <w:rsid w:val="007A09F2"/>
    <w:rsid w:val="007A0BB9"/>
    <w:rsid w:val="007A0BE9"/>
    <w:rsid w:val="007A0FB9"/>
    <w:rsid w:val="007A1040"/>
    <w:rsid w:val="007A1586"/>
    <w:rsid w:val="007A18C7"/>
    <w:rsid w:val="007A1B95"/>
    <w:rsid w:val="007A312C"/>
    <w:rsid w:val="007A357B"/>
    <w:rsid w:val="007A3596"/>
    <w:rsid w:val="007A3A1E"/>
    <w:rsid w:val="007A3C1A"/>
    <w:rsid w:val="007A46CD"/>
    <w:rsid w:val="007A4D97"/>
    <w:rsid w:val="007A4EC3"/>
    <w:rsid w:val="007A5390"/>
    <w:rsid w:val="007A5BCC"/>
    <w:rsid w:val="007A6031"/>
    <w:rsid w:val="007A6343"/>
    <w:rsid w:val="007A6490"/>
    <w:rsid w:val="007A65FE"/>
    <w:rsid w:val="007A6ACE"/>
    <w:rsid w:val="007A6B79"/>
    <w:rsid w:val="007A7034"/>
    <w:rsid w:val="007A76F8"/>
    <w:rsid w:val="007A7D0D"/>
    <w:rsid w:val="007A7D16"/>
    <w:rsid w:val="007B0235"/>
    <w:rsid w:val="007B17B2"/>
    <w:rsid w:val="007B1CFC"/>
    <w:rsid w:val="007B2085"/>
    <w:rsid w:val="007B212F"/>
    <w:rsid w:val="007B251D"/>
    <w:rsid w:val="007B2985"/>
    <w:rsid w:val="007B2A56"/>
    <w:rsid w:val="007B2D04"/>
    <w:rsid w:val="007B2FBF"/>
    <w:rsid w:val="007B37C4"/>
    <w:rsid w:val="007B37D1"/>
    <w:rsid w:val="007B3C9B"/>
    <w:rsid w:val="007B3E9C"/>
    <w:rsid w:val="007B4BA1"/>
    <w:rsid w:val="007B4FD1"/>
    <w:rsid w:val="007B6474"/>
    <w:rsid w:val="007B6894"/>
    <w:rsid w:val="007B6937"/>
    <w:rsid w:val="007B6980"/>
    <w:rsid w:val="007B6A7E"/>
    <w:rsid w:val="007B6B07"/>
    <w:rsid w:val="007B6C09"/>
    <w:rsid w:val="007B7919"/>
    <w:rsid w:val="007C0121"/>
    <w:rsid w:val="007C02F3"/>
    <w:rsid w:val="007C041B"/>
    <w:rsid w:val="007C06FA"/>
    <w:rsid w:val="007C0790"/>
    <w:rsid w:val="007C0BAF"/>
    <w:rsid w:val="007C11A0"/>
    <w:rsid w:val="007C170F"/>
    <w:rsid w:val="007C2BB0"/>
    <w:rsid w:val="007C2D3A"/>
    <w:rsid w:val="007C2EEC"/>
    <w:rsid w:val="007C38A9"/>
    <w:rsid w:val="007C3C7D"/>
    <w:rsid w:val="007C41C5"/>
    <w:rsid w:val="007C4626"/>
    <w:rsid w:val="007C6054"/>
    <w:rsid w:val="007C65C5"/>
    <w:rsid w:val="007C6BD3"/>
    <w:rsid w:val="007C6F32"/>
    <w:rsid w:val="007C7311"/>
    <w:rsid w:val="007C73CE"/>
    <w:rsid w:val="007C780B"/>
    <w:rsid w:val="007C7942"/>
    <w:rsid w:val="007C7B44"/>
    <w:rsid w:val="007D00B1"/>
    <w:rsid w:val="007D0B43"/>
    <w:rsid w:val="007D1058"/>
    <w:rsid w:val="007D14DA"/>
    <w:rsid w:val="007D2252"/>
    <w:rsid w:val="007D2688"/>
    <w:rsid w:val="007D281C"/>
    <w:rsid w:val="007D2A8B"/>
    <w:rsid w:val="007D2B3D"/>
    <w:rsid w:val="007D31F8"/>
    <w:rsid w:val="007D32F7"/>
    <w:rsid w:val="007D3458"/>
    <w:rsid w:val="007D3794"/>
    <w:rsid w:val="007D380C"/>
    <w:rsid w:val="007D3852"/>
    <w:rsid w:val="007D3929"/>
    <w:rsid w:val="007D3C26"/>
    <w:rsid w:val="007D4574"/>
    <w:rsid w:val="007D463A"/>
    <w:rsid w:val="007D4C47"/>
    <w:rsid w:val="007D5264"/>
    <w:rsid w:val="007D5385"/>
    <w:rsid w:val="007D5389"/>
    <w:rsid w:val="007D61F4"/>
    <w:rsid w:val="007D6FFD"/>
    <w:rsid w:val="007D7D2F"/>
    <w:rsid w:val="007E0152"/>
    <w:rsid w:val="007E093A"/>
    <w:rsid w:val="007E0AC3"/>
    <w:rsid w:val="007E15E8"/>
    <w:rsid w:val="007E15FD"/>
    <w:rsid w:val="007E1947"/>
    <w:rsid w:val="007E1F5C"/>
    <w:rsid w:val="007E22E6"/>
    <w:rsid w:val="007E2A8A"/>
    <w:rsid w:val="007E2C9B"/>
    <w:rsid w:val="007E3DA3"/>
    <w:rsid w:val="007E411D"/>
    <w:rsid w:val="007E48BC"/>
    <w:rsid w:val="007E4CA5"/>
    <w:rsid w:val="007E4E6B"/>
    <w:rsid w:val="007E565A"/>
    <w:rsid w:val="007E5A5B"/>
    <w:rsid w:val="007E6189"/>
    <w:rsid w:val="007E6227"/>
    <w:rsid w:val="007E6382"/>
    <w:rsid w:val="007E66C2"/>
    <w:rsid w:val="007E6941"/>
    <w:rsid w:val="007E6AC0"/>
    <w:rsid w:val="007E7068"/>
    <w:rsid w:val="007E769F"/>
    <w:rsid w:val="007E7950"/>
    <w:rsid w:val="007E7A34"/>
    <w:rsid w:val="007F02AC"/>
    <w:rsid w:val="007F04BB"/>
    <w:rsid w:val="007F059C"/>
    <w:rsid w:val="007F074E"/>
    <w:rsid w:val="007F0DCC"/>
    <w:rsid w:val="007F16A2"/>
    <w:rsid w:val="007F2225"/>
    <w:rsid w:val="007F34FD"/>
    <w:rsid w:val="007F4660"/>
    <w:rsid w:val="007F49C2"/>
    <w:rsid w:val="007F4A31"/>
    <w:rsid w:val="007F4E01"/>
    <w:rsid w:val="007F4ED3"/>
    <w:rsid w:val="007F5605"/>
    <w:rsid w:val="007F5A97"/>
    <w:rsid w:val="007F5CFC"/>
    <w:rsid w:val="007F610D"/>
    <w:rsid w:val="007F68AC"/>
    <w:rsid w:val="007F6AC6"/>
    <w:rsid w:val="007F6C6F"/>
    <w:rsid w:val="007F6E8D"/>
    <w:rsid w:val="007F78A4"/>
    <w:rsid w:val="007F7A8D"/>
    <w:rsid w:val="007F7AE3"/>
    <w:rsid w:val="00801649"/>
    <w:rsid w:val="00801879"/>
    <w:rsid w:val="00801C03"/>
    <w:rsid w:val="008028E8"/>
    <w:rsid w:val="00802A65"/>
    <w:rsid w:val="00802ABF"/>
    <w:rsid w:val="00803386"/>
    <w:rsid w:val="0080356C"/>
    <w:rsid w:val="00803CA8"/>
    <w:rsid w:val="00803D95"/>
    <w:rsid w:val="008041EA"/>
    <w:rsid w:val="0080448B"/>
    <w:rsid w:val="008045D4"/>
    <w:rsid w:val="008047B5"/>
    <w:rsid w:val="00804837"/>
    <w:rsid w:val="00804984"/>
    <w:rsid w:val="00804B4B"/>
    <w:rsid w:val="008051F7"/>
    <w:rsid w:val="00805534"/>
    <w:rsid w:val="00805932"/>
    <w:rsid w:val="00805F44"/>
    <w:rsid w:val="008065DE"/>
    <w:rsid w:val="00807330"/>
    <w:rsid w:val="008103B9"/>
    <w:rsid w:val="008111B8"/>
    <w:rsid w:val="00811FDD"/>
    <w:rsid w:val="008126D8"/>
    <w:rsid w:val="00812811"/>
    <w:rsid w:val="00813805"/>
    <w:rsid w:val="00813914"/>
    <w:rsid w:val="00813FC6"/>
    <w:rsid w:val="008140FC"/>
    <w:rsid w:val="00815420"/>
    <w:rsid w:val="0081669C"/>
    <w:rsid w:val="00817416"/>
    <w:rsid w:val="008203D7"/>
    <w:rsid w:val="008209F6"/>
    <w:rsid w:val="00820A60"/>
    <w:rsid w:val="00820B67"/>
    <w:rsid w:val="00820BB5"/>
    <w:rsid w:val="00820BBD"/>
    <w:rsid w:val="00820D1F"/>
    <w:rsid w:val="00820F0A"/>
    <w:rsid w:val="008219E1"/>
    <w:rsid w:val="00821B1D"/>
    <w:rsid w:val="00821CFD"/>
    <w:rsid w:val="0082259F"/>
    <w:rsid w:val="00823DF2"/>
    <w:rsid w:val="00823E12"/>
    <w:rsid w:val="00824694"/>
    <w:rsid w:val="00824A62"/>
    <w:rsid w:val="00824E80"/>
    <w:rsid w:val="00825257"/>
    <w:rsid w:val="008254F2"/>
    <w:rsid w:val="008258D5"/>
    <w:rsid w:val="00825C19"/>
    <w:rsid w:val="00826319"/>
    <w:rsid w:val="00826917"/>
    <w:rsid w:val="00826F4C"/>
    <w:rsid w:val="00827964"/>
    <w:rsid w:val="00827ED9"/>
    <w:rsid w:val="00830009"/>
    <w:rsid w:val="00830130"/>
    <w:rsid w:val="00830146"/>
    <w:rsid w:val="008303EA"/>
    <w:rsid w:val="00830D44"/>
    <w:rsid w:val="00831C20"/>
    <w:rsid w:val="00832195"/>
    <w:rsid w:val="008325BC"/>
    <w:rsid w:val="00832F73"/>
    <w:rsid w:val="0083300E"/>
    <w:rsid w:val="00833690"/>
    <w:rsid w:val="00833CBB"/>
    <w:rsid w:val="00833CE1"/>
    <w:rsid w:val="00833D40"/>
    <w:rsid w:val="00833EB8"/>
    <w:rsid w:val="008340DB"/>
    <w:rsid w:val="008346E0"/>
    <w:rsid w:val="00835AD7"/>
    <w:rsid w:val="00835CE6"/>
    <w:rsid w:val="00836156"/>
    <w:rsid w:val="00836329"/>
    <w:rsid w:val="008370F2"/>
    <w:rsid w:val="00837224"/>
    <w:rsid w:val="00837D1D"/>
    <w:rsid w:val="00840353"/>
    <w:rsid w:val="008406C8"/>
    <w:rsid w:val="00840912"/>
    <w:rsid w:val="008409C6"/>
    <w:rsid w:val="00840B76"/>
    <w:rsid w:val="00841221"/>
    <w:rsid w:val="00841659"/>
    <w:rsid w:val="008422AD"/>
    <w:rsid w:val="00842CFD"/>
    <w:rsid w:val="008430BB"/>
    <w:rsid w:val="008435B1"/>
    <w:rsid w:val="0084457D"/>
    <w:rsid w:val="00844718"/>
    <w:rsid w:val="008453E4"/>
    <w:rsid w:val="00845B6D"/>
    <w:rsid w:val="0084605E"/>
    <w:rsid w:val="008465DD"/>
    <w:rsid w:val="00847733"/>
    <w:rsid w:val="0084774F"/>
    <w:rsid w:val="00847F40"/>
    <w:rsid w:val="008503D8"/>
    <w:rsid w:val="00850443"/>
    <w:rsid w:val="00850600"/>
    <w:rsid w:val="0085064F"/>
    <w:rsid w:val="00851329"/>
    <w:rsid w:val="0085174F"/>
    <w:rsid w:val="00851814"/>
    <w:rsid w:val="00851B38"/>
    <w:rsid w:val="00851EDF"/>
    <w:rsid w:val="008521F8"/>
    <w:rsid w:val="00852621"/>
    <w:rsid w:val="008526F8"/>
    <w:rsid w:val="00852D02"/>
    <w:rsid w:val="00853269"/>
    <w:rsid w:val="00853401"/>
    <w:rsid w:val="00853FE8"/>
    <w:rsid w:val="0085486A"/>
    <w:rsid w:val="00854B1F"/>
    <w:rsid w:val="00855107"/>
    <w:rsid w:val="008555B8"/>
    <w:rsid w:val="00855B55"/>
    <w:rsid w:val="0085669D"/>
    <w:rsid w:val="00856884"/>
    <w:rsid w:val="00856A20"/>
    <w:rsid w:val="00856E5D"/>
    <w:rsid w:val="008570FA"/>
    <w:rsid w:val="008575D3"/>
    <w:rsid w:val="00857A42"/>
    <w:rsid w:val="008603C3"/>
    <w:rsid w:val="00860984"/>
    <w:rsid w:val="00861C68"/>
    <w:rsid w:val="00861E8B"/>
    <w:rsid w:val="0086277B"/>
    <w:rsid w:val="008628A2"/>
    <w:rsid w:val="0086321C"/>
    <w:rsid w:val="00863391"/>
    <w:rsid w:val="00863904"/>
    <w:rsid w:val="00864244"/>
    <w:rsid w:val="00865522"/>
    <w:rsid w:val="008655EF"/>
    <w:rsid w:val="00865E7D"/>
    <w:rsid w:val="0086644C"/>
    <w:rsid w:val="00866480"/>
    <w:rsid w:val="0086678C"/>
    <w:rsid w:val="00866967"/>
    <w:rsid w:val="008669EC"/>
    <w:rsid w:val="00866A01"/>
    <w:rsid w:val="00866B94"/>
    <w:rsid w:val="00867058"/>
    <w:rsid w:val="008675AB"/>
    <w:rsid w:val="008676D6"/>
    <w:rsid w:val="00867773"/>
    <w:rsid w:val="008677EB"/>
    <w:rsid w:val="00870222"/>
    <w:rsid w:val="00870263"/>
    <w:rsid w:val="00870644"/>
    <w:rsid w:val="008708E5"/>
    <w:rsid w:val="00870CAC"/>
    <w:rsid w:val="00870D07"/>
    <w:rsid w:val="00870E76"/>
    <w:rsid w:val="00871423"/>
    <w:rsid w:val="008716AC"/>
    <w:rsid w:val="00871CC0"/>
    <w:rsid w:val="00871E7A"/>
    <w:rsid w:val="00871FBB"/>
    <w:rsid w:val="00872093"/>
    <w:rsid w:val="00872619"/>
    <w:rsid w:val="008726D6"/>
    <w:rsid w:val="00872E30"/>
    <w:rsid w:val="00872EDF"/>
    <w:rsid w:val="00873855"/>
    <w:rsid w:val="00873FC4"/>
    <w:rsid w:val="008740B1"/>
    <w:rsid w:val="008744B9"/>
    <w:rsid w:val="00874BB3"/>
    <w:rsid w:val="00874C97"/>
    <w:rsid w:val="00875311"/>
    <w:rsid w:val="008756AB"/>
    <w:rsid w:val="008756AD"/>
    <w:rsid w:val="0087598F"/>
    <w:rsid w:val="00876029"/>
    <w:rsid w:val="0087637C"/>
    <w:rsid w:val="00876CF7"/>
    <w:rsid w:val="00876E45"/>
    <w:rsid w:val="00877953"/>
    <w:rsid w:val="008779BD"/>
    <w:rsid w:val="00877AF7"/>
    <w:rsid w:val="00880AAF"/>
    <w:rsid w:val="00880C5B"/>
    <w:rsid w:val="008813A1"/>
    <w:rsid w:val="00881D05"/>
    <w:rsid w:val="0088201B"/>
    <w:rsid w:val="00882258"/>
    <w:rsid w:val="0088252C"/>
    <w:rsid w:val="00882699"/>
    <w:rsid w:val="00882722"/>
    <w:rsid w:val="00882852"/>
    <w:rsid w:val="00882895"/>
    <w:rsid w:val="00882E7A"/>
    <w:rsid w:val="0088316F"/>
    <w:rsid w:val="008833D3"/>
    <w:rsid w:val="008834B3"/>
    <w:rsid w:val="00883771"/>
    <w:rsid w:val="00883876"/>
    <w:rsid w:val="00883A27"/>
    <w:rsid w:val="00883DD9"/>
    <w:rsid w:val="00883DFA"/>
    <w:rsid w:val="00884172"/>
    <w:rsid w:val="00884EBD"/>
    <w:rsid w:val="00885682"/>
    <w:rsid w:val="00885B97"/>
    <w:rsid w:val="00885C4E"/>
    <w:rsid w:val="00885D92"/>
    <w:rsid w:val="00885EF4"/>
    <w:rsid w:val="00885F9B"/>
    <w:rsid w:val="00886876"/>
    <w:rsid w:val="0088688C"/>
    <w:rsid w:val="00886973"/>
    <w:rsid w:val="00887BC4"/>
    <w:rsid w:val="00887DEB"/>
    <w:rsid w:val="00887EAB"/>
    <w:rsid w:val="00890528"/>
    <w:rsid w:val="008909DA"/>
    <w:rsid w:val="00890EAD"/>
    <w:rsid w:val="00891074"/>
    <w:rsid w:val="008910E0"/>
    <w:rsid w:val="00891342"/>
    <w:rsid w:val="008923F0"/>
    <w:rsid w:val="00892B5C"/>
    <w:rsid w:val="0089374E"/>
    <w:rsid w:val="00893C91"/>
    <w:rsid w:val="008944AD"/>
    <w:rsid w:val="0089472E"/>
    <w:rsid w:val="008952C8"/>
    <w:rsid w:val="008953EA"/>
    <w:rsid w:val="00895F33"/>
    <w:rsid w:val="008966F2"/>
    <w:rsid w:val="00896747"/>
    <w:rsid w:val="0089679D"/>
    <w:rsid w:val="008968E8"/>
    <w:rsid w:val="00896980"/>
    <w:rsid w:val="00897234"/>
    <w:rsid w:val="0089724B"/>
    <w:rsid w:val="0089764D"/>
    <w:rsid w:val="008A037A"/>
    <w:rsid w:val="008A0755"/>
    <w:rsid w:val="008A0813"/>
    <w:rsid w:val="008A0836"/>
    <w:rsid w:val="008A0B4F"/>
    <w:rsid w:val="008A0C8A"/>
    <w:rsid w:val="008A0EF5"/>
    <w:rsid w:val="008A154D"/>
    <w:rsid w:val="008A1D94"/>
    <w:rsid w:val="008A2EEB"/>
    <w:rsid w:val="008A3655"/>
    <w:rsid w:val="008A37AA"/>
    <w:rsid w:val="008A3AFB"/>
    <w:rsid w:val="008A3D16"/>
    <w:rsid w:val="008A4DE7"/>
    <w:rsid w:val="008A5B1E"/>
    <w:rsid w:val="008A5BC5"/>
    <w:rsid w:val="008A5F1D"/>
    <w:rsid w:val="008A5FC0"/>
    <w:rsid w:val="008A6011"/>
    <w:rsid w:val="008A6509"/>
    <w:rsid w:val="008A6A1C"/>
    <w:rsid w:val="008A6BFB"/>
    <w:rsid w:val="008A6DCF"/>
    <w:rsid w:val="008A773F"/>
    <w:rsid w:val="008A79E7"/>
    <w:rsid w:val="008B11B9"/>
    <w:rsid w:val="008B1273"/>
    <w:rsid w:val="008B1404"/>
    <w:rsid w:val="008B145A"/>
    <w:rsid w:val="008B2271"/>
    <w:rsid w:val="008B2365"/>
    <w:rsid w:val="008B4CB0"/>
    <w:rsid w:val="008B50A1"/>
    <w:rsid w:val="008B5114"/>
    <w:rsid w:val="008B64CB"/>
    <w:rsid w:val="008B6B92"/>
    <w:rsid w:val="008B6D48"/>
    <w:rsid w:val="008B6F53"/>
    <w:rsid w:val="008B6FCC"/>
    <w:rsid w:val="008C02D8"/>
    <w:rsid w:val="008C12E9"/>
    <w:rsid w:val="008C180D"/>
    <w:rsid w:val="008C1B42"/>
    <w:rsid w:val="008C1E4B"/>
    <w:rsid w:val="008C1FDD"/>
    <w:rsid w:val="008C22CF"/>
    <w:rsid w:val="008C26FF"/>
    <w:rsid w:val="008C3270"/>
    <w:rsid w:val="008C3412"/>
    <w:rsid w:val="008C4417"/>
    <w:rsid w:val="008C55BB"/>
    <w:rsid w:val="008C5E97"/>
    <w:rsid w:val="008C6450"/>
    <w:rsid w:val="008C74D6"/>
    <w:rsid w:val="008D0325"/>
    <w:rsid w:val="008D1837"/>
    <w:rsid w:val="008D1F12"/>
    <w:rsid w:val="008D1FCF"/>
    <w:rsid w:val="008D22B1"/>
    <w:rsid w:val="008D2A7F"/>
    <w:rsid w:val="008D2B70"/>
    <w:rsid w:val="008D3128"/>
    <w:rsid w:val="008D3216"/>
    <w:rsid w:val="008D33A9"/>
    <w:rsid w:val="008D34A3"/>
    <w:rsid w:val="008D36F6"/>
    <w:rsid w:val="008D3DC6"/>
    <w:rsid w:val="008D4557"/>
    <w:rsid w:val="008D48DC"/>
    <w:rsid w:val="008D4943"/>
    <w:rsid w:val="008D4A9A"/>
    <w:rsid w:val="008D50DF"/>
    <w:rsid w:val="008D5655"/>
    <w:rsid w:val="008D5C8A"/>
    <w:rsid w:val="008D5D8A"/>
    <w:rsid w:val="008D5FD6"/>
    <w:rsid w:val="008D61A7"/>
    <w:rsid w:val="008D6381"/>
    <w:rsid w:val="008D6539"/>
    <w:rsid w:val="008D6949"/>
    <w:rsid w:val="008D6C1B"/>
    <w:rsid w:val="008D710B"/>
    <w:rsid w:val="008D710E"/>
    <w:rsid w:val="008D72F5"/>
    <w:rsid w:val="008D7ACA"/>
    <w:rsid w:val="008D7B3C"/>
    <w:rsid w:val="008E02A6"/>
    <w:rsid w:val="008E0A1B"/>
    <w:rsid w:val="008E2013"/>
    <w:rsid w:val="008E25B6"/>
    <w:rsid w:val="008E2949"/>
    <w:rsid w:val="008E2BB0"/>
    <w:rsid w:val="008E2DAA"/>
    <w:rsid w:val="008E2F37"/>
    <w:rsid w:val="008E315A"/>
    <w:rsid w:val="008E317C"/>
    <w:rsid w:val="008E356C"/>
    <w:rsid w:val="008E4193"/>
    <w:rsid w:val="008E4871"/>
    <w:rsid w:val="008E4937"/>
    <w:rsid w:val="008E4A6D"/>
    <w:rsid w:val="008E4B29"/>
    <w:rsid w:val="008E51F0"/>
    <w:rsid w:val="008E5B4B"/>
    <w:rsid w:val="008E60AB"/>
    <w:rsid w:val="008E63D8"/>
    <w:rsid w:val="008E6673"/>
    <w:rsid w:val="008E7609"/>
    <w:rsid w:val="008F040F"/>
    <w:rsid w:val="008F0EE3"/>
    <w:rsid w:val="008F17A7"/>
    <w:rsid w:val="008F17F3"/>
    <w:rsid w:val="008F18C5"/>
    <w:rsid w:val="008F1FFE"/>
    <w:rsid w:val="008F2031"/>
    <w:rsid w:val="008F2A11"/>
    <w:rsid w:val="008F2AC4"/>
    <w:rsid w:val="008F43D8"/>
    <w:rsid w:val="008F4FAE"/>
    <w:rsid w:val="008F50C9"/>
    <w:rsid w:val="008F5498"/>
    <w:rsid w:val="008F556A"/>
    <w:rsid w:val="008F5A4D"/>
    <w:rsid w:val="008F5F12"/>
    <w:rsid w:val="008F6046"/>
    <w:rsid w:val="008F6E8D"/>
    <w:rsid w:val="008F722C"/>
    <w:rsid w:val="00900351"/>
    <w:rsid w:val="00900833"/>
    <w:rsid w:val="00900DDD"/>
    <w:rsid w:val="00901128"/>
    <w:rsid w:val="00901B6D"/>
    <w:rsid w:val="00901CE4"/>
    <w:rsid w:val="00902034"/>
    <w:rsid w:val="00902114"/>
    <w:rsid w:val="009022D9"/>
    <w:rsid w:val="009024AC"/>
    <w:rsid w:val="00902693"/>
    <w:rsid w:val="00902961"/>
    <w:rsid w:val="009034C1"/>
    <w:rsid w:val="00903BDC"/>
    <w:rsid w:val="00903E74"/>
    <w:rsid w:val="00904CDC"/>
    <w:rsid w:val="00904EE6"/>
    <w:rsid w:val="00904F53"/>
    <w:rsid w:val="009052EF"/>
    <w:rsid w:val="009053E9"/>
    <w:rsid w:val="00905712"/>
    <w:rsid w:val="0090586C"/>
    <w:rsid w:val="0090596C"/>
    <w:rsid w:val="00905F47"/>
    <w:rsid w:val="009068E1"/>
    <w:rsid w:val="00906E2B"/>
    <w:rsid w:val="00907671"/>
    <w:rsid w:val="00907ACF"/>
    <w:rsid w:val="00910A8D"/>
    <w:rsid w:val="00910C40"/>
    <w:rsid w:val="00910D38"/>
    <w:rsid w:val="00910D8A"/>
    <w:rsid w:val="0091105D"/>
    <w:rsid w:val="0091168D"/>
    <w:rsid w:val="0091168F"/>
    <w:rsid w:val="00911B8C"/>
    <w:rsid w:val="00912179"/>
    <w:rsid w:val="009122D6"/>
    <w:rsid w:val="00912374"/>
    <w:rsid w:val="00912C95"/>
    <w:rsid w:val="00914CE0"/>
    <w:rsid w:val="009151AE"/>
    <w:rsid w:val="009153CE"/>
    <w:rsid w:val="0091558B"/>
    <w:rsid w:val="00915C50"/>
    <w:rsid w:val="009164FA"/>
    <w:rsid w:val="00916508"/>
    <w:rsid w:val="009166E8"/>
    <w:rsid w:val="00916CCE"/>
    <w:rsid w:val="00916CD3"/>
    <w:rsid w:val="00916DFF"/>
    <w:rsid w:val="0091713C"/>
    <w:rsid w:val="009176AF"/>
    <w:rsid w:val="00917A22"/>
    <w:rsid w:val="00917BD3"/>
    <w:rsid w:val="00921295"/>
    <w:rsid w:val="0092259E"/>
    <w:rsid w:val="00923273"/>
    <w:rsid w:val="009242F4"/>
    <w:rsid w:val="00924B58"/>
    <w:rsid w:val="00924F2C"/>
    <w:rsid w:val="0092575E"/>
    <w:rsid w:val="0092580A"/>
    <w:rsid w:val="00925DA5"/>
    <w:rsid w:val="00925FF4"/>
    <w:rsid w:val="009264FB"/>
    <w:rsid w:val="00927320"/>
    <w:rsid w:val="0092770A"/>
    <w:rsid w:val="00927AA0"/>
    <w:rsid w:val="00930303"/>
    <w:rsid w:val="00931D6C"/>
    <w:rsid w:val="009325E3"/>
    <w:rsid w:val="00932A19"/>
    <w:rsid w:val="0093314B"/>
    <w:rsid w:val="00933D66"/>
    <w:rsid w:val="00934209"/>
    <w:rsid w:val="00934435"/>
    <w:rsid w:val="00934682"/>
    <w:rsid w:val="00935382"/>
    <w:rsid w:val="00935495"/>
    <w:rsid w:val="00935FF2"/>
    <w:rsid w:val="009365E2"/>
    <w:rsid w:val="00936A53"/>
    <w:rsid w:val="00936B29"/>
    <w:rsid w:val="00936BC5"/>
    <w:rsid w:val="0093728D"/>
    <w:rsid w:val="00937527"/>
    <w:rsid w:val="0093772C"/>
    <w:rsid w:val="00940145"/>
    <w:rsid w:val="009403F2"/>
    <w:rsid w:val="0094174E"/>
    <w:rsid w:val="00942909"/>
    <w:rsid w:val="00943268"/>
    <w:rsid w:val="00944D61"/>
    <w:rsid w:val="00945541"/>
    <w:rsid w:val="00946A46"/>
    <w:rsid w:val="00946AAC"/>
    <w:rsid w:val="00946F46"/>
    <w:rsid w:val="00947110"/>
    <w:rsid w:val="00947726"/>
    <w:rsid w:val="00947C91"/>
    <w:rsid w:val="00950420"/>
    <w:rsid w:val="00950C04"/>
    <w:rsid w:val="00950E3A"/>
    <w:rsid w:val="00950E6D"/>
    <w:rsid w:val="00950FE4"/>
    <w:rsid w:val="009513A2"/>
    <w:rsid w:val="009520F6"/>
    <w:rsid w:val="00952C84"/>
    <w:rsid w:val="00952D0F"/>
    <w:rsid w:val="00953021"/>
    <w:rsid w:val="009532DD"/>
    <w:rsid w:val="00953D2A"/>
    <w:rsid w:val="009547EF"/>
    <w:rsid w:val="00954BA3"/>
    <w:rsid w:val="009555D3"/>
    <w:rsid w:val="00955C67"/>
    <w:rsid w:val="00956098"/>
    <w:rsid w:val="00956218"/>
    <w:rsid w:val="00956B46"/>
    <w:rsid w:val="00956EFE"/>
    <w:rsid w:val="00957114"/>
    <w:rsid w:val="00957434"/>
    <w:rsid w:val="0095751E"/>
    <w:rsid w:val="00960022"/>
    <w:rsid w:val="00960621"/>
    <w:rsid w:val="00960E57"/>
    <w:rsid w:val="00961B1D"/>
    <w:rsid w:val="00962041"/>
    <w:rsid w:val="0096222C"/>
    <w:rsid w:val="0096287D"/>
    <w:rsid w:val="00962D10"/>
    <w:rsid w:val="00962E94"/>
    <w:rsid w:val="009632F2"/>
    <w:rsid w:val="00963560"/>
    <w:rsid w:val="00963620"/>
    <w:rsid w:val="00963A2C"/>
    <w:rsid w:val="0096446E"/>
    <w:rsid w:val="00964837"/>
    <w:rsid w:val="00964F04"/>
    <w:rsid w:val="009651DF"/>
    <w:rsid w:val="009667E8"/>
    <w:rsid w:val="00966A63"/>
    <w:rsid w:val="00966A9B"/>
    <w:rsid w:val="009677CB"/>
    <w:rsid w:val="00970369"/>
    <w:rsid w:val="00970A67"/>
    <w:rsid w:val="00970F37"/>
    <w:rsid w:val="00971A16"/>
    <w:rsid w:val="00971BDA"/>
    <w:rsid w:val="00972169"/>
    <w:rsid w:val="009724CF"/>
    <w:rsid w:val="00972EDB"/>
    <w:rsid w:val="00972F08"/>
    <w:rsid w:val="00973C47"/>
    <w:rsid w:val="00973F4A"/>
    <w:rsid w:val="00974580"/>
    <w:rsid w:val="009748F5"/>
    <w:rsid w:val="00974C34"/>
    <w:rsid w:val="00974CE7"/>
    <w:rsid w:val="009751B8"/>
    <w:rsid w:val="00976592"/>
    <w:rsid w:val="00976712"/>
    <w:rsid w:val="00976D18"/>
    <w:rsid w:val="00976FD1"/>
    <w:rsid w:val="009776B0"/>
    <w:rsid w:val="0097788E"/>
    <w:rsid w:val="00977EE2"/>
    <w:rsid w:val="009801E0"/>
    <w:rsid w:val="0098024E"/>
    <w:rsid w:val="00980334"/>
    <w:rsid w:val="0098041A"/>
    <w:rsid w:val="00980748"/>
    <w:rsid w:val="00980C19"/>
    <w:rsid w:val="00980CA4"/>
    <w:rsid w:val="009815AB"/>
    <w:rsid w:val="009818BA"/>
    <w:rsid w:val="009819A6"/>
    <w:rsid w:val="00981DDD"/>
    <w:rsid w:val="0098210F"/>
    <w:rsid w:val="0098221E"/>
    <w:rsid w:val="00982783"/>
    <w:rsid w:val="009834D1"/>
    <w:rsid w:val="00983DA2"/>
    <w:rsid w:val="00984A23"/>
    <w:rsid w:val="00984BDB"/>
    <w:rsid w:val="00984F14"/>
    <w:rsid w:val="009853DC"/>
    <w:rsid w:val="009854EB"/>
    <w:rsid w:val="00985853"/>
    <w:rsid w:val="00985A8A"/>
    <w:rsid w:val="00985E05"/>
    <w:rsid w:val="00985ECE"/>
    <w:rsid w:val="0098601F"/>
    <w:rsid w:val="009870DC"/>
    <w:rsid w:val="009875DE"/>
    <w:rsid w:val="00987966"/>
    <w:rsid w:val="00987D6C"/>
    <w:rsid w:val="00987F0E"/>
    <w:rsid w:val="00990422"/>
    <w:rsid w:val="00990576"/>
    <w:rsid w:val="009911B5"/>
    <w:rsid w:val="009911E1"/>
    <w:rsid w:val="009916AD"/>
    <w:rsid w:val="009918FC"/>
    <w:rsid w:val="00991F23"/>
    <w:rsid w:val="00993435"/>
    <w:rsid w:val="009940BE"/>
    <w:rsid w:val="00994111"/>
    <w:rsid w:val="00994586"/>
    <w:rsid w:val="0099465D"/>
    <w:rsid w:val="00994761"/>
    <w:rsid w:val="00994AE2"/>
    <w:rsid w:val="00994C56"/>
    <w:rsid w:val="00995382"/>
    <w:rsid w:val="00995536"/>
    <w:rsid w:val="009959ED"/>
    <w:rsid w:val="00995AD5"/>
    <w:rsid w:val="009963F6"/>
    <w:rsid w:val="00996D45"/>
    <w:rsid w:val="00997120"/>
    <w:rsid w:val="0099746A"/>
    <w:rsid w:val="009976E3"/>
    <w:rsid w:val="00997C2F"/>
    <w:rsid w:val="00997D61"/>
    <w:rsid w:val="009A0FF0"/>
    <w:rsid w:val="009A1D30"/>
    <w:rsid w:val="009A1F3B"/>
    <w:rsid w:val="009A27F1"/>
    <w:rsid w:val="009A2A5C"/>
    <w:rsid w:val="009A37F9"/>
    <w:rsid w:val="009A3BBD"/>
    <w:rsid w:val="009A3C64"/>
    <w:rsid w:val="009A409F"/>
    <w:rsid w:val="009A4295"/>
    <w:rsid w:val="009A4339"/>
    <w:rsid w:val="009A48D4"/>
    <w:rsid w:val="009A4BD8"/>
    <w:rsid w:val="009A5580"/>
    <w:rsid w:val="009A5ACE"/>
    <w:rsid w:val="009A5D1B"/>
    <w:rsid w:val="009A5D8C"/>
    <w:rsid w:val="009A7881"/>
    <w:rsid w:val="009A79ED"/>
    <w:rsid w:val="009A7D6C"/>
    <w:rsid w:val="009A7E98"/>
    <w:rsid w:val="009A7FFE"/>
    <w:rsid w:val="009B0183"/>
    <w:rsid w:val="009B0606"/>
    <w:rsid w:val="009B0A0D"/>
    <w:rsid w:val="009B0F31"/>
    <w:rsid w:val="009B1DD9"/>
    <w:rsid w:val="009B204C"/>
    <w:rsid w:val="009B21A1"/>
    <w:rsid w:val="009B30CE"/>
    <w:rsid w:val="009B35CD"/>
    <w:rsid w:val="009B39D8"/>
    <w:rsid w:val="009B39FC"/>
    <w:rsid w:val="009B39FE"/>
    <w:rsid w:val="009B3F6E"/>
    <w:rsid w:val="009B40F1"/>
    <w:rsid w:val="009B4CDE"/>
    <w:rsid w:val="009B50F4"/>
    <w:rsid w:val="009B5817"/>
    <w:rsid w:val="009B5AD6"/>
    <w:rsid w:val="009B6219"/>
    <w:rsid w:val="009B66B6"/>
    <w:rsid w:val="009B6AAC"/>
    <w:rsid w:val="009B6B41"/>
    <w:rsid w:val="009B7435"/>
    <w:rsid w:val="009B79A4"/>
    <w:rsid w:val="009B7C74"/>
    <w:rsid w:val="009B7DFF"/>
    <w:rsid w:val="009B7E14"/>
    <w:rsid w:val="009C001D"/>
    <w:rsid w:val="009C0106"/>
    <w:rsid w:val="009C1196"/>
    <w:rsid w:val="009C19CD"/>
    <w:rsid w:val="009C2996"/>
    <w:rsid w:val="009C2BA6"/>
    <w:rsid w:val="009C3316"/>
    <w:rsid w:val="009C33FF"/>
    <w:rsid w:val="009C371F"/>
    <w:rsid w:val="009C3C62"/>
    <w:rsid w:val="009C4501"/>
    <w:rsid w:val="009C459A"/>
    <w:rsid w:val="009C48D6"/>
    <w:rsid w:val="009C5577"/>
    <w:rsid w:val="009C566C"/>
    <w:rsid w:val="009C5703"/>
    <w:rsid w:val="009C588E"/>
    <w:rsid w:val="009C5AA5"/>
    <w:rsid w:val="009C5F3B"/>
    <w:rsid w:val="009C6034"/>
    <w:rsid w:val="009C66DD"/>
    <w:rsid w:val="009C6EA6"/>
    <w:rsid w:val="009C7500"/>
    <w:rsid w:val="009C7929"/>
    <w:rsid w:val="009C7DD4"/>
    <w:rsid w:val="009D0041"/>
    <w:rsid w:val="009D0962"/>
    <w:rsid w:val="009D0D08"/>
    <w:rsid w:val="009D19A2"/>
    <w:rsid w:val="009D2014"/>
    <w:rsid w:val="009D222C"/>
    <w:rsid w:val="009D2556"/>
    <w:rsid w:val="009D2601"/>
    <w:rsid w:val="009D2654"/>
    <w:rsid w:val="009D2ABC"/>
    <w:rsid w:val="009D2E14"/>
    <w:rsid w:val="009D4FF8"/>
    <w:rsid w:val="009D5063"/>
    <w:rsid w:val="009D51BE"/>
    <w:rsid w:val="009D542A"/>
    <w:rsid w:val="009D554B"/>
    <w:rsid w:val="009D58C6"/>
    <w:rsid w:val="009D5F1B"/>
    <w:rsid w:val="009D5FAF"/>
    <w:rsid w:val="009D61F4"/>
    <w:rsid w:val="009D666D"/>
    <w:rsid w:val="009D69BA"/>
    <w:rsid w:val="009D6A78"/>
    <w:rsid w:val="009D6CC3"/>
    <w:rsid w:val="009D7283"/>
    <w:rsid w:val="009D773A"/>
    <w:rsid w:val="009D7922"/>
    <w:rsid w:val="009D7A28"/>
    <w:rsid w:val="009E0092"/>
    <w:rsid w:val="009E0724"/>
    <w:rsid w:val="009E0966"/>
    <w:rsid w:val="009E13BF"/>
    <w:rsid w:val="009E29AA"/>
    <w:rsid w:val="009E2F3C"/>
    <w:rsid w:val="009E3167"/>
    <w:rsid w:val="009E3351"/>
    <w:rsid w:val="009E4000"/>
    <w:rsid w:val="009E4972"/>
    <w:rsid w:val="009E50F5"/>
    <w:rsid w:val="009E5418"/>
    <w:rsid w:val="009E5893"/>
    <w:rsid w:val="009E6AD9"/>
    <w:rsid w:val="009E6D65"/>
    <w:rsid w:val="009E7777"/>
    <w:rsid w:val="009E7C4B"/>
    <w:rsid w:val="009E7CAA"/>
    <w:rsid w:val="009E7FFD"/>
    <w:rsid w:val="009F0166"/>
    <w:rsid w:val="009F0441"/>
    <w:rsid w:val="009F1531"/>
    <w:rsid w:val="009F1B96"/>
    <w:rsid w:val="009F1DEC"/>
    <w:rsid w:val="009F2367"/>
    <w:rsid w:val="009F23EB"/>
    <w:rsid w:val="009F2B76"/>
    <w:rsid w:val="009F2C60"/>
    <w:rsid w:val="009F2CB4"/>
    <w:rsid w:val="009F2DED"/>
    <w:rsid w:val="009F2E6D"/>
    <w:rsid w:val="009F49F3"/>
    <w:rsid w:val="009F4B0E"/>
    <w:rsid w:val="009F4C03"/>
    <w:rsid w:val="009F4D8A"/>
    <w:rsid w:val="009F5603"/>
    <w:rsid w:val="009F5BF5"/>
    <w:rsid w:val="009F65F9"/>
    <w:rsid w:val="009F6D1B"/>
    <w:rsid w:val="009F6E94"/>
    <w:rsid w:val="009F74B8"/>
    <w:rsid w:val="009F78A8"/>
    <w:rsid w:val="00A00441"/>
    <w:rsid w:val="00A00994"/>
    <w:rsid w:val="00A01B22"/>
    <w:rsid w:val="00A01E26"/>
    <w:rsid w:val="00A02488"/>
    <w:rsid w:val="00A02AC4"/>
    <w:rsid w:val="00A02E6C"/>
    <w:rsid w:val="00A03129"/>
    <w:rsid w:val="00A03198"/>
    <w:rsid w:val="00A03EEB"/>
    <w:rsid w:val="00A04449"/>
    <w:rsid w:val="00A0451F"/>
    <w:rsid w:val="00A04673"/>
    <w:rsid w:val="00A048D8"/>
    <w:rsid w:val="00A04EE1"/>
    <w:rsid w:val="00A050C9"/>
    <w:rsid w:val="00A055BF"/>
    <w:rsid w:val="00A05835"/>
    <w:rsid w:val="00A05E57"/>
    <w:rsid w:val="00A05EC6"/>
    <w:rsid w:val="00A0689A"/>
    <w:rsid w:val="00A06AB2"/>
    <w:rsid w:val="00A06C12"/>
    <w:rsid w:val="00A071D6"/>
    <w:rsid w:val="00A0746B"/>
    <w:rsid w:val="00A1020D"/>
    <w:rsid w:val="00A113A5"/>
    <w:rsid w:val="00A11A00"/>
    <w:rsid w:val="00A11F1C"/>
    <w:rsid w:val="00A12288"/>
    <w:rsid w:val="00A13071"/>
    <w:rsid w:val="00A13474"/>
    <w:rsid w:val="00A138AD"/>
    <w:rsid w:val="00A138F0"/>
    <w:rsid w:val="00A14904"/>
    <w:rsid w:val="00A14DF2"/>
    <w:rsid w:val="00A14ECC"/>
    <w:rsid w:val="00A1571F"/>
    <w:rsid w:val="00A16546"/>
    <w:rsid w:val="00A16C7F"/>
    <w:rsid w:val="00A16E5D"/>
    <w:rsid w:val="00A16FD3"/>
    <w:rsid w:val="00A17024"/>
    <w:rsid w:val="00A17567"/>
    <w:rsid w:val="00A20280"/>
    <w:rsid w:val="00A2057A"/>
    <w:rsid w:val="00A20768"/>
    <w:rsid w:val="00A20AE8"/>
    <w:rsid w:val="00A20E49"/>
    <w:rsid w:val="00A21033"/>
    <w:rsid w:val="00A2210A"/>
    <w:rsid w:val="00A22343"/>
    <w:rsid w:val="00A22987"/>
    <w:rsid w:val="00A22EBD"/>
    <w:rsid w:val="00A23086"/>
    <w:rsid w:val="00A2339F"/>
    <w:rsid w:val="00A23780"/>
    <w:rsid w:val="00A23BC8"/>
    <w:rsid w:val="00A23D47"/>
    <w:rsid w:val="00A24102"/>
    <w:rsid w:val="00A24F1C"/>
    <w:rsid w:val="00A25432"/>
    <w:rsid w:val="00A25AF8"/>
    <w:rsid w:val="00A25E95"/>
    <w:rsid w:val="00A2625D"/>
    <w:rsid w:val="00A26BE1"/>
    <w:rsid w:val="00A26DDD"/>
    <w:rsid w:val="00A26FC7"/>
    <w:rsid w:val="00A27106"/>
    <w:rsid w:val="00A3077D"/>
    <w:rsid w:val="00A30EC5"/>
    <w:rsid w:val="00A31599"/>
    <w:rsid w:val="00A31680"/>
    <w:rsid w:val="00A31D68"/>
    <w:rsid w:val="00A329FC"/>
    <w:rsid w:val="00A32C1F"/>
    <w:rsid w:val="00A32C47"/>
    <w:rsid w:val="00A32EB0"/>
    <w:rsid w:val="00A335DA"/>
    <w:rsid w:val="00A339CA"/>
    <w:rsid w:val="00A33FEB"/>
    <w:rsid w:val="00A34320"/>
    <w:rsid w:val="00A3471C"/>
    <w:rsid w:val="00A35111"/>
    <w:rsid w:val="00A354F1"/>
    <w:rsid w:val="00A35565"/>
    <w:rsid w:val="00A3600B"/>
    <w:rsid w:val="00A36185"/>
    <w:rsid w:val="00A368BA"/>
    <w:rsid w:val="00A36CF1"/>
    <w:rsid w:val="00A36EA4"/>
    <w:rsid w:val="00A370FB"/>
    <w:rsid w:val="00A3738C"/>
    <w:rsid w:val="00A3749A"/>
    <w:rsid w:val="00A37797"/>
    <w:rsid w:val="00A37966"/>
    <w:rsid w:val="00A37A2B"/>
    <w:rsid w:val="00A401A2"/>
    <w:rsid w:val="00A406C9"/>
    <w:rsid w:val="00A40A0C"/>
    <w:rsid w:val="00A40B80"/>
    <w:rsid w:val="00A4120A"/>
    <w:rsid w:val="00A41264"/>
    <w:rsid w:val="00A4126E"/>
    <w:rsid w:val="00A41BFB"/>
    <w:rsid w:val="00A42298"/>
    <w:rsid w:val="00A425EB"/>
    <w:rsid w:val="00A427D2"/>
    <w:rsid w:val="00A4296B"/>
    <w:rsid w:val="00A42D4E"/>
    <w:rsid w:val="00A42E4D"/>
    <w:rsid w:val="00A42E6C"/>
    <w:rsid w:val="00A43F51"/>
    <w:rsid w:val="00A4474A"/>
    <w:rsid w:val="00A44A48"/>
    <w:rsid w:val="00A44AF9"/>
    <w:rsid w:val="00A44FA3"/>
    <w:rsid w:val="00A453BF"/>
    <w:rsid w:val="00A45E97"/>
    <w:rsid w:val="00A46A76"/>
    <w:rsid w:val="00A46B49"/>
    <w:rsid w:val="00A46C84"/>
    <w:rsid w:val="00A46DCA"/>
    <w:rsid w:val="00A47027"/>
    <w:rsid w:val="00A4711D"/>
    <w:rsid w:val="00A47578"/>
    <w:rsid w:val="00A47735"/>
    <w:rsid w:val="00A50E50"/>
    <w:rsid w:val="00A51F46"/>
    <w:rsid w:val="00A5272F"/>
    <w:rsid w:val="00A5295E"/>
    <w:rsid w:val="00A53007"/>
    <w:rsid w:val="00A534A4"/>
    <w:rsid w:val="00A53E60"/>
    <w:rsid w:val="00A5433C"/>
    <w:rsid w:val="00A546F6"/>
    <w:rsid w:val="00A54AD5"/>
    <w:rsid w:val="00A54B90"/>
    <w:rsid w:val="00A55450"/>
    <w:rsid w:val="00A558B0"/>
    <w:rsid w:val="00A55904"/>
    <w:rsid w:val="00A55AE0"/>
    <w:rsid w:val="00A55EDD"/>
    <w:rsid w:val="00A55F6C"/>
    <w:rsid w:val="00A5624C"/>
    <w:rsid w:val="00A5665D"/>
    <w:rsid w:val="00A5669B"/>
    <w:rsid w:val="00A5749A"/>
    <w:rsid w:val="00A576E7"/>
    <w:rsid w:val="00A57D01"/>
    <w:rsid w:val="00A57D25"/>
    <w:rsid w:val="00A57F38"/>
    <w:rsid w:val="00A6044B"/>
    <w:rsid w:val="00A60B3B"/>
    <w:rsid w:val="00A60D49"/>
    <w:rsid w:val="00A60E46"/>
    <w:rsid w:val="00A61CA5"/>
    <w:rsid w:val="00A61F4A"/>
    <w:rsid w:val="00A620DA"/>
    <w:rsid w:val="00A620F5"/>
    <w:rsid w:val="00A62C60"/>
    <w:rsid w:val="00A62CF5"/>
    <w:rsid w:val="00A62DDC"/>
    <w:rsid w:val="00A62F48"/>
    <w:rsid w:val="00A63085"/>
    <w:rsid w:val="00A6329A"/>
    <w:rsid w:val="00A633A3"/>
    <w:rsid w:val="00A63416"/>
    <w:rsid w:val="00A63818"/>
    <w:rsid w:val="00A63B54"/>
    <w:rsid w:val="00A6491B"/>
    <w:rsid w:val="00A64EFA"/>
    <w:rsid w:val="00A65093"/>
    <w:rsid w:val="00A654D6"/>
    <w:rsid w:val="00A65D1C"/>
    <w:rsid w:val="00A6602C"/>
    <w:rsid w:val="00A660BA"/>
    <w:rsid w:val="00A67520"/>
    <w:rsid w:val="00A6774B"/>
    <w:rsid w:val="00A67A70"/>
    <w:rsid w:val="00A67FDE"/>
    <w:rsid w:val="00A70045"/>
    <w:rsid w:val="00A70945"/>
    <w:rsid w:val="00A709DD"/>
    <w:rsid w:val="00A7161A"/>
    <w:rsid w:val="00A72107"/>
    <w:rsid w:val="00A72154"/>
    <w:rsid w:val="00A721EF"/>
    <w:rsid w:val="00A72912"/>
    <w:rsid w:val="00A7310D"/>
    <w:rsid w:val="00A7369C"/>
    <w:rsid w:val="00A73A7C"/>
    <w:rsid w:val="00A74533"/>
    <w:rsid w:val="00A749F7"/>
    <w:rsid w:val="00A75169"/>
    <w:rsid w:val="00A752F6"/>
    <w:rsid w:val="00A76099"/>
    <w:rsid w:val="00A76379"/>
    <w:rsid w:val="00A766B3"/>
    <w:rsid w:val="00A76C53"/>
    <w:rsid w:val="00A7728A"/>
    <w:rsid w:val="00A7749F"/>
    <w:rsid w:val="00A775BF"/>
    <w:rsid w:val="00A77658"/>
    <w:rsid w:val="00A77DF6"/>
    <w:rsid w:val="00A8050B"/>
    <w:rsid w:val="00A80CB4"/>
    <w:rsid w:val="00A81114"/>
    <w:rsid w:val="00A81CCC"/>
    <w:rsid w:val="00A8260E"/>
    <w:rsid w:val="00A830A2"/>
    <w:rsid w:val="00A8327A"/>
    <w:rsid w:val="00A83494"/>
    <w:rsid w:val="00A83864"/>
    <w:rsid w:val="00A83B2C"/>
    <w:rsid w:val="00A84005"/>
    <w:rsid w:val="00A8406E"/>
    <w:rsid w:val="00A846BB"/>
    <w:rsid w:val="00A85549"/>
    <w:rsid w:val="00A85976"/>
    <w:rsid w:val="00A85D3F"/>
    <w:rsid w:val="00A85D8F"/>
    <w:rsid w:val="00A86DB7"/>
    <w:rsid w:val="00A87530"/>
    <w:rsid w:val="00A877D6"/>
    <w:rsid w:val="00A879B3"/>
    <w:rsid w:val="00A87BD4"/>
    <w:rsid w:val="00A87CA0"/>
    <w:rsid w:val="00A900AE"/>
    <w:rsid w:val="00A906F0"/>
    <w:rsid w:val="00A9178B"/>
    <w:rsid w:val="00A92725"/>
    <w:rsid w:val="00A931CF"/>
    <w:rsid w:val="00A93B45"/>
    <w:rsid w:val="00A93F1E"/>
    <w:rsid w:val="00A94008"/>
    <w:rsid w:val="00A943BA"/>
    <w:rsid w:val="00A94867"/>
    <w:rsid w:val="00A94F08"/>
    <w:rsid w:val="00A95199"/>
    <w:rsid w:val="00A951AA"/>
    <w:rsid w:val="00A95F3F"/>
    <w:rsid w:val="00A96107"/>
    <w:rsid w:val="00A968B6"/>
    <w:rsid w:val="00A96B48"/>
    <w:rsid w:val="00A97FBB"/>
    <w:rsid w:val="00AA00C8"/>
    <w:rsid w:val="00AA0A8C"/>
    <w:rsid w:val="00AA0B56"/>
    <w:rsid w:val="00AA0D31"/>
    <w:rsid w:val="00AA0EB3"/>
    <w:rsid w:val="00AA10F7"/>
    <w:rsid w:val="00AA14D0"/>
    <w:rsid w:val="00AA1C0F"/>
    <w:rsid w:val="00AA1C29"/>
    <w:rsid w:val="00AA3C7C"/>
    <w:rsid w:val="00AA40B2"/>
    <w:rsid w:val="00AA4268"/>
    <w:rsid w:val="00AA496B"/>
    <w:rsid w:val="00AA4CD8"/>
    <w:rsid w:val="00AA4FB1"/>
    <w:rsid w:val="00AA5546"/>
    <w:rsid w:val="00AA5CA0"/>
    <w:rsid w:val="00AA5CBE"/>
    <w:rsid w:val="00AA605E"/>
    <w:rsid w:val="00AA6607"/>
    <w:rsid w:val="00AA6E37"/>
    <w:rsid w:val="00AA7231"/>
    <w:rsid w:val="00AA7469"/>
    <w:rsid w:val="00AA7617"/>
    <w:rsid w:val="00AA77D2"/>
    <w:rsid w:val="00AA7F72"/>
    <w:rsid w:val="00AA7F8A"/>
    <w:rsid w:val="00AB07CF"/>
    <w:rsid w:val="00AB0B7D"/>
    <w:rsid w:val="00AB0E3D"/>
    <w:rsid w:val="00AB159A"/>
    <w:rsid w:val="00AB174F"/>
    <w:rsid w:val="00AB1B28"/>
    <w:rsid w:val="00AB1C4C"/>
    <w:rsid w:val="00AB1F6F"/>
    <w:rsid w:val="00AB282A"/>
    <w:rsid w:val="00AB2CB6"/>
    <w:rsid w:val="00AB3058"/>
    <w:rsid w:val="00AB32A1"/>
    <w:rsid w:val="00AB3952"/>
    <w:rsid w:val="00AB3A2B"/>
    <w:rsid w:val="00AB3B75"/>
    <w:rsid w:val="00AB3D54"/>
    <w:rsid w:val="00AB3F1E"/>
    <w:rsid w:val="00AB4A92"/>
    <w:rsid w:val="00AB4B11"/>
    <w:rsid w:val="00AB549D"/>
    <w:rsid w:val="00AB55DA"/>
    <w:rsid w:val="00AB5650"/>
    <w:rsid w:val="00AB56C5"/>
    <w:rsid w:val="00AB6346"/>
    <w:rsid w:val="00AB64BA"/>
    <w:rsid w:val="00AB681A"/>
    <w:rsid w:val="00AB6D6F"/>
    <w:rsid w:val="00AB6E55"/>
    <w:rsid w:val="00AB6FEF"/>
    <w:rsid w:val="00AB72F7"/>
    <w:rsid w:val="00AC00F9"/>
    <w:rsid w:val="00AC043B"/>
    <w:rsid w:val="00AC05A3"/>
    <w:rsid w:val="00AC0DEF"/>
    <w:rsid w:val="00AC1542"/>
    <w:rsid w:val="00AC1787"/>
    <w:rsid w:val="00AC1CF4"/>
    <w:rsid w:val="00AC22CF"/>
    <w:rsid w:val="00AC2E4A"/>
    <w:rsid w:val="00AC333E"/>
    <w:rsid w:val="00AC3A09"/>
    <w:rsid w:val="00AC5063"/>
    <w:rsid w:val="00AC5872"/>
    <w:rsid w:val="00AC641E"/>
    <w:rsid w:val="00AC6E13"/>
    <w:rsid w:val="00AC6F62"/>
    <w:rsid w:val="00AC764E"/>
    <w:rsid w:val="00AC7847"/>
    <w:rsid w:val="00AC7C46"/>
    <w:rsid w:val="00AD028B"/>
    <w:rsid w:val="00AD04C3"/>
    <w:rsid w:val="00AD0549"/>
    <w:rsid w:val="00AD0BE3"/>
    <w:rsid w:val="00AD0BFB"/>
    <w:rsid w:val="00AD1040"/>
    <w:rsid w:val="00AD1303"/>
    <w:rsid w:val="00AD14B0"/>
    <w:rsid w:val="00AD1A6F"/>
    <w:rsid w:val="00AD2686"/>
    <w:rsid w:val="00AD275A"/>
    <w:rsid w:val="00AD2A24"/>
    <w:rsid w:val="00AD36DD"/>
    <w:rsid w:val="00AD41E6"/>
    <w:rsid w:val="00AD4460"/>
    <w:rsid w:val="00AD46A9"/>
    <w:rsid w:val="00AD5349"/>
    <w:rsid w:val="00AD5431"/>
    <w:rsid w:val="00AD5901"/>
    <w:rsid w:val="00AD625B"/>
    <w:rsid w:val="00AD702B"/>
    <w:rsid w:val="00AD70F7"/>
    <w:rsid w:val="00AD7F56"/>
    <w:rsid w:val="00AE06AF"/>
    <w:rsid w:val="00AE08E2"/>
    <w:rsid w:val="00AE096A"/>
    <w:rsid w:val="00AE103F"/>
    <w:rsid w:val="00AE166C"/>
    <w:rsid w:val="00AE189C"/>
    <w:rsid w:val="00AE2012"/>
    <w:rsid w:val="00AE271A"/>
    <w:rsid w:val="00AE279A"/>
    <w:rsid w:val="00AE2FF6"/>
    <w:rsid w:val="00AE3415"/>
    <w:rsid w:val="00AE378F"/>
    <w:rsid w:val="00AE384F"/>
    <w:rsid w:val="00AE3A2E"/>
    <w:rsid w:val="00AE3B67"/>
    <w:rsid w:val="00AE40A5"/>
    <w:rsid w:val="00AE41B7"/>
    <w:rsid w:val="00AE4688"/>
    <w:rsid w:val="00AE4815"/>
    <w:rsid w:val="00AE4A4A"/>
    <w:rsid w:val="00AE55A7"/>
    <w:rsid w:val="00AE55AA"/>
    <w:rsid w:val="00AE5E58"/>
    <w:rsid w:val="00AE6012"/>
    <w:rsid w:val="00AE6204"/>
    <w:rsid w:val="00AE781C"/>
    <w:rsid w:val="00AE7BFE"/>
    <w:rsid w:val="00AE7C47"/>
    <w:rsid w:val="00AF02C6"/>
    <w:rsid w:val="00AF0568"/>
    <w:rsid w:val="00AF065F"/>
    <w:rsid w:val="00AF09BE"/>
    <w:rsid w:val="00AF09E8"/>
    <w:rsid w:val="00AF0B87"/>
    <w:rsid w:val="00AF0C1D"/>
    <w:rsid w:val="00AF1019"/>
    <w:rsid w:val="00AF10A8"/>
    <w:rsid w:val="00AF145D"/>
    <w:rsid w:val="00AF1647"/>
    <w:rsid w:val="00AF1718"/>
    <w:rsid w:val="00AF1804"/>
    <w:rsid w:val="00AF1D02"/>
    <w:rsid w:val="00AF200C"/>
    <w:rsid w:val="00AF214A"/>
    <w:rsid w:val="00AF22B0"/>
    <w:rsid w:val="00AF2AD7"/>
    <w:rsid w:val="00AF2EA7"/>
    <w:rsid w:val="00AF3236"/>
    <w:rsid w:val="00AF3484"/>
    <w:rsid w:val="00AF3C95"/>
    <w:rsid w:val="00AF438D"/>
    <w:rsid w:val="00AF452E"/>
    <w:rsid w:val="00AF480C"/>
    <w:rsid w:val="00AF512F"/>
    <w:rsid w:val="00AF5987"/>
    <w:rsid w:val="00AF6036"/>
    <w:rsid w:val="00AF6432"/>
    <w:rsid w:val="00AF7595"/>
    <w:rsid w:val="00AF7898"/>
    <w:rsid w:val="00B002C1"/>
    <w:rsid w:val="00B00BA7"/>
    <w:rsid w:val="00B010DA"/>
    <w:rsid w:val="00B01970"/>
    <w:rsid w:val="00B01C53"/>
    <w:rsid w:val="00B01F36"/>
    <w:rsid w:val="00B02469"/>
    <w:rsid w:val="00B02B55"/>
    <w:rsid w:val="00B03212"/>
    <w:rsid w:val="00B0340E"/>
    <w:rsid w:val="00B03F5F"/>
    <w:rsid w:val="00B040CA"/>
    <w:rsid w:val="00B043B7"/>
    <w:rsid w:val="00B04456"/>
    <w:rsid w:val="00B04BD8"/>
    <w:rsid w:val="00B04E3A"/>
    <w:rsid w:val="00B04F10"/>
    <w:rsid w:val="00B04F9C"/>
    <w:rsid w:val="00B05755"/>
    <w:rsid w:val="00B0591A"/>
    <w:rsid w:val="00B05A49"/>
    <w:rsid w:val="00B07A1F"/>
    <w:rsid w:val="00B07D87"/>
    <w:rsid w:val="00B1004B"/>
    <w:rsid w:val="00B10134"/>
    <w:rsid w:val="00B10CCA"/>
    <w:rsid w:val="00B10D8D"/>
    <w:rsid w:val="00B11941"/>
    <w:rsid w:val="00B11AE9"/>
    <w:rsid w:val="00B11E77"/>
    <w:rsid w:val="00B12043"/>
    <w:rsid w:val="00B124CC"/>
    <w:rsid w:val="00B12F2A"/>
    <w:rsid w:val="00B12FE9"/>
    <w:rsid w:val="00B135FE"/>
    <w:rsid w:val="00B13751"/>
    <w:rsid w:val="00B13F09"/>
    <w:rsid w:val="00B14774"/>
    <w:rsid w:val="00B15285"/>
    <w:rsid w:val="00B15715"/>
    <w:rsid w:val="00B1572D"/>
    <w:rsid w:val="00B16A21"/>
    <w:rsid w:val="00B20905"/>
    <w:rsid w:val="00B209A6"/>
    <w:rsid w:val="00B209C0"/>
    <w:rsid w:val="00B20AA2"/>
    <w:rsid w:val="00B20D90"/>
    <w:rsid w:val="00B20DDB"/>
    <w:rsid w:val="00B21444"/>
    <w:rsid w:val="00B21607"/>
    <w:rsid w:val="00B21ECE"/>
    <w:rsid w:val="00B221C2"/>
    <w:rsid w:val="00B22240"/>
    <w:rsid w:val="00B2244B"/>
    <w:rsid w:val="00B237F3"/>
    <w:rsid w:val="00B23B4A"/>
    <w:rsid w:val="00B23B9A"/>
    <w:rsid w:val="00B23F8E"/>
    <w:rsid w:val="00B24212"/>
    <w:rsid w:val="00B24454"/>
    <w:rsid w:val="00B24ECC"/>
    <w:rsid w:val="00B251C0"/>
    <w:rsid w:val="00B25331"/>
    <w:rsid w:val="00B25780"/>
    <w:rsid w:val="00B2595E"/>
    <w:rsid w:val="00B25E22"/>
    <w:rsid w:val="00B26C64"/>
    <w:rsid w:val="00B26CD5"/>
    <w:rsid w:val="00B2709B"/>
    <w:rsid w:val="00B27364"/>
    <w:rsid w:val="00B2736F"/>
    <w:rsid w:val="00B274F7"/>
    <w:rsid w:val="00B3078A"/>
    <w:rsid w:val="00B30D6B"/>
    <w:rsid w:val="00B30F0A"/>
    <w:rsid w:val="00B31B3A"/>
    <w:rsid w:val="00B31E45"/>
    <w:rsid w:val="00B3333E"/>
    <w:rsid w:val="00B33799"/>
    <w:rsid w:val="00B3421A"/>
    <w:rsid w:val="00B342DD"/>
    <w:rsid w:val="00B342FF"/>
    <w:rsid w:val="00B344D8"/>
    <w:rsid w:val="00B345B8"/>
    <w:rsid w:val="00B3537F"/>
    <w:rsid w:val="00B35B55"/>
    <w:rsid w:val="00B35CE0"/>
    <w:rsid w:val="00B35D0E"/>
    <w:rsid w:val="00B35E8A"/>
    <w:rsid w:val="00B36272"/>
    <w:rsid w:val="00B365EB"/>
    <w:rsid w:val="00B3709A"/>
    <w:rsid w:val="00B372B7"/>
    <w:rsid w:val="00B3737C"/>
    <w:rsid w:val="00B37425"/>
    <w:rsid w:val="00B3763E"/>
    <w:rsid w:val="00B3784B"/>
    <w:rsid w:val="00B37850"/>
    <w:rsid w:val="00B3785A"/>
    <w:rsid w:val="00B378AC"/>
    <w:rsid w:val="00B37999"/>
    <w:rsid w:val="00B37D62"/>
    <w:rsid w:val="00B401C2"/>
    <w:rsid w:val="00B40696"/>
    <w:rsid w:val="00B40E9B"/>
    <w:rsid w:val="00B415F0"/>
    <w:rsid w:val="00B418C4"/>
    <w:rsid w:val="00B418CB"/>
    <w:rsid w:val="00B41D16"/>
    <w:rsid w:val="00B42006"/>
    <w:rsid w:val="00B425C9"/>
    <w:rsid w:val="00B426FC"/>
    <w:rsid w:val="00B42896"/>
    <w:rsid w:val="00B430E4"/>
    <w:rsid w:val="00B436A6"/>
    <w:rsid w:val="00B437DC"/>
    <w:rsid w:val="00B43957"/>
    <w:rsid w:val="00B43A2F"/>
    <w:rsid w:val="00B43A93"/>
    <w:rsid w:val="00B43D6C"/>
    <w:rsid w:val="00B43F20"/>
    <w:rsid w:val="00B43F8D"/>
    <w:rsid w:val="00B44010"/>
    <w:rsid w:val="00B441D5"/>
    <w:rsid w:val="00B442BC"/>
    <w:rsid w:val="00B44360"/>
    <w:rsid w:val="00B447E7"/>
    <w:rsid w:val="00B4497D"/>
    <w:rsid w:val="00B44C88"/>
    <w:rsid w:val="00B44F62"/>
    <w:rsid w:val="00B452E3"/>
    <w:rsid w:val="00B457B3"/>
    <w:rsid w:val="00B45BD7"/>
    <w:rsid w:val="00B4639C"/>
    <w:rsid w:val="00B467ED"/>
    <w:rsid w:val="00B475E4"/>
    <w:rsid w:val="00B47FA1"/>
    <w:rsid w:val="00B5045E"/>
    <w:rsid w:val="00B50A0A"/>
    <w:rsid w:val="00B50BFA"/>
    <w:rsid w:val="00B50C59"/>
    <w:rsid w:val="00B51389"/>
    <w:rsid w:val="00B51BCB"/>
    <w:rsid w:val="00B52104"/>
    <w:rsid w:val="00B5253A"/>
    <w:rsid w:val="00B52615"/>
    <w:rsid w:val="00B52BD8"/>
    <w:rsid w:val="00B52F6D"/>
    <w:rsid w:val="00B5363D"/>
    <w:rsid w:val="00B538FD"/>
    <w:rsid w:val="00B53974"/>
    <w:rsid w:val="00B542AF"/>
    <w:rsid w:val="00B54FCF"/>
    <w:rsid w:val="00B5566A"/>
    <w:rsid w:val="00B5572D"/>
    <w:rsid w:val="00B55987"/>
    <w:rsid w:val="00B55C21"/>
    <w:rsid w:val="00B55DB6"/>
    <w:rsid w:val="00B56538"/>
    <w:rsid w:val="00B56C68"/>
    <w:rsid w:val="00B56C8B"/>
    <w:rsid w:val="00B56DCC"/>
    <w:rsid w:val="00B56F8D"/>
    <w:rsid w:val="00B571AC"/>
    <w:rsid w:val="00B576CB"/>
    <w:rsid w:val="00B57A36"/>
    <w:rsid w:val="00B60408"/>
    <w:rsid w:val="00B6062E"/>
    <w:rsid w:val="00B61465"/>
    <w:rsid w:val="00B629D8"/>
    <w:rsid w:val="00B63899"/>
    <w:rsid w:val="00B638B8"/>
    <w:rsid w:val="00B63CD4"/>
    <w:rsid w:val="00B645E0"/>
    <w:rsid w:val="00B64BB2"/>
    <w:rsid w:val="00B64CB6"/>
    <w:rsid w:val="00B64FE9"/>
    <w:rsid w:val="00B66447"/>
    <w:rsid w:val="00B664DB"/>
    <w:rsid w:val="00B66AA2"/>
    <w:rsid w:val="00B67CEC"/>
    <w:rsid w:val="00B70414"/>
    <w:rsid w:val="00B70D87"/>
    <w:rsid w:val="00B71880"/>
    <w:rsid w:val="00B72278"/>
    <w:rsid w:val="00B73006"/>
    <w:rsid w:val="00B73284"/>
    <w:rsid w:val="00B73AEF"/>
    <w:rsid w:val="00B743BB"/>
    <w:rsid w:val="00B74536"/>
    <w:rsid w:val="00B7492B"/>
    <w:rsid w:val="00B74BAA"/>
    <w:rsid w:val="00B7563A"/>
    <w:rsid w:val="00B75750"/>
    <w:rsid w:val="00B76410"/>
    <w:rsid w:val="00B768E9"/>
    <w:rsid w:val="00B76EAA"/>
    <w:rsid w:val="00B775F7"/>
    <w:rsid w:val="00B808A5"/>
    <w:rsid w:val="00B80B46"/>
    <w:rsid w:val="00B80D0F"/>
    <w:rsid w:val="00B8100F"/>
    <w:rsid w:val="00B811FC"/>
    <w:rsid w:val="00B8146F"/>
    <w:rsid w:val="00B817B3"/>
    <w:rsid w:val="00B81F29"/>
    <w:rsid w:val="00B8209A"/>
    <w:rsid w:val="00B82D11"/>
    <w:rsid w:val="00B830BD"/>
    <w:rsid w:val="00B832F7"/>
    <w:rsid w:val="00B83B77"/>
    <w:rsid w:val="00B84379"/>
    <w:rsid w:val="00B8473B"/>
    <w:rsid w:val="00B85D1D"/>
    <w:rsid w:val="00B8600B"/>
    <w:rsid w:val="00B86326"/>
    <w:rsid w:val="00B86377"/>
    <w:rsid w:val="00B8729A"/>
    <w:rsid w:val="00B87408"/>
    <w:rsid w:val="00B87713"/>
    <w:rsid w:val="00B87F02"/>
    <w:rsid w:val="00B914BC"/>
    <w:rsid w:val="00B91E91"/>
    <w:rsid w:val="00B9273B"/>
    <w:rsid w:val="00B9287B"/>
    <w:rsid w:val="00B92E77"/>
    <w:rsid w:val="00B93090"/>
    <w:rsid w:val="00B93BF5"/>
    <w:rsid w:val="00B93FBD"/>
    <w:rsid w:val="00B94084"/>
    <w:rsid w:val="00B94946"/>
    <w:rsid w:val="00B949FA"/>
    <w:rsid w:val="00B94F7D"/>
    <w:rsid w:val="00B953C9"/>
    <w:rsid w:val="00B95552"/>
    <w:rsid w:val="00B95713"/>
    <w:rsid w:val="00B95AB7"/>
    <w:rsid w:val="00B9799B"/>
    <w:rsid w:val="00B97C68"/>
    <w:rsid w:val="00B97EE3"/>
    <w:rsid w:val="00BA083C"/>
    <w:rsid w:val="00BA0B93"/>
    <w:rsid w:val="00BA0D49"/>
    <w:rsid w:val="00BA10F8"/>
    <w:rsid w:val="00BA1604"/>
    <w:rsid w:val="00BA1921"/>
    <w:rsid w:val="00BA1EC8"/>
    <w:rsid w:val="00BA2030"/>
    <w:rsid w:val="00BA26BF"/>
    <w:rsid w:val="00BA295F"/>
    <w:rsid w:val="00BA2D0C"/>
    <w:rsid w:val="00BA2F9B"/>
    <w:rsid w:val="00BA334D"/>
    <w:rsid w:val="00BA39F3"/>
    <w:rsid w:val="00BA3FB7"/>
    <w:rsid w:val="00BA417E"/>
    <w:rsid w:val="00BA4C90"/>
    <w:rsid w:val="00BA5A5D"/>
    <w:rsid w:val="00BA5BAD"/>
    <w:rsid w:val="00BA6E5A"/>
    <w:rsid w:val="00BA7451"/>
    <w:rsid w:val="00BA7456"/>
    <w:rsid w:val="00BB051D"/>
    <w:rsid w:val="00BB0B6A"/>
    <w:rsid w:val="00BB0D4B"/>
    <w:rsid w:val="00BB1206"/>
    <w:rsid w:val="00BB1903"/>
    <w:rsid w:val="00BB1B8E"/>
    <w:rsid w:val="00BB2372"/>
    <w:rsid w:val="00BB2E37"/>
    <w:rsid w:val="00BB3600"/>
    <w:rsid w:val="00BB3B3F"/>
    <w:rsid w:val="00BB3DB6"/>
    <w:rsid w:val="00BB42B0"/>
    <w:rsid w:val="00BB44BA"/>
    <w:rsid w:val="00BB456C"/>
    <w:rsid w:val="00BB4632"/>
    <w:rsid w:val="00BB53C0"/>
    <w:rsid w:val="00BB63EB"/>
    <w:rsid w:val="00BB6422"/>
    <w:rsid w:val="00BB64D3"/>
    <w:rsid w:val="00BB69AB"/>
    <w:rsid w:val="00BB6C2D"/>
    <w:rsid w:val="00BB6C7B"/>
    <w:rsid w:val="00BB6EA1"/>
    <w:rsid w:val="00BB6F61"/>
    <w:rsid w:val="00BB71DC"/>
    <w:rsid w:val="00BB7854"/>
    <w:rsid w:val="00BC03B6"/>
    <w:rsid w:val="00BC04D7"/>
    <w:rsid w:val="00BC05F1"/>
    <w:rsid w:val="00BC104E"/>
    <w:rsid w:val="00BC17BC"/>
    <w:rsid w:val="00BC23D7"/>
    <w:rsid w:val="00BC28AA"/>
    <w:rsid w:val="00BC2A5E"/>
    <w:rsid w:val="00BC2ED9"/>
    <w:rsid w:val="00BC2F64"/>
    <w:rsid w:val="00BC3002"/>
    <w:rsid w:val="00BC30DA"/>
    <w:rsid w:val="00BC3AFA"/>
    <w:rsid w:val="00BC3BED"/>
    <w:rsid w:val="00BC3C2D"/>
    <w:rsid w:val="00BC4D09"/>
    <w:rsid w:val="00BC524A"/>
    <w:rsid w:val="00BC525E"/>
    <w:rsid w:val="00BC54ED"/>
    <w:rsid w:val="00BC59F1"/>
    <w:rsid w:val="00BC5B4C"/>
    <w:rsid w:val="00BC6960"/>
    <w:rsid w:val="00BC6E87"/>
    <w:rsid w:val="00BC79AE"/>
    <w:rsid w:val="00BD0C1B"/>
    <w:rsid w:val="00BD1A74"/>
    <w:rsid w:val="00BD1ECA"/>
    <w:rsid w:val="00BD22AC"/>
    <w:rsid w:val="00BD27CD"/>
    <w:rsid w:val="00BD3049"/>
    <w:rsid w:val="00BD39F1"/>
    <w:rsid w:val="00BD3B52"/>
    <w:rsid w:val="00BD3FA5"/>
    <w:rsid w:val="00BD4159"/>
    <w:rsid w:val="00BD42C5"/>
    <w:rsid w:val="00BD487C"/>
    <w:rsid w:val="00BD4D0D"/>
    <w:rsid w:val="00BD5424"/>
    <w:rsid w:val="00BD59A4"/>
    <w:rsid w:val="00BD59C6"/>
    <w:rsid w:val="00BD5A15"/>
    <w:rsid w:val="00BD6772"/>
    <w:rsid w:val="00BD6F5B"/>
    <w:rsid w:val="00BD7598"/>
    <w:rsid w:val="00BD77F7"/>
    <w:rsid w:val="00BD781C"/>
    <w:rsid w:val="00BD7B27"/>
    <w:rsid w:val="00BD7CF3"/>
    <w:rsid w:val="00BE027B"/>
    <w:rsid w:val="00BE0DFF"/>
    <w:rsid w:val="00BE189B"/>
    <w:rsid w:val="00BE2A29"/>
    <w:rsid w:val="00BE2A87"/>
    <w:rsid w:val="00BE3740"/>
    <w:rsid w:val="00BE3974"/>
    <w:rsid w:val="00BE3BA8"/>
    <w:rsid w:val="00BE41C7"/>
    <w:rsid w:val="00BE4242"/>
    <w:rsid w:val="00BE42DA"/>
    <w:rsid w:val="00BE4820"/>
    <w:rsid w:val="00BE4BBD"/>
    <w:rsid w:val="00BE4D38"/>
    <w:rsid w:val="00BE516D"/>
    <w:rsid w:val="00BE6DE1"/>
    <w:rsid w:val="00BE6FE5"/>
    <w:rsid w:val="00BE7B0A"/>
    <w:rsid w:val="00BE7BEC"/>
    <w:rsid w:val="00BE7D0D"/>
    <w:rsid w:val="00BF00B7"/>
    <w:rsid w:val="00BF049D"/>
    <w:rsid w:val="00BF06E6"/>
    <w:rsid w:val="00BF06FE"/>
    <w:rsid w:val="00BF08C2"/>
    <w:rsid w:val="00BF0DFF"/>
    <w:rsid w:val="00BF2038"/>
    <w:rsid w:val="00BF2280"/>
    <w:rsid w:val="00BF2458"/>
    <w:rsid w:val="00BF2C40"/>
    <w:rsid w:val="00BF2E3E"/>
    <w:rsid w:val="00BF3E73"/>
    <w:rsid w:val="00BF4EF7"/>
    <w:rsid w:val="00BF4F79"/>
    <w:rsid w:val="00BF4F81"/>
    <w:rsid w:val="00BF544D"/>
    <w:rsid w:val="00BF6107"/>
    <w:rsid w:val="00BF6561"/>
    <w:rsid w:val="00BF6626"/>
    <w:rsid w:val="00BF7E8B"/>
    <w:rsid w:val="00C00246"/>
    <w:rsid w:val="00C00EFD"/>
    <w:rsid w:val="00C01781"/>
    <w:rsid w:val="00C01F6D"/>
    <w:rsid w:val="00C01FB8"/>
    <w:rsid w:val="00C023C8"/>
    <w:rsid w:val="00C02868"/>
    <w:rsid w:val="00C02EB7"/>
    <w:rsid w:val="00C02F74"/>
    <w:rsid w:val="00C03137"/>
    <w:rsid w:val="00C0373A"/>
    <w:rsid w:val="00C04743"/>
    <w:rsid w:val="00C05350"/>
    <w:rsid w:val="00C05953"/>
    <w:rsid w:val="00C066DD"/>
    <w:rsid w:val="00C06D0E"/>
    <w:rsid w:val="00C071A9"/>
    <w:rsid w:val="00C073DD"/>
    <w:rsid w:val="00C07C10"/>
    <w:rsid w:val="00C07DF1"/>
    <w:rsid w:val="00C10B82"/>
    <w:rsid w:val="00C116A2"/>
    <w:rsid w:val="00C117BE"/>
    <w:rsid w:val="00C11A04"/>
    <w:rsid w:val="00C11A38"/>
    <w:rsid w:val="00C11F7F"/>
    <w:rsid w:val="00C12ECB"/>
    <w:rsid w:val="00C13050"/>
    <w:rsid w:val="00C1334F"/>
    <w:rsid w:val="00C1357F"/>
    <w:rsid w:val="00C13A80"/>
    <w:rsid w:val="00C13EFF"/>
    <w:rsid w:val="00C1430A"/>
    <w:rsid w:val="00C14460"/>
    <w:rsid w:val="00C1492C"/>
    <w:rsid w:val="00C150EE"/>
    <w:rsid w:val="00C15307"/>
    <w:rsid w:val="00C1534E"/>
    <w:rsid w:val="00C155EF"/>
    <w:rsid w:val="00C15611"/>
    <w:rsid w:val="00C158F4"/>
    <w:rsid w:val="00C15D17"/>
    <w:rsid w:val="00C16001"/>
    <w:rsid w:val="00C161E6"/>
    <w:rsid w:val="00C16386"/>
    <w:rsid w:val="00C1651E"/>
    <w:rsid w:val="00C16836"/>
    <w:rsid w:val="00C1783E"/>
    <w:rsid w:val="00C17890"/>
    <w:rsid w:val="00C17957"/>
    <w:rsid w:val="00C17BFA"/>
    <w:rsid w:val="00C17FD8"/>
    <w:rsid w:val="00C20636"/>
    <w:rsid w:val="00C21BC0"/>
    <w:rsid w:val="00C220C9"/>
    <w:rsid w:val="00C2293D"/>
    <w:rsid w:val="00C22D11"/>
    <w:rsid w:val="00C232DC"/>
    <w:rsid w:val="00C237D5"/>
    <w:rsid w:val="00C23968"/>
    <w:rsid w:val="00C23F86"/>
    <w:rsid w:val="00C2576B"/>
    <w:rsid w:val="00C263FF"/>
    <w:rsid w:val="00C26715"/>
    <w:rsid w:val="00C271FA"/>
    <w:rsid w:val="00C272B6"/>
    <w:rsid w:val="00C2752C"/>
    <w:rsid w:val="00C303EC"/>
    <w:rsid w:val="00C30634"/>
    <w:rsid w:val="00C30D3D"/>
    <w:rsid w:val="00C3138C"/>
    <w:rsid w:val="00C315CD"/>
    <w:rsid w:val="00C31814"/>
    <w:rsid w:val="00C31AB0"/>
    <w:rsid w:val="00C327DB"/>
    <w:rsid w:val="00C3403C"/>
    <w:rsid w:val="00C34766"/>
    <w:rsid w:val="00C34D53"/>
    <w:rsid w:val="00C35090"/>
    <w:rsid w:val="00C3568C"/>
    <w:rsid w:val="00C35912"/>
    <w:rsid w:val="00C35C3A"/>
    <w:rsid w:val="00C35ECA"/>
    <w:rsid w:val="00C36104"/>
    <w:rsid w:val="00C369D2"/>
    <w:rsid w:val="00C36C47"/>
    <w:rsid w:val="00C36FE0"/>
    <w:rsid w:val="00C37416"/>
    <w:rsid w:val="00C37716"/>
    <w:rsid w:val="00C37B73"/>
    <w:rsid w:val="00C40185"/>
    <w:rsid w:val="00C4149C"/>
    <w:rsid w:val="00C41524"/>
    <w:rsid w:val="00C42087"/>
    <w:rsid w:val="00C42358"/>
    <w:rsid w:val="00C42441"/>
    <w:rsid w:val="00C42CFF"/>
    <w:rsid w:val="00C43141"/>
    <w:rsid w:val="00C431B2"/>
    <w:rsid w:val="00C43885"/>
    <w:rsid w:val="00C43924"/>
    <w:rsid w:val="00C440B4"/>
    <w:rsid w:val="00C44580"/>
    <w:rsid w:val="00C44739"/>
    <w:rsid w:val="00C4492A"/>
    <w:rsid w:val="00C44EA7"/>
    <w:rsid w:val="00C450A8"/>
    <w:rsid w:val="00C45339"/>
    <w:rsid w:val="00C45458"/>
    <w:rsid w:val="00C45658"/>
    <w:rsid w:val="00C45F2B"/>
    <w:rsid w:val="00C4617B"/>
    <w:rsid w:val="00C46F8F"/>
    <w:rsid w:val="00C4701E"/>
    <w:rsid w:val="00C47C5F"/>
    <w:rsid w:val="00C50428"/>
    <w:rsid w:val="00C510F2"/>
    <w:rsid w:val="00C51199"/>
    <w:rsid w:val="00C5194E"/>
    <w:rsid w:val="00C5219E"/>
    <w:rsid w:val="00C539CF"/>
    <w:rsid w:val="00C53D2D"/>
    <w:rsid w:val="00C5472E"/>
    <w:rsid w:val="00C549A7"/>
    <w:rsid w:val="00C54CD9"/>
    <w:rsid w:val="00C55185"/>
    <w:rsid w:val="00C55CAF"/>
    <w:rsid w:val="00C55DDD"/>
    <w:rsid w:val="00C55FFF"/>
    <w:rsid w:val="00C5728A"/>
    <w:rsid w:val="00C573C2"/>
    <w:rsid w:val="00C57C06"/>
    <w:rsid w:val="00C6000C"/>
    <w:rsid w:val="00C603F8"/>
    <w:rsid w:val="00C61081"/>
    <w:rsid w:val="00C616D3"/>
    <w:rsid w:val="00C6190B"/>
    <w:rsid w:val="00C61EE3"/>
    <w:rsid w:val="00C62ADF"/>
    <w:rsid w:val="00C62E99"/>
    <w:rsid w:val="00C632BE"/>
    <w:rsid w:val="00C635C6"/>
    <w:rsid w:val="00C635FD"/>
    <w:rsid w:val="00C63911"/>
    <w:rsid w:val="00C63ED6"/>
    <w:rsid w:val="00C63FAC"/>
    <w:rsid w:val="00C643C0"/>
    <w:rsid w:val="00C65DFF"/>
    <w:rsid w:val="00C66603"/>
    <w:rsid w:val="00C6695A"/>
    <w:rsid w:val="00C669C2"/>
    <w:rsid w:val="00C66CB3"/>
    <w:rsid w:val="00C66D1F"/>
    <w:rsid w:val="00C66DF1"/>
    <w:rsid w:val="00C67153"/>
    <w:rsid w:val="00C678E7"/>
    <w:rsid w:val="00C67B67"/>
    <w:rsid w:val="00C70039"/>
    <w:rsid w:val="00C70B47"/>
    <w:rsid w:val="00C712EE"/>
    <w:rsid w:val="00C7150A"/>
    <w:rsid w:val="00C71C66"/>
    <w:rsid w:val="00C71E8E"/>
    <w:rsid w:val="00C71EDA"/>
    <w:rsid w:val="00C721C0"/>
    <w:rsid w:val="00C73C68"/>
    <w:rsid w:val="00C73D25"/>
    <w:rsid w:val="00C74201"/>
    <w:rsid w:val="00C742CD"/>
    <w:rsid w:val="00C7483E"/>
    <w:rsid w:val="00C74990"/>
    <w:rsid w:val="00C74A5D"/>
    <w:rsid w:val="00C7579F"/>
    <w:rsid w:val="00C7599B"/>
    <w:rsid w:val="00C75AD3"/>
    <w:rsid w:val="00C75D90"/>
    <w:rsid w:val="00C7659B"/>
    <w:rsid w:val="00C80707"/>
    <w:rsid w:val="00C808E1"/>
    <w:rsid w:val="00C80B36"/>
    <w:rsid w:val="00C80B59"/>
    <w:rsid w:val="00C80B5E"/>
    <w:rsid w:val="00C80C08"/>
    <w:rsid w:val="00C81353"/>
    <w:rsid w:val="00C81455"/>
    <w:rsid w:val="00C8215D"/>
    <w:rsid w:val="00C82A01"/>
    <w:rsid w:val="00C83458"/>
    <w:rsid w:val="00C83A03"/>
    <w:rsid w:val="00C83F22"/>
    <w:rsid w:val="00C84C79"/>
    <w:rsid w:val="00C84E9B"/>
    <w:rsid w:val="00C852FF"/>
    <w:rsid w:val="00C856AB"/>
    <w:rsid w:val="00C85B09"/>
    <w:rsid w:val="00C86128"/>
    <w:rsid w:val="00C861EE"/>
    <w:rsid w:val="00C86A5F"/>
    <w:rsid w:val="00C870DC"/>
    <w:rsid w:val="00C875BB"/>
    <w:rsid w:val="00C87D14"/>
    <w:rsid w:val="00C90058"/>
    <w:rsid w:val="00C90475"/>
    <w:rsid w:val="00C9058C"/>
    <w:rsid w:val="00C91684"/>
    <w:rsid w:val="00C91FE2"/>
    <w:rsid w:val="00C92C55"/>
    <w:rsid w:val="00C92EB8"/>
    <w:rsid w:val="00C93860"/>
    <w:rsid w:val="00C939A3"/>
    <w:rsid w:val="00C93AEB"/>
    <w:rsid w:val="00C9434A"/>
    <w:rsid w:val="00C94861"/>
    <w:rsid w:val="00C951D4"/>
    <w:rsid w:val="00C95268"/>
    <w:rsid w:val="00C956A2"/>
    <w:rsid w:val="00C963EE"/>
    <w:rsid w:val="00C964C4"/>
    <w:rsid w:val="00C964C6"/>
    <w:rsid w:val="00C968C5"/>
    <w:rsid w:val="00C96921"/>
    <w:rsid w:val="00C96B4B"/>
    <w:rsid w:val="00C96BBD"/>
    <w:rsid w:val="00C974BC"/>
    <w:rsid w:val="00CA0550"/>
    <w:rsid w:val="00CA123F"/>
    <w:rsid w:val="00CA1259"/>
    <w:rsid w:val="00CA1BFB"/>
    <w:rsid w:val="00CA1DC6"/>
    <w:rsid w:val="00CA2953"/>
    <w:rsid w:val="00CA3276"/>
    <w:rsid w:val="00CA34DE"/>
    <w:rsid w:val="00CA3567"/>
    <w:rsid w:val="00CA3B91"/>
    <w:rsid w:val="00CA4606"/>
    <w:rsid w:val="00CA53EC"/>
    <w:rsid w:val="00CA5AE3"/>
    <w:rsid w:val="00CA5C2D"/>
    <w:rsid w:val="00CA756B"/>
    <w:rsid w:val="00CA7CE7"/>
    <w:rsid w:val="00CB02D1"/>
    <w:rsid w:val="00CB08EA"/>
    <w:rsid w:val="00CB0AB2"/>
    <w:rsid w:val="00CB1066"/>
    <w:rsid w:val="00CB10D6"/>
    <w:rsid w:val="00CB1221"/>
    <w:rsid w:val="00CB12FE"/>
    <w:rsid w:val="00CB14FB"/>
    <w:rsid w:val="00CB18AA"/>
    <w:rsid w:val="00CB1C92"/>
    <w:rsid w:val="00CB2144"/>
    <w:rsid w:val="00CB240A"/>
    <w:rsid w:val="00CB2547"/>
    <w:rsid w:val="00CB30E5"/>
    <w:rsid w:val="00CB4B23"/>
    <w:rsid w:val="00CB4CB5"/>
    <w:rsid w:val="00CB5180"/>
    <w:rsid w:val="00CB5423"/>
    <w:rsid w:val="00CB550A"/>
    <w:rsid w:val="00CB5663"/>
    <w:rsid w:val="00CB62A8"/>
    <w:rsid w:val="00CB6420"/>
    <w:rsid w:val="00CB6DFF"/>
    <w:rsid w:val="00CB7D9E"/>
    <w:rsid w:val="00CC0B50"/>
    <w:rsid w:val="00CC0C36"/>
    <w:rsid w:val="00CC11FD"/>
    <w:rsid w:val="00CC19BB"/>
    <w:rsid w:val="00CC1BA8"/>
    <w:rsid w:val="00CC22C1"/>
    <w:rsid w:val="00CC2373"/>
    <w:rsid w:val="00CC263C"/>
    <w:rsid w:val="00CC27EA"/>
    <w:rsid w:val="00CC2BF4"/>
    <w:rsid w:val="00CC2E4F"/>
    <w:rsid w:val="00CC2F02"/>
    <w:rsid w:val="00CC3616"/>
    <w:rsid w:val="00CC369C"/>
    <w:rsid w:val="00CC3EE3"/>
    <w:rsid w:val="00CC42F9"/>
    <w:rsid w:val="00CC542D"/>
    <w:rsid w:val="00CC547F"/>
    <w:rsid w:val="00CC5857"/>
    <w:rsid w:val="00CC6876"/>
    <w:rsid w:val="00CC6D75"/>
    <w:rsid w:val="00CC70C7"/>
    <w:rsid w:val="00CC74DE"/>
    <w:rsid w:val="00CC77C7"/>
    <w:rsid w:val="00CD01DA"/>
    <w:rsid w:val="00CD06A6"/>
    <w:rsid w:val="00CD11B2"/>
    <w:rsid w:val="00CD123E"/>
    <w:rsid w:val="00CD1389"/>
    <w:rsid w:val="00CD187C"/>
    <w:rsid w:val="00CD24E6"/>
    <w:rsid w:val="00CD28C5"/>
    <w:rsid w:val="00CD362C"/>
    <w:rsid w:val="00CD39C8"/>
    <w:rsid w:val="00CD3E5A"/>
    <w:rsid w:val="00CD4452"/>
    <w:rsid w:val="00CD4E81"/>
    <w:rsid w:val="00CD563F"/>
    <w:rsid w:val="00CD5AB2"/>
    <w:rsid w:val="00CD6719"/>
    <w:rsid w:val="00CD69E8"/>
    <w:rsid w:val="00CD7491"/>
    <w:rsid w:val="00CD76B9"/>
    <w:rsid w:val="00CD7DFA"/>
    <w:rsid w:val="00CE002E"/>
    <w:rsid w:val="00CE0167"/>
    <w:rsid w:val="00CE020D"/>
    <w:rsid w:val="00CE039B"/>
    <w:rsid w:val="00CE05E9"/>
    <w:rsid w:val="00CE0844"/>
    <w:rsid w:val="00CE0CFD"/>
    <w:rsid w:val="00CE0F60"/>
    <w:rsid w:val="00CE1931"/>
    <w:rsid w:val="00CE1C4E"/>
    <w:rsid w:val="00CE1DF0"/>
    <w:rsid w:val="00CE1E0B"/>
    <w:rsid w:val="00CE24B9"/>
    <w:rsid w:val="00CE27B0"/>
    <w:rsid w:val="00CE2E14"/>
    <w:rsid w:val="00CE3188"/>
    <w:rsid w:val="00CE34EE"/>
    <w:rsid w:val="00CE374B"/>
    <w:rsid w:val="00CE38BB"/>
    <w:rsid w:val="00CE43EF"/>
    <w:rsid w:val="00CE44F2"/>
    <w:rsid w:val="00CE4A98"/>
    <w:rsid w:val="00CE4DB1"/>
    <w:rsid w:val="00CE4F16"/>
    <w:rsid w:val="00CE5976"/>
    <w:rsid w:val="00CE5C9B"/>
    <w:rsid w:val="00CE5F02"/>
    <w:rsid w:val="00CE5F33"/>
    <w:rsid w:val="00CE63A3"/>
    <w:rsid w:val="00CE78DF"/>
    <w:rsid w:val="00CF0ABF"/>
    <w:rsid w:val="00CF0F13"/>
    <w:rsid w:val="00CF1343"/>
    <w:rsid w:val="00CF1823"/>
    <w:rsid w:val="00CF1AA3"/>
    <w:rsid w:val="00CF22DF"/>
    <w:rsid w:val="00CF2859"/>
    <w:rsid w:val="00CF2CCE"/>
    <w:rsid w:val="00CF3467"/>
    <w:rsid w:val="00CF36CA"/>
    <w:rsid w:val="00CF3C52"/>
    <w:rsid w:val="00CF4A5F"/>
    <w:rsid w:val="00CF546B"/>
    <w:rsid w:val="00CF5695"/>
    <w:rsid w:val="00CF57D5"/>
    <w:rsid w:val="00CF5ED9"/>
    <w:rsid w:val="00CF68B9"/>
    <w:rsid w:val="00CF7073"/>
    <w:rsid w:val="00CF739A"/>
    <w:rsid w:val="00CF788E"/>
    <w:rsid w:val="00CF7D0D"/>
    <w:rsid w:val="00D00215"/>
    <w:rsid w:val="00D0068E"/>
    <w:rsid w:val="00D00CD0"/>
    <w:rsid w:val="00D00F88"/>
    <w:rsid w:val="00D01484"/>
    <w:rsid w:val="00D01F00"/>
    <w:rsid w:val="00D02286"/>
    <w:rsid w:val="00D022B3"/>
    <w:rsid w:val="00D0253A"/>
    <w:rsid w:val="00D02C4E"/>
    <w:rsid w:val="00D03A72"/>
    <w:rsid w:val="00D03F5D"/>
    <w:rsid w:val="00D05685"/>
    <w:rsid w:val="00D05B81"/>
    <w:rsid w:val="00D05C5C"/>
    <w:rsid w:val="00D05CBC"/>
    <w:rsid w:val="00D05DD3"/>
    <w:rsid w:val="00D05EEF"/>
    <w:rsid w:val="00D0669C"/>
    <w:rsid w:val="00D06BE4"/>
    <w:rsid w:val="00D06E28"/>
    <w:rsid w:val="00D074CA"/>
    <w:rsid w:val="00D07BA5"/>
    <w:rsid w:val="00D100FA"/>
    <w:rsid w:val="00D105EF"/>
    <w:rsid w:val="00D10D2C"/>
    <w:rsid w:val="00D10E21"/>
    <w:rsid w:val="00D11051"/>
    <w:rsid w:val="00D1147E"/>
    <w:rsid w:val="00D12428"/>
    <w:rsid w:val="00D13209"/>
    <w:rsid w:val="00D1335D"/>
    <w:rsid w:val="00D133FC"/>
    <w:rsid w:val="00D13628"/>
    <w:rsid w:val="00D139DA"/>
    <w:rsid w:val="00D13CDE"/>
    <w:rsid w:val="00D13EBE"/>
    <w:rsid w:val="00D1451C"/>
    <w:rsid w:val="00D152E8"/>
    <w:rsid w:val="00D15CAC"/>
    <w:rsid w:val="00D16647"/>
    <w:rsid w:val="00D16B4F"/>
    <w:rsid w:val="00D16B7E"/>
    <w:rsid w:val="00D17079"/>
    <w:rsid w:val="00D17304"/>
    <w:rsid w:val="00D1777D"/>
    <w:rsid w:val="00D1783F"/>
    <w:rsid w:val="00D178B4"/>
    <w:rsid w:val="00D17E0E"/>
    <w:rsid w:val="00D201D7"/>
    <w:rsid w:val="00D20396"/>
    <w:rsid w:val="00D20427"/>
    <w:rsid w:val="00D20646"/>
    <w:rsid w:val="00D2154E"/>
    <w:rsid w:val="00D21676"/>
    <w:rsid w:val="00D21A2B"/>
    <w:rsid w:val="00D21BCC"/>
    <w:rsid w:val="00D21EB9"/>
    <w:rsid w:val="00D2233A"/>
    <w:rsid w:val="00D22F99"/>
    <w:rsid w:val="00D23160"/>
    <w:rsid w:val="00D231B6"/>
    <w:rsid w:val="00D236FB"/>
    <w:rsid w:val="00D23830"/>
    <w:rsid w:val="00D2384F"/>
    <w:rsid w:val="00D23910"/>
    <w:rsid w:val="00D23AF7"/>
    <w:rsid w:val="00D24654"/>
    <w:rsid w:val="00D247E9"/>
    <w:rsid w:val="00D24A4E"/>
    <w:rsid w:val="00D24E08"/>
    <w:rsid w:val="00D25439"/>
    <w:rsid w:val="00D25B0A"/>
    <w:rsid w:val="00D25F91"/>
    <w:rsid w:val="00D267AA"/>
    <w:rsid w:val="00D268DD"/>
    <w:rsid w:val="00D2722D"/>
    <w:rsid w:val="00D2791B"/>
    <w:rsid w:val="00D27BFB"/>
    <w:rsid w:val="00D31453"/>
    <w:rsid w:val="00D31902"/>
    <w:rsid w:val="00D31D7B"/>
    <w:rsid w:val="00D3227A"/>
    <w:rsid w:val="00D3244F"/>
    <w:rsid w:val="00D325B3"/>
    <w:rsid w:val="00D32ACB"/>
    <w:rsid w:val="00D32F7A"/>
    <w:rsid w:val="00D33900"/>
    <w:rsid w:val="00D33B44"/>
    <w:rsid w:val="00D33FA6"/>
    <w:rsid w:val="00D33FB7"/>
    <w:rsid w:val="00D343F3"/>
    <w:rsid w:val="00D347F7"/>
    <w:rsid w:val="00D354C8"/>
    <w:rsid w:val="00D35526"/>
    <w:rsid w:val="00D36621"/>
    <w:rsid w:val="00D36E52"/>
    <w:rsid w:val="00D371F2"/>
    <w:rsid w:val="00D3723D"/>
    <w:rsid w:val="00D37282"/>
    <w:rsid w:val="00D374E5"/>
    <w:rsid w:val="00D37575"/>
    <w:rsid w:val="00D3796B"/>
    <w:rsid w:val="00D40095"/>
    <w:rsid w:val="00D404D8"/>
    <w:rsid w:val="00D42993"/>
    <w:rsid w:val="00D4347E"/>
    <w:rsid w:val="00D4369C"/>
    <w:rsid w:val="00D437BF"/>
    <w:rsid w:val="00D43825"/>
    <w:rsid w:val="00D4393A"/>
    <w:rsid w:val="00D43CEF"/>
    <w:rsid w:val="00D43E31"/>
    <w:rsid w:val="00D44302"/>
    <w:rsid w:val="00D44572"/>
    <w:rsid w:val="00D44724"/>
    <w:rsid w:val="00D44881"/>
    <w:rsid w:val="00D45EFA"/>
    <w:rsid w:val="00D4618E"/>
    <w:rsid w:val="00D466F0"/>
    <w:rsid w:val="00D46709"/>
    <w:rsid w:val="00D46B90"/>
    <w:rsid w:val="00D47226"/>
    <w:rsid w:val="00D476E6"/>
    <w:rsid w:val="00D4780A"/>
    <w:rsid w:val="00D47C75"/>
    <w:rsid w:val="00D50669"/>
    <w:rsid w:val="00D508E2"/>
    <w:rsid w:val="00D52686"/>
    <w:rsid w:val="00D52D5D"/>
    <w:rsid w:val="00D52D83"/>
    <w:rsid w:val="00D5353F"/>
    <w:rsid w:val="00D535C2"/>
    <w:rsid w:val="00D5362F"/>
    <w:rsid w:val="00D536B5"/>
    <w:rsid w:val="00D537E2"/>
    <w:rsid w:val="00D54961"/>
    <w:rsid w:val="00D54EA9"/>
    <w:rsid w:val="00D55149"/>
    <w:rsid w:val="00D554D7"/>
    <w:rsid w:val="00D55AC2"/>
    <w:rsid w:val="00D55ADE"/>
    <w:rsid w:val="00D56830"/>
    <w:rsid w:val="00D57013"/>
    <w:rsid w:val="00D5703B"/>
    <w:rsid w:val="00D5725A"/>
    <w:rsid w:val="00D60B01"/>
    <w:rsid w:val="00D60D96"/>
    <w:rsid w:val="00D60E42"/>
    <w:rsid w:val="00D61166"/>
    <w:rsid w:val="00D61F91"/>
    <w:rsid w:val="00D62136"/>
    <w:rsid w:val="00D62652"/>
    <w:rsid w:val="00D626FF"/>
    <w:rsid w:val="00D62918"/>
    <w:rsid w:val="00D634A8"/>
    <w:rsid w:val="00D635C1"/>
    <w:rsid w:val="00D64009"/>
    <w:rsid w:val="00D64010"/>
    <w:rsid w:val="00D643C7"/>
    <w:rsid w:val="00D645F1"/>
    <w:rsid w:val="00D64881"/>
    <w:rsid w:val="00D64D68"/>
    <w:rsid w:val="00D64FC5"/>
    <w:rsid w:val="00D65B6A"/>
    <w:rsid w:val="00D6690A"/>
    <w:rsid w:val="00D66BF9"/>
    <w:rsid w:val="00D66D8B"/>
    <w:rsid w:val="00D66E07"/>
    <w:rsid w:val="00D67B63"/>
    <w:rsid w:val="00D70090"/>
    <w:rsid w:val="00D704A7"/>
    <w:rsid w:val="00D70650"/>
    <w:rsid w:val="00D70981"/>
    <w:rsid w:val="00D71258"/>
    <w:rsid w:val="00D71309"/>
    <w:rsid w:val="00D71651"/>
    <w:rsid w:val="00D7177C"/>
    <w:rsid w:val="00D71788"/>
    <w:rsid w:val="00D726F1"/>
    <w:rsid w:val="00D733A1"/>
    <w:rsid w:val="00D733C5"/>
    <w:rsid w:val="00D73567"/>
    <w:rsid w:val="00D73D59"/>
    <w:rsid w:val="00D743B5"/>
    <w:rsid w:val="00D749FC"/>
    <w:rsid w:val="00D74B7E"/>
    <w:rsid w:val="00D74D91"/>
    <w:rsid w:val="00D75E15"/>
    <w:rsid w:val="00D75E7A"/>
    <w:rsid w:val="00D76364"/>
    <w:rsid w:val="00D76414"/>
    <w:rsid w:val="00D7649B"/>
    <w:rsid w:val="00D76B6F"/>
    <w:rsid w:val="00D76C6B"/>
    <w:rsid w:val="00D76F75"/>
    <w:rsid w:val="00D77481"/>
    <w:rsid w:val="00D7788D"/>
    <w:rsid w:val="00D779AA"/>
    <w:rsid w:val="00D77ECB"/>
    <w:rsid w:val="00D801F5"/>
    <w:rsid w:val="00D806AA"/>
    <w:rsid w:val="00D807F5"/>
    <w:rsid w:val="00D80995"/>
    <w:rsid w:val="00D80B54"/>
    <w:rsid w:val="00D80BEE"/>
    <w:rsid w:val="00D80EF0"/>
    <w:rsid w:val="00D816D1"/>
    <w:rsid w:val="00D81D06"/>
    <w:rsid w:val="00D81DBC"/>
    <w:rsid w:val="00D81E73"/>
    <w:rsid w:val="00D827A4"/>
    <w:rsid w:val="00D82C3A"/>
    <w:rsid w:val="00D82D73"/>
    <w:rsid w:val="00D84436"/>
    <w:rsid w:val="00D84694"/>
    <w:rsid w:val="00D848F2"/>
    <w:rsid w:val="00D84ADC"/>
    <w:rsid w:val="00D84D96"/>
    <w:rsid w:val="00D8522A"/>
    <w:rsid w:val="00D85A2A"/>
    <w:rsid w:val="00D85D7E"/>
    <w:rsid w:val="00D86317"/>
    <w:rsid w:val="00D86FE3"/>
    <w:rsid w:val="00D87B9E"/>
    <w:rsid w:val="00D87D42"/>
    <w:rsid w:val="00D87E95"/>
    <w:rsid w:val="00D90488"/>
    <w:rsid w:val="00D906C7"/>
    <w:rsid w:val="00D9107B"/>
    <w:rsid w:val="00D91810"/>
    <w:rsid w:val="00D91875"/>
    <w:rsid w:val="00D918B4"/>
    <w:rsid w:val="00D918CE"/>
    <w:rsid w:val="00D91A66"/>
    <w:rsid w:val="00D91D1B"/>
    <w:rsid w:val="00D9269C"/>
    <w:rsid w:val="00D92CF6"/>
    <w:rsid w:val="00D93678"/>
    <w:rsid w:val="00D93C06"/>
    <w:rsid w:val="00D9478F"/>
    <w:rsid w:val="00D948BE"/>
    <w:rsid w:val="00D94BE5"/>
    <w:rsid w:val="00D94ED3"/>
    <w:rsid w:val="00D95443"/>
    <w:rsid w:val="00D95AA8"/>
    <w:rsid w:val="00D95D1B"/>
    <w:rsid w:val="00D95E72"/>
    <w:rsid w:val="00D95FC7"/>
    <w:rsid w:val="00DA0257"/>
    <w:rsid w:val="00DA0891"/>
    <w:rsid w:val="00DA14ED"/>
    <w:rsid w:val="00DA26B9"/>
    <w:rsid w:val="00DA2B8E"/>
    <w:rsid w:val="00DA2D63"/>
    <w:rsid w:val="00DA39D6"/>
    <w:rsid w:val="00DA3BBF"/>
    <w:rsid w:val="00DA4D86"/>
    <w:rsid w:val="00DA4FCE"/>
    <w:rsid w:val="00DA5A95"/>
    <w:rsid w:val="00DA60E1"/>
    <w:rsid w:val="00DA610E"/>
    <w:rsid w:val="00DA73E4"/>
    <w:rsid w:val="00DB03B0"/>
    <w:rsid w:val="00DB0483"/>
    <w:rsid w:val="00DB0CF9"/>
    <w:rsid w:val="00DB0EF4"/>
    <w:rsid w:val="00DB1037"/>
    <w:rsid w:val="00DB255D"/>
    <w:rsid w:val="00DB2D10"/>
    <w:rsid w:val="00DB2E6F"/>
    <w:rsid w:val="00DB334F"/>
    <w:rsid w:val="00DB35BF"/>
    <w:rsid w:val="00DB36F3"/>
    <w:rsid w:val="00DB3B7B"/>
    <w:rsid w:val="00DB3D6C"/>
    <w:rsid w:val="00DB3FF9"/>
    <w:rsid w:val="00DB48FC"/>
    <w:rsid w:val="00DB4D43"/>
    <w:rsid w:val="00DB51D8"/>
    <w:rsid w:val="00DB54AC"/>
    <w:rsid w:val="00DB5B1C"/>
    <w:rsid w:val="00DB6B98"/>
    <w:rsid w:val="00DB6E8A"/>
    <w:rsid w:val="00DB6E9A"/>
    <w:rsid w:val="00DB6FF3"/>
    <w:rsid w:val="00DB6FFD"/>
    <w:rsid w:val="00DB7AB2"/>
    <w:rsid w:val="00DC10FC"/>
    <w:rsid w:val="00DC128F"/>
    <w:rsid w:val="00DC1E83"/>
    <w:rsid w:val="00DC21E1"/>
    <w:rsid w:val="00DC3042"/>
    <w:rsid w:val="00DC31D6"/>
    <w:rsid w:val="00DC35FD"/>
    <w:rsid w:val="00DC37F9"/>
    <w:rsid w:val="00DC3A95"/>
    <w:rsid w:val="00DC3ED7"/>
    <w:rsid w:val="00DC4247"/>
    <w:rsid w:val="00DC4649"/>
    <w:rsid w:val="00DC4794"/>
    <w:rsid w:val="00DC4D82"/>
    <w:rsid w:val="00DC5003"/>
    <w:rsid w:val="00DC5714"/>
    <w:rsid w:val="00DC5FEA"/>
    <w:rsid w:val="00DC677D"/>
    <w:rsid w:val="00DC6959"/>
    <w:rsid w:val="00DC6FF2"/>
    <w:rsid w:val="00DC70EC"/>
    <w:rsid w:val="00DC77B8"/>
    <w:rsid w:val="00DC7E0D"/>
    <w:rsid w:val="00DD0017"/>
    <w:rsid w:val="00DD0555"/>
    <w:rsid w:val="00DD0AE1"/>
    <w:rsid w:val="00DD1A49"/>
    <w:rsid w:val="00DD2A9A"/>
    <w:rsid w:val="00DD3347"/>
    <w:rsid w:val="00DD3D38"/>
    <w:rsid w:val="00DD4320"/>
    <w:rsid w:val="00DD4DCE"/>
    <w:rsid w:val="00DD573B"/>
    <w:rsid w:val="00DD57AF"/>
    <w:rsid w:val="00DD57FD"/>
    <w:rsid w:val="00DD5CCA"/>
    <w:rsid w:val="00DD63B1"/>
    <w:rsid w:val="00DD64BA"/>
    <w:rsid w:val="00DD686A"/>
    <w:rsid w:val="00DD7116"/>
    <w:rsid w:val="00DD727E"/>
    <w:rsid w:val="00DE0127"/>
    <w:rsid w:val="00DE0AFD"/>
    <w:rsid w:val="00DE115C"/>
    <w:rsid w:val="00DE16E6"/>
    <w:rsid w:val="00DE2509"/>
    <w:rsid w:val="00DE26D8"/>
    <w:rsid w:val="00DE343A"/>
    <w:rsid w:val="00DE3558"/>
    <w:rsid w:val="00DE358E"/>
    <w:rsid w:val="00DE3B9F"/>
    <w:rsid w:val="00DE4090"/>
    <w:rsid w:val="00DE41DE"/>
    <w:rsid w:val="00DE4FA9"/>
    <w:rsid w:val="00DE5A2F"/>
    <w:rsid w:val="00DE5CD3"/>
    <w:rsid w:val="00DE6010"/>
    <w:rsid w:val="00DE63C4"/>
    <w:rsid w:val="00DE63D2"/>
    <w:rsid w:val="00DE6CBB"/>
    <w:rsid w:val="00DE7C1E"/>
    <w:rsid w:val="00DE7E08"/>
    <w:rsid w:val="00DE7F61"/>
    <w:rsid w:val="00DF09BC"/>
    <w:rsid w:val="00DF0A51"/>
    <w:rsid w:val="00DF100D"/>
    <w:rsid w:val="00DF1104"/>
    <w:rsid w:val="00DF110A"/>
    <w:rsid w:val="00DF14BE"/>
    <w:rsid w:val="00DF1889"/>
    <w:rsid w:val="00DF1947"/>
    <w:rsid w:val="00DF1D86"/>
    <w:rsid w:val="00DF2E02"/>
    <w:rsid w:val="00DF3258"/>
    <w:rsid w:val="00DF33E6"/>
    <w:rsid w:val="00DF4677"/>
    <w:rsid w:val="00DF4695"/>
    <w:rsid w:val="00DF47A8"/>
    <w:rsid w:val="00DF47C5"/>
    <w:rsid w:val="00DF4A06"/>
    <w:rsid w:val="00DF4D0C"/>
    <w:rsid w:val="00DF55D9"/>
    <w:rsid w:val="00DF5A35"/>
    <w:rsid w:val="00DF5CEB"/>
    <w:rsid w:val="00DF625C"/>
    <w:rsid w:val="00DF6437"/>
    <w:rsid w:val="00DF65D4"/>
    <w:rsid w:val="00DF6BE1"/>
    <w:rsid w:val="00DF6D99"/>
    <w:rsid w:val="00DF768B"/>
    <w:rsid w:val="00DF76AC"/>
    <w:rsid w:val="00DF7718"/>
    <w:rsid w:val="00E00E7E"/>
    <w:rsid w:val="00E02258"/>
    <w:rsid w:val="00E027E5"/>
    <w:rsid w:val="00E03B7D"/>
    <w:rsid w:val="00E03FBB"/>
    <w:rsid w:val="00E041E7"/>
    <w:rsid w:val="00E049BC"/>
    <w:rsid w:val="00E04CBD"/>
    <w:rsid w:val="00E04DBD"/>
    <w:rsid w:val="00E04F07"/>
    <w:rsid w:val="00E04F2B"/>
    <w:rsid w:val="00E059B4"/>
    <w:rsid w:val="00E059F1"/>
    <w:rsid w:val="00E05C01"/>
    <w:rsid w:val="00E05EEC"/>
    <w:rsid w:val="00E0602D"/>
    <w:rsid w:val="00E062F1"/>
    <w:rsid w:val="00E0716B"/>
    <w:rsid w:val="00E07974"/>
    <w:rsid w:val="00E07B32"/>
    <w:rsid w:val="00E10737"/>
    <w:rsid w:val="00E117D4"/>
    <w:rsid w:val="00E119A0"/>
    <w:rsid w:val="00E11D0B"/>
    <w:rsid w:val="00E12113"/>
    <w:rsid w:val="00E12849"/>
    <w:rsid w:val="00E128E2"/>
    <w:rsid w:val="00E12B5D"/>
    <w:rsid w:val="00E12EE2"/>
    <w:rsid w:val="00E1382D"/>
    <w:rsid w:val="00E13FE9"/>
    <w:rsid w:val="00E142F7"/>
    <w:rsid w:val="00E14D3D"/>
    <w:rsid w:val="00E152B2"/>
    <w:rsid w:val="00E1534F"/>
    <w:rsid w:val="00E15A11"/>
    <w:rsid w:val="00E15DC0"/>
    <w:rsid w:val="00E15F19"/>
    <w:rsid w:val="00E16152"/>
    <w:rsid w:val="00E16987"/>
    <w:rsid w:val="00E16A14"/>
    <w:rsid w:val="00E17312"/>
    <w:rsid w:val="00E17611"/>
    <w:rsid w:val="00E176BD"/>
    <w:rsid w:val="00E17CF4"/>
    <w:rsid w:val="00E202ED"/>
    <w:rsid w:val="00E2036C"/>
    <w:rsid w:val="00E205AC"/>
    <w:rsid w:val="00E20A91"/>
    <w:rsid w:val="00E20D15"/>
    <w:rsid w:val="00E20FEB"/>
    <w:rsid w:val="00E212BE"/>
    <w:rsid w:val="00E2189E"/>
    <w:rsid w:val="00E2254C"/>
    <w:rsid w:val="00E228FA"/>
    <w:rsid w:val="00E22A71"/>
    <w:rsid w:val="00E233DD"/>
    <w:rsid w:val="00E238C1"/>
    <w:rsid w:val="00E238C7"/>
    <w:rsid w:val="00E23917"/>
    <w:rsid w:val="00E23F9C"/>
    <w:rsid w:val="00E24218"/>
    <w:rsid w:val="00E250E8"/>
    <w:rsid w:val="00E2542E"/>
    <w:rsid w:val="00E25E80"/>
    <w:rsid w:val="00E260EE"/>
    <w:rsid w:val="00E276A7"/>
    <w:rsid w:val="00E30932"/>
    <w:rsid w:val="00E3118B"/>
    <w:rsid w:val="00E317A0"/>
    <w:rsid w:val="00E3185F"/>
    <w:rsid w:val="00E31CF8"/>
    <w:rsid w:val="00E31D8E"/>
    <w:rsid w:val="00E32546"/>
    <w:rsid w:val="00E32893"/>
    <w:rsid w:val="00E32A44"/>
    <w:rsid w:val="00E32A92"/>
    <w:rsid w:val="00E32E95"/>
    <w:rsid w:val="00E3312A"/>
    <w:rsid w:val="00E3330A"/>
    <w:rsid w:val="00E3341C"/>
    <w:rsid w:val="00E33A51"/>
    <w:rsid w:val="00E34122"/>
    <w:rsid w:val="00E341DB"/>
    <w:rsid w:val="00E34428"/>
    <w:rsid w:val="00E345E9"/>
    <w:rsid w:val="00E34791"/>
    <w:rsid w:val="00E34892"/>
    <w:rsid w:val="00E34A57"/>
    <w:rsid w:val="00E351F6"/>
    <w:rsid w:val="00E355EF"/>
    <w:rsid w:val="00E36208"/>
    <w:rsid w:val="00E36353"/>
    <w:rsid w:val="00E369B3"/>
    <w:rsid w:val="00E36C6C"/>
    <w:rsid w:val="00E40187"/>
    <w:rsid w:val="00E402F3"/>
    <w:rsid w:val="00E418EA"/>
    <w:rsid w:val="00E41A8F"/>
    <w:rsid w:val="00E41E62"/>
    <w:rsid w:val="00E420AF"/>
    <w:rsid w:val="00E4219B"/>
    <w:rsid w:val="00E42C59"/>
    <w:rsid w:val="00E430FA"/>
    <w:rsid w:val="00E4325F"/>
    <w:rsid w:val="00E438DE"/>
    <w:rsid w:val="00E439DB"/>
    <w:rsid w:val="00E43A3D"/>
    <w:rsid w:val="00E43E2C"/>
    <w:rsid w:val="00E44C6C"/>
    <w:rsid w:val="00E451E0"/>
    <w:rsid w:val="00E45FB6"/>
    <w:rsid w:val="00E46699"/>
    <w:rsid w:val="00E46839"/>
    <w:rsid w:val="00E46DEE"/>
    <w:rsid w:val="00E474FB"/>
    <w:rsid w:val="00E501F7"/>
    <w:rsid w:val="00E50251"/>
    <w:rsid w:val="00E503B1"/>
    <w:rsid w:val="00E50A41"/>
    <w:rsid w:val="00E50CAE"/>
    <w:rsid w:val="00E50E18"/>
    <w:rsid w:val="00E5171F"/>
    <w:rsid w:val="00E525AC"/>
    <w:rsid w:val="00E52631"/>
    <w:rsid w:val="00E52D80"/>
    <w:rsid w:val="00E52F93"/>
    <w:rsid w:val="00E53478"/>
    <w:rsid w:val="00E53D0E"/>
    <w:rsid w:val="00E53FB1"/>
    <w:rsid w:val="00E54BE4"/>
    <w:rsid w:val="00E557B0"/>
    <w:rsid w:val="00E558D8"/>
    <w:rsid w:val="00E55B34"/>
    <w:rsid w:val="00E55C06"/>
    <w:rsid w:val="00E55C6A"/>
    <w:rsid w:val="00E55C75"/>
    <w:rsid w:val="00E56298"/>
    <w:rsid w:val="00E5703A"/>
    <w:rsid w:val="00E57287"/>
    <w:rsid w:val="00E576CB"/>
    <w:rsid w:val="00E57B8F"/>
    <w:rsid w:val="00E604B2"/>
    <w:rsid w:val="00E608BB"/>
    <w:rsid w:val="00E6099E"/>
    <w:rsid w:val="00E60F8D"/>
    <w:rsid w:val="00E61281"/>
    <w:rsid w:val="00E61289"/>
    <w:rsid w:val="00E61674"/>
    <w:rsid w:val="00E6203C"/>
    <w:rsid w:val="00E62239"/>
    <w:rsid w:val="00E622B5"/>
    <w:rsid w:val="00E62A35"/>
    <w:rsid w:val="00E62A82"/>
    <w:rsid w:val="00E62BCC"/>
    <w:rsid w:val="00E6338F"/>
    <w:rsid w:val="00E63535"/>
    <w:rsid w:val="00E63DDD"/>
    <w:rsid w:val="00E63F7A"/>
    <w:rsid w:val="00E6404D"/>
    <w:rsid w:val="00E645C9"/>
    <w:rsid w:val="00E64658"/>
    <w:rsid w:val="00E64835"/>
    <w:rsid w:val="00E64C3F"/>
    <w:rsid w:val="00E64FBE"/>
    <w:rsid w:val="00E65B9F"/>
    <w:rsid w:val="00E65C8C"/>
    <w:rsid w:val="00E65F67"/>
    <w:rsid w:val="00E66206"/>
    <w:rsid w:val="00E66B92"/>
    <w:rsid w:val="00E66EA5"/>
    <w:rsid w:val="00E67193"/>
    <w:rsid w:val="00E70117"/>
    <w:rsid w:val="00E7014E"/>
    <w:rsid w:val="00E70919"/>
    <w:rsid w:val="00E7091D"/>
    <w:rsid w:val="00E70E1F"/>
    <w:rsid w:val="00E71CF4"/>
    <w:rsid w:val="00E725D4"/>
    <w:rsid w:val="00E726F8"/>
    <w:rsid w:val="00E72C3D"/>
    <w:rsid w:val="00E72D54"/>
    <w:rsid w:val="00E73834"/>
    <w:rsid w:val="00E741ED"/>
    <w:rsid w:val="00E747E3"/>
    <w:rsid w:val="00E74AA4"/>
    <w:rsid w:val="00E75125"/>
    <w:rsid w:val="00E75171"/>
    <w:rsid w:val="00E7521D"/>
    <w:rsid w:val="00E75B03"/>
    <w:rsid w:val="00E75EF2"/>
    <w:rsid w:val="00E76A0E"/>
    <w:rsid w:val="00E76C24"/>
    <w:rsid w:val="00E77613"/>
    <w:rsid w:val="00E77B7F"/>
    <w:rsid w:val="00E80039"/>
    <w:rsid w:val="00E80044"/>
    <w:rsid w:val="00E80160"/>
    <w:rsid w:val="00E807DC"/>
    <w:rsid w:val="00E81A9F"/>
    <w:rsid w:val="00E81B82"/>
    <w:rsid w:val="00E81BAA"/>
    <w:rsid w:val="00E81D65"/>
    <w:rsid w:val="00E82B27"/>
    <w:rsid w:val="00E83406"/>
    <w:rsid w:val="00E835C3"/>
    <w:rsid w:val="00E83E27"/>
    <w:rsid w:val="00E84796"/>
    <w:rsid w:val="00E847B6"/>
    <w:rsid w:val="00E84BC1"/>
    <w:rsid w:val="00E84C3F"/>
    <w:rsid w:val="00E85564"/>
    <w:rsid w:val="00E85ADF"/>
    <w:rsid w:val="00E85BC2"/>
    <w:rsid w:val="00E85BDC"/>
    <w:rsid w:val="00E85D5E"/>
    <w:rsid w:val="00E85D77"/>
    <w:rsid w:val="00E86127"/>
    <w:rsid w:val="00E86579"/>
    <w:rsid w:val="00E86D5D"/>
    <w:rsid w:val="00E87105"/>
    <w:rsid w:val="00E8779D"/>
    <w:rsid w:val="00E87A43"/>
    <w:rsid w:val="00E87CDE"/>
    <w:rsid w:val="00E87D0F"/>
    <w:rsid w:val="00E902F3"/>
    <w:rsid w:val="00E90715"/>
    <w:rsid w:val="00E907AA"/>
    <w:rsid w:val="00E90989"/>
    <w:rsid w:val="00E909F3"/>
    <w:rsid w:val="00E90CCD"/>
    <w:rsid w:val="00E91AE2"/>
    <w:rsid w:val="00E91D47"/>
    <w:rsid w:val="00E91F9B"/>
    <w:rsid w:val="00E92020"/>
    <w:rsid w:val="00E9355E"/>
    <w:rsid w:val="00E93FA3"/>
    <w:rsid w:val="00E941BA"/>
    <w:rsid w:val="00E94C2B"/>
    <w:rsid w:val="00E94F29"/>
    <w:rsid w:val="00E95671"/>
    <w:rsid w:val="00E958C7"/>
    <w:rsid w:val="00E959B3"/>
    <w:rsid w:val="00E95E52"/>
    <w:rsid w:val="00E963EA"/>
    <w:rsid w:val="00E96815"/>
    <w:rsid w:val="00E96A0B"/>
    <w:rsid w:val="00E96B40"/>
    <w:rsid w:val="00E96D43"/>
    <w:rsid w:val="00E97DBD"/>
    <w:rsid w:val="00EA0764"/>
    <w:rsid w:val="00EA0AB1"/>
    <w:rsid w:val="00EA108A"/>
    <w:rsid w:val="00EA1719"/>
    <w:rsid w:val="00EA1DAD"/>
    <w:rsid w:val="00EA2667"/>
    <w:rsid w:val="00EA28CD"/>
    <w:rsid w:val="00EA420A"/>
    <w:rsid w:val="00EA4386"/>
    <w:rsid w:val="00EA48B2"/>
    <w:rsid w:val="00EA4911"/>
    <w:rsid w:val="00EA55D0"/>
    <w:rsid w:val="00EA685A"/>
    <w:rsid w:val="00EA72CB"/>
    <w:rsid w:val="00EA747F"/>
    <w:rsid w:val="00EA765A"/>
    <w:rsid w:val="00EA76BE"/>
    <w:rsid w:val="00EA7D78"/>
    <w:rsid w:val="00EA7E09"/>
    <w:rsid w:val="00EB1BDA"/>
    <w:rsid w:val="00EB2036"/>
    <w:rsid w:val="00EB246D"/>
    <w:rsid w:val="00EB2B60"/>
    <w:rsid w:val="00EB2C3D"/>
    <w:rsid w:val="00EB2CD4"/>
    <w:rsid w:val="00EB3331"/>
    <w:rsid w:val="00EB53C0"/>
    <w:rsid w:val="00EB55B2"/>
    <w:rsid w:val="00EB572E"/>
    <w:rsid w:val="00EB5C6B"/>
    <w:rsid w:val="00EB6565"/>
    <w:rsid w:val="00EB684C"/>
    <w:rsid w:val="00EB6C73"/>
    <w:rsid w:val="00EB6F3A"/>
    <w:rsid w:val="00EB75C8"/>
    <w:rsid w:val="00EB77DB"/>
    <w:rsid w:val="00EB7D3E"/>
    <w:rsid w:val="00EC08FF"/>
    <w:rsid w:val="00EC0A8D"/>
    <w:rsid w:val="00EC0D87"/>
    <w:rsid w:val="00EC199E"/>
    <w:rsid w:val="00EC1EC0"/>
    <w:rsid w:val="00EC2489"/>
    <w:rsid w:val="00EC24B2"/>
    <w:rsid w:val="00EC2635"/>
    <w:rsid w:val="00EC2A7E"/>
    <w:rsid w:val="00EC3375"/>
    <w:rsid w:val="00EC3BA2"/>
    <w:rsid w:val="00EC3BDE"/>
    <w:rsid w:val="00EC3EE2"/>
    <w:rsid w:val="00EC42DE"/>
    <w:rsid w:val="00EC476A"/>
    <w:rsid w:val="00EC4FEA"/>
    <w:rsid w:val="00EC60B9"/>
    <w:rsid w:val="00EC68FA"/>
    <w:rsid w:val="00EC7370"/>
    <w:rsid w:val="00EC74D0"/>
    <w:rsid w:val="00EC7B89"/>
    <w:rsid w:val="00EC7F67"/>
    <w:rsid w:val="00ED02BF"/>
    <w:rsid w:val="00ED05AD"/>
    <w:rsid w:val="00ED1690"/>
    <w:rsid w:val="00ED17AC"/>
    <w:rsid w:val="00ED22CA"/>
    <w:rsid w:val="00ED2744"/>
    <w:rsid w:val="00ED2F54"/>
    <w:rsid w:val="00ED3F69"/>
    <w:rsid w:val="00ED4172"/>
    <w:rsid w:val="00ED4416"/>
    <w:rsid w:val="00ED483D"/>
    <w:rsid w:val="00ED485F"/>
    <w:rsid w:val="00ED58AD"/>
    <w:rsid w:val="00ED5940"/>
    <w:rsid w:val="00ED617C"/>
    <w:rsid w:val="00ED6959"/>
    <w:rsid w:val="00ED6A6F"/>
    <w:rsid w:val="00ED6E2C"/>
    <w:rsid w:val="00ED71B4"/>
    <w:rsid w:val="00EE0A39"/>
    <w:rsid w:val="00EE213A"/>
    <w:rsid w:val="00EE2428"/>
    <w:rsid w:val="00EE2719"/>
    <w:rsid w:val="00EE2AD9"/>
    <w:rsid w:val="00EE2DF4"/>
    <w:rsid w:val="00EE2FCD"/>
    <w:rsid w:val="00EE52D0"/>
    <w:rsid w:val="00EE5407"/>
    <w:rsid w:val="00EE66E6"/>
    <w:rsid w:val="00EE69D2"/>
    <w:rsid w:val="00EE6DF7"/>
    <w:rsid w:val="00EE6FCD"/>
    <w:rsid w:val="00EE7143"/>
    <w:rsid w:val="00EE7250"/>
    <w:rsid w:val="00EE72D1"/>
    <w:rsid w:val="00EE7534"/>
    <w:rsid w:val="00EE762D"/>
    <w:rsid w:val="00EF00CE"/>
    <w:rsid w:val="00EF03B1"/>
    <w:rsid w:val="00EF0C17"/>
    <w:rsid w:val="00EF0EB1"/>
    <w:rsid w:val="00EF1785"/>
    <w:rsid w:val="00EF1B67"/>
    <w:rsid w:val="00EF1CC1"/>
    <w:rsid w:val="00EF1D55"/>
    <w:rsid w:val="00EF1E2A"/>
    <w:rsid w:val="00EF21F2"/>
    <w:rsid w:val="00EF2541"/>
    <w:rsid w:val="00EF28C6"/>
    <w:rsid w:val="00EF2B9F"/>
    <w:rsid w:val="00EF305D"/>
    <w:rsid w:val="00EF3647"/>
    <w:rsid w:val="00EF3661"/>
    <w:rsid w:val="00EF4C6E"/>
    <w:rsid w:val="00EF50F7"/>
    <w:rsid w:val="00EF522B"/>
    <w:rsid w:val="00EF532E"/>
    <w:rsid w:val="00EF5ED0"/>
    <w:rsid w:val="00EF67BC"/>
    <w:rsid w:val="00EF6C0E"/>
    <w:rsid w:val="00EF6C18"/>
    <w:rsid w:val="00EF6ECB"/>
    <w:rsid w:val="00EF6FAD"/>
    <w:rsid w:val="00EF7094"/>
    <w:rsid w:val="00EF710C"/>
    <w:rsid w:val="00EF754B"/>
    <w:rsid w:val="00EF7CD3"/>
    <w:rsid w:val="00EF7E4E"/>
    <w:rsid w:val="00F005B1"/>
    <w:rsid w:val="00F00893"/>
    <w:rsid w:val="00F00A53"/>
    <w:rsid w:val="00F00AD6"/>
    <w:rsid w:val="00F00F73"/>
    <w:rsid w:val="00F01401"/>
    <w:rsid w:val="00F016AA"/>
    <w:rsid w:val="00F02A18"/>
    <w:rsid w:val="00F02AEE"/>
    <w:rsid w:val="00F02ED9"/>
    <w:rsid w:val="00F03617"/>
    <w:rsid w:val="00F036C9"/>
    <w:rsid w:val="00F038F6"/>
    <w:rsid w:val="00F03943"/>
    <w:rsid w:val="00F03C90"/>
    <w:rsid w:val="00F03CD9"/>
    <w:rsid w:val="00F04614"/>
    <w:rsid w:val="00F0466E"/>
    <w:rsid w:val="00F04753"/>
    <w:rsid w:val="00F04A3A"/>
    <w:rsid w:val="00F04CC7"/>
    <w:rsid w:val="00F0592A"/>
    <w:rsid w:val="00F05FFB"/>
    <w:rsid w:val="00F0615A"/>
    <w:rsid w:val="00F063BC"/>
    <w:rsid w:val="00F06500"/>
    <w:rsid w:val="00F06867"/>
    <w:rsid w:val="00F0748A"/>
    <w:rsid w:val="00F07996"/>
    <w:rsid w:val="00F07F5B"/>
    <w:rsid w:val="00F116EC"/>
    <w:rsid w:val="00F11BCC"/>
    <w:rsid w:val="00F121CC"/>
    <w:rsid w:val="00F12C3C"/>
    <w:rsid w:val="00F134CA"/>
    <w:rsid w:val="00F1359C"/>
    <w:rsid w:val="00F1364C"/>
    <w:rsid w:val="00F13EB4"/>
    <w:rsid w:val="00F13FEA"/>
    <w:rsid w:val="00F1444B"/>
    <w:rsid w:val="00F1508E"/>
    <w:rsid w:val="00F158F5"/>
    <w:rsid w:val="00F1629E"/>
    <w:rsid w:val="00F17D5F"/>
    <w:rsid w:val="00F20291"/>
    <w:rsid w:val="00F20819"/>
    <w:rsid w:val="00F210AE"/>
    <w:rsid w:val="00F21DF4"/>
    <w:rsid w:val="00F21F3A"/>
    <w:rsid w:val="00F21FFA"/>
    <w:rsid w:val="00F22262"/>
    <w:rsid w:val="00F228A1"/>
    <w:rsid w:val="00F24504"/>
    <w:rsid w:val="00F246B3"/>
    <w:rsid w:val="00F25038"/>
    <w:rsid w:val="00F25329"/>
    <w:rsid w:val="00F25DDD"/>
    <w:rsid w:val="00F25F4E"/>
    <w:rsid w:val="00F26C15"/>
    <w:rsid w:val="00F276FB"/>
    <w:rsid w:val="00F27EDC"/>
    <w:rsid w:val="00F30470"/>
    <w:rsid w:val="00F305E6"/>
    <w:rsid w:val="00F30976"/>
    <w:rsid w:val="00F3128C"/>
    <w:rsid w:val="00F314B8"/>
    <w:rsid w:val="00F31CEE"/>
    <w:rsid w:val="00F32267"/>
    <w:rsid w:val="00F323D5"/>
    <w:rsid w:val="00F32B04"/>
    <w:rsid w:val="00F32E6F"/>
    <w:rsid w:val="00F330C4"/>
    <w:rsid w:val="00F33C72"/>
    <w:rsid w:val="00F33D99"/>
    <w:rsid w:val="00F33E62"/>
    <w:rsid w:val="00F34588"/>
    <w:rsid w:val="00F34B19"/>
    <w:rsid w:val="00F350DC"/>
    <w:rsid w:val="00F35707"/>
    <w:rsid w:val="00F3591E"/>
    <w:rsid w:val="00F36389"/>
    <w:rsid w:val="00F36675"/>
    <w:rsid w:val="00F368F0"/>
    <w:rsid w:val="00F36B8A"/>
    <w:rsid w:val="00F37090"/>
    <w:rsid w:val="00F37F54"/>
    <w:rsid w:val="00F400F1"/>
    <w:rsid w:val="00F40106"/>
    <w:rsid w:val="00F4037C"/>
    <w:rsid w:val="00F407D3"/>
    <w:rsid w:val="00F410DA"/>
    <w:rsid w:val="00F41208"/>
    <w:rsid w:val="00F418A9"/>
    <w:rsid w:val="00F41ABB"/>
    <w:rsid w:val="00F42CF2"/>
    <w:rsid w:val="00F42CF7"/>
    <w:rsid w:val="00F43559"/>
    <w:rsid w:val="00F436FF"/>
    <w:rsid w:val="00F445C1"/>
    <w:rsid w:val="00F446A0"/>
    <w:rsid w:val="00F44736"/>
    <w:rsid w:val="00F4614F"/>
    <w:rsid w:val="00F475B2"/>
    <w:rsid w:val="00F475D8"/>
    <w:rsid w:val="00F47EBF"/>
    <w:rsid w:val="00F512D4"/>
    <w:rsid w:val="00F52324"/>
    <w:rsid w:val="00F52C22"/>
    <w:rsid w:val="00F53249"/>
    <w:rsid w:val="00F535EA"/>
    <w:rsid w:val="00F537BF"/>
    <w:rsid w:val="00F53D1F"/>
    <w:rsid w:val="00F53EE8"/>
    <w:rsid w:val="00F54921"/>
    <w:rsid w:val="00F5593D"/>
    <w:rsid w:val="00F55CDB"/>
    <w:rsid w:val="00F562FC"/>
    <w:rsid w:val="00F56427"/>
    <w:rsid w:val="00F5654C"/>
    <w:rsid w:val="00F5745C"/>
    <w:rsid w:val="00F60577"/>
    <w:rsid w:val="00F60D06"/>
    <w:rsid w:val="00F60EFB"/>
    <w:rsid w:val="00F614DF"/>
    <w:rsid w:val="00F615D4"/>
    <w:rsid w:val="00F61D28"/>
    <w:rsid w:val="00F630CC"/>
    <w:rsid w:val="00F6355C"/>
    <w:rsid w:val="00F63FCC"/>
    <w:rsid w:val="00F64D9D"/>
    <w:rsid w:val="00F64E27"/>
    <w:rsid w:val="00F64FFD"/>
    <w:rsid w:val="00F65285"/>
    <w:rsid w:val="00F655CF"/>
    <w:rsid w:val="00F65AC3"/>
    <w:rsid w:val="00F667AF"/>
    <w:rsid w:val="00F67028"/>
    <w:rsid w:val="00F67310"/>
    <w:rsid w:val="00F67740"/>
    <w:rsid w:val="00F67805"/>
    <w:rsid w:val="00F67888"/>
    <w:rsid w:val="00F6798F"/>
    <w:rsid w:val="00F70096"/>
    <w:rsid w:val="00F704BF"/>
    <w:rsid w:val="00F706E7"/>
    <w:rsid w:val="00F70875"/>
    <w:rsid w:val="00F71280"/>
    <w:rsid w:val="00F71D2D"/>
    <w:rsid w:val="00F72306"/>
    <w:rsid w:val="00F72759"/>
    <w:rsid w:val="00F72CA1"/>
    <w:rsid w:val="00F72F37"/>
    <w:rsid w:val="00F73AF8"/>
    <w:rsid w:val="00F73BBD"/>
    <w:rsid w:val="00F73EAB"/>
    <w:rsid w:val="00F73EC7"/>
    <w:rsid w:val="00F746C2"/>
    <w:rsid w:val="00F747DD"/>
    <w:rsid w:val="00F752DE"/>
    <w:rsid w:val="00F753AA"/>
    <w:rsid w:val="00F75D34"/>
    <w:rsid w:val="00F75F02"/>
    <w:rsid w:val="00F7650D"/>
    <w:rsid w:val="00F7681E"/>
    <w:rsid w:val="00F768C9"/>
    <w:rsid w:val="00F76A22"/>
    <w:rsid w:val="00F76BE6"/>
    <w:rsid w:val="00F77F66"/>
    <w:rsid w:val="00F80371"/>
    <w:rsid w:val="00F806FF"/>
    <w:rsid w:val="00F80D13"/>
    <w:rsid w:val="00F80D49"/>
    <w:rsid w:val="00F80F0D"/>
    <w:rsid w:val="00F8134E"/>
    <w:rsid w:val="00F81C79"/>
    <w:rsid w:val="00F8208D"/>
    <w:rsid w:val="00F821E3"/>
    <w:rsid w:val="00F82D2A"/>
    <w:rsid w:val="00F82D6A"/>
    <w:rsid w:val="00F83160"/>
    <w:rsid w:val="00F8379E"/>
    <w:rsid w:val="00F83CD4"/>
    <w:rsid w:val="00F8438C"/>
    <w:rsid w:val="00F844DB"/>
    <w:rsid w:val="00F84EC2"/>
    <w:rsid w:val="00F84ECF"/>
    <w:rsid w:val="00F85045"/>
    <w:rsid w:val="00F861B3"/>
    <w:rsid w:val="00F862D7"/>
    <w:rsid w:val="00F86495"/>
    <w:rsid w:val="00F86F6B"/>
    <w:rsid w:val="00F86F89"/>
    <w:rsid w:val="00F87516"/>
    <w:rsid w:val="00F87682"/>
    <w:rsid w:val="00F87D66"/>
    <w:rsid w:val="00F9041F"/>
    <w:rsid w:val="00F90E73"/>
    <w:rsid w:val="00F90FAD"/>
    <w:rsid w:val="00F91038"/>
    <w:rsid w:val="00F91279"/>
    <w:rsid w:val="00F9132B"/>
    <w:rsid w:val="00F91426"/>
    <w:rsid w:val="00F91DBD"/>
    <w:rsid w:val="00F922E4"/>
    <w:rsid w:val="00F92638"/>
    <w:rsid w:val="00F927EE"/>
    <w:rsid w:val="00F92C95"/>
    <w:rsid w:val="00F931B9"/>
    <w:rsid w:val="00F94AD0"/>
    <w:rsid w:val="00F95063"/>
    <w:rsid w:val="00F9509F"/>
    <w:rsid w:val="00F95551"/>
    <w:rsid w:val="00F9629D"/>
    <w:rsid w:val="00F96AC6"/>
    <w:rsid w:val="00F96F92"/>
    <w:rsid w:val="00F96F93"/>
    <w:rsid w:val="00F970C6"/>
    <w:rsid w:val="00F97754"/>
    <w:rsid w:val="00F978D6"/>
    <w:rsid w:val="00F97931"/>
    <w:rsid w:val="00F97A23"/>
    <w:rsid w:val="00F97BC2"/>
    <w:rsid w:val="00FA05CF"/>
    <w:rsid w:val="00FA0891"/>
    <w:rsid w:val="00FA16E4"/>
    <w:rsid w:val="00FA1851"/>
    <w:rsid w:val="00FA230C"/>
    <w:rsid w:val="00FA26CB"/>
    <w:rsid w:val="00FA2BE3"/>
    <w:rsid w:val="00FA3109"/>
    <w:rsid w:val="00FA32B7"/>
    <w:rsid w:val="00FA3706"/>
    <w:rsid w:val="00FA3A2E"/>
    <w:rsid w:val="00FA464E"/>
    <w:rsid w:val="00FA491D"/>
    <w:rsid w:val="00FA4BC0"/>
    <w:rsid w:val="00FA55D7"/>
    <w:rsid w:val="00FA56C1"/>
    <w:rsid w:val="00FA572F"/>
    <w:rsid w:val="00FA5BED"/>
    <w:rsid w:val="00FA6356"/>
    <w:rsid w:val="00FA64D6"/>
    <w:rsid w:val="00FA66CE"/>
    <w:rsid w:val="00FA6F09"/>
    <w:rsid w:val="00FA70A9"/>
    <w:rsid w:val="00FA74A4"/>
    <w:rsid w:val="00FA772E"/>
    <w:rsid w:val="00FA78CE"/>
    <w:rsid w:val="00FB04C0"/>
    <w:rsid w:val="00FB063F"/>
    <w:rsid w:val="00FB0A82"/>
    <w:rsid w:val="00FB0E63"/>
    <w:rsid w:val="00FB184E"/>
    <w:rsid w:val="00FB1A8A"/>
    <w:rsid w:val="00FB1ADF"/>
    <w:rsid w:val="00FB1ECE"/>
    <w:rsid w:val="00FB2855"/>
    <w:rsid w:val="00FB3672"/>
    <w:rsid w:val="00FB377D"/>
    <w:rsid w:val="00FB384E"/>
    <w:rsid w:val="00FB3895"/>
    <w:rsid w:val="00FB3900"/>
    <w:rsid w:val="00FB3B6A"/>
    <w:rsid w:val="00FB3E62"/>
    <w:rsid w:val="00FB3F1F"/>
    <w:rsid w:val="00FB440E"/>
    <w:rsid w:val="00FB4557"/>
    <w:rsid w:val="00FB4C54"/>
    <w:rsid w:val="00FB4C9C"/>
    <w:rsid w:val="00FB4D66"/>
    <w:rsid w:val="00FB4E2E"/>
    <w:rsid w:val="00FB4E4A"/>
    <w:rsid w:val="00FB52E8"/>
    <w:rsid w:val="00FB5B5A"/>
    <w:rsid w:val="00FB631B"/>
    <w:rsid w:val="00FB69E9"/>
    <w:rsid w:val="00FB72B4"/>
    <w:rsid w:val="00FB747D"/>
    <w:rsid w:val="00FC06C4"/>
    <w:rsid w:val="00FC0BDC"/>
    <w:rsid w:val="00FC0D58"/>
    <w:rsid w:val="00FC145A"/>
    <w:rsid w:val="00FC14AB"/>
    <w:rsid w:val="00FC18C4"/>
    <w:rsid w:val="00FC1CC1"/>
    <w:rsid w:val="00FC27D6"/>
    <w:rsid w:val="00FC38D9"/>
    <w:rsid w:val="00FC3BAC"/>
    <w:rsid w:val="00FC402D"/>
    <w:rsid w:val="00FC4116"/>
    <w:rsid w:val="00FC414A"/>
    <w:rsid w:val="00FC42E5"/>
    <w:rsid w:val="00FC4B56"/>
    <w:rsid w:val="00FC5741"/>
    <w:rsid w:val="00FC5873"/>
    <w:rsid w:val="00FC598F"/>
    <w:rsid w:val="00FC5C37"/>
    <w:rsid w:val="00FC5C3E"/>
    <w:rsid w:val="00FC5C8E"/>
    <w:rsid w:val="00FC6571"/>
    <w:rsid w:val="00FC6A45"/>
    <w:rsid w:val="00FC7512"/>
    <w:rsid w:val="00FC7833"/>
    <w:rsid w:val="00FC79F0"/>
    <w:rsid w:val="00FD09E8"/>
    <w:rsid w:val="00FD0CC9"/>
    <w:rsid w:val="00FD0D26"/>
    <w:rsid w:val="00FD1615"/>
    <w:rsid w:val="00FD1731"/>
    <w:rsid w:val="00FD1798"/>
    <w:rsid w:val="00FD1A49"/>
    <w:rsid w:val="00FD1AAD"/>
    <w:rsid w:val="00FD1AB6"/>
    <w:rsid w:val="00FD1AD2"/>
    <w:rsid w:val="00FD2540"/>
    <w:rsid w:val="00FD2A79"/>
    <w:rsid w:val="00FD2BDB"/>
    <w:rsid w:val="00FD2D8A"/>
    <w:rsid w:val="00FD2DC5"/>
    <w:rsid w:val="00FD2F34"/>
    <w:rsid w:val="00FD3048"/>
    <w:rsid w:val="00FD331F"/>
    <w:rsid w:val="00FD338B"/>
    <w:rsid w:val="00FD34B1"/>
    <w:rsid w:val="00FD37A1"/>
    <w:rsid w:val="00FD3C31"/>
    <w:rsid w:val="00FD436B"/>
    <w:rsid w:val="00FD469B"/>
    <w:rsid w:val="00FD46BF"/>
    <w:rsid w:val="00FD5695"/>
    <w:rsid w:val="00FD6BD7"/>
    <w:rsid w:val="00FD7082"/>
    <w:rsid w:val="00FD708C"/>
    <w:rsid w:val="00FD7390"/>
    <w:rsid w:val="00FE1CAA"/>
    <w:rsid w:val="00FE1D4B"/>
    <w:rsid w:val="00FE2B13"/>
    <w:rsid w:val="00FE30AE"/>
    <w:rsid w:val="00FE3110"/>
    <w:rsid w:val="00FE33D5"/>
    <w:rsid w:val="00FE3561"/>
    <w:rsid w:val="00FE3578"/>
    <w:rsid w:val="00FE38CB"/>
    <w:rsid w:val="00FE3902"/>
    <w:rsid w:val="00FE3C50"/>
    <w:rsid w:val="00FE3FFE"/>
    <w:rsid w:val="00FE4060"/>
    <w:rsid w:val="00FE427F"/>
    <w:rsid w:val="00FE439F"/>
    <w:rsid w:val="00FE4540"/>
    <w:rsid w:val="00FE4798"/>
    <w:rsid w:val="00FE4B5A"/>
    <w:rsid w:val="00FE4BC4"/>
    <w:rsid w:val="00FE5594"/>
    <w:rsid w:val="00FE578B"/>
    <w:rsid w:val="00FE5EB3"/>
    <w:rsid w:val="00FE6268"/>
    <w:rsid w:val="00FE643C"/>
    <w:rsid w:val="00FE680D"/>
    <w:rsid w:val="00FE69A6"/>
    <w:rsid w:val="00FE6CE3"/>
    <w:rsid w:val="00FE70DE"/>
    <w:rsid w:val="00FE71DB"/>
    <w:rsid w:val="00FE7200"/>
    <w:rsid w:val="00FE777D"/>
    <w:rsid w:val="00FE7800"/>
    <w:rsid w:val="00FE7DED"/>
    <w:rsid w:val="00FF00C3"/>
    <w:rsid w:val="00FF0980"/>
    <w:rsid w:val="00FF0E8B"/>
    <w:rsid w:val="00FF1999"/>
    <w:rsid w:val="00FF1B69"/>
    <w:rsid w:val="00FF1E00"/>
    <w:rsid w:val="00FF2288"/>
    <w:rsid w:val="00FF22D4"/>
    <w:rsid w:val="00FF22E3"/>
    <w:rsid w:val="00FF24E7"/>
    <w:rsid w:val="00FF258A"/>
    <w:rsid w:val="00FF2A39"/>
    <w:rsid w:val="00FF2BC4"/>
    <w:rsid w:val="00FF3E08"/>
    <w:rsid w:val="00FF48E5"/>
    <w:rsid w:val="00FF4D22"/>
    <w:rsid w:val="00FF664A"/>
    <w:rsid w:val="00FF67F1"/>
    <w:rsid w:val="00FF6C0B"/>
    <w:rsid w:val="00FF6D56"/>
    <w:rsid w:val="00FF7393"/>
    <w:rsid w:val="00FF78D1"/>
    <w:rsid w:val="00FF7CD8"/>
    <w:rsid w:val="010C2239"/>
    <w:rsid w:val="012D0479"/>
    <w:rsid w:val="01474501"/>
    <w:rsid w:val="016521D3"/>
    <w:rsid w:val="019E3125"/>
    <w:rsid w:val="01DD1E9F"/>
    <w:rsid w:val="020D3EE0"/>
    <w:rsid w:val="021047DD"/>
    <w:rsid w:val="0227136C"/>
    <w:rsid w:val="02301F51"/>
    <w:rsid w:val="025C201D"/>
    <w:rsid w:val="02694276"/>
    <w:rsid w:val="02704AC1"/>
    <w:rsid w:val="02766859"/>
    <w:rsid w:val="027F6AB2"/>
    <w:rsid w:val="029E4ED0"/>
    <w:rsid w:val="02A05FD7"/>
    <w:rsid w:val="02F0775C"/>
    <w:rsid w:val="02F4124E"/>
    <w:rsid w:val="02F831F6"/>
    <w:rsid w:val="030E5384"/>
    <w:rsid w:val="03154379"/>
    <w:rsid w:val="034675D0"/>
    <w:rsid w:val="03667C72"/>
    <w:rsid w:val="03806F86"/>
    <w:rsid w:val="03A05EA4"/>
    <w:rsid w:val="03D930DC"/>
    <w:rsid w:val="03F60FF6"/>
    <w:rsid w:val="04564960"/>
    <w:rsid w:val="04602913"/>
    <w:rsid w:val="048F7CF9"/>
    <w:rsid w:val="04D255BF"/>
    <w:rsid w:val="05070317"/>
    <w:rsid w:val="051F5D1E"/>
    <w:rsid w:val="05237BC9"/>
    <w:rsid w:val="05355B4E"/>
    <w:rsid w:val="059C7247"/>
    <w:rsid w:val="05A52CD4"/>
    <w:rsid w:val="05B22EA2"/>
    <w:rsid w:val="05B607CF"/>
    <w:rsid w:val="05DB66F5"/>
    <w:rsid w:val="05E732EC"/>
    <w:rsid w:val="060133A6"/>
    <w:rsid w:val="062A4F87"/>
    <w:rsid w:val="06723038"/>
    <w:rsid w:val="06B331CE"/>
    <w:rsid w:val="06C02D46"/>
    <w:rsid w:val="06E93094"/>
    <w:rsid w:val="072B7BD7"/>
    <w:rsid w:val="0733249E"/>
    <w:rsid w:val="074E2EF7"/>
    <w:rsid w:val="07642E05"/>
    <w:rsid w:val="078D042A"/>
    <w:rsid w:val="07921036"/>
    <w:rsid w:val="07A6249E"/>
    <w:rsid w:val="07CE4A46"/>
    <w:rsid w:val="07D55438"/>
    <w:rsid w:val="07DD49A7"/>
    <w:rsid w:val="07E3219C"/>
    <w:rsid w:val="07FE2B6F"/>
    <w:rsid w:val="085B51B1"/>
    <w:rsid w:val="08760957"/>
    <w:rsid w:val="087F43B6"/>
    <w:rsid w:val="08844E22"/>
    <w:rsid w:val="08BA6A96"/>
    <w:rsid w:val="09336C26"/>
    <w:rsid w:val="09352FD9"/>
    <w:rsid w:val="094C3466"/>
    <w:rsid w:val="094E3682"/>
    <w:rsid w:val="095427B3"/>
    <w:rsid w:val="09644C54"/>
    <w:rsid w:val="096A109B"/>
    <w:rsid w:val="099948FD"/>
    <w:rsid w:val="09B5445E"/>
    <w:rsid w:val="09C676BC"/>
    <w:rsid w:val="09D43B87"/>
    <w:rsid w:val="09EB6E0F"/>
    <w:rsid w:val="09EF09C1"/>
    <w:rsid w:val="09F124DC"/>
    <w:rsid w:val="09FB55B8"/>
    <w:rsid w:val="0A2B5D98"/>
    <w:rsid w:val="0A2C5771"/>
    <w:rsid w:val="0A6C2012"/>
    <w:rsid w:val="0A7A0C6F"/>
    <w:rsid w:val="0A7D5FCD"/>
    <w:rsid w:val="0A9524CF"/>
    <w:rsid w:val="0AB8072D"/>
    <w:rsid w:val="0B0A4D29"/>
    <w:rsid w:val="0B4304BD"/>
    <w:rsid w:val="0B5C2086"/>
    <w:rsid w:val="0B650D5B"/>
    <w:rsid w:val="0B8213C1"/>
    <w:rsid w:val="0BA7412C"/>
    <w:rsid w:val="0BC56019"/>
    <w:rsid w:val="0BC57EAA"/>
    <w:rsid w:val="0BF83D65"/>
    <w:rsid w:val="0C0849EC"/>
    <w:rsid w:val="0C1C1816"/>
    <w:rsid w:val="0C4452AF"/>
    <w:rsid w:val="0C4548C9"/>
    <w:rsid w:val="0C4C20FB"/>
    <w:rsid w:val="0C537A16"/>
    <w:rsid w:val="0C9646E6"/>
    <w:rsid w:val="0CA060AB"/>
    <w:rsid w:val="0CA507CB"/>
    <w:rsid w:val="0CB35CD6"/>
    <w:rsid w:val="0CB5105E"/>
    <w:rsid w:val="0D162709"/>
    <w:rsid w:val="0D1E7F83"/>
    <w:rsid w:val="0D5D5C42"/>
    <w:rsid w:val="0D6671EC"/>
    <w:rsid w:val="0D6C56B8"/>
    <w:rsid w:val="0DB8731C"/>
    <w:rsid w:val="0DC363ED"/>
    <w:rsid w:val="0DC61A39"/>
    <w:rsid w:val="0DCE0757"/>
    <w:rsid w:val="0DD3583C"/>
    <w:rsid w:val="0DE256C3"/>
    <w:rsid w:val="0E0A401C"/>
    <w:rsid w:val="0E1E7AC7"/>
    <w:rsid w:val="0E4D3F08"/>
    <w:rsid w:val="0E501D2F"/>
    <w:rsid w:val="0E7476E7"/>
    <w:rsid w:val="0EA555A2"/>
    <w:rsid w:val="0EAF0F09"/>
    <w:rsid w:val="0EB27B18"/>
    <w:rsid w:val="0EB31D1C"/>
    <w:rsid w:val="0EBB59F6"/>
    <w:rsid w:val="0ED2659A"/>
    <w:rsid w:val="0EE4486D"/>
    <w:rsid w:val="0EE84006"/>
    <w:rsid w:val="0F284257"/>
    <w:rsid w:val="0F4325BC"/>
    <w:rsid w:val="0FA579EC"/>
    <w:rsid w:val="0FB51250"/>
    <w:rsid w:val="0FBD0C1A"/>
    <w:rsid w:val="0FDC19E8"/>
    <w:rsid w:val="0FE16C98"/>
    <w:rsid w:val="0FF56606"/>
    <w:rsid w:val="101F1ADF"/>
    <w:rsid w:val="10401F77"/>
    <w:rsid w:val="105800E6"/>
    <w:rsid w:val="105B0B5E"/>
    <w:rsid w:val="10964359"/>
    <w:rsid w:val="10E24BEF"/>
    <w:rsid w:val="110C1E59"/>
    <w:rsid w:val="11146F5F"/>
    <w:rsid w:val="11230F50"/>
    <w:rsid w:val="112847B9"/>
    <w:rsid w:val="11292A0B"/>
    <w:rsid w:val="116C6D9B"/>
    <w:rsid w:val="11B04EDA"/>
    <w:rsid w:val="11BF25DA"/>
    <w:rsid w:val="11F970A4"/>
    <w:rsid w:val="121C60CC"/>
    <w:rsid w:val="122E0441"/>
    <w:rsid w:val="12345F40"/>
    <w:rsid w:val="127801BF"/>
    <w:rsid w:val="12891287"/>
    <w:rsid w:val="128A572B"/>
    <w:rsid w:val="12C747B7"/>
    <w:rsid w:val="12C75285"/>
    <w:rsid w:val="12D45205"/>
    <w:rsid w:val="12DD20D4"/>
    <w:rsid w:val="12E74675"/>
    <w:rsid w:val="12EA33B0"/>
    <w:rsid w:val="12FB2185"/>
    <w:rsid w:val="12FE5A4C"/>
    <w:rsid w:val="13144FF5"/>
    <w:rsid w:val="1318290F"/>
    <w:rsid w:val="13280AA0"/>
    <w:rsid w:val="132C67E2"/>
    <w:rsid w:val="13427DB4"/>
    <w:rsid w:val="134753CA"/>
    <w:rsid w:val="13626075"/>
    <w:rsid w:val="13C62793"/>
    <w:rsid w:val="14125FD5"/>
    <w:rsid w:val="141F3619"/>
    <w:rsid w:val="142B6A9A"/>
    <w:rsid w:val="144C7774"/>
    <w:rsid w:val="14550A8A"/>
    <w:rsid w:val="14863420"/>
    <w:rsid w:val="148816D5"/>
    <w:rsid w:val="14DF1632"/>
    <w:rsid w:val="154E24EE"/>
    <w:rsid w:val="15836462"/>
    <w:rsid w:val="1593014F"/>
    <w:rsid w:val="159A2C24"/>
    <w:rsid w:val="15BF56EC"/>
    <w:rsid w:val="15C43586"/>
    <w:rsid w:val="15C55AB8"/>
    <w:rsid w:val="15DD1B87"/>
    <w:rsid w:val="15F35395"/>
    <w:rsid w:val="15F97D4A"/>
    <w:rsid w:val="15FD4CF1"/>
    <w:rsid w:val="15FF3D3A"/>
    <w:rsid w:val="1600509A"/>
    <w:rsid w:val="161A0B74"/>
    <w:rsid w:val="162E2871"/>
    <w:rsid w:val="1633430E"/>
    <w:rsid w:val="163868AA"/>
    <w:rsid w:val="16527E9B"/>
    <w:rsid w:val="16BA5EB3"/>
    <w:rsid w:val="16BE59A3"/>
    <w:rsid w:val="16E318AE"/>
    <w:rsid w:val="16EB0762"/>
    <w:rsid w:val="16F455B8"/>
    <w:rsid w:val="175E7186"/>
    <w:rsid w:val="176C00A9"/>
    <w:rsid w:val="17836BED"/>
    <w:rsid w:val="17842D50"/>
    <w:rsid w:val="17A50911"/>
    <w:rsid w:val="17BF5C11"/>
    <w:rsid w:val="17C35302"/>
    <w:rsid w:val="17D4049A"/>
    <w:rsid w:val="17EB6C6C"/>
    <w:rsid w:val="17F51899"/>
    <w:rsid w:val="17F90C5D"/>
    <w:rsid w:val="17FA6B64"/>
    <w:rsid w:val="182A24FE"/>
    <w:rsid w:val="185000CB"/>
    <w:rsid w:val="18687698"/>
    <w:rsid w:val="18E74355"/>
    <w:rsid w:val="18F460C2"/>
    <w:rsid w:val="19155BB3"/>
    <w:rsid w:val="191E1227"/>
    <w:rsid w:val="19371A3D"/>
    <w:rsid w:val="19440AE2"/>
    <w:rsid w:val="199724DC"/>
    <w:rsid w:val="19AF3CC9"/>
    <w:rsid w:val="19BB20AC"/>
    <w:rsid w:val="19D13C3F"/>
    <w:rsid w:val="1A0C4C78"/>
    <w:rsid w:val="1A1A4BE8"/>
    <w:rsid w:val="1A451B07"/>
    <w:rsid w:val="1A604FC3"/>
    <w:rsid w:val="1A620D3B"/>
    <w:rsid w:val="1A622AE9"/>
    <w:rsid w:val="1A766595"/>
    <w:rsid w:val="1A896146"/>
    <w:rsid w:val="1AD27C6F"/>
    <w:rsid w:val="1AE63A6C"/>
    <w:rsid w:val="1AE70ACE"/>
    <w:rsid w:val="1AEE2760"/>
    <w:rsid w:val="1B027E29"/>
    <w:rsid w:val="1B972C67"/>
    <w:rsid w:val="1B9772BD"/>
    <w:rsid w:val="1BB43819"/>
    <w:rsid w:val="1BB92BDD"/>
    <w:rsid w:val="1BD161C7"/>
    <w:rsid w:val="1BD712B5"/>
    <w:rsid w:val="1C362480"/>
    <w:rsid w:val="1C542906"/>
    <w:rsid w:val="1C7B15CE"/>
    <w:rsid w:val="1C821221"/>
    <w:rsid w:val="1C8513AC"/>
    <w:rsid w:val="1C964CCC"/>
    <w:rsid w:val="1CB02232"/>
    <w:rsid w:val="1CC61A56"/>
    <w:rsid w:val="1CD51C99"/>
    <w:rsid w:val="1CE974F2"/>
    <w:rsid w:val="1CF814E3"/>
    <w:rsid w:val="1D284510"/>
    <w:rsid w:val="1D4A71EF"/>
    <w:rsid w:val="1D506B65"/>
    <w:rsid w:val="1D65301C"/>
    <w:rsid w:val="1DB16262"/>
    <w:rsid w:val="1DBB0293"/>
    <w:rsid w:val="1E0C4383"/>
    <w:rsid w:val="1E330118"/>
    <w:rsid w:val="1E5F6680"/>
    <w:rsid w:val="1E717A30"/>
    <w:rsid w:val="1EAA7B96"/>
    <w:rsid w:val="1EAC4C7B"/>
    <w:rsid w:val="1EC477D8"/>
    <w:rsid w:val="1ED5118B"/>
    <w:rsid w:val="1EDE34AD"/>
    <w:rsid w:val="1EEB4FBD"/>
    <w:rsid w:val="1EEE6405"/>
    <w:rsid w:val="1EEF4A77"/>
    <w:rsid w:val="1F0265C3"/>
    <w:rsid w:val="1F036342"/>
    <w:rsid w:val="1F240CB5"/>
    <w:rsid w:val="1F62480A"/>
    <w:rsid w:val="1F664E2A"/>
    <w:rsid w:val="1F666BD8"/>
    <w:rsid w:val="1F7A08D5"/>
    <w:rsid w:val="1F8D23B7"/>
    <w:rsid w:val="1FB17124"/>
    <w:rsid w:val="1FBE07C2"/>
    <w:rsid w:val="1FC57DA2"/>
    <w:rsid w:val="1FD56960"/>
    <w:rsid w:val="1FDE70B6"/>
    <w:rsid w:val="1FEA4231"/>
    <w:rsid w:val="1FF26F8E"/>
    <w:rsid w:val="1FFB1A16"/>
    <w:rsid w:val="1FFF441C"/>
    <w:rsid w:val="200E6725"/>
    <w:rsid w:val="20621F0A"/>
    <w:rsid w:val="20906010"/>
    <w:rsid w:val="20AA6F98"/>
    <w:rsid w:val="20BB31CA"/>
    <w:rsid w:val="212C6A25"/>
    <w:rsid w:val="212C6DC8"/>
    <w:rsid w:val="214E3B8E"/>
    <w:rsid w:val="21790498"/>
    <w:rsid w:val="217D46AD"/>
    <w:rsid w:val="218B501C"/>
    <w:rsid w:val="218D4E4C"/>
    <w:rsid w:val="21936CA6"/>
    <w:rsid w:val="21C30312"/>
    <w:rsid w:val="21CB5544"/>
    <w:rsid w:val="21DD7016"/>
    <w:rsid w:val="21F726B1"/>
    <w:rsid w:val="220B1BC2"/>
    <w:rsid w:val="22162B37"/>
    <w:rsid w:val="22287087"/>
    <w:rsid w:val="22342FBD"/>
    <w:rsid w:val="224A0A33"/>
    <w:rsid w:val="227640E7"/>
    <w:rsid w:val="22895117"/>
    <w:rsid w:val="22EC1AEA"/>
    <w:rsid w:val="22EF5136"/>
    <w:rsid w:val="22FD42C4"/>
    <w:rsid w:val="23040BE2"/>
    <w:rsid w:val="23053967"/>
    <w:rsid w:val="23137077"/>
    <w:rsid w:val="232079E6"/>
    <w:rsid w:val="23283F73"/>
    <w:rsid w:val="233B0312"/>
    <w:rsid w:val="23486D36"/>
    <w:rsid w:val="23580F2E"/>
    <w:rsid w:val="235C0A1E"/>
    <w:rsid w:val="23607DE2"/>
    <w:rsid w:val="23621DAC"/>
    <w:rsid w:val="236D16F9"/>
    <w:rsid w:val="23921869"/>
    <w:rsid w:val="2393640A"/>
    <w:rsid w:val="23A26011"/>
    <w:rsid w:val="23B87254"/>
    <w:rsid w:val="23F6066F"/>
    <w:rsid w:val="24170DE9"/>
    <w:rsid w:val="24661428"/>
    <w:rsid w:val="24A86610"/>
    <w:rsid w:val="24B146FC"/>
    <w:rsid w:val="24B46637"/>
    <w:rsid w:val="24E567F1"/>
    <w:rsid w:val="24F12B89"/>
    <w:rsid w:val="24FC4E65"/>
    <w:rsid w:val="253363A2"/>
    <w:rsid w:val="25511DEA"/>
    <w:rsid w:val="25557376"/>
    <w:rsid w:val="255B2F57"/>
    <w:rsid w:val="255E0351"/>
    <w:rsid w:val="25641E0C"/>
    <w:rsid w:val="256D11F2"/>
    <w:rsid w:val="25826C83"/>
    <w:rsid w:val="259D3570"/>
    <w:rsid w:val="25A80511"/>
    <w:rsid w:val="25DA1042"/>
    <w:rsid w:val="25DD2180"/>
    <w:rsid w:val="25F55CA0"/>
    <w:rsid w:val="260929B3"/>
    <w:rsid w:val="26393298"/>
    <w:rsid w:val="263B32FF"/>
    <w:rsid w:val="263E265D"/>
    <w:rsid w:val="266A3CEA"/>
    <w:rsid w:val="26A30712"/>
    <w:rsid w:val="26FB6F37"/>
    <w:rsid w:val="271B474C"/>
    <w:rsid w:val="272517AC"/>
    <w:rsid w:val="274556D9"/>
    <w:rsid w:val="27534580"/>
    <w:rsid w:val="27B0416A"/>
    <w:rsid w:val="27B841BB"/>
    <w:rsid w:val="27D81B4B"/>
    <w:rsid w:val="27E84751"/>
    <w:rsid w:val="287C257D"/>
    <w:rsid w:val="28CA0E3C"/>
    <w:rsid w:val="28CA642A"/>
    <w:rsid w:val="28D52D76"/>
    <w:rsid w:val="293E2974"/>
    <w:rsid w:val="294855A0"/>
    <w:rsid w:val="294C5091"/>
    <w:rsid w:val="29712D49"/>
    <w:rsid w:val="297645D7"/>
    <w:rsid w:val="29B64C83"/>
    <w:rsid w:val="29BB0FAF"/>
    <w:rsid w:val="29CC61D1"/>
    <w:rsid w:val="29E61626"/>
    <w:rsid w:val="2A1470AB"/>
    <w:rsid w:val="2A44045E"/>
    <w:rsid w:val="2A443FBA"/>
    <w:rsid w:val="2A703001"/>
    <w:rsid w:val="2A790107"/>
    <w:rsid w:val="2A8B7E3A"/>
    <w:rsid w:val="2A905451"/>
    <w:rsid w:val="2A951BB0"/>
    <w:rsid w:val="2A9A1E2C"/>
    <w:rsid w:val="2AA6261B"/>
    <w:rsid w:val="2AAD6003"/>
    <w:rsid w:val="2AD73080"/>
    <w:rsid w:val="2AF8509F"/>
    <w:rsid w:val="2AFE098F"/>
    <w:rsid w:val="2B073965"/>
    <w:rsid w:val="2B110340"/>
    <w:rsid w:val="2B320C10"/>
    <w:rsid w:val="2B5B038E"/>
    <w:rsid w:val="2B613ABF"/>
    <w:rsid w:val="2B9045C4"/>
    <w:rsid w:val="2BA56CDA"/>
    <w:rsid w:val="2BAE37AF"/>
    <w:rsid w:val="2BE710A1"/>
    <w:rsid w:val="2BF11F1F"/>
    <w:rsid w:val="2BFA5278"/>
    <w:rsid w:val="2C144DE1"/>
    <w:rsid w:val="2C267E1B"/>
    <w:rsid w:val="2C3EB1AA"/>
    <w:rsid w:val="2C416A03"/>
    <w:rsid w:val="2C4B0063"/>
    <w:rsid w:val="2CAB3828"/>
    <w:rsid w:val="2CBC29C6"/>
    <w:rsid w:val="2CC913E4"/>
    <w:rsid w:val="2D035522"/>
    <w:rsid w:val="2D0A516A"/>
    <w:rsid w:val="2D361C05"/>
    <w:rsid w:val="2D393B7E"/>
    <w:rsid w:val="2D3A16A4"/>
    <w:rsid w:val="2D5B685D"/>
    <w:rsid w:val="2D6230D5"/>
    <w:rsid w:val="2D632327"/>
    <w:rsid w:val="2D7E3C87"/>
    <w:rsid w:val="2DA53476"/>
    <w:rsid w:val="2DD04A0F"/>
    <w:rsid w:val="2E0C4DEE"/>
    <w:rsid w:val="2E0C7B9E"/>
    <w:rsid w:val="2E36630F"/>
    <w:rsid w:val="2E496043"/>
    <w:rsid w:val="2E4C34F7"/>
    <w:rsid w:val="2E693FEF"/>
    <w:rsid w:val="2E6C1D31"/>
    <w:rsid w:val="2E8B665B"/>
    <w:rsid w:val="2EBE07DF"/>
    <w:rsid w:val="2ED40002"/>
    <w:rsid w:val="2EDC279E"/>
    <w:rsid w:val="2EEC73E6"/>
    <w:rsid w:val="2EED4C20"/>
    <w:rsid w:val="2EF85E1E"/>
    <w:rsid w:val="2EF91817"/>
    <w:rsid w:val="2EF958DA"/>
    <w:rsid w:val="2F1403FE"/>
    <w:rsid w:val="2F71B1D7"/>
    <w:rsid w:val="2F8C268B"/>
    <w:rsid w:val="2FA15A0A"/>
    <w:rsid w:val="2FAB4A8C"/>
    <w:rsid w:val="2FAD1DFD"/>
    <w:rsid w:val="2FB35292"/>
    <w:rsid w:val="2FCB3085"/>
    <w:rsid w:val="2FCC2ADD"/>
    <w:rsid w:val="2FDD69C5"/>
    <w:rsid w:val="2FE23E63"/>
    <w:rsid w:val="2FFA3A98"/>
    <w:rsid w:val="301601A6"/>
    <w:rsid w:val="305508B9"/>
    <w:rsid w:val="30760C45"/>
    <w:rsid w:val="308F0036"/>
    <w:rsid w:val="3095584F"/>
    <w:rsid w:val="30977539"/>
    <w:rsid w:val="30B46DBE"/>
    <w:rsid w:val="30BA4FD6"/>
    <w:rsid w:val="30BD6DB1"/>
    <w:rsid w:val="30D75B88"/>
    <w:rsid w:val="30DD2A72"/>
    <w:rsid w:val="30EB1633"/>
    <w:rsid w:val="3108307F"/>
    <w:rsid w:val="310A72C9"/>
    <w:rsid w:val="310F3573"/>
    <w:rsid w:val="312E32CE"/>
    <w:rsid w:val="313B5C41"/>
    <w:rsid w:val="314A46BE"/>
    <w:rsid w:val="316513E5"/>
    <w:rsid w:val="31BC4D7D"/>
    <w:rsid w:val="31C93680"/>
    <w:rsid w:val="320A67AD"/>
    <w:rsid w:val="32495C16"/>
    <w:rsid w:val="3254500F"/>
    <w:rsid w:val="326F1DF0"/>
    <w:rsid w:val="32713DBA"/>
    <w:rsid w:val="328A1547"/>
    <w:rsid w:val="328F681A"/>
    <w:rsid w:val="32A777DC"/>
    <w:rsid w:val="32AE0B6A"/>
    <w:rsid w:val="32B16170"/>
    <w:rsid w:val="32C57C62"/>
    <w:rsid w:val="32CF5773"/>
    <w:rsid w:val="32CF6C42"/>
    <w:rsid w:val="32E54217"/>
    <w:rsid w:val="32EB3B6C"/>
    <w:rsid w:val="32EC4069"/>
    <w:rsid w:val="32F553A9"/>
    <w:rsid w:val="33044755"/>
    <w:rsid w:val="33275EF5"/>
    <w:rsid w:val="33286D42"/>
    <w:rsid w:val="333E257D"/>
    <w:rsid w:val="338C085C"/>
    <w:rsid w:val="339064C2"/>
    <w:rsid w:val="339F7C6D"/>
    <w:rsid w:val="3404068C"/>
    <w:rsid w:val="343C00E1"/>
    <w:rsid w:val="3445105A"/>
    <w:rsid w:val="34480B4A"/>
    <w:rsid w:val="34811922"/>
    <w:rsid w:val="348C4EDB"/>
    <w:rsid w:val="34934D35"/>
    <w:rsid w:val="34E22381"/>
    <w:rsid w:val="34EE16F2"/>
    <w:rsid w:val="352E5399"/>
    <w:rsid w:val="35620762"/>
    <w:rsid w:val="35636441"/>
    <w:rsid w:val="356A42EB"/>
    <w:rsid w:val="356E638F"/>
    <w:rsid w:val="35D501BC"/>
    <w:rsid w:val="35D8677A"/>
    <w:rsid w:val="35DE23CE"/>
    <w:rsid w:val="36401AD9"/>
    <w:rsid w:val="36603C3A"/>
    <w:rsid w:val="3667175C"/>
    <w:rsid w:val="36721EAF"/>
    <w:rsid w:val="368340BC"/>
    <w:rsid w:val="36B44A6A"/>
    <w:rsid w:val="370563BA"/>
    <w:rsid w:val="37166D54"/>
    <w:rsid w:val="37342019"/>
    <w:rsid w:val="376F0124"/>
    <w:rsid w:val="37AD4EFB"/>
    <w:rsid w:val="37D06172"/>
    <w:rsid w:val="37D270A9"/>
    <w:rsid w:val="37EA54B4"/>
    <w:rsid w:val="37EB3CC7"/>
    <w:rsid w:val="38286CC9"/>
    <w:rsid w:val="38415FDC"/>
    <w:rsid w:val="388365F5"/>
    <w:rsid w:val="388A60DF"/>
    <w:rsid w:val="38957B7A"/>
    <w:rsid w:val="38B05970"/>
    <w:rsid w:val="38E86458"/>
    <w:rsid w:val="38ED6BAA"/>
    <w:rsid w:val="3927C127"/>
    <w:rsid w:val="394B3914"/>
    <w:rsid w:val="394C1291"/>
    <w:rsid w:val="39616936"/>
    <w:rsid w:val="396E08E8"/>
    <w:rsid w:val="397B5451"/>
    <w:rsid w:val="397D0376"/>
    <w:rsid w:val="39A6412A"/>
    <w:rsid w:val="39AB5E03"/>
    <w:rsid w:val="3A202852"/>
    <w:rsid w:val="3A3F02FA"/>
    <w:rsid w:val="3A683CF4"/>
    <w:rsid w:val="3A8600A0"/>
    <w:rsid w:val="3A900B55"/>
    <w:rsid w:val="3A9B3DE4"/>
    <w:rsid w:val="3AEE274E"/>
    <w:rsid w:val="3B43009C"/>
    <w:rsid w:val="3B4712F0"/>
    <w:rsid w:val="3B520EC2"/>
    <w:rsid w:val="3B5D137F"/>
    <w:rsid w:val="3B6D362F"/>
    <w:rsid w:val="3B826A16"/>
    <w:rsid w:val="3B922291"/>
    <w:rsid w:val="3B936B4F"/>
    <w:rsid w:val="3BD74C8E"/>
    <w:rsid w:val="3BDF1A32"/>
    <w:rsid w:val="3BEB698B"/>
    <w:rsid w:val="3BF33A92"/>
    <w:rsid w:val="3BF778C9"/>
    <w:rsid w:val="3BFB40A7"/>
    <w:rsid w:val="3BFD221A"/>
    <w:rsid w:val="3BFD96AB"/>
    <w:rsid w:val="3C065573"/>
    <w:rsid w:val="3C073099"/>
    <w:rsid w:val="3C1F6635"/>
    <w:rsid w:val="3C4165AB"/>
    <w:rsid w:val="3C5207B8"/>
    <w:rsid w:val="3C7D0F44"/>
    <w:rsid w:val="3CBE19AA"/>
    <w:rsid w:val="3CEB6517"/>
    <w:rsid w:val="3D0D46DF"/>
    <w:rsid w:val="3D115F7D"/>
    <w:rsid w:val="3D184757"/>
    <w:rsid w:val="3D232155"/>
    <w:rsid w:val="3D360408"/>
    <w:rsid w:val="3D361E88"/>
    <w:rsid w:val="3D440B11"/>
    <w:rsid w:val="3D74650C"/>
    <w:rsid w:val="3D772BB6"/>
    <w:rsid w:val="3D98669F"/>
    <w:rsid w:val="3DA90F60"/>
    <w:rsid w:val="3DC844A6"/>
    <w:rsid w:val="3DD07BE6"/>
    <w:rsid w:val="3E047890"/>
    <w:rsid w:val="3E0E1FAB"/>
    <w:rsid w:val="3E1B7EB9"/>
    <w:rsid w:val="3E333D2C"/>
    <w:rsid w:val="3E3F72C8"/>
    <w:rsid w:val="3E56E21B"/>
    <w:rsid w:val="3ED454B4"/>
    <w:rsid w:val="3EEC30E5"/>
    <w:rsid w:val="3EFF933A"/>
    <w:rsid w:val="3F051B12"/>
    <w:rsid w:val="3F362053"/>
    <w:rsid w:val="3F375CE0"/>
    <w:rsid w:val="3F3EE21B"/>
    <w:rsid w:val="3F406FEE"/>
    <w:rsid w:val="3F4A39C9"/>
    <w:rsid w:val="3F5D3792"/>
    <w:rsid w:val="3F6FA9D7"/>
    <w:rsid w:val="3F874C1D"/>
    <w:rsid w:val="3F8811D3"/>
    <w:rsid w:val="3FA72BC9"/>
    <w:rsid w:val="3FAA4467"/>
    <w:rsid w:val="3FC27A03"/>
    <w:rsid w:val="3FDA11F0"/>
    <w:rsid w:val="3FFE6A78"/>
    <w:rsid w:val="40387CC5"/>
    <w:rsid w:val="406960D0"/>
    <w:rsid w:val="40753892"/>
    <w:rsid w:val="408B6047"/>
    <w:rsid w:val="40B4404A"/>
    <w:rsid w:val="40E7370F"/>
    <w:rsid w:val="40ED6D01"/>
    <w:rsid w:val="410D1152"/>
    <w:rsid w:val="41126768"/>
    <w:rsid w:val="412344D1"/>
    <w:rsid w:val="412844FF"/>
    <w:rsid w:val="41293527"/>
    <w:rsid w:val="41343F69"/>
    <w:rsid w:val="413D54A6"/>
    <w:rsid w:val="415B1EBD"/>
    <w:rsid w:val="415E375B"/>
    <w:rsid w:val="41774B95"/>
    <w:rsid w:val="41922A1D"/>
    <w:rsid w:val="41923943"/>
    <w:rsid w:val="41A43E58"/>
    <w:rsid w:val="41A945C9"/>
    <w:rsid w:val="41B42324"/>
    <w:rsid w:val="41C24E0C"/>
    <w:rsid w:val="42312C1E"/>
    <w:rsid w:val="426E3852"/>
    <w:rsid w:val="429A6A15"/>
    <w:rsid w:val="429F6F9C"/>
    <w:rsid w:val="42A338A7"/>
    <w:rsid w:val="42FB6BF8"/>
    <w:rsid w:val="43106CD7"/>
    <w:rsid w:val="43257DCD"/>
    <w:rsid w:val="433A3D54"/>
    <w:rsid w:val="434B27B5"/>
    <w:rsid w:val="436B6E38"/>
    <w:rsid w:val="439416B6"/>
    <w:rsid w:val="43943464"/>
    <w:rsid w:val="43960849"/>
    <w:rsid w:val="43972F54"/>
    <w:rsid w:val="43E30E9C"/>
    <w:rsid w:val="43FD54AD"/>
    <w:rsid w:val="444E1066"/>
    <w:rsid w:val="44670B79"/>
    <w:rsid w:val="44705C7F"/>
    <w:rsid w:val="44867251"/>
    <w:rsid w:val="448D19A9"/>
    <w:rsid w:val="44A26055"/>
    <w:rsid w:val="44B32010"/>
    <w:rsid w:val="44DB4B1F"/>
    <w:rsid w:val="44E77751"/>
    <w:rsid w:val="44F369B3"/>
    <w:rsid w:val="450021B2"/>
    <w:rsid w:val="450A5435"/>
    <w:rsid w:val="452E136A"/>
    <w:rsid w:val="452E1696"/>
    <w:rsid w:val="45322F35"/>
    <w:rsid w:val="453E5D7D"/>
    <w:rsid w:val="4546413B"/>
    <w:rsid w:val="45730A20"/>
    <w:rsid w:val="457E31A4"/>
    <w:rsid w:val="45C043CD"/>
    <w:rsid w:val="45C90B4F"/>
    <w:rsid w:val="45EF3078"/>
    <w:rsid w:val="46116FEE"/>
    <w:rsid w:val="46325936"/>
    <w:rsid w:val="463B406B"/>
    <w:rsid w:val="464B02AF"/>
    <w:rsid w:val="46605A53"/>
    <w:rsid w:val="46A9191C"/>
    <w:rsid w:val="46B53E1D"/>
    <w:rsid w:val="46C16C66"/>
    <w:rsid w:val="46C47C5A"/>
    <w:rsid w:val="46EB5A91"/>
    <w:rsid w:val="470C4C98"/>
    <w:rsid w:val="472E6612"/>
    <w:rsid w:val="474F4272"/>
    <w:rsid w:val="475B6032"/>
    <w:rsid w:val="47690AE9"/>
    <w:rsid w:val="47711981"/>
    <w:rsid w:val="47761748"/>
    <w:rsid w:val="477B33F6"/>
    <w:rsid w:val="4792415F"/>
    <w:rsid w:val="47E32C0C"/>
    <w:rsid w:val="47EC1F33"/>
    <w:rsid w:val="48050DD4"/>
    <w:rsid w:val="48087510"/>
    <w:rsid w:val="4829252D"/>
    <w:rsid w:val="48712E4C"/>
    <w:rsid w:val="48B30830"/>
    <w:rsid w:val="48B53457"/>
    <w:rsid w:val="48B87BF5"/>
    <w:rsid w:val="48BA1BBF"/>
    <w:rsid w:val="48D163DC"/>
    <w:rsid w:val="48DA5DBD"/>
    <w:rsid w:val="4944592C"/>
    <w:rsid w:val="49634005"/>
    <w:rsid w:val="498521CD"/>
    <w:rsid w:val="498A1AC2"/>
    <w:rsid w:val="49900B72"/>
    <w:rsid w:val="499F1A0D"/>
    <w:rsid w:val="49A451D7"/>
    <w:rsid w:val="49B36701"/>
    <w:rsid w:val="49B55FB8"/>
    <w:rsid w:val="49E120CD"/>
    <w:rsid w:val="49E30770"/>
    <w:rsid w:val="49F84880"/>
    <w:rsid w:val="49FF050C"/>
    <w:rsid w:val="4A080708"/>
    <w:rsid w:val="4A0C7048"/>
    <w:rsid w:val="4A1E4820"/>
    <w:rsid w:val="4A324733"/>
    <w:rsid w:val="4A6C513B"/>
    <w:rsid w:val="4A78394E"/>
    <w:rsid w:val="4AAA6A80"/>
    <w:rsid w:val="4AAD305D"/>
    <w:rsid w:val="4AAE3746"/>
    <w:rsid w:val="4AD30D16"/>
    <w:rsid w:val="4AE922E8"/>
    <w:rsid w:val="4AE960B6"/>
    <w:rsid w:val="4B044DE2"/>
    <w:rsid w:val="4B4B11F4"/>
    <w:rsid w:val="4B4C61C0"/>
    <w:rsid w:val="4B607F0F"/>
    <w:rsid w:val="4B63713C"/>
    <w:rsid w:val="4B7E0D23"/>
    <w:rsid w:val="4B8B6F55"/>
    <w:rsid w:val="4BB075EA"/>
    <w:rsid w:val="4BB74194"/>
    <w:rsid w:val="4BCA036B"/>
    <w:rsid w:val="4BDD5A2A"/>
    <w:rsid w:val="4BEB208F"/>
    <w:rsid w:val="4C0C2706"/>
    <w:rsid w:val="4C2757BD"/>
    <w:rsid w:val="4C6B7DAA"/>
    <w:rsid w:val="4C6F1289"/>
    <w:rsid w:val="4CD06E80"/>
    <w:rsid w:val="4CDF3384"/>
    <w:rsid w:val="4CF3569F"/>
    <w:rsid w:val="4D01600E"/>
    <w:rsid w:val="4D096C71"/>
    <w:rsid w:val="4D1D44CA"/>
    <w:rsid w:val="4D3763FF"/>
    <w:rsid w:val="4D3A1520"/>
    <w:rsid w:val="4D460BDA"/>
    <w:rsid w:val="4D866514"/>
    <w:rsid w:val="4DBE38BD"/>
    <w:rsid w:val="4DD3102D"/>
    <w:rsid w:val="4DE42E67"/>
    <w:rsid w:val="4DEA5FE1"/>
    <w:rsid w:val="4DEF40B9"/>
    <w:rsid w:val="4E0B07C7"/>
    <w:rsid w:val="4E2875CB"/>
    <w:rsid w:val="4E2A58C3"/>
    <w:rsid w:val="4E2B460E"/>
    <w:rsid w:val="4E2CEAE6"/>
    <w:rsid w:val="4E7862AB"/>
    <w:rsid w:val="4E9E1967"/>
    <w:rsid w:val="4E9E5ADF"/>
    <w:rsid w:val="4EA03605"/>
    <w:rsid w:val="4EAD187E"/>
    <w:rsid w:val="4EB038C3"/>
    <w:rsid w:val="4EB23B13"/>
    <w:rsid w:val="4EC217CD"/>
    <w:rsid w:val="4ECA2430"/>
    <w:rsid w:val="4EED299A"/>
    <w:rsid w:val="4F2E462B"/>
    <w:rsid w:val="4F3B50DC"/>
    <w:rsid w:val="4F4F373F"/>
    <w:rsid w:val="4F691C49"/>
    <w:rsid w:val="4F734876"/>
    <w:rsid w:val="4F7B6A4D"/>
    <w:rsid w:val="4F7D56F4"/>
    <w:rsid w:val="4F860B05"/>
    <w:rsid w:val="4FC60E49"/>
    <w:rsid w:val="4FFC3831"/>
    <w:rsid w:val="50011E81"/>
    <w:rsid w:val="5015592D"/>
    <w:rsid w:val="501F67AB"/>
    <w:rsid w:val="50357D7D"/>
    <w:rsid w:val="50546455"/>
    <w:rsid w:val="50AD025B"/>
    <w:rsid w:val="50B977AF"/>
    <w:rsid w:val="50CE5E0A"/>
    <w:rsid w:val="50DA3146"/>
    <w:rsid w:val="50E104DF"/>
    <w:rsid w:val="50FE23F8"/>
    <w:rsid w:val="5121097E"/>
    <w:rsid w:val="512B1721"/>
    <w:rsid w:val="515802E8"/>
    <w:rsid w:val="51631648"/>
    <w:rsid w:val="517A634E"/>
    <w:rsid w:val="51AF0EBC"/>
    <w:rsid w:val="51B9656D"/>
    <w:rsid w:val="51C8534D"/>
    <w:rsid w:val="51D3292F"/>
    <w:rsid w:val="51EB4B97"/>
    <w:rsid w:val="51F55A16"/>
    <w:rsid w:val="520D5C13"/>
    <w:rsid w:val="525C76C9"/>
    <w:rsid w:val="52706642"/>
    <w:rsid w:val="52741030"/>
    <w:rsid w:val="52922E9D"/>
    <w:rsid w:val="52B76647"/>
    <w:rsid w:val="52D82099"/>
    <w:rsid w:val="52D946DE"/>
    <w:rsid w:val="52E06644"/>
    <w:rsid w:val="52FB4C31"/>
    <w:rsid w:val="53023555"/>
    <w:rsid w:val="53195734"/>
    <w:rsid w:val="531F5A09"/>
    <w:rsid w:val="5335162E"/>
    <w:rsid w:val="53472AD9"/>
    <w:rsid w:val="537975F9"/>
    <w:rsid w:val="538C7479"/>
    <w:rsid w:val="53FB64DE"/>
    <w:rsid w:val="53FD32A8"/>
    <w:rsid w:val="541D14D7"/>
    <w:rsid w:val="542E10AC"/>
    <w:rsid w:val="54352A41"/>
    <w:rsid w:val="54356540"/>
    <w:rsid w:val="545F7ABE"/>
    <w:rsid w:val="548A4B3B"/>
    <w:rsid w:val="549A0000"/>
    <w:rsid w:val="54AA5FF5"/>
    <w:rsid w:val="54E310D2"/>
    <w:rsid w:val="54E337C4"/>
    <w:rsid w:val="54EE3D97"/>
    <w:rsid w:val="54F41FB5"/>
    <w:rsid w:val="55480552"/>
    <w:rsid w:val="5551615B"/>
    <w:rsid w:val="55593010"/>
    <w:rsid w:val="55747599"/>
    <w:rsid w:val="5599711A"/>
    <w:rsid w:val="55DF2C65"/>
    <w:rsid w:val="55E61798"/>
    <w:rsid w:val="562E70CC"/>
    <w:rsid w:val="56466840"/>
    <w:rsid w:val="56530F5D"/>
    <w:rsid w:val="56535401"/>
    <w:rsid w:val="565847C5"/>
    <w:rsid w:val="5665387A"/>
    <w:rsid w:val="566F51B3"/>
    <w:rsid w:val="56757125"/>
    <w:rsid w:val="56894AC6"/>
    <w:rsid w:val="56B714EC"/>
    <w:rsid w:val="570A20C9"/>
    <w:rsid w:val="57476D14"/>
    <w:rsid w:val="57502121"/>
    <w:rsid w:val="57536CC6"/>
    <w:rsid w:val="5778523F"/>
    <w:rsid w:val="57833AC4"/>
    <w:rsid w:val="5789732C"/>
    <w:rsid w:val="57A26B81"/>
    <w:rsid w:val="57AC6B77"/>
    <w:rsid w:val="57B654E2"/>
    <w:rsid w:val="57C862FA"/>
    <w:rsid w:val="57D83E10"/>
    <w:rsid w:val="57D90263"/>
    <w:rsid w:val="57DD5579"/>
    <w:rsid w:val="57E62D59"/>
    <w:rsid w:val="57FD742D"/>
    <w:rsid w:val="58093FC9"/>
    <w:rsid w:val="580F5357"/>
    <w:rsid w:val="58130F2D"/>
    <w:rsid w:val="58156E12"/>
    <w:rsid w:val="5827444F"/>
    <w:rsid w:val="58404401"/>
    <w:rsid w:val="584451D7"/>
    <w:rsid w:val="584C035A"/>
    <w:rsid w:val="584E019A"/>
    <w:rsid w:val="587A09A5"/>
    <w:rsid w:val="587D6E68"/>
    <w:rsid w:val="58896EB8"/>
    <w:rsid w:val="589D7ADE"/>
    <w:rsid w:val="58A1428B"/>
    <w:rsid w:val="58BF28DA"/>
    <w:rsid w:val="58C04415"/>
    <w:rsid w:val="58C40DE1"/>
    <w:rsid w:val="590E4F6C"/>
    <w:rsid w:val="593B6F6F"/>
    <w:rsid w:val="59835FFD"/>
    <w:rsid w:val="59837DAB"/>
    <w:rsid w:val="599C3A15"/>
    <w:rsid w:val="59C84858"/>
    <w:rsid w:val="59CC39A6"/>
    <w:rsid w:val="59EE6755"/>
    <w:rsid w:val="59FB3DE5"/>
    <w:rsid w:val="59FC23B2"/>
    <w:rsid w:val="5A054C64"/>
    <w:rsid w:val="5A0F30B0"/>
    <w:rsid w:val="5A137381"/>
    <w:rsid w:val="5A153C28"/>
    <w:rsid w:val="5A1F5D26"/>
    <w:rsid w:val="5A22370E"/>
    <w:rsid w:val="5A3612C1"/>
    <w:rsid w:val="5A551748"/>
    <w:rsid w:val="5A7616BE"/>
    <w:rsid w:val="5A84202D"/>
    <w:rsid w:val="5ACB37B8"/>
    <w:rsid w:val="5ADD1E8F"/>
    <w:rsid w:val="5B152C85"/>
    <w:rsid w:val="5B1E422F"/>
    <w:rsid w:val="5B6A162C"/>
    <w:rsid w:val="5B705146"/>
    <w:rsid w:val="5B920779"/>
    <w:rsid w:val="5BB4249E"/>
    <w:rsid w:val="5BC54532"/>
    <w:rsid w:val="5BCF70D5"/>
    <w:rsid w:val="5C05719D"/>
    <w:rsid w:val="5C204FC8"/>
    <w:rsid w:val="5C430EF4"/>
    <w:rsid w:val="5C853E3A"/>
    <w:rsid w:val="5CBC3D9E"/>
    <w:rsid w:val="5CBD6954"/>
    <w:rsid w:val="5CDA1592"/>
    <w:rsid w:val="5CE15514"/>
    <w:rsid w:val="5CE81F14"/>
    <w:rsid w:val="5CE9261B"/>
    <w:rsid w:val="5CF1327E"/>
    <w:rsid w:val="5D053352"/>
    <w:rsid w:val="5D086C55"/>
    <w:rsid w:val="5D3F4885"/>
    <w:rsid w:val="5DB163EB"/>
    <w:rsid w:val="5DD042A4"/>
    <w:rsid w:val="5DD63EE7"/>
    <w:rsid w:val="5DDC7A8A"/>
    <w:rsid w:val="5DE731E4"/>
    <w:rsid w:val="5DEA03F9"/>
    <w:rsid w:val="5E110D5B"/>
    <w:rsid w:val="5E2C10D5"/>
    <w:rsid w:val="5E39312E"/>
    <w:rsid w:val="5E3B08DD"/>
    <w:rsid w:val="5E40626B"/>
    <w:rsid w:val="5E482FBE"/>
    <w:rsid w:val="5E733A52"/>
    <w:rsid w:val="5E8545C5"/>
    <w:rsid w:val="5E8B6D01"/>
    <w:rsid w:val="5EB17168"/>
    <w:rsid w:val="5EB83896"/>
    <w:rsid w:val="5ECC7074"/>
    <w:rsid w:val="5ECE4B71"/>
    <w:rsid w:val="5ED66BCF"/>
    <w:rsid w:val="5EFA466C"/>
    <w:rsid w:val="5EFC37D8"/>
    <w:rsid w:val="5EFE5712"/>
    <w:rsid w:val="5F4366D9"/>
    <w:rsid w:val="5F58362A"/>
    <w:rsid w:val="5F7A58C7"/>
    <w:rsid w:val="5F7C1524"/>
    <w:rsid w:val="5F8C565A"/>
    <w:rsid w:val="5FAA6092"/>
    <w:rsid w:val="5FAE3C40"/>
    <w:rsid w:val="5FC26AA0"/>
    <w:rsid w:val="5FD301E3"/>
    <w:rsid w:val="5FEA279B"/>
    <w:rsid w:val="5FFF6FDC"/>
    <w:rsid w:val="602A0293"/>
    <w:rsid w:val="6051650D"/>
    <w:rsid w:val="605B3830"/>
    <w:rsid w:val="60AA5CA4"/>
    <w:rsid w:val="60E70C20"/>
    <w:rsid w:val="60E750C3"/>
    <w:rsid w:val="60F021CA"/>
    <w:rsid w:val="610466BA"/>
    <w:rsid w:val="613912E9"/>
    <w:rsid w:val="61443E46"/>
    <w:rsid w:val="614E6EF1"/>
    <w:rsid w:val="61572E47"/>
    <w:rsid w:val="61AE5BE1"/>
    <w:rsid w:val="61B65ADA"/>
    <w:rsid w:val="61BE5E24"/>
    <w:rsid w:val="62084814"/>
    <w:rsid w:val="62465162"/>
    <w:rsid w:val="625E643D"/>
    <w:rsid w:val="62A36DC8"/>
    <w:rsid w:val="62C950FF"/>
    <w:rsid w:val="62CD4A8E"/>
    <w:rsid w:val="62D10F53"/>
    <w:rsid w:val="62EC542E"/>
    <w:rsid w:val="62ED7E84"/>
    <w:rsid w:val="63046813"/>
    <w:rsid w:val="63147CC6"/>
    <w:rsid w:val="63185A08"/>
    <w:rsid w:val="631B1054"/>
    <w:rsid w:val="63253C81"/>
    <w:rsid w:val="63473BF7"/>
    <w:rsid w:val="635D78BF"/>
    <w:rsid w:val="637D586B"/>
    <w:rsid w:val="63917771"/>
    <w:rsid w:val="639332E1"/>
    <w:rsid w:val="63972A16"/>
    <w:rsid w:val="63991EF2"/>
    <w:rsid w:val="639D0223"/>
    <w:rsid w:val="639D2E29"/>
    <w:rsid w:val="63A66B70"/>
    <w:rsid w:val="63B15515"/>
    <w:rsid w:val="63CD4EAB"/>
    <w:rsid w:val="63F773CC"/>
    <w:rsid w:val="63FF4024"/>
    <w:rsid w:val="642303DA"/>
    <w:rsid w:val="643842D4"/>
    <w:rsid w:val="64552344"/>
    <w:rsid w:val="64630F05"/>
    <w:rsid w:val="646B69EA"/>
    <w:rsid w:val="647E2BF2"/>
    <w:rsid w:val="648D7D30"/>
    <w:rsid w:val="64920E2E"/>
    <w:rsid w:val="64D911C7"/>
    <w:rsid w:val="64DE67DD"/>
    <w:rsid w:val="64DF3C9A"/>
    <w:rsid w:val="64EC0EFA"/>
    <w:rsid w:val="651346D9"/>
    <w:rsid w:val="652A1A23"/>
    <w:rsid w:val="652F5490"/>
    <w:rsid w:val="65310E21"/>
    <w:rsid w:val="65314B5F"/>
    <w:rsid w:val="65362175"/>
    <w:rsid w:val="655B398A"/>
    <w:rsid w:val="655F7D58"/>
    <w:rsid w:val="658B6DC7"/>
    <w:rsid w:val="659615DC"/>
    <w:rsid w:val="65970068"/>
    <w:rsid w:val="659D1DBC"/>
    <w:rsid w:val="65AA7E46"/>
    <w:rsid w:val="65BF482E"/>
    <w:rsid w:val="65C71020"/>
    <w:rsid w:val="65CA511A"/>
    <w:rsid w:val="65CB4FB4"/>
    <w:rsid w:val="65DE4CE7"/>
    <w:rsid w:val="660109D5"/>
    <w:rsid w:val="661178F1"/>
    <w:rsid w:val="661A3903"/>
    <w:rsid w:val="663D12E2"/>
    <w:rsid w:val="66456B14"/>
    <w:rsid w:val="66884C53"/>
    <w:rsid w:val="669929BC"/>
    <w:rsid w:val="66BA201C"/>
    <w:rsid w:val="66D460EA"/>
    <w:rsid w:val="66E55C01"/>
    <w:rsid w:val="67713939"/>
    <w:rsid w:val="677F5616"/>
    <w:rsid w:val="67BD68F8"/>
    <w:rsid w:val="67C223E6"/>
    <w:rsid w:val="67CC5D59"/>
    <w:rsid w:val="67CE1BA8"/>
    <w:rsid w:val="67FBF942"/>
    <w:rsid w:val="682B1D3A"/>
    <w:rsid w:val="684A4382"/>
    <w:rsid w:val="68701E42"/>
    <w:rsid w:val="687E630D"/>
    <w:rsid w:val="68831B76"/>
    <w:rsid w:val="690A7BA1"/>
    <w:rsid w:val="691427CE"/>
    <w:rsid w:val="693370F8"/>
    <w:rsid w:val="693B79E8"/>
    <w:rsid w:val="69434E61"/>
    <w:rsid w:val="6965127B"/>
    <w:rsid w:val="697F233D"/>
    <w:rsid w:val="69B13899"/>
    <w:rsid w:val="69B144C0"/>
    <w:rsid w:val="69B83AA1"/>
    <w:rsid w:val="69E93980"/>
    <w:rsid w:val="69F66377"/>
    <w:rsid w:val="6A334ED5"/>
    <w:rsid w:val="6A627FEF"/>
    <w:rsid w:val="6A681023"/>
    <w:rsid w:val="6A791969"/>
    <w:rsid w:val="6A883473"/>
    <w:rsid w:val="6A9409D6"/>
    <w:rsid w:val="6AA22798"/>
    <w:rsid w:val="6AA638F9"/>
    <w:rsid w:val="6ABF6769"/>
    <w:rsid w:val="6AD01219"/>
    <w:rsid w:val="6AD33718"/>
    <w:rsid w:val="6AED4D0A"/>
    <w:rsid w:val="6AEF34F2"/>
    <w:rsid w:val="6AFF1033"/>
    <w:rsid w:val="6B23319C"/>
    <w:rsid w:val="6B3B477B"/>
    <w:rsid w:val="6B635476"/>
    <w:rsid w:val="6B9145AA"/>
    <w:rsid w:val="6BAC3191"/>
    <w:rsid w:val="6BC24763"/>
    <w:rsid w:val="6BF82044"/>
    <w:rsid w:val="6C01733D"/>
    <w:rsid w:val="6C07661A"/>
    <w:rsid w:val="6C0C59DE"/>
    <w:rsid w:val="6C0D38BE"/>
    <w:rsid w:val="6C276CBC"/>
    <w:rsid w:val="6C3C0563"/>
    <w:rsid w:val="6C511A5B"/>
    <w:rsid w:val="6C6B3F54"/>
    <w:rsid w:val="6CA2242E"/>
    <w:rsid w:val="6CABD6C8"/>
    <w:rsid w:val="6CCA7D73"/>
    <w:rsid w:val="6CCE2D82"/>
    <w:rsid w:val="6D3A657B"/>
    <w:rsid w:val="6D635AD2"/>
    <w:rsid w:val="6D7165A7"/>
    <w:rsid w:val="6D8B377D"/>
    <w:rsid w:val="6D8C32E7"/>
    <w:rsid w:val="6DA265FA"/>
    <w:rsid w:val="6DCF4F15"/>
    <w:rsid w:val="6DD864C0"/>
    <w:rsid w:val="6DF332FA"/>
    <w:rsid w:val="6DFB5D0A"/>
    <w:rsid w:val="6E1E6D28"/>
    <w:rsid w:val="6E3B07FD"/>
    <w:rsid w:val="6E472F85"/>
    <w:rsid w:val="6E58315D"/>
    <w:rsid w:val="6E590230"/>
    <w:rsid w:val="6E681094"/>
    <w:rsid w:val="6E6E2980"/>
    <w:rsid w:val="6E8E4DD0"/>
    <w:rsid w:val="6E8E6B7E"/>
    <w:rsid w:val="6EE669BA"/>
    <w:rsid w:val="6F074EB2"/>
    <w:rsid w:val="6F1029F4"/>
    <w:rsid w:val="6F274FBB"/>
    <w:rsid w:val="6F314216"/>
    <w:rsid w:val="6F5C6C7D"/>
    <w:rsid w:val="6F5E21BF"/>
    <w:rsid w:val="6F775864"/>
    <w:rsid w:val="6F8D3411"/>
    <w:rsid w:val="6F975436"/>
    <w:rsid w:val="6FA26D85"/>
    <w:rsid w:val="6FAA3C20"/>
    <w:rsid w:val="6FB47548"/>
    <w:rsid w:val="6FCC5BB0"/>
    <w:rsid w:val="6FCC6779"/>
    <w:rsid w:val="6FD6CB07"/>
    <w:rsid w:val="6FEF7672"/>
    <w:rsid w:val="6FF2313D"/>
    <w:rsid w:val="70105C56"/>
    <w:rsid w:val="70187047"/>
    <w:rsid w:val="70231FF0"/>
    <w:rsid w:val="70736EF8"/>
    <w:rsid w:val="707B6DF7"/>
    <w:rsid w:val="70BE10E3"/>
    <w:rsid w:val="70DC0AFC"/>
    <w:rsid w:val="71125B48"/>
    <w:rsid w:val="71145A61"/>
    <w:rsid w:val="712D6D4D"/>
    <w:rsid w:val="71494FDF"/>
    <w:rsid w:val="71566079"/>
    <w:rsid w:val="71744751"/>
    <w:rsid w:val="717D3BD5"/>
    <w:rsid w:val="71BC607B"/>
    <w:rsid w:val="71C06E4D"/>
    <w:rsid w:val="71E9647C"/>
    <w:rsid w:val="7218332F"/>
    <w:rsid w:val="722C0B88"/>
    <w:rsid w:val="722F2426"/>
    <w:rsid w:val="724A3704"/>
    <w:rsid w:val="727A5D97"/>
    <w:rsid w:val="72914E8F"/>
    <w:rsid w:val="72B82D27"/>
    <w:rsid w:val="72B91ACC"/>
    <w:rsid w:val="731568D6"/>
    <w:rsid w:val="735569A8"/>
    <w:rsid w:val="737D1DC4"/>
    <w:rsid w:val="73865801"/>
    <w:rsid w:val="73942950"/>
    <w:rsid w:val="73C05A2C"/>
    <w:rsid w:val="73C34511"/>
    <w:rsid w:val="73E6120B"/>
    <w:rsid w:val="73EB4EAE"/>
    <w:rsid w:val="74147B26"/>
    <w:rsid w:val="74373814"/>
    <w:rsid w:val="743D707D"/>
    <w:rsid w:val="744F5002"/>
    <w:rsid w:val="74791984"/>
    <w:rsid w:val="74A24D5F"/>
    <w:rsid w:val="74BA308E"/>
    <w:rsid w:val="74C72DEA"/>
    <w:rsid w:val="74DD616A"/>
    <w:rsid w:val="74F61F18"/>
    <w:rsid w:val="75047B9A"/>
    <w:rsid w:val="7521074C"/>
    <w:rsid w:val="754206C3"/>
    <w:rsid w:val="759E127A"/>
    <w:rsid w:val="75C17839"/>
    <w:rsid w:val="75D532E5"/>
    <w:rsid w:val="75D73501"/>
    <w:rsid w:val="75F50BD1"/>
    <w:rsid w:val="76053BCA"/>
    <w:rsid w:val="760D238E"/>
    <w:rsid w:val="76257DC8"/>
    <w:rsid w:val="76261D92"/>
    <w:rsid w:val="7646681C"/>
    <w:rsid w:val="76472434"/>
    <w:rsid w:val="764F753B"/>
    <w:rsid w:val="766C3C49"/>
    <w:rsid w:val="76726D86"/>
    <w:rsid w:val="76734E09"/>
    <w:rsid w:val="768E0063"/>
    <w:rsid w:val="76A827A7"/>
    <w:rsid w:val="76B16AD4"/>
    <w:rsid w:val="76BF646F"/>
    <w:rsid w:val="76D5748E"/>
    <w:rsid w:val="76D8308D"/>
    <w:rsid w:val="76DF5E6A"/>
    <w:rsid w:val="77447586"/>
    <w:rsid w:val="77470212"/>
    <w:rsid w:val="7755292F"/>
    <w:rsid w:val="77764653"/>
    <w:rsid w:val="7789070D"/>
    <w:rsid w:val="779D6084"/>
    <w:rsid w:val="77B70EF4"/>
    <w:rsid w:val="77C80AC5"/>
    <w:rsid w:val="77FFE4D1"/>
    <w:rsid w:val="781B05C0"/>
    <w:rsid w:val="782E5969"/>
    <w:rsid w:val="783903EB"/>
    <w:rsid w:val="785034EF"/>
    <w:rsid w:val="785543CB"/>
    <w:rsid w:val="785726D7"/>
    <w:rsid w:val="787F6E74"/>
    <w:rsid w:val="78B421EB"/>
    <w:rsid w:val="78D43E6E"/>
    <w:rsid w:val="78E139CE"/>
    <w:rsid w:val="78E6261E"/>
    <w:rsid w:val="78E73A5B"/>
    <w:rsid w:val="78FF466E"/>
    <w:rsid w:val="79256331"/>
    <w:rsid w:val="794744F9"/>
    <w:rsid w:val="79766B8D"/>
    <w:rsid w:val="797F3C93"/>
    <w:rsid w:val="799F326C"/>
    <w:rsid w:val="79A84E8B"/>
    <w:rsid w:val="79DA0F42"/>
    <w:rsid w:val="79F58290"/>
    <w:rsid w:val="79FFFBA1"/>
    <w:rsid w:val="7A2D36EF"/>
    <w:rsid w:val="7A31025E"/>
    <w:rsid w:val="7A3456BF"/>
    <w:rsid w:val="7A41474A"/>
    <w:rsid w:val="7A4C652D"/>
    <w:rsid w:val="7A684727"/>
    <w:rsid w:val="7A747570"/>
    <w:rsid w:val="7A8A3819"/>
    <w:rsid w:val="7AAC0949"/>
    <w:rsid w:val="7ADA3086"/>
    <w:rsid w:val="7B043031"/>
    <w:rsid w:val="7B0703E4"/>
    <w:rsid w:val="7B2D23F7"/>
    <w:rsid w:val="7B2F435B"/>
    <w:rsid w:val="7B52292A"/>
    <w:rsid w:val="7B5455AE"/>
    <w:rsid w:val="7B696C19"/>
    <w:rsid w:val="7BC63555"/>
    <w:rsid w:val="7BF070CA"/>
    <w:rsid w:val="7C400D61"/>
    <w:rsid w:val="7C5C4760"/>
    <w:rsid w:val="7C624616"/>
    <w:rsid w:val="7CAE3879"/>
    <w:rsid w:val="7CEA00E5"/>
    <w:rsid w:val="7CF44998"/>
    <w:rsid w:val="7CFD4552"/>
    <w:rsid w:val="7CFFF2DB"/>
    <w:rsid w:val="7D3D43BC"/>
    <w:rsid w:val="7D425704"/>
    <w:rsid w:val="7D4274B2"/>
    <w:rsid w:val="7D4551F4"/>
    <w:rsid w:val="7D7FC9B9"/>
    <w:rsid w:val="7D9D293A"/>
    <w:rsid w:val="7DABCE4D"/>
    <w:rsid w:val="7DBB796C"/>
    <w:rsid w:val="7DEBA785"/>
    <w:rsid w:val="7E085C95"/>
    <w:rsid w:val="7E2D54D9"/>
    <w:rsid w:val="7E665422"/>
    <w:rsid w:val="7E74D3E7"/>
    <w:rsid w:val="7E7A3A8F"/>
    <w:rsid w:val="7ECF746B"/>
    <w:rsid w:val="7EE34D31"/>
    <w:rsid w:val="7F0013D2"/>
    <w:rsid w:val="7F091139"/>
    <w:rsid w:val="7F0B7D77"/>
    <w:rsid w:val="7F387F18"/>
    <w:rsid w:val="7F49049D"/>
    <w:rsid w:val="7F4B4805"/>
    <w:rsid w:val="7F6B81D3"/>
    <w:rsid w:val="7F7B6CAB"/>
    <w:rsid w:val="7FB76EE4"/>
    <w:rsid w:val="7FCF6FF7"/>
    <w:rsid w:val="7FDC35ED"/>
    <w:rsid w:val="7FDD349A"/>
    <w:rsid w:val="7FDEFAE0"/>
    <w:rsid w:val="7FFD3B64"/>
    <w:rsid w:val="A7FFEB34"/>
    <w:rsid w:val="AFF78B2B"/>
    <w:rsid w:val="BADD591B"/>
    <w:rsid w:val="BEB003A2"/>
    <w:rsid w:val="CD7FFAE9"/>
    <w:rsid w:val="D9C70E21"/>
    <w:rsid w:val="DBFFEE08"/>
    <w:rsid w:val="DFEA7283"/>
    <w:rsid w:val="E3DA7974"/>
    <w:rsid w:val="EBFA860A"/>
    <w:rsid w:val="F2E7A0CE"/>
    <w:rsid w:val="F48EEE3A"/>
    <w:rsid w:val="F79DC71C"/>
    <w:rsid w:val="F7AF6F76"/>
    <w:rsid w:val="F7FF420B"/>
    <w:rsid w:val="F969A87A"/>
    <w:rsid w:val="FA7DB50E"/>
    <w:rsid w:val="FC7E269B"/>
    <w:rsid w:val="FD77E181"/>
    <w:rsid w:val="FF5DBBC9"/>
    <w:rsid w:val="FFFE405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ocked="1"/>
    <w:lsdException w:qFormat="1" w:uiPriority="0" w:name="heading 5" w:locked="1"/>
    <w:lsdException w:qFormat="1" w:unhideWhenUsed="0" w:uiPriority="1" w:semiHidden="0" w:name="heading 6" w:locked="1"/>
    <w:lsdException w:qFormat="1" w:unhideWhenUsed="0" w:uiPriority="1" w:semiHidden="0" w:name="heading 7" w:locked="1"/>
    <w:lsdException w:qFormat="1" w:uiPriority="0" w:name="heading 8" w:locked="1"/>
    <w:lsdException w:qFormat="1" w:uiPriority="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qFormat="1" w:unhideWhenUsed="0" w:uiPriority="39" w:semiHidden="0" w:name="toc 1"/>
    <w:lsdException w:qFormat="1" w:unhideWhenUsed="0" w:uiPriority="39" w:semiHidden="0" w:name="toc 2"/>
    <w:lsdException w:qFormat="1" w:unhideWhenUsed="0" w:uiPriority="39"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ocked="1"/>
    <w:lsdException w:qFormat="1" w:unhideWhenUsed="0" w:uiPriority="0" w:semiHidden="0" w:name="footnote text" w:locked="1"/>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ocked="1"/>
    <w:lsdException w:qFormat="1" w:uiPriority="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qFormat="1" w:unhideWhenUsed="0" w:uiPriority="0" w:name="annotation reference"/>
    <w:lsdException w:unhideWhenUsed="0" w:uiPriority="0" w:semiHidden="0" w:name="line number" w:locked="1"/>
    <w:lsdException w:qFormat="1" w:unhideWhenUsed="0" w:uiPriority="0" w:semiHidden="0" w:name="page number"/>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qFormat="1" w:unhideWhenUsed="0" w:uiPriority="99"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0" w:semiHidden="0" w:name="Subtitle" w:locked="1"/>
    <w:lsdException w:unhideWhenUsed="0" w:uiPriority="0" w:semiHidden="0" w:name="Salutation" w:locked="1"/>
    <w:lsdException w:qFormat="1" w:unhideWhenUsed="0" w:uiPriority="0" w:semiHidden="0" w:name="Date"/>
    <w:lsdException w:qFormat="1" w:unhideWhenUsed="0" w:uiPriority="0" w:semiHidden="0" w:name="Body Text First Indent" w:locked="1"/>
    <w:lsdException w:qFormat="1"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qFormat="1" w:unhideWhenUsed="0" w:uiPriority="0" w:semiHidden="0" w:name="Body Text Indent 2"/>
    <w:lsdException w:unhideWhenUsed="0" w:uiPriority="0" w:semiHidden="0" w:name="Body Text Indent 3" w:locked="1"/>
    <w:lsdException w:unhideWhenUsed="0" w:uiPriority="0" w:semiHidden="0" w:name="Block Text" w:locked="1"/>
    <w:lsdException w:qFormat="1" w:unhideWhenUsed="0" w:uiPriority="99" w:semiHidden="0" w:name="Hyperlink"/>
    <w:lsdException w:qFormat="1" w:unhideWhenUsed="0" w:uiPriority="0" w:semiHidden="0" w:name="FollowedHyperlink" w:locked="1"/>
    <w:lsdException w:qFormat="1" w:unhideWhenUsed="0" w:uiPriority="22" w:semiHidden="0" w:name="Strong" w:locked="1"/>
    <w:lsdException w:qFormat="1" w:unhideWhenUsed="0" w:uiPriority="0" w:semiHidden="0" w:name="Emphasis" w:locked="1"/>
    <w:lsdException w:qFormat="1" w:unhideWhenUsed="0" w:uiPriority="0" w:name="Document Map"/>
    <w:lsdException w:qFormat="1" w:unhideWhenUsed="0" w:uiPriority="99" w:semiHidden="0" w:name="Plain Text"/>
    <w:lsdException w:unhideWhenUsed="0" w:uiPriority="0" w:semiHidden="0" w:name="E-mail Signature" w:locked="1"/>
    <w:lsdException w:qFormat="1" w:unhideWhenUsed="0" w:uiPriority="99"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qFormat="1" w:uiPriority="99" w:semiHidden="0" w:name="HTML Sample" w:locked="1"/>
    <w:lsdException w:unhideWhenUsed="0" w:uiPriority="0" w:semiHidden="0" w:name="HTML Typewriter" w:locked="1"/>
    <w:lsdException w:unhideWhenUsed="0" w:uiPriority="0" w:semiHidden="0" w:name="HTML Variable" w:locked="1"/>
    <w:lsdException w:qFormat="1" w:unhideWhenUsed="0" w:uiPriority="0" w:name="Normal Table"/>
    <w:lsdException w:qFormat="1" w:unhideWhenUsed="0" w:uiPriority="0" w:name="annotation subject" w:locked="1"/>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nhideWhenUsed="0" w:uiPriority="0" w:name="Balloon Text" w:locked="1"/>
    <w:lsdException w:qFormat="1" w:unhideWhenUsed="0" w:uiPriority="0" w:semiHidden="0" w:name="Table Grid"/>
    <w:lsdException w:unhideWhenUsed="0" w:uiPriority="0" w:semiHidden="0" w:name="Table Theme" w:locked="1"/>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11"/>
    <w:qFormat/>
    <w:uiPriority w:val="0"/>
    <w:pPr>
      <w:keepNext/>
      <w:numPr>
        <w:ilvl w:val="0"/>
        <w:numId w:val="1"/>
      </w:numPr>
      <w:ind w:left="360" w:hanging="360"/>
      <w:outlineLvl w:val="0"/>
    </w:pPr>
    <w:rPr>
      <w:b/>
      <w:kern w:val="44"/>
      <w:sz w:val="44"/>
    </w:rPr>
  </w:style>
  <w:style w:type="paragraph" w:styleId="3">
    <w:name w:val="heading 2"/>
    <w:basedOn w:val="1"/>
    <w:next w:val="1"/>
    <w:link w:val="112"/>
    <w:qFormat/>
    <w:uiPriority w:val="0"/>
    <w:pPr>
      <w:keepNext/>
      <w:keepLines/>
      <w:spacing w:before="260" w:after="260" w:line="416" w:lineRule="auto"/>
      <w:outlineLvl w:val="1"/>
    </w:pPr>
    <w:rPr>
      <w:rFonts w:ascii="Cambria" w:hAnsi="Cambria"/>
      <w:b/>
      <w:kern w:val="0"/>
      <w:sz w:val="32"/>
    </w:rPr>
  </w:style>
  <w:style w:type="paragraph" w:styleId="4">
    <w:name w:val="heading 3"/>
    <w:basedOn w:val="1"/>
    <w:next w:val="1"/>
    <w:link w:val="113"/>
    <w:qFormat/>
    <w:uiPriority w:val="0"/>
    <w:pPr>
      <w:keepNext/>
      <w:keepLines/>
      <w:spacing w:before="260" w:after="260" w:line="416" w:lineRule="auto"/>
      <w:outlineLvl w:val="2"/>
    </w:pPr>
    <w:rPr>
      <w:b/>
      <w:kern w:val="0"/>
      <w:sz w:val="32"/>
    </w:rPr>
  </w:style>
  <w:style w:type="paragraph" w:styleId="5">
    <w:name w:val="heading 4"/>
    <w:basedOn w:val="1"/>
    <w:next w:val="1"/>
    <w:qFormat/>
    <w:locked/>
    <w:uiPriority w:val="0"/>
    <w:pPr>
      <w:keepNext/>
      <w:keepLines/>
      <w:spacing w:before="280" w:after="290" w:line="376" w:lineRule="auto"/>
      <w:outlineLvl w:val="3"/>
    </w:pPr>
    <w:rPr>
      <w:rFonts w:ascii="Calibri Light" w:hAnsi="Calibri Light" w:eastAsia="宋体" w:cs="Times New Roman"/>
      <w:b/>
      <w:bCs/>
      <w:sz w:val="28"/>
      <w:szCs w:val="28"/>
    </w:rPr>
  </w:style>
  <w:style w:type="paragraph" w:styleId="6">
    <w:name w:val="heading 7"/>
    <w:basedOn w:val="1"/>
    <w:next w:val="1"/>
    <w:qFormat/>
    <w:locked/>
    <w:uiPriority w:val="1"/>
    <w:pPr>
      <w:keepNext/>
      <w:keepLines/>
      <w:numPr>
        <w:ilvl w:val="6"/>
        <w:numId w:val="2"/>
      </w:numPr>
      <w:spacing w:before="240" w:after="64" w:line="317" w:lineRule="auto"/>
      <w:outlineLvl w:val="6"/>
    </w:pPr>
    <w:rPr>
      <w:b/>
      <w:sz w:val="24"/>
      <w:szCs w:val="20"/>
    </w:rPr>
  </w:style>
  <w:style w:type="character" w:default="1" w:styleId="29">
    <w:name w:val="Default Paragraph Font"/>
    <w:semiHidden/>
    <w:qFormat/>
    <w:uiPriority w:val="0"/>
  </w:style>
  <w:style w:type="table" w:default="1" w:styleId="2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Normal Indent"/>
    <w:basedOn w:val="1"/>
    <w:qFormat/>
    <w:locked/>
    <w:uiPriority w:val="0"/>
    <w:pPr>
      <w:spacing w:before="60"/>
      <w:ind w:firstLine="420" w:firstLineChars="200"/>
    </w:pPr>
    <w:rPr>
      <w:szCs w:val="24"/>
    </w:rPr>
  </w:style>
  <w:style w:type="paragraph" w:styleId="8">
    <w:name w:val="Document Map"/>
    <w:basedOn w:val="1"/>
    <w:link w:val="114"/>
    <w:semiHidden/>
    <w:qFormat/>
    <w:uiPriority w:val="0"/>
    <w:pPr>
      <w:shd w:val="clear" w:color="auto" w:fill="000080"/>
    </w:pPr>
    <w:rPr>
      <w:kern w:val="0"/>
      <w:sz w:val="2"/>
    </w:rPr>
  </w:style>
  <w:style w:type="paragraph" w:styleId="9">
    <w:name w:val="toa heading"/>
    <w:basedOn w:val="1"/>
    <w:next w:val="1"/>
    <w:qFormat/>
    <w:locked/>
    <w:uiPriority w:val="99"/>
    <w:pPr>
      <w:spacing w:before="120"/>
    </w:pPr>
    <w:rPr>
      <w:rFonts w:ascii="Cambria" w:hAnsi="Cambria"/>
      <w:sz w:val="24"/>
    </w:rPr>
  </w:style>
  <w:style w:type="paragraph" w:styleId="10">
    <w:name w:val="annotation text"/>
    <w:basedOn w:val="1"/>
    <w:link w:val="115"/>
    <w:semiHidden/>
    <w:qFormat/>
    <w:uiPriority w:val="0"/>
    <w:pPr>
      <w:jc w:val="left"/>
    </w:pPr>
    <w:rPr>
      <w:sz w:val="28"/>
    </w:rPr>
  </w:style>
  <w:style w:type="paragraph" w:styleId="11">
    <w:name w:val="Body Text"/>
    <w:basedOn w:val="1"/>
    <w:next w:val="1"/>
    <w:link w:val="116"/>
    <w:semiHidden/>
    <w:qFormat/>
    <w:uiPriority w:val="0"/>
    <w:pPr>
      <w:spacing w:before="100" w:beforeAutospacing="1" w:after="100" w:afterAutospacing="1" w:line="600" w:lineRule="auto"/>
    </w:pPr>
    <w:rPr>
      <w:kern w:val="0"/>
      <w:sz w:val="20"/>
    </w:rPr>
  </w:style>
  <w:style w:type="paragraph" w:styleId="12">
    <w:name w:val="Body Text Indent"/>
    <w:basedOn w:val="1"/>
    <w:next w:val="13"/>
    <w:link w:val="117"/>
    <w:qFormat/>
    <w:uiPriority w:val="0"/>
    <w:pPr>
      <w:spacing w:after="120"/>
      <w:ind w:left="420" w:leftChars="200"/>
    </w:pPr>
    <w:rPr>
      <w:kern w:val="0"/>
      <w:sz w:val="20"/>
    </w:rPr>
  </w:style>
  <w:style w:type="paragraph" w:styleId="13">
    <w:name w:val="Body Text First Indent 2"/>
    <w:basedOn w:val="12"/>
    <w:qFormat/>
    <w:locked/>
    <w:uiPriority w:val="0"/>
    <w:pPr>
      <w:tabs>
        <w:tab w:val="left" w:pos="720"/>
      </w:tabs>
      <w:spacing w:after="120"/>
      <w:ind w:left="420" w:leftChars="200" w:firstLine="420"/>
    </w:pPr>
    <w:rPr>
      <w:sz w:val="21"/>
    </w:rPr>
  </w:style>
  <w:style w:type="paragraph" w:styleId="14">
    <w:name w:val="toc 3"/>
    <w:basedOn w:val="1"/>
    <w:next w:val="1"/>
    <w:qFormat/>
    <w:locked/>
    <w:uiPriority w:val="39"/>
    <w:pPr>
      <w:ind w:left="840" w:leftChars="400"/>
    </w:pPr>
  </w:style>
  <w:style w:type="paragraph" w:styleId="15">
    <w:name w:val="Plain Text"/>
    <w:basedOn w:val="1"/>
    <w:link w:val="118"/>
    <w:qFormat/>
    <w:uiPriority w:val="99"/>
    <w:rPr>
      <w:rFonts w:ascii="宋体" w:hAnsi="Courier New"/>
    </w:rPr>
  </w:style>
  <w:style w:type="paragraph" w:styleId="16">
    <w:name w:val="Date"/>
    <w:basedOn w:val="1"/>
    <w:next w:val="1"/>
    <w:link w:val="119"/>
    <w:qFormat/>
    <w:uiPriority w:val="0"/>
    <w:pPr>
      <w:adjustRightInd w:val="0"/>
      <w:spacing w:line="360" w:lineRule="atLeast"/>
      <w:ind w:firstLine="454"/>
      <w:textAlignment w:val="baseline"/>
    </w:pPr>
    <w:rPr>
      <w:kern w:val="0"/>
      <w:sz w:val="20"/>
    </w:rPr>
  </w:style>
  <w:style w:type="paragraph" w:styleId="17">
    <w:name w:val="Body Text Indent 2"/>
    <w:basedOn w:val="1"/>
    <w:link w:val="120"/>
    <w:qFormat/>
    <w:uiPriority w:val="0"/>
    <w:pPr>
      <w:ind w:firstLine="480"/>
    </w:pPr>
    <w:rPr>
      <w:kern w:val="0"/>
      <w:sz w:val="20"/>
    </w:rPr>
  </w:style>
  <w:style w:type="paragraph" w:styleId="18">
    <w:name w:val="Balloon Text"/>
    <w:basedOn w:val="1"/>
    <w:semiHidden/>
    <w:qFormat/>
    <w:locked/>
    <w:uiPriority w:val="0"/>
    <w:rPr>
      <w:sz w:val="18"/>
      <w:szCs w:val="18"/>
    </w:rPr>
  </w:style>
  <w:style w:type="paragraph" w:styleId="19">
    <w:name w:val="footer"/>
    <w:basedOn w:val="1"/>
    <w:link w:val="121"/>
    <w:qFormat/>
    <w:uiPriority w:val="99"/>
    <w:pPr>
      <w:tabs>
        <w:tab w:val="center" w:pos="4153"/>
        <w:tab w:val="right" w:pos="8306"/>
      </w:tabs>
      <w:snapToGrid w:val="0"/>
      <w:jc w:val="left"/>
    </w:pPr>
    <w:rPr>
      <w:kern w:val="0"/>
      <w:sz w:val="18"/>
    </w:rPr>
  </w:style>
  <w:style w:type="paragraph" w:styleId="20">
    <w:name w:val="header"/>
    <w:basedOn w:val="1"/>
    <w:link w:val="122"/>
    <w:qFormat/>
    <w:uiPriority w:val="0"/>
    <w:pPr>
      <w:pBdr>
        <w:bottom w:val="single" w:color="auto" w:sz="6" w:space="1"/>
      </w:pBdr>
      <w:tabs>
        <w:tab w:val="center" w:pos="4153"/>
        <w:tab w:val="right" w:pos="8306"/>
      </w:tabs>
      <w:snapToGrid w:val="0"/>
      <w:jc w:val="center"/>
    </w:pPr>
    <w:rPr>
      <w:kern w:val="0"/>
      <w:sz w:val="18"/>
    </w:rPr>
  </w:style>
  <w:style w:type="paragraph" w:styleId="21">
    <w:name w:val="toc 1"/>
    <w:basedOn w:val="1"/>
    <w:next w:val="1"/>
    <w:qFormat/>
    <w:uiPriority w:val="39"/>
    <w:pPr>
      <w:tabs>
        <w:tab w:val="right" w:leader="dot" w:pos="9628"/>
      </w:tabs>
      <w:spacing w:line="440" w:lineRule="exact"/>
      <w:jc w:val="center"/>
    </w:pPr>
    <w:rPr>
      <w:rFonts w:ascii="仿宋" w:hAnsi="仿宋" w:eastAsia="仿宋"/>
      <w:b/>
      <w:sz w:val="44"/>
      <w:szCs w:val="44"/>
    </w:rPr>
  </w:style>
  <w:style w:type="paragraph" w:styleId="22">
    <w:name w:val="footnote text"/>
    <w:basedOn w:val="1"/>
    <w:qFormat/>
    <w:locked/>
    <w:uiPriority w:val="0"/>
    <w:pPr>
      <w:snapToGrid w:val="0"/>
      <w:jc w:val="left"/>
    </w:pPr>
    <w:rPr>
      <w:sz w:val="18"/>
    </w:rPr>
  </w:style>
  <w:style w:type="paragraph" w:styleId="23">
    <w:name w:val="toc 2"/>
    <w:basedOn w:val="1"/>
    <w:next w:val="1"/>
    <w:qFormat/>
    <w:uiPriority w:val="39"/>
    <w:pPr>
      <w:tabs>
        <w:tab w:val="right" w:leader="dot" w:pos="9628"/>
      </w:tabs>
      <w:ind w:left="420" w:leftChars="200"/>
    </w:pPr>
  </w:style>
  <w:style w:type="paragraph" w:styleId="24">
    <w:name w:val="Normal (Web)"/>
    <w:basedOn w:val="1"/>
    <w:qFormat/>
    <w:locked/>
    <w:uiPriority w:val="99"/>
    <w:pPr>
      <w:widowControl/>
      <w:spacing w:before="100" w:beforeAutospacing="1" w:after="100" w:afterAutospacing="1"/>
      <w:jc w:val="left"/>
    </w:pPr>
    <w:rPr>
      <w:rFonts w:ascii="宋体" w:hAnsi="宋体"/>
      <w:kern w:val="0"/>
      <w:sz w:val="24"/>
      <w:szCs w:val="24"/>
    </w:rPr>
  </w:style>
  <w:style w:type="paragraph" w:styleId="25">
    <w:name w:val="annotation subject"/>
    <w:basedOn w:val="10"/>
    <w:next w:val="10"/>
    <w:semiHidden/>
    <w:qFormat/>
    <w:locked/>
    <w:uiPriority w:val="0"/>
    <w:rPr>
      <w:b/>
      <w:bCs/>
    </w:rPr>
  </w:style>
  <w:style w:type="paragraph" w:styleId="26">
    <w:name w:val="Body Text First Indent"/>
    <w:basedOn w:val="11"/>
    <w:next w:val="1"/>
    <w:qFormat/>
    <w:locked/>
    <w:uiPriority w:val="0"/>
    <w:pPr>
      <w:ind w:firstLine="420" w:firstLineChars="100"/>
      <w:jc w:val="left"/>
    </w:pPr>
    <w:rPr>
      <w:rFonts w:ascii="Times New Roman" w:hAnsi="Times New Roman"/>
      <w:sz w:val="18"/>
      <w:szCs w:val="18"/>
    </w:rPr>
  </w:style>
  <w:style w:type="table" w:styleId="28">
    <w:name w:val="Table Grid"/>
    <w:basedOn w:val="27"/>
    <w:qFormat/>
    <w:uiPriority w:val="0"/>
    <w:pPr>
      <w:widowControl w:val="0"/>
      <w:jc w:val="both"/>
    </w:pPr>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locked/>
    <w:uiPriority w:val="22"/>
    <w:rPr>
      <w:b/>
      <w:bCs/>
    </w:rPr>
  </w:style>
  <w:style w:type="character" w:styleId="31">
    <w:name w:val="page number"/>
    <w:qFormat/>
    <w:uiPriority w:val="0"/>
    <w:rPr>
      <w:rFonts w:cs="Times New Roman"/>
    </w:rPr>
  </w:style>
  <w:style w:type="character" w:styleId="32">
    <w:name w:val="FollowedHyperlink"/>
    <w:qFormat/>
    <w:locked/>
    <w:uiPriority w:val="0"/>
    <w:rPr>
      <w:color w:val="800080"/>
      <w:u w:val="single"/>
    </w:rPr>
  </w:style>
  <w:style w:type="character" w:styleId="33">
    <w:name w:val="Emphasis"/>
    <w:qFormat/>
    <w:locked/>
    <w:uiPriority w:val="0"/>
    <w:rPr>
      <w:i/>
    </w:rPr>
  </w:style>
  <w:style w:type="character" w:styleId="34">
    <w:name w:val="Hyperlink"/>
    <w:qFormat/>
    <w:uiPriority w:val="99"/>
    <w:rPr>
      <w:rFonts w:cs="Times New Roman"/>
      <w:color w:val="0000FF"/>
      <w:u w:val="single"/>
    </w:rPr>
  </w:style>
  <w:style w:type="character" w:styleId="35">
    <w:name w:val="annotation reference"/>
    <w:semiHidden/>
    <w:qFormat/>
    <w:uiPriority w:val="0"/>
    <w:rPr>
      <w:rFonts w:cs="Times New Roman"/>
      <w:sz w:val="21"/>
      <w:szCs w:val="21"/>
    </w:rPr>
  </w:style>
  <w:style w:type="character" w:styleId="36">
    <w:name w:val="HTML Sample"/>
    <w:unhideWhenUsed/>
    <w:qFormat/>
    <w:locked/>
    <w:uiPriority w:val="99"/>
    <w:rPr>
      <w:rFonts w:ascii="宋体" w:hAnsi="宋体" w:eastAsia="宋体" w:cs="宋体"/>
    </w:rPr>
  </w:style>
  <w:style w:type="paragraph" w:customStyle="1" w:styleId="3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8">
    <w:name w:val="首行缩进"/>
    <w:basedOn w:val="1"/>
    <w:qFormat/>
    <w:uiPriority w:val="0"/>
    <w:pPr>
      <w:spacing w:line="360" w:lineRule="auto"/>
      <w:ind w:firstLine="480" w:firstLineChars="200"/>
    </w:pPr>
    <w:rPr>
      <w:rFonts w:ascii="宋体" w:hAnsi="宋体" w:cs="宋体"/>
      <w:kern w:val="0"/>
      <w:sz w:val="24"/>
    </w:rPr>
  </w:style>
  <w:style w:type="paragraph" w:customStyle="1" w:styleId="39">
    <w:name w:val="Style1"/>
    <w:basedOn w:val="1"/>
    <w:qFormat/>
    <w:uiPriority w:val="0"/>
    <w:pPr>
      <w:widowControl/>
      <w:tabs>
        <w:tab w:val="left" w:pos="-720"/>
      </w:tabs>
    </w:pPr>
    <w:rPr>
      <w:spacing w:val="-3"/>
      <w:kern w:val="0"/>
      <w:sz w:val="24"/>
      <w:szCs w:val="20"/>
      <w:lang w:val="en-AU" w:eastAsia="en-US"/>
    </w:rPr>
  </w:style>
  <w:style w:type="paragraph" w:customStyle="1" w:styleId="40">
    <w:name w:val="Char Char Char Char Char Char Char"/>
    <w:basedOn w:val="1"/>
    <w:qFormat/>
    <w:uiPriority w:val="0"/>
    <w:pPr>
      <w:tabs>
        <w:tab w:val="left" w:pos="432"/>
      </w:tabs>
      <w:ind w:left="432" w:hanging="432"/>
    </w:pPr>
    <w:rPr>
      <w:rFonts w:ascii="Tahoma" w:hAnsi="Tahoma"/>
      <w:sz w:val="24"/>
    </w:rPr>
  </w:style>
  <w:style w:type="paragraph" w:customStyle="1" w:styleId="41">
    <w:name w:val="Char1"/>
    <w:basedOn w:val="1"/>
    <w:qFormat/>
    <w:uiPriority w:val="0"/>
    <w:rPr>
      <w:rFonts w:ascii="Tahoma" w:hAnsi="Tahoma"/>
      <w:sz w:val="24"/>
    </w:rPr>
  </w:style>
  <w:style w:type="paragraph" w:customStyle="1" w:styleId="42">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3">
    <w:name w:val="List Paragraph1"/>
    <w:basedOn w:val="1"/>
    <w:qFormat/>
    <w:uiPriority w:val="0"/>
    <w:pPr>
      <w:ind w:firstLine="420" w:firstLineChars="200"/>
    </w:pPr>
    <w:rPr>
      <w:rFonts w:ascii="Calibri" w:hAnsi="Calibri"/>
      <w:szCs w:val="22"/>
    </w:rPr>
  </w:style>
  <w:style w:type="paragraph" w:customStyle="1" w:styleId="44">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45">
    <w:name w:val="样式 宋体 五号 行距: 单倍行距"/>
    <w:basedOn w:val="1"/>
    <w:qFormat/>
    <w:uiPriority w:val="0"/>
    <w:pPr>
      <w:adjustRightInd w:val="0"/>
      <w:jc w:val="left"/>
      <w:textAlignment w:val="baseline"/>
    </w:pPr>
    <w:rPr>
      <w:rFonts w:ascii="宋体" w:hAnsi="宋体"/>
      <w:kern w:val="0"/>
    </w:rPr>
  </w:style>
  <w:style w:type="paragraph" w:customStyle="1" w:styleId="46">
    <w:name w:val="p15"/>
    <w:basedOn w:val="1"/>
    <w:qFormat/>
    <w:uiPriority w:val="0"/>
    <w:pPr>
      <w:widowControl/>
    </w:pPr>
    <w:rPr>
      <w:kern w:val="0"/>
      <w:szCs w:val="21"/>
    </w:rPr>
  </w:style>
  <w:style w:type="paragraph" w:customStyle="1" w:styleId="47">
    <w:name w:val="Default Text:1"/>
    <w:basedOn w:val="1"/>
    <w:qFormat/>
    <w:uiPriority w:val="0"/>
    <w:pPr>
      <w:widowControl/>
      <w:overflowPunct w:val="0"/>
      <w:autoSpaceDE w:val="0"/>
      <w:autoSpaceDN w:val="0"/>
      <w:adjustRightInd w:val="0"/>
      <w:jc w:val="left"/>
      <w:textAlignment w:val="baseline"/>
    </w:pPr>
    <w:rPr>
      <w:kern w:val="0"/>
      <w:sz w:val="24"/>
    </w:rPr>
  </w:style>
  <w:style w:type="paragraph" w:customStyle="1" w:styleId="48">
    <w:name w:val="三级标题"/>
    <w:basedOn w:val="1"/>
    <w:next w:val="1"/>
    <w:qFormat/>
    <w:uiPriority w:val="0"/>
    <w:pPr>
      <w:numPr>
        <w:ilvl w:val="2"/>
        <w:numId w:val="3"/>
      </w:numPr>
      <w:ind w:firstLineChars="0"/>
      <w:outlineLvl w:val="3"/>
    </w:pPr>
    <w:rPr>
      <w:b/>
    </w:rPr>
  </w:style>
  <w:style w:type="paragraph" w:customStyle="1" w:styleId="49">
    <w:name w:val="缺省文本"/>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50">
    <w:name w:val="正文_29_3_4"/>
    <w:qFormat/>
    <w:uiPriority w:val="0"/>
    <w:pPr>
      <w:widowControl w:val="0"/>
      <w:jc w:val="both"/>
    </w:pPr>
    <w:rPr>
      <w:rFonts w:ascii="Calibri" w:hAnsi="Calibri" w:eastAsia="宋体" w:cs="Times New Roman"/>
      <w:kern w:val="2"/>
      <w:sz w:val="21"/>
      <w:szCs w:val="24"/>
      <w:lang w:val="en-US" w:eastAsia="zh-CN" w:bidi="ar-SA"/>
    </w:rPr>
  </w:style>
  <w:style w:type="paragraph" w:customStyle="1" w:styleId="51">
    <w:name w:val="List Paragraph2"/>
    <w:basedOn w:val="1"/>
    <w:qFormat/>
    <w:uiPriority w:val="0"/>
    <w:pPr>
      <w:ind w:firstLine="420" w:firstLineChars="200"/>
    </w:pPr>
    <w:rPr>
      <w:rFonts w:ascii="Calibri" w:hAnsi="Calibri"/>
      <w:szCs w:val="22"/>
    </w:rPr>
  </w:style>
  <w:style w:type="paragraph" w:customStyle="1" w:styleId="52">
    <w:name w:val="Default Tex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53">
    <w:name w:val="样式 样式 样式 样式 标题 2 + 宋体 五号 非加粗 黑色 + 段前: 6 磅 段后: 0 磅 行距: 单倍行距 + 段前:..."/>
    <w:basedOn w:val="1"/>
    <w:qFormat/>
    <w:uiPriority w:val="0"/>
    <w:pPr>
      <w:keepNext/>
      <w:keepLines/>
      <w:adjustRightInd w:val="0"/>
      <w:spacing w:before="240"/>
      <w:textAlignment w:val="baseline"/>
      <w:outlineLvl w:val="1"/>
    </w:pPr>
    <w:rPr>
      <w:rFonts w:ascii="宋体" w:hAnsi="宋体"/>
      <w:b/>
      <w:bCs/>
      <w:kern w:val="0"/>
    </w:rPr>
  </w:style>
  <w:style w:type="paragraph" w:customStyle="1" w:styleId="54">
    <w:name w:val="Definition Term"/>
    <w:basedOn w:val="1"/>
    <w:next w:val="1"/>
    <w:qFormat/>
    <w:uiPriority w:val="0"/>
    <w:pPr>
      <w:autoSpaceDE w:val="0"/>
      <w:autoSpaceDN w:val="0"/>
      <w:adjustRightInd w:val="0"/>
      <w:jc w:val="left"/>
    </w:pPr>
    <w:rPr>
      <w:kern w:val="0"/>
      <w:sz w:val="24"/>
    </w:rPr>
  </w:style>
  <w:style w:type="paragraph" w:customStyle="1" w:styleId="55">
    <w:name w:val="Char"/>
    <w:basedOn w:val="8"/>
    <w:semiHidden/>
    <w:qFormat/>
    <w:uiPriority w:val="0"/>
    <w:rPr>
      <w:rFonts w:ascii="Tahoma" w:hAnsi="Tahoma"/>
      <w:sz w:val="24"/>
      <w:szCs w:val="24"/>
    </w:rPr>
  </w:style>
  <w:style w:type="paragraph" w:customStyle="1" w:styleId="56">
    <w:name w:val="样式3"/>
    <w:basedOn w:val="15"/>
    <w:qFormat/>
    <w:uiPriority w:val="0"/>
    <w:pPr>
      <w:spacing w:line="240" w:lineRule="atLeast"/>
      <w:outlineLvl w:val="0"/>
    </w:pPr>
    <w:rPr>
      <w:sz w:val="28"/>
      <w:szCs w:val="24"/>
    </w:rPr>
  </w:style>
  <w:style w:type="paragraph" w:customStyle="1" w:styleId="57">
    <w:name w:val="样式 样式 样式 左侧:  2 字符1 + 首行缩进:  2 字符1 + 首行缩进:  2 字符"/>
    <w:basedOn w:val="1"/>
    <w:qFormat/>
    <w:uiPriority w:val="0"/>
    <w:pPr>
      <w:widowControl/>
      <w:adjustRightInd w:val="0"/>
      <w:spacing w:before="60" w:after="120" w:line="440" w:lineRule="atLeast"/>
      <w:ind w:firstLine="480"/>
      <w:textAlignment w:val="baseline"/>
    </w:pPr>
    <w:rPr>
      <w:sz w:val="24"/>
    </w:rPr>
  </w:style>
  <w:style w:type="paragraph" w:customStyle="1" w:styleId="58">
    <w:name w:val="样式1"/>
    <w:basedOn w:val="1"/>
    <w:qFormat/>
    <w:uiPriority w:val="0"/>
    <w:pPr>
      <w:tabs>
        <w:tab w:val="left" w:pos="480"/>
      </w:tabs>
      <w:adjustRightInd w:val="0"/>
      <w:ind w:left="480" w:hanging="480"/>
      <w:textAlignment w:val="baseline"/>
    </w:pPr>
    <w:rPr>
      <w:rFonts w:ascii="宋体" w:hAnsi="宋体"/>
      <w:kern w:val="0"/>
      <w:szCs w:val="21"/>
    </w:rPr>
  </w:style>
  <w:style w:type="paragraph" w:customStyle="1" w:styleId="59">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60">
    <w:name w:val="样式 宋体 五号 两端对齐 行距: 单倍行距"/>
    <w:basedOn w:val="1"/>
    <w:qFormat/>
    <w:uiPriority w:val="0"/>
    <w:pPr>
      <w:adjustRightInd w:val="0"/>
      <w:textAlignment w:val="baseline"/>
    </w:pPr>
    <w:rPr>
      <w:rFonts w:ascii="宋体" w:hAnsi="宋体"/>
      <w:kern w:val="0"/>
    </w:rPr>
  </w:style>
  <w:style w:type="paragraph" w:customStyle="1" w:styleId="61">
    <w:name w:val="列出段落1"/>
    <w:basedOn w:val="1"/>
    <w:next w:val="1"/>
    <w:link w:val="153"/>
    <w:qFormat/>
    <w:uiPriority w:val="34"/>
    <w:pPr>
      <w:ind w:firstLine="420" w:firstLineChars="200"/>
    </w:pPr>
    <w:rPr>
      <w:rFonts w:ascii="Calibri" w:hAnsi="Calibri"/>
      <w:szCs w:val="22"/>
    </w:rPr>
  </w:style>
  <w:style w:type="paragraph" w:customStyle="1" w:styleId="62">
    <w:name w:val="_Style 1"/>
    <w:qFormat/>
    <w:uiPriority w:val="1"/>
    <w:pPr>
      <w:adjustRightInd w:val="0"/>
      <w:snapToGrid w:val="0"/>
    </w:pPr>
    <w:rPr>
      <w:rFonts w:ascii="Tahoma" w:hAnsi="Tahoma" w:eastAsia="宋体" w:cs="Times New Roman"/>
      <w:sz w:val="22"/>
      <w:szCs w:val="22"/>
      <w:lang w:val="en-US" w:eastAsia="zh-CN" w:bidi="ar-SA"/>
    </w:rPr>
  </w:style>
  <w:style w:type="paragraph" w:styleId="63">
    <w:name w:val="List Paragraph"/>
    <w:basedOn w:val="1"/>
    <w:qFormat/>
    <w:uiPriority w:val="34"/>
    <w:pPr>
      <w:widowControl/>
      <w:ind w:firstLine="420" w:firstLineChars="200"/>
      <w:jc w:val="left"/>
    </w:pPr>
    <w:rPr>
      <w:rFonts w:ascii="宋体" w:hAnsi="宋体" w:cs="宋体"/>
      <w:kern w:val="0"/>
      <w:sz w:val="24"/>
      <w:szCs w:val="24"/>
    </w:rPr>
  </w:style>
  <w:style w:type="paragraph" w:customStyle="1" w:styleId="64">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65">
    <w:name w:val="Body text|1"/>
    <w:basedOn w:val="1"/>
    <w:qFormat/>
    <w:uiPriority w:val="0"/>
    <w:pPr>
      <w:spacing w:after="60"/>
      <w:jc w:val="left"/>
    </w:pPr>
    <w:rPr>
      <w:rFonts w:ascii="宋体" w:hAnsi="宋体" w:cs="宋体"/>
      <w:color w:val="000000"/>
      <w:kern w:val="0"/>
      <w:sz w:val="19"/>
      <w:szCs w:val="19"/>
      <w:lang w:val="zh-TW" w:eastAsia="zh-TW" w:bidi="zh-TW"/>
    </w:rPr>
  </w:style>
  <w:style w:type="paragraph" w:customStyle="1" w:styleId="66">
    <w:name w:val="Body text|2"/>
    <w:basedOn w:val="1"/>
    <w:qFormat/>
    <w:uiPriority w:val="0"/>
    <w:pPr>
      <w:spacing w:after="60"/>
      <w:jc w:val="left"/>
    </w:pPr>
    <w:rPr>
      <w:rFonts w:eastAsia="Times New Roman"/>
      <w:color w:val="000000"/>
      <w:kern w:val="0"/>
      <w:sz w:val="18"/>
      <w:szCs w:val="18"/>
      <w:lang w:eastAsia="en-US" w:bidi="en-US"/>
    </w:rPr>
  </w:style>
  <w:style w:type="paragraph" w:customStyle="1" w:styleId="67">
    <w:name w:val="Table Paragraph"/>
    <w:basedOn w:val="1"/>
    <w:qFormat/>
    <w:uiPriority w:val="1"/>
    <w:pPr>
      <w:autoSpaceDE w:val="0"/>
      <w:autoSpaceDN w:val="0"/>
      <w:spacing w:before="41"/>
      <w:ind w:left="108"/>
      <w:jc w:val="left"/>
    </w:pPr>
    <w:rPr>
      <w:rFonts w:ascii="宋体" w:hAnsi="宋体" w:cs="宋体"/>
      <w:kern w:val="0"/>
      <w:sz w:val="22"/>
      <w:szCs w:val="22"/>
      <w:lang w:val="zh-CN" w:bidi="zh-CN"/>
    </w:rPr>
  </w:style>
  <w:style w:type="paragraph" w:customStyle="1" w:styleId="68">
    <w:name w:val="段"/>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9">
    <w:name w:val="UserStyle_39"/>
    <w:qFormat/>
    <w:uiPriority w:val="0"/>
    <w:pPr>
      <w:jc w:val="both"/>
      <w:textAlignment w:val="baseline"/>
    </w:pPr>
    <w:rPr>
      <w:rFonts w:ascii="Calibri" w:hAnsi="Calibri" w:eastAsia="宋体" w:cs="Times New Roman"/>
      <w:kern w:val="2"/>
      <w:sz w:val="21"/>
      <w:szCs w:val="24"/>
      <w:lang w:val="en-US" w:eastAsia="zh-CN" w:bidi="ar-SA"/>
    </w:rPr>
  </w:style>
  <w:style w:type="paragraph" w:customStyle="1" w:styleId="70">
    <w:name w:val="正文_1"/>
    <w:next w:val="71"/>
    <w:qFormat/>
    <w:uiPriority w:val="0"/>
    <w:pPr>
      <w:widowControl w:val="0"/>
      <w:jc w:val="both"/>
    </w:pPr>
    <w:rPr>
      <w:rFonts w:ascii="Calibri" w:hAnsi="Calibri" w:eastAsia="宋体" w:cs="Times New Roman"/>
      <w:kern w:val="2"/>
      <w:sz w:val="21"/>
      <w:szCs w:val="24"/>
      <w:lang w:val="en-US" w:eastAsia="zh-CN" w:bidi="ar-SA"/>
    </w:rPr>
  </w:style>
  <w:style w:type="paragraph" w:customStyle="1" w:styleId="71">
    <w:name w:val="Default_0"/>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72">
    <w:name w:val="正文缩进_0"/>
    <w:basedOn w:val="73"/>
    <w:unhideWhenUsed/>
    <w:qFormat/>
    <w:uiPriority w:val="0"/>
    <w:pPr>
      <w:ind w:firstLine="420" w:firstLineChars="200"/>
    </w:pPr>
  </w:style>
  <w:style w:type="paragraph" w:customStyle="1" w:styleId="73">
    <w:name w:val="正文_3"/>
    <w:basedOn w:val="74"/>
    <w:next w:val="7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4">
    <w:name w:val="Normal_0"/>
    <w:basedOn w:val="75"/>
    <w:next w:val="76"/>
    <w:qFormat/>
    <w:uiPriority w:val="0"/>
    <w:rPr>
      <w:rFonts w:eastAsia="Times New Roman"/>
      <w:sz w:val="24"/>
      <w:szCs w:val="24"/>
      <w:lang w:bidi="ar-SA"/>
    </w:rPr>
  </w:style>
  <w:style w:type="paragraph" w:customStyle="1" w:styleId="75">
    <w:name w:val="正文1"/>
    <w:qFormat/>
    <w:uiPriority w:val="0"/>
    <w:pPr>
      <w:widowControl w:val="0"/>
      <w:jc w:val="both"/>
    </w:pPr>
    <w:rPr>
      <w:rFonts w:ascii="Calibri" w:hAnsi="Calibri" w:eastAsia="宋体" w:cs="Times New Roman"/>
      <w:lang w:val="en-US" w:eastAsia="zh-CN" w:bidi="ar-SA"/>
    </w:rPr>
  </w:style>
  <w:style w:type="paragraph" w:customStyle="1" w:styleId="76">
    <w:name w:val="Body Text"/>
    <w:basedOn w:val="74"/>
    <w:qFormat/>
    <w:uiPriority w:val="0"/>
    <w:pPr>
      <w:spacing w:after="120"/>
    </w:pPr>
    <w:rPr>
      <w:rFonts w:ascii="Calibri" w:hAnsi="Calibri"/>
    </w:rPr>
  </w:style>
  <w:style w:type="paragraph" w:customStyle="1" w:styleId="77">
    <w:name w:val="正文缩进_0_0"/>
    <w:basedOn w:val="78"/>
    <w:unhideWhenUsed/>
    <w:qFormat/>
    <w:uiPriority w:val="0"/>
    <w:pPr>
      <w:ind w:firstLine="420" w:firstLineChars="200"/>
    </w:pPr>
  </w:style>
  <w:style w:type="paragraph" w:customStyle="1" w:styleId="78">
    <w:name w:val="正文_0_1"/>
    <w:basedOn w:val="79"/>
    <w:next w:val="105"/>
    <w:qFormat/>
    <w:locked/>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9">
    <w:name w:val="正文_0_2"/>
    <w:basedOn w:val="80"/>
    <w:next w:val="104"/>
    <w:qFormat/>
    <w:locked/>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80">
    <w:name w:val="正文_2_1"/>
    <w:basedOn w:val="81"/>
    <w:next w:val="99"/>
    <w:qFormat/>
    <w:uiPriority w:val="0"/>
    <w:pPr>
      <w:widowControl w:val="0"/>
      <w:jc w:val="both"/>
    </w:pPr>
    <w:rPr>
      <w:rFonts w:ascii="Calibri" w:hAnsi="Calibri" w:eastAsia="宋体" w:cs="Times New Roman"/>
      <w:kern w:val="2"/>
      <w:sz w:val="21"/>
      <w:szCs w:val="22"/>
      <w:lang w:val="en-US" w:eastAsia="zh-CN" w:bidi="ar-SA"/>
    </w:rPr>
  </w:style>
  <w:style w:type="paragraph" w:customStyle="1" w:styleId="81">
    <w:name w:val="正文_3_0"/>
    <w:basedOn w:val="82"/>
    <w:next w:val="84"/>
    <w:qFormat/>
    <w:uiPriority w:val="0"/>
    <w:pPr>
      <w:widowControl w:val="0"/>
      <w:jc w:val="both"/>
    </w:pPr>
    <w:rPr>
      <w:rFonts w:ascii="Calibri" w:hAnsi="Calibri"/>
      <w:kern w:val="2"/>
      <w:sz w:val="21"/>
      <w:szCs w:val="22"/>
      <w:lang w:val="en-US" w:eastAsia="zh-CN" w:bidi="ar-SA"/>
    </w:rPr>
  </w:style>
  <w:style w:type="paragraph" w:customStyle="1" w:styleId="82">
    <w:name w:val="Normal_0_0"/>
    <w:next w:val="83"/>
    <w:qFormat/>
    <w:uiPriority w:val="0"/>
    <w:pPr>
      <w:widowControl w:val="0"/>
      <w:jc w:val="both"/>
    </w:pPr>
    <w:rPr>
      <w:rFonts w:ascii="Calibri" w:hAnsi="Calibri" w:eastAsia="宋体" w:cs="Times New Roman"/>
      <w:kern w:val="2"/>
      <w:sz w:val="21"/>
      <w:szCs w:val="22"/>
      <w:lang w:val="en-US" w:eastAsia="zh-CN" w:bidi="ar-SA"/>
    </w:rPr>
  </w:style>
  <w:style w:type="paragraph" w:customStyle="1" w:styleId="83">
    <w:name w:val="Body Text_0"/>
    <w:basedOn w:val="82"/>
    <w:qFormat/>
    <w:uiPriority w:val="0"/>
    <w:pPr>
      <w:spacing w:after="120"/>
    </w:pPr>
    <w:rPr>
      <w:rFonts w:ascii="Calibri" w:hAnsi="Calibri"/>
    </w:rPr>
  </w:style>
  <w:style w:type="paragraph" w:customStyle="1" w:styleId="84">
    <w:name w:val="正文缩进_0_0_1"/>
    <w:basedOn w:val="85"/>
    <w:unhideWhenUsed/>
    <w:qFormat/>
    <w:uiPriority w:val="0"/>
    <w:pPr>
      <w:ind w:firstLine="420" w:firstLineChars="200"/>
    </w:pPr>
    <w:rPr>
      <w:rFonts w:ascii="Calibri" w:hAnsi="Calibri"/>
      <w:szCs w:val="22"/>
    </w:rPr>
  </w:style>
  <w:style w:type="paragraph" w:customStyle="1" w:styleId="85">
    <w:name w:val="正文_0_1_1"/>
    <w:basedOn w:val="86"/>
    <w:next w:val="96"/>
    <w:qFormat/>
    <w:uiPriority w:val="0"/>
    <w:pPr>
      <w:widowControl w:val="0"/>
      <w:jc w:val="both"/>
    </w:pPr>
    <w:rPr>
      <w:rFonts w:ascii="Calibri" w:hAnsi="Calibri" w:eastAsia="Calibri"/>
      <w:kern w:val="2"/>
      <w:sz w:val="21"/>
      <w:szCs w:val="22"/>
      <w:lang w:val="en-US" w:eastAsia="zh-CN" w:bidi="ar-SA"/>
    </w:rPr>
  </w:style>
  <w:style w:type="paragraph" w:customStyle="1" w:styleId="86">
    <w:name w:val="正文_3_1"/>
    <w:basedOn w:val="87"/>
    <w:next w:val="88"/>
    <w:qFormat/>
    <w:uiPriority w:val="0"/>
    <w:rPr>
      <w:szCs w:val="21"/>
    </w:rPr>
  </w:style>
  <w:style w:type="paragraph" w:customStyle="1" w:styleId="87">
    <w:name w:val="Normal_0_1"/>
    <w:qFormat/>
    <w:uiPriority w:val="0"/>
    <w:rPr>
      <w:rFonts w:ascii="黑体" w:hAnsi="黑体" w:eastAsia="黑体" w:cs="Times New Roman"/>
      <w:b/>
      <w:sz w:val="32"/>
      <w:szCs w:val="24"/>
      <w:lang w:val="en-US" w:eastAsia="zh-CN" w:bidi="ar-SA"/>
    </w:rPr>
  </w:style>
  <w:style w:type="paragraph" w:customStyle="1" w:styleId="88">
    <w:name w:val="正文缩进_0_0_0"/>
    <w:basedOn w:val="89"/>
    <w:unhideWhenUsed/>
    <w:qFormat/>
    <w:uiPriority w:val="0"/>
    <w:pPr>
      <w:ind w:firstLine="420" w:firstLineChars="200"/>
    </w:pPr>
  </w:style>
  <w:style w:type="paragraph" w:customStyle="1" w:styleId="89">
    <w:name w:val="正文_0_1_0"/>
    <w:basedOn w:val="90"/>
    <w:next w:val="91"/>
    <w:qFormat/>
    <w:uiPriority w:val="0"/>
    <w:rPr>
      <w:rFonts w:cs="宋体"/>
      <w:szCs w:val="21"/>
    </w:rPr>
  </w:style>
  <w:style w:type="paragraph" w:customStyle="1" w:styleId="90">
    <w:name w:val="正文_1_1"/>
    <w:next w:val="91"/>
    <w:qFormat/>
    <w:uiPriority w:val="99"/>
    <w:pPr>
      <w:widowControl w:val="0"/>
      <w:jc w:val="both"/>
    </w:pPr>
    <w:rPr>
      <w:rFonts w:ascii="Calibri" w:hAnsi="Calibri" w:eastAsia="宋体" w:cs="Times New Roman"/>
      <w:kern w:val="2"/>
      <w:sz w:val="21"/>
      <w:szCs w:val="24"/>
      <w:lang w:val="en-US" w:eastAsia="zh-CN" w:bidi="ar-SA"/>
    </w:rPr>
  </w:style>
  <w:style w:type="paragraph" w:customStyle="1" w:styleId="91">
    <w:name w:val="脚注文本_0"/>
    <w:basedOn w:val="79"/>
    <w:next w:val="92"/>
    <w:unhideWhenUsed/>
    <w:qFormat/>
    <w:uiPriority w:val="99"/>
    <w:pPr>
      <w:snapToGrid w:val="0"/>
      <w:jc w:val="left"/>
    </w:pPr>
    <w:rPr>
      <w:rFonts w:ascii="Calibri" w:hAnsi="Calibri" w:eastAsia="Calibri"/>
      <w:sz w:val="18"/>
    </w:rPr>
  </w:style>
  <w:style w:type="paragraph" w:customStyle="1" w:styleId="92">
    <w:name w:val="正文_2"/>
    <w:basedOn w:val="73"/>
    <w:next w:val="93"/>
    <w:qFormat/>
    <w:uiPriority w:val="0"/>
    <w:pPr>
      <w:widowControl w:val="0"/>
      <w:jc w:val="both"/>
    </w:pPr>
    <w:rPr>
      <w:rFonts w:ascii="Calibri" w:hAnsi="Calibri" w:eastAsia="宋体" w:cs="Times New Roman"/>
      <w:lang w:val="en-US" w:eastAsia="zh-CN" w:bidi="ar-SA"/>
    </w:rPr>
  </w:style>
  <w:style w:type="paragraph" w:customStyle="1" w:styleId="93">
    <w:name w:val="正文文本_0"/>
    <w:basedOn w:val="94"/>
    <w:qFormat/>
    <w:uiPriority w:val="0"/>
    <w:rPr>
      <w:rFonts w:ascii="Calibri" w:hAnsi="Calibri" w:eastAsia="黑体"/>
      <w:sz w:val="36"/>
      <w:szCs w:val="24"/>
    </w:rPr>
  </w:style>
  <w:style w:type="paragraph" w:customStyle="1" w:styleId="94">
    <w:name w:val="正文_2_0"/>
    <w:basedOn w:val="80"/>
    <w:next w:val="95"/>
    <w:qFormat/>
    <w:uiPriority w:val="0"/>
    <w:pPr>
      <w:widowControl w:val="0"/>
      <w:jc w:val="both"/>
    </w:pPr>
    <w:rPr>
      <w:kern w:val="2"/>
      <w:sz w:val="21"/>
      <w:szCs w:val="24"/>
      <w:lang w:val="en-US" w:eastAsia="zh-CN" w:bidi="ar-SA"/>
    </w:rPr>
  </w:style>
  <w:style w:type="paragraph" w:customStyle="1" w:styleId="95">
    <w:name w:val="正文1_0"/>
    <w:basedOn w:val="73"/>
    <w:qFormat/>
    <w:uiPriority w:val="0"/>
    <w:pPr>
      <w:widowControl/>
      <w:adjustRightInd w:val="0"/>
      <w:spacing w:before="120" w:after="120"/>
      <w:ind w:firstLine="200" w:firstLineChars="200"/>
      <w:jc w:val="left"/>
    </w:pPr>
    <w:rPr>
      <w:rFonts w:ascii="Times New Roman" w:hAnsi="Times New Roman" w:eastAsia="Adobe 仿宋 Std R" w:cs="Times New Roman"/>
    </w:rPr>
  </w:style>
  <w:style w:type="paragraph" w:customStyle="1" w:styleId="96">
    <w:name w:val="脚注文本1"/>
    <w:basedOn w:val="97"/>
    <w:next w:val="98"/>
    <w:unhideWhenUsed/>
    <w:qFormat/>
    <w:uiPriority w:val="0"/>
    <w:pPr>
      <w:snapToGrid w:val="0"/>
      <w:jc w:val="left"/>
    </w:pPr>
    <w:rPr>
      <w:rFonts w:eastAsia="宋体"/>
      <w:kern w:val="0"/>
      <w:sz w:val="18"/>
      <w:szCs w:val="18"/>
    </w:rPr>
  </w:style>
  <w:style w:type="paragraph" w:customStyle="1" w:styleId="97">
    <w:name w:val="正文_1_0"/>
    <w:next w:val="96"/>
    <w:qFormat/>
    <w:uiPriority w:val="0"/>
    <w:pPr>
      <w:widowControl w:val="0"/>
      <w:jc w:val="both"/>
    </w:pPr>
    <w:rPr>
      <w:rFonts w:ascii="Calibri" w:hAnsi="Calibri" w:eastAsia="宋体" w:cs="Times New Roman"/>
      <w:kern w:val="2"/>
      <w:sz w:val="21"/>
      <w:szCs w:val="24"/>
      <w:lang w:val="en-US" w:eastAsia="zh-CN" w:bidi="ar-SA"/>
    </w:rPr>
  </w:style>
  <w:style w:type="paragraph" w:customStyle="1" w:styleId="98">
    <w:name w:val="索引 51"/>
    <w:basedOn w:val="97"/>
    <w:next w:val="97"/>
    <w:unhideWhenUsed/>
    <w:qFormat/>
    <w:uiPriority w:val="99"/>
    <w:pPr>
      <w:ind w:left="1680"/>
    </w:pPr>
  </w:style>
  <w:style w:type="paragraph" w:customStyle="1" w:styleId="99">
    <w:name w:val="No Spacing_0"/>
    <w:basedOn w:val="100"/>
    <w:qFormat/>
    <w:uiPriority w:val="1"/>
  </w:style>
  <w:style w:type="paragraph" w:customStyle="1" w:styleId="100">
    <w:name w:val="正文_5"/>
    <w:basedOn w:val="101"/>
    <w:next w:val="10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1">
    <w:name w:val="正文_6"/>
    <w:next w:val="10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2">
    <w:name w:val="列表_1"/>
    <w:basedOn w:val="101"/>
    <w:semiHidden/>
    <w:qFormat/>
    <w:locked/>
    <w:uiPriority w:val="0"/>
    <w:pPr>
      <w:ind w:left="200" w:hanging="200" w:hangingChars="200"/>
    </w:pPr>
  </w:style>
  <w:style w:type="paragraph" w:customStyle="1" w:styleId="103">
    <w:name w:val="段_0"/>
    <w:next w:val="100"/>
    <w:qFormat/>
    <w:uiPriority w:val="0"/>
    <w:pPr>
      <w:autoSpaceDE w:val="0"/>
      <w:autoSpaceDN w:val="0"/>
      <w:adjustRightInd w:val="0"/>
      <w:snapToGrid w:val="0"/>
      <w:spacing w:line="360" w:lineRule="auto"/>
      <w:ind w:firstLine="200" w:firstLineChars="200"/>
      <w:jc w:val="both"/>
    </w:pPr>
    <w:rPr>
      <w:rFonts w:ascii="宋体" w:hAnsi="Calibri" w:eastAsia="Calibri" w:cs="Times New Roman"/>
      <w:sz w:val="24"/>
      <w:szCs w:val="22"/>
      <w:lang w:val="en-US" w:eastAsia="zh-CN" w:bidi="ar-SA"/>
    </w:rPr>
  </w:style>
  <w:style w:type="paragraph" w:customStyle="1" w:styleId="104">
    <w:name w:val="页脚_0_0"/>
    <w:basedOn w:val="79"/>
    <w:unhideWhenUsed/>
    <w:qFormat/>
    <w:uiPriority w:val="99"/>
    <w:pPr>
      <w:tabs>
        <w:tab w:val="center" w:pos="4153"/>
        <w:tab w:val="right" w:pos="8306"/>
      </w:tabs>
      <w:snapToGrid w:val="0"/>
      <w:jc w:val="left"/>
    </w:pPr>
    <w:rPr>
      <w:sz w:val="18"/>
      <w:szCs w:val="18"/>
    </w:rPr>
  </w:style>
  <w:style w:type="paragraph" w:customStyle="1" w:styleId="105">
    <w:name w:val="页脚_0"/>
    <w:basedOn w:val="70"/>
    <w:unhideWhenUsed/>
    <w:qFormat/>
    <w:uiPriority w:val="99"/>
    <w:pPr>
      <w:tabs>
        <w:tab w:val="center" w:pos="4153"/>
        <w:tab w:val="right" w:pos="8306"/>
      </w:tabs>
      <w:snapToGrid w:val="0"/>
      <w:jc w:val="left"/>
    </w:pPr>
    <w:rPr>
      <w:sz w:val="18"/>
      <w:szCs w:val="18"/>
    </w:rPr>
  </w:style>
  <w:style w:type="paragraph" w:customStyle="1" w:styleId="106">
    <w:name w:val="正文缩进1"/>
    <w:basedOn w:val="1"/>
    <w:next w:val="12"/>
    <w:qFormat/>
    <w:uiPriority w:val="0"/>
    <w:pPr>
      <w:autoSpaceDE w:val="0"/>
      <w:autoSpaceDN w:val="0"/>
      <w:adjustRightInd w:val="0"/>
      <w:snapToGrid w:val="0"/>
      <w:spacing w:after="120" w:line="360" w:lineRule="auto"/>
      <w:ind w:left="420" w:leftChars="200" w:firstLine="480" w:firstLineChars="200"/>
    </w:pPr>
    <w:rPr>
      <w:sz w:val="24"/>
      <w:szCs w:val="21"/>
    </w:rPr>
  </w:style>
  <w:style w:type="paragraph" w:customStyle="1" w:styleId="107">
    <w:name w:val="5）标书正文 首行缩进2字符"/>
    <w:basedOn w:val="1"/>
    <w:qFormat/>
    <w:uiPriority w:val="0"/>
    <w:pPr>
      <w:spacing w:line="480" w:lineRule="exact"/>
      <w:ind w:firstLine="200" w:firstLineChars="200"/>
    </w:pPr>
    <w:rPr>
      <w:rFonts w:ascii="仿宋_GB2312" w:eastAsia="仿宋_GB2312"/>
      <w:sz w:val="28"/>
    </w:rPr>
  </w:style>
  <w:style w:type="paragraph" w:customStyle="1" w:styleId="108">
    <w:name w:val="Table Text"/>
    <w:basedOn w:val="1"/>
    <w:semiHidden/>
    <w:qFormat/>
    <w:uiPriority w:val="0"/>
    <w:rPr>
      <w:rFonts w:ascii="宋体" w:hAnsi="宋体" w:eastAsia="宋体" w:cs="宋体"/>
      <w:sz w:val="36"/>
      <w:szCs w:val="36"/>
      <w:lang w:val="en-US" w:eastAsia="en-US" w:bidi="ar-SA"/>
    </w:rPr>
  </w:style>
  <w:style w:type="paragraph" w:customStyle="1" w:styleId="109">
    <w:name w:val="正文文本1"/>
    <w:basedOn w:val="1"/>
    <w:qFormat/>
    <w:uiPriority w:val="0"/>
    <w:pPr>
      <w:spacing w:after="480" w:line="444" w:lineRule="auto"/>
      <w:ind w:firstLine="400"/>
    </w:pPr>
    <w:rPr>
      <w:rFonts w:ascii="宋体" w:hAnsi="宋体"/>
      <w:sz w:val="22"/>
      <w:lang w:val="zh-CN" w:bidi="zh-CN"/>
    </w:rPr>
  </w:style>
  <w:style w:type="paragraph" w:customStyle="1" w:styleId="110">
    <w:name w:val="Normal_8"/>
    <w:qFormat/>
    <w:uiPriority w:val="0"/>
    <w:rPr>
      <w:rFonts w:ascii="Times New Roman" w:hAnsi="Times New Roman" w:eastAsia="Times New Roman" w:cs="Times New Roman"/>
      <w:sz w:val="24"/>
      <w:szCs w:val="24"/>
      <w:lang w:val="en-US" w:eastAsia="zh-CN" w:bidi="ar-SA"/>
    </w:rPr>
  </w:style>
  <w:style w:type="character" w:customStyle="1" w:styleId="111">
    <w:name w:val="标题 1 字符"/>
    <w:link w:val="2"/>
    <w:qFormat/>
    <w:locked/>
    <w:uiPriority w:val="0"/>
    <w:rPr>
      <w:b/>
      <w:kern w:val="44"/>
      <w:sz w:val="44"/>
    </w:rPr>
  </w:style>
  <w:style w:type="character" w:customStyle="1" w:styleId="112">
    <w:name w:val="标题 2 字符"/>
    <w:link w:val="3"/>
    <w:semiHidden/>
    <w:qFormat/>
    <w:locked/>
    <w:uiPriority w:val="0"/>
    <w:rPr>
      <w:rFonts w:ascii="Cambria" w:hAnsi="Cambria" w:eastAsia="宋体"/>
      <w:b/>
      <w:sz w:val="32"/>
    </w:rPr>
  </w:style>
  <w:style w:type="character" w:customStyle="1" w:styleId="113">
    <w:name w:val="标题 3 字符"/>
    <w:link w:val="4"/>
    <w:semiHidden/>
    <w:qFormat/>
    <w:locked/>
    <w:uiPriority w:val="0"/>
    <w:rPr>
      <w:b/>
      <w:sz w:val="32"/>
    </w:rPr>
  </w:style>
  <w:style w:type="character" w:customStyle="1" w:styleId="114">
    <w:name w:val="文档结构图 字符"/>
    <w:link w:val="8"/>
    <w:semiHidden/>
    <w:qFormat/>
    <w:locked/>
    <w:uiPriority w:val="0"/>
    <w:rPr>
      <w:sz w:val="2"/>
    </w:rPr>
  </w:style>
  <w:style w:type="character" w:customStyle="1" w:styleId="115">
    <w:name w:val="批注文字 字符"/>
    <w:link w:val="10"/>
    <w:semiHidden/>
    <w:qFormat/>
    <w:locked/>
    <w:uiPriority w:val="0"/>
    <w:rPr>
      <w:rFonts w:eastAsia="宋体" w:cs="Times New Roman"/>
      <w:kern w:val="2"/>
      <w:sz w:val="28"/>
      <w:lang w:val="en-US" w:eastAsia="zh-CN" w:bidi="ar-SA"/>
    </w:rPr>
  </w:style>
  <w:style w:type="character" w:customStyle="1" w:styleId="116">
    <w:name w:val="正文文本 字符"/>
    <w:link w:val="11"/>
    <w:semiHidden/>
    <w:qFormat/>
    <w:locked/>
    <w:uiPriority w:val="0"/>
    <w:rPr>
      <w:sz w:val="20"/>
    </w:rPr>
  </w:style>
  <w:style w:type="character" w:customStyle="1" w:styleId="117">
    <w:name w:val="正文文本缩进 字符"/>
    <w:link w:val="12"/>
    <w:semiHidden/>
    <w:qFormat/>
    <w:locked/>
    <w:uiPriority w:val="0"/>
    <w:rPr>
      <w:sz w:val="20"/>
    </w:rPr>
  </w:style>
  <w:style w:type="character" w:customStyle="1" w:styleId="118">
    <w:name w:val="纯文本 字符"/>
    <w:link w:val="15"/>
    <w:qFormat/>
    <w:locked/>
    <w:uiPriority w:val="0"/>
    <w:rPr>
      <w:rFonts w:ascii="宋体" w:hAnsi="Courier New" w:eastAsia="宋体"/>
      <w:kern w:val="2"/>
      <w:sz w:val="21"/>
      <w:lang w:val="en-US" w:eastAsia="zh-CN"/>
    </w:rPr>
  </w:style>
  <w:style w:type="character" w:customStyle="1" w:styleId="119">
    <w:name w:val="日期 字符"/>
    <w:link w:val="16"/>
    <w:semiHidden/>
    <w:qFormat/>
    <w:locked/>
    <w:uiPriority w:val="0"/>
    <w:rPr>
      <w:sz w:val="20"/>
    </w:rPr>
  </w:style>
  <w:style w:type="character" w:customStyle="1" w:styleId="120">
    <w:name w:val="正文文本缩进 2 字符"/>
    <w:link w:val="17"/>
    <w:semiHidden/>
    <w:qFormat/>
    <w:locked/>
    <w:uiPriority w:val="0"/>
    <w:rPr>
      <w:sz w:val="20"/>
    </w:rPr>
  </w:style>
  <w:style w:type="character" w:customStyle="1" w:styleId="121">
    <w:name w:val="页脚 字符"/>
    <w:link w:val="19"/>
    <w:qFormat/>
    <w:locked/>
    <w:uiPriority w:val="99"/>
    <w:rPr>
      <w:sz w:val="18"/>
    </w:rPr>
  </w:style>
  <w:style w:type="character" w:customStyle="1" w:styleId="122">
    <w:name w:val="页眉 字符"/>
    <w:link w:val="20"/>
    <w:semiHidden/>
    <w:qFormat/>
    <w:locked/>
    <w:uiPriority w:val="0"/>
    <w:rPr>
      <w:sz w:val="18"/>
    </w:rPr>
  </w:style>
  <w:style w:type="character" w:customStyle="1" w:styleId="123">
    <w:name w:val="bookmark-item uuid-1536114230642 code-00004"/>
    <w:qFormat/>
    <w:uiPriority w:val="0"/>
  </w:style>
  <w:style w:type="character" w:customStyle="1" w:styleId="124">
    <w:name w:val="bookmark-item uuid-1536114326115 code-23007"/>
    <w:qFormat/>
    <w:uiPriority w:val="0"/>
  </w:style>
  <w:style w:type="character" w:customStyle="1" w:styleId="125">
    <w:name w:val="fontstyle01"/>
    <w:qFormat/>
    <w:uiPriority w:val="0"/>
    <w:rPr>
      <w:rFonts w:hint="eastAsia" w:ascii="宋体" w:hAnsi="宋体" w:eastAsia="宋体" w:cs="宋体"/>
      <w:color w:val="000000"/>
      <w:sz w:val="44"/>
      <w:szCs w:val="44"/>
    </w:rPr>
  </w:style>
  <w:style w:type="character" w:customStyle="1" w:styleId="126">
    <w:name w:val="Char Char"/>
    <w:qFormat/>
    <w:uiPriority w:val="0"/>
    <w:rPr>
      <w:rFonts w:ascii="宋体" w:hAnsi="Courier New" w:eastAsia="宋体" w:cs="Times New Roman"/>
      <w:kern w:val="2"/>
      <w:sz w:val="21"/>
      <w:lang w:val="en-US" w:eastAsia="zh-CN" w:bidi="ar-SA"/>
    </w:rPr>
  </w:style>
  <w:style w:type="character" w:customStyle="1" w:styleId="127">
    <w:name w:val="sub"/>
    <w:qFormat/>
    <w:uiPriority w:val="0"/>
  </w:style>
  <w:style w:type="character" w:customStyle="1" w:styleId="128">
    <w:name w:val="wj"/>
    <w:qFormat/>
    <w:uiPriority w:val="0"/>
  </w:style>
  <w:style w:type="character" w:customStyle="1" w:styleId="129">
    <w:name w:val="tpc_content1"/>
    <w:qFormat/>
    <w:uiPriority w:val="0"/>
    <w:rPr>
      <w:sz w:val="20"/>
    </w:rPr>
  </w:style>
  <w:style w:type="character" w:customStyle="1" w:styleId="130">
    <w:name w:val="bookmark-item uuid-1536114715836 code-00014"/>
    <w:qFormat/>
    <w:uiPriority w:val="0"/>
  </w:style>
  <w:style w:type="character" w:customStyle="1" w:styleId="131">
    <w:name w:val="Char Char4"/>
    <w:qFormat/>
    <w:uiPriority w:val="0"/>
    <w:rPr>
      <w:rFonts w:eastAsia="宋体" w:cs="Times New Roman"/>
      <w:kern w:val="2"/>
      <w:sz w:val="18"/>
      <w:szCs w:val="18"/>
      <w:lang w:val="en-US" w:eastAsia="zh-CN" w:bidi="ar-SA"/>
    </w:rPr>
  </w:style>
  <w:style w:type="character" w:customStyle="1" w:styleId="132">
    <w:name w:val="apple-converted-space"/>
    <w:qFormat/>
    <w:uiPriority w:val="0"/>
    <w:rPr>
      <w:rFonts w:cs="Times New Roman"/>
    </w:rPr>
  </w:style>
  <w:style w:type="character" w:customStyle="1" w:styleId="133">
    <w:name w:val="bookmark-item uuid-1536114237662 code-00006"/>
    <w:qFormat/>
    <w:uiPriority w:val="0"/>
  </w:style>
  <w:style w:type="character" w:customStyle="1" w:styleId="134">
    <w:name w:val="bookmark-item uuid-1536114308002 code-23005"/>
    <w:qFormat/>
    <w:uiPriority w:val="0"/>
  </w:style>
  <w:style w:type="character" w:customStyle="1" w:styleId="135">
    <w:name w:val="bookmark-item uuid-1536325460878 code-23001"/>
    <w:qFormat/>
    <w:uiPriority w:val="0"/>
  </w:style>
  <w:style w:type="character" w:customStyle="1" w:styleId="136">
    <w:name w:val="bookmark-item uuid-1536114797846 code-23002"/>
    <w:qFormat/>
    <w:uiPriority w:val="0"/>
  </w:style>
  <w:style w:type="character" w:customStyle="1" w:styleId="137">
    <w:name w:val="bookmark-item uuid-1536114315631 code-23006"/>
    <w:qFormat/>
    <w:uiPriority w:val="0"/>
  </w:style>
  <w:style w:type="character" w:customStyle="1" w:styleId="138">
    <w:name w:val="bookmark-item uuid-1541657111286 code-23008"/>
    <w:qFormat/>
    <w:uiPriority w:val="0"/>
  </w:style>
  <w:style w:type="character" w:customStyle="1" w:styleId="139">
    <w:name w:val="bookmark-item uuid-1536114351935 code-23009"/>
    <w:qFormat/>
    <w:uiPriority w:val="0"/>
  </w:style>
  <w:style w:type="character" w:customStyle="1" w:styleId="140">
    <w:name w:val="bookmark-item uuid-1536114708792 code-00013"/>
    <w:qFormat/>
    <w:uiPriority w:val="0"/>
  </w:style>
  <w:style w:type="character" w:customStyle="1" w:styleId="141">
    <w:name w:val="bookmark-item uuid-1536114367028 code-23012"/>
    <w:qFormat/>
    <w:uiPriority w:val="0"/>
  </w:style>
  <w:style w:type="character" w:customStyle="1" w:styleId="142">
    <w:name w:val="bookmark-item uuid-1536114381259 code-23015"/>
    <w:qFormat/>
    <w:uiPriority w:val="0"/>
  </w:style>
  <w:style w:type="character" w:customStyle="1" w:styleId="143">
    <w:name w:val="bookmark-item uuid-1536114672385 code-23021"/>
    <w:qFormat/>
    <w:uiPriority w:val="0"/>
  </w:style>
  <w:style w:type="character" w:customStyle="1" w:styleId="144">
    <w:name w:val="bookmark-item uuid-1536114681261 code-00009"/>
    <w:qFormat/>
    <w:uiPriority w:val="0"/>
  </w:style>
  <w:style w:type="character" w:customStyle="1" w:styleId="145">
    <w:name w:val="bookmark-item uuid-1536114688571 code-00010"/>
    <w:qFormat/>
    <w:uiPriority w:val="0"/>
  </w:style>
  <w:style w:type="character" w:customStyle="1" w:styleId="146">
    <w:name w:val="bookmark-item uuid-1536114695490 code-00011"/>
    <w:qFormat/>
    <w:uiPriority w:val="0"/>
  </w:style>
  <w:style w:type="character" w:customStyle="1" w:styleId="147">
    <w:name w:val="bookmark-item uuid-1536114722887 code-00015"/>
    <w:qFormat/>
    <w:uiPriority w:val="0"/>
  </w:style>
  <w:style w:type="character" w:customStyle="1" w:styleId="148">
    <w:name w:val="bookmark-item uuid-1536114730799 code-00016"/>
    <w:qFormat/>
    <w:uiPriority w:val="0"/>
  </w:style>
  <w:style w:type="character" w:customStyle="1" w:styleId="149">
    <w:name w:val="bookmark-item uuid-1536114744629 code-00018"/>
    <w:qFormat/>
    <w:uiPriority w:val="0"/>
  </w:style>
  <w:style w:type="character" w:customStyle="1" w:styleId="150">
    <w:name w:val="bookmark-item uuid-1536114752958 code-00019"/>
    <w:qFormat/>
    <w:uiPriority w:val="0"/>
  </w:style>
  <w:style w:type="character" w:customStyle="1" w:styleId="151">
    <w:name w:val="bookmark-item uuid-1536114761735 code-00020"/>
    <w:qFormat/>
    <w:uiPriority w:val="0"/>
  </w:style>
  <w:style w:type="character" w:customStyle="1" w:styleId="152">
    <w:name w:val="bookmark-item uuid-1536114769643 code-00021"/>
    <w:qFormat/>
    <w:uiPriority w:val="0"/>
  </w:style>
  <w:style w:type="character" w:customStyle="1" w:styleId="153">
    <w:name w:val="列出段落 Char Char"/>
    <w:link w:val="61"/>
    <w:qFormat/>
    <w:uiPriority w:val="34"/>
    <w:rPr>
      <w:rFonts w:ascii="Calibri" w:hAnsi="Calibri"/>
      <w:kern w:val="2"/>
      <w:sz w:val="21"/>
      <w:szCs w:val="22"/>
    </w:rPr>
  </w:style>
  <w:style w:type="character" w:customStyle="1" w:styleId="154">
    <w:name w:val="bookmark-item"/>
    <w:qFormat/>
    <w:uiPriority w:val="0"/>
  </w:style>
  <w:style w:type="character" w:customStyle="1" w:styleId="155">
    <w:name w:val="纯文本 Char1"/>
    <w:qFormat/>
    <w:locked/>
    <w:uiPriority w:val="99"/>
    <w:rPr>
      <w:rFonts w:ascii="宋体" w:hAnsi="Courier New" w:eastAsia="宋体"/>
      <w:kern w:val="2"/>
      <w:sz w:val="21"/>
      <w:lang w:val="en-US" w:eastAsia="zh-CN"/>
    </w:rPr>
  </w:style>
  <w:style w:type="character" w:customStyle="1" w:styleId="156">
    <w:name w:val="NormalCharacter"/>
    <w:qFormat/>
    <w:uiPriority w:val="0"/>
  </w:style>
  <w:style w:type="character" w:customStyle="1" w:styleId="157">
    <w:name w:val="7）页眉页脚"/>
    <w:qFormat/>
    <w:uiPriority w:val="0"/>
    <w:rPr>
      <w:rFonts w:ascii="仿宋_GB2312" w:eastAsia="仿宋_GB2312"/>
      <w:b/>
      <w:i/>
      <w:sz w:val="18"/>
      <w:vertAlign w:val="baseline"/>
    </w:rPr>
  </w:style>
  <w:style w:type="character" w:customStyle="1" w:styleId="158">
    <w:name w:val="font41"/>
    <w:qFormat/>
    <w:uiPriority w:val="0"/>
    <w:rPr>
      <w:rFonts w:hint="eastAsia" w:ascii="宋体" w:hAnsi="宋体" w:eastAsia="宋体" w:cs="宋体"/>
      <w:color w:val="000000"/>
      <w:sz w:val="24"/>
      <w:szCs w:val="24"/>
      <w:u w:val="none"/>
    </w:rPr>
  </w:style>
  <w:style w:type="character" w:customStyle="1" w:styleId="159">
    <w:name w:val="font11"/>
    <w:qFormat/>
    <w:uiPriority w:val="0"/>
    <w:rPr>
      <w:rFonts w:hint="eastAsia" w:ascii="宋体" w:hAnsi="宋体" w:eastAsia="宋体" w:cs="宋体"/>
      <w:b/>
      <w:bCs/>
      <w:color w:val="000000"/>
      <w:sz w:val="24"/>
      <w:szCs w:val="24"/>
      <w:u w:val="none"/>
    </w:rPr>
  </w:style>
  <w:style w:type="character" w:customStyle="1" w:styleId="160">
    <w:name w:val="font31"/>
    <w:qFormat/>
    <w:uiPriority w:val="0"/>
    <w:rPr>
      <w:rFonts w:hint="eastAsia" w:ascii="宋体" w:hAnsi="宋体" w:eastAsia="宋体" w:cs="宋体"/>
      <w:color w:val="000000"/>
      <w:sz w:val="24"/>
      <w:szCs w:val="24"/>
      <w:u w:val="none"/>
    </w:rPr>
  </w:style>
  <w:style w:type="character" w:customStyle="1" w:styleId="161">
    <w:name w:val="font51"/>
    <w:basedOn w:val="29"/>
    <w:qFormat/>
    <w:uiPriority w:val="0"/>
    <w:rPr>
      <w:rFonts w:hint="eastAsia" w:ascii="宋体" w:hAnsi="宋体" w:eastAsia="宋体" w:cs="宋体"/>
      <w:b/>
      <w:bCs/>
      <w:color w:val="000000"/>
      <w:sz w:val="24"/>
      <w:szCs w:val="24"/>
      <w:u w:val="none"/>
    </w:rPr>
  </w:style>
  <w:style w:type="character" w:customStyle="1" w:styleId="162">
    <w:name w:val="font21"/>
    <w:qFormat/>
    <w:uiPriority w:val="0"/>
    <w:rPr>
      <w:rFonts w:hint="eastAsia" w:ascii="宋体" w:hAnsi="宋体" w:eastAsia="宋体" w:cs="宋体"/>
      <w:b/>
      <w:bCs/>
      <w:color w:val="000000"/>
      <w:sz w:val="22"/>
      <w:szCs w:val="22"/>
      <w:u w:val="none"/>
    </w:rPr>
  </w:style>
  <w:style w:type="character" w:customStyle="1" w:styleId="163">
    <w:name w:val="font01"/>
    <w:qFormat/>
    <w:uiPriority w:val="0"/>
    <w:rPr>
      <w:rFonts w:hint="eastAsia" w:ascii="宋体" w:hAnsi="宋体" w:eastAsia="宋体" w:cs="宋体"/>
      <w:color w:val="000000"/>
      <w:sz w:val="22"/>
      <w:szCs w:val="22"/>
      <w:u w:val="none"/>
    </w:rPr>
  </w:style>
  <w:style w:type="table" w:customStyle="1" w:styleId="164">
    <w:name w:val="Table Normal"/>
    <w:unhideWhenUsed/>
    <w:qFormat/>
    <w:uiPriority w:val="0"/>
    <w:rPr>
      <w:rFonts w:ascii="Arial" w:hAnsi="Arial" w:eastAsia="等线" w:cs="Arial"/>
      <w:snapToGrid w:val="0"/>
      <w:color w:val="000000"/>
      <w:sz w:val="21"/>
      <w:szCs w:val="21"/>
      <w:lang w:val="en-US" w:eastAsia="zh-CN" w:bidi="ar-SA"/>
    </w:rPr>
    <w:tblPr>
      <w:tblCellMar>
        <w:top w:w="0" w:type="dxa"/>
        <w:left w:w="0" w:type="dxa"/>
        <w:bottom w:w="0" w:type="dxa"/>
        <w:right w:w="0" w:type="dxa"/>
      </w:tblCellMar>
    </w:tblPr>
  </w:style>
  <w:style w:type="paragraph" w:customStyle="1" w:styleId="165">
    <w:name w:val="标书正文"/>
    <w:basedOn w:val="1"/>
    <w:qFormat/>
    <w:uiPriority w:val="0"/>
    <w:pPr>
      <w:spacing w:line="560" w:lineRule="exact"/>
      <w:ind w:firstLine="723" w:firstLineChars="200"/>
      <w:jc w:val="center"/>
    </w:pPr>
    <w:rPr>
      <w:rFonts w:ascii="仿宋_GB2312" w:eastAsia="仿宋_GB2312"/>
      <w:b/>
      <w:sz w:val="36"/>
    </w:rPr>
  </w:style>
  <w:style w:type="character" w:customStyle="1" w:styleId="166">
    <w:name w:val="15"/>
    <w:basedOn w:val="29"/>
    <w:qFormat/>
    <w:uiPriority w:val="0"/>
    <w:rPr>
      <w:rFonts w:hint="default" w:ascii="Times New Roman" w:hAnsi="Times New Roman" w:cs="Times New Roman"/>
    </w:rPr>
  </w:style>
  <w:style w:type="paragraph" w:customStyle="1" w:styleId="167">
    <w:name w:val="Normal"/>
    <w:qFormat/>
    <w:uiPriority w:val="0"/>
    <w:pPr>
      <w:widowControl w:val="0"/>
      <w:jc w:val="both"/>
    </w:pPr>
    <w:rPr>
      <w:rFonts w:ascii="Times New Roman" w:hAnsi="Times New Roman" w:eastAsia="Times New Roman" w:cs="Times New Roman"/>
      <w:lang w:val="en-US" w:eastAsia="zh-CN" w:bidi="ar-SA"/>
    </w:rPr>
  </w:style>
  <w:style w:type="paragraph" w:customStyle="1" w:styleId="168">
    <w:name w:val="正文缩进2"/>
    <w:basedOn w:val="1"/>
    <w:qFormat/>
    <w:uiPriority w:val="0"/>
    <w:pPr>
      <w:wordWrap w:val="0"/>
      <w:ind w:firstLine="480"/>
    </w:pPr>
    <w:rPr>
      <w:iCs/>
      <w:shd w:val="clear" w:color="auto" w:fill="FFFFFF"/>
      <w:lang w:val="zh-CN"/>
    </w:rPr>
  </w:style>
  <w:style w:type="paragraph" w:customStyle="1" w:styleId="169">
    <w:name w:val="表格文字2"/>
    <w:basedOn w:val="75"/>
    <w:qFormat/>
    <w:uiPriority w:val="99"/>
    <w:pPr>
      <w:spacing w:before="25" w:after="25"/>
      <w:jc w:val="left"/>
    </w:pPr>
    <w:rPr>
      <w:bCs/>
      <w:spacing w:val="10"/>
      <w:kern w:val="0"/>
    </w:rPr>
  </w:style>
  <w:style w:type="paragraph" w:styleId="170">
    <w:name w:val="No Spacing"/>
    <w:qFormat/>
    <w:uiPriority w:val="1"/>
    <w:pPr>
      <w:widowControl w:val="0"/>
    </w:pPr>
    <w:rPr>
      <w:rFonts w:ascii="宋体" w:hAnsi="宋体" w:eastAsia="宋体" w:cstheme="minorBidi"/>
      <w:kern w:val="2"/>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pn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1b8ac6d9-d173-4022-96be-747b5a0f25f8</errorID>
      <errorWord xmlns="http://schemas.wps.cn/vas-ai-hub/contract-review">日至2026年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日起至2026年</item>
      </candidateList>
      <explain xmlns="http://schemas.wps.cn/vas-ai-hub/contract-review"/>
      <paraID xmlns="http://schemas.wps.cn/vas-ai-hub/contract-review">583F1005</paraID>
      <start xmlns="http://schemas.wps.cn/vas-ai-hub/contract-review">13</start>
      <end xmlns="http://schemas.wps.cn/vas-ai-hub/contract-review">21</end>
      <status xmlns="http://schemas.wps.cn/vas-ai-hub/contract-review">modified</status>
      <modifiedWord xmlns="http://schemas.wps.cn/vas-ai-hub/contract-review">日起至2026年</modifiedWord>
      <trackRevisions xmlns="http://schemas.wps.cn/vas-ai-hub/contract-review">false</trackRevisions>
    </reviewItem>
    <reviewItem xmlns="http://schemas.wps.cn/vas-ai-hub/contract-review">
      <errorID xmlns="http://schemas.wps.cn/vas-ai-hub/contract-review">a7f60286-9cea-474a-a934-ac13483a12b2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583F1005</paraID>
      <start xmlns="http://schemas.wps.cn/vas-ai-hub/contract-review">27</start>
      <end xmlns="http://schemas.wps.cn/vas-ai-hub/contract-review">28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a0095dd0-b0a5-4e1c-8569-ea93e8152614</errorID>
      <errorWord xmlns="http://schemas.wps.cn/vas-ai-hub/contract-review">登陆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登录</item>
      </candidateList>
      <explain xmlns="http://schemas.wps.cn/vas-ai-hub/contract-review">存在发音相同字词的误用。</explain>
      <paraID xmlns="http://schemas.wps.cn/vas-ai-hub/contract-review">6E2206F9</paraID>
      <start xmlns="http://schemas.wps.cn/vas-ai-hub/contract-review">111</start>
      <end xmlns="http://schemas.wps.cn/vas-ai-hub/contract-review">113</end>
      <status xmlns="http://schemas.wps.cn/vas-ai-hub/contract-review">modified</status>
      <modifiedWord xmlns="http://schemas.wps.cn/vas-ai-hub/contract-review">登录</modifiedWord>
      <trackRevisions xmlns="http://schemas.wps.cn/vas-ai-hub/contract-review">false</trackRevisions>
    </reviewItem>
    <reviewItem xmlns="http://schemas.wps.cn/vas-ai-hub/contract-review">
      <errorID xmlns="http://schemas.wps.cn/vas-ai-hub/contract-review">2d470940-8ee0-4081-982d-f965ae1f1774</errorID>
      <errorWord xmlns="http://schemas.wps.cn/vas-ai-hub/contract-review">配备</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搭载</item>
      </candidateList>
      <explain xmlns="http://schemas.wps.cn/vas-ai-hub/contract-review">“配备～项目”搭配不当，建议修改为“搭载～项目”。</explain>
      <paraID xmlns="http://schemas.wps.cn/vas-ai-hub/contract-review">56EB3961</paraID>
      <start xmlns="http://schemas.wps.cn/vas-ai-hub/contract-review">4</start>
      <end xmlns="http://schemas.wps.cn/vas-ai-hub/contract-review">6</end>
      <status xmlns="http://schemas.wps.cn/vas-ai-hub/contract-review">modified</status>
      <modifiedWord xmlns="http://schemas.wps.cn/vas-ai-hub/contract-review">搭载</modifiedWord>
      <trackRevisions xmlns="http://schemas.wps.cn/vas-ai-hub/contract-review">false</trackRevisions>
    </reviewItem>
    <reviewItem xmlns="http://schemas.wps.cn/vas-ai-hub/contract-review">
      <errorID xmlns="http://schemas.wps.cn/vas-ai-hub/contract-review">02f436f0-4834-4c3b-9b18-ae7ef8185d6e</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4DC2AC94</paraID>
      <start xmlns="http://schemas.wps.cn/vas-ai-hub/contract-review">168</start>
      <end xmlns="http://schemas.wps.cn/vas-ai-hub/contract-review">170</end>
      <status xmlns="http://schemas.wps.cn/vas-ai-hub/contract-review">modified</status>
      <modifiedWord xmlns="http://schemas.wps.cn/vas-ai-hub/contract-review">；在</modifiedWord>
      <trackRevisions xmlns="http://schemas.wps.cn/vas-ai-hub/contract-review">false</trackRevisions>
    </reviewItem>
    <reviewItem xmlns="http://schemas.wps.cn/vas-ai-hub/contract-review">
      <errorID xmlns="http://schemas.wps.cn/vas-ai-hub/contract-review">38a3c7f7-572c-4f2b-89c8-cfe18dff09ea</errorID>
      <errorWord xmlns="http://schemas.wps.cn/vas-ai-hub/contract-review">截止</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截至</item>
      </candidateList>
      <explain xmlns="http://schemas.wps.cn/vas-ai-hub/contract-review">截至【词汇用法】及物动词，后要接宾语，后面常接表时间一类的词语或者句子，强调在某个时间点以及时间点以前的事物状态。（例1：截至6月底，我司已盈利5000万元。例2：截至2022年6月，我国人口已经达到14亿。）</explain>
      <paraID xmlns="http://schemas.wps.cn/vas-ai-hub/contract-review">4DC2AC94</paraID>
      <start xmlns="http://schemas.wps.cn/vas-ai-hub/contract-review">226</start>
      <end xmlns="http://schemas.wps.cn/vas-ai-hub/contract-review">228</end>
      <status xmlns="http://schemas.wps.cn/vas-ai-hub/contract-review">modified</status>
      <modifiedWord xmlns="http://schemas.wps.cn/vas-ai-hub/contract-review">截至</modifiedWord>
      <trackRevisions xmlns="http://schemas.wps.cn/vas-ai-hub/contract-review">false</trackRevisions>
    </reviewItem>
    <reviewItem xmlns="http://schemas.wps.cn/vas-ai-hub/contract-review">
      <errorID xmlns="http://schemas.wps.cn/vas-ai-hub/contract-review">04ce028c-2888-4bde-a922-5db9edbdc1a0</errorID>
      <errorWord xmlns="http://schemas.wps.cn/vas-ai-hub/contract-review">日至2026年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日起至2026年</item>
      </candidateList>
      <explain xmlns="http://schemas.wps.cn/vas-ai-hub/contract-review"/>
      <paraID xmlns="http://schemas.wps.cn/vas-ai-hub/contract-review">1AC08142</paraID>
      <start xmlns="http://schemas.wps.cn/vas-ai-hub/contract-review">13</start>
      <end xmlns="http://schemas.wps.cn/vas-ai-hub/contract-review">20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964d3091-6a32-42b8-a002-9c6ff7d8bcb0</errorID>
      <errorWord xmlns="http://schemas.wps.cn/vas-ai-hub/contract-review">截止</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截至</item>
      </candidateList>
      <explain xmlns="http://schemas.wps.cn/vas-ai-hub/contract-review">存在发音相同字词的误用。</explain>
      <paraID xmlns="http://schemas.wps.cn/vas-ai-hub/contract-review">7CA7D04B</paraID>
      <start xmlns="http://schemas.wps.cn/vas-ai-hub/contract-review">136</start>
      <end xmlns="http://schemas.wps.cn/vas-ai-hub/contract-review">138</end>
      <status xmlns="http://schemas.wps.cn/vas-ai-hub/contract-review">modified</status>
      <modifiedWord xmlns="http://schemas.wps.cn/vas-ai-hub/contract-review">截至</modifiedWord>
      <trackRevisions xmlns="http://schemas.wps.cn/vas-ai-hub/contract-review">false</trackRevisions>
    </reviewItem>
    <reviewItem xmlns="http://schemas.wps.cn/vas-ai-hub/contract-review">
      <errorID xmlns="http://schemas.wps.cn/vas-ai-hub/contract-review">224685f0-ac8a-4688-8a3a-4dde989f4f15</errorID>
      <errorWord xmlns="http://schemas.wps.cn/vas-ai-hub/contract-review">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于对</item>
      </candidateList>
      <explain xmlns="http://schemas.wps.cn/vas-ai-hub/contract-review"/>
      <paraID xmlns="http://schemas.wps.cn/vas-ai-hub/contract-review"> 56B6539</paraID>
      <start xmlns="http://schemas.wps.cn/vas-ai-hub/contract-review">17</start>
      <end xmlns="http://schemas.wps.cn/vas-ai-hub/contract-review">19</end>
      <status xmlns="http://schemas.wps.cn/vas-ai-hub/contract-review">modified</status>
      <modifiedWord xmlns="http://schemas.wps.cn/vas-ai-hub/contract-review">于对</modifiedWord>
      <trackRevisions xmlns="http://schemas.wps.cn/vas-ai-hub/contract-review">false</trackRevisions>
    </reviewItem>
    <reviewItem xmlns="http://schemas.wps.cn/vas-ai-hub/contract-review">
      <errorID xmlns="http://schemas.wps.cn/vas-ai-hub/contract-review">ec7df2c0-f5e7-4b60-a0f6-f7d4f4b7b550</errorID>
      <errorWord xmlns="http://schemas.wps.cn/vas-ai-hub/contract-review">投标的权力</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投标的权利</item>
      </candidateList>
      <explain xmlns="http://schemas.wps.cn/vas-ai-hub/contract-review"/>
      <paraID xmlns="http://schemas.wps.cn/vas-ai-hub/contract-review">1E3CF3BF</paraID>
      <start xmlns="http://schemas.wps.cn/vas-ai-hub/contract-review">34</start>
      <end xmlns="http://schemas.wps.cn/vas-ai-hub/contract-review">39</end>
      <status xmlns="http://schemas.wps.cn/vas-ai-hub/contract-review">modified</status>
      <modifiedWord xmlns="http://schemas.wps.cn/vas-ai-hub/contract-review">投标的权利</modifiedWord>
      <trackRevisions xmlns="http://schemas.wps.cn/vas-ai-hub/contract-review">false</trackRevisions>
    </reviewItem>
    <reviewItem xmlns="http://schemas.wps.cn/vas-ai-hub/contract-review">
      <errorID xmlns="http://schemas.wps.cn/vas-ai-hub/contract-review">01d1af47-2a72-490c-9690-11a67e43079d</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 7DAEAEF</paraID>
      <start xmlns="http://schemas.wps.cn/vas-ai-hub/contract-review">97</start>
      <end xmlns="http://schemas.wps.cn/vas-ai-hub/contract-review">98</end>
      <status xmlns="http://schemas.wps.cn/vas-ai-hub/contract-review">modified</status>
      <modifiedWord xmlns="http://schemas.wps.cn/vas-ai-hub/contract-review">做</modifiedWord>
      <trackRevisions xmlns="http://schemas.wps.cn/vas-ai-hub/contract-review">false</trackRevisions>
    </reviewItem>
    <reviewItem xmlns="http://schemas.wps.cn/vas-ai-hub/contract-review">
      <errorID xmlns="http://schemas.wps.cn/vas-ai-hub/contract-review">08152512-efb7-436c-b357-3d163ae1bd03</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 FC13F9C</paraID>
      <start xmlns="http://schemas.wps.cn/vas-ai-hub/contract-review">84</start>
      <end xmlns="http://schemas.wps.cn/vas-ai-hub/contract-review">85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0719efe2-76c1-4bb2-b961-ea73972a81eb</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4D14C1A8</paraID>
      <start xmlns="http://schemas.wps.cn/vas-ai-hub/contract-review">97</start>
      <end xmlns="http://schemas.wps.cn/vas-ai-hub/contract-review">98</end>
      <status xmlns="http://schemas.wps.cn/vas-ai-hub/contract-review">modified</status>
      <modifiedWord xmlns="http://schemas.wps.cn/vas-ai-hub/contract-review">做</modifiedWord>
      <trackRevisions xmlns="http://schemas.wps.cn/vas-ai-hub/contract-review">false</trackRevisions>
    </reviewItem>
    <reviewItem xmlns="http://schemas.wps.cn/vas-ai-hub/contract-review">
      <errorID xmlns="http://schemas.wps.cn/vas-ai-hub/contract-review">21b49499-de72-44cd-84ac-becf697b5102</errorID>
      <errorWord xmlns="http://schemas.wps.cn/vas-ai-hub/contract-review">正在进行中</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正在进行</item>
      </candidateList>
      <explain xmlns="http://schemas.wps.cn/vas-ai-hub/contract-review">该表达中的“正在进行中”存在语义重复。【词汇解析】进行中：向前行走； 正在：表动作的进行。与“进行中”语义重复。</explain>
      <paraID xmlns="http://schemas.wps.cn/vas-ai-hub/contract-review">7A7BAE7C</paraID>
      <start xmlns="http://schemas.wps.cn/vas-ai-hub/contract-review">27</start>
      <end xmlns="http://schemas.wps.cn/vas-ai-hub/contract-review">31</end>
      <status xmlns="http://schemas.wps.cn/vas-ai-hub/contract-review">modified</status>
      <modifiedWord xmlns="http://schemas.wps.cn/vas-ai-hub/contract-review">正在进行</modifiedWord>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734369-e0d5-4659-8fe5-d3d2c2c55f3f}">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89</Pages>
  <Words>21112</Words>
  <Characters>22905</Characters>
  <Lines>1</Lines>
  <Paragraphs>1</Paragraphs>
  <TotalTime>6</TotalTime>
  <ScaleCrop>false</ScaleCrop>
  <LinksUpToDate>false</LinksUpToDate>
  <CharactersWithSpaces>23167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2024-04-26T02:53:00Z</dcterms:created>
  <dc:creator>LTSC</dc:creator>
  <cp:lastModifiedBy>LTSC</cp:lastModifiedBy>
  <cp:lastPrinted>2026-06-11T09:23:00Z</cp:lastPrinted>
  <dcterms:modified xsi:type="dcterms:W3CDTF">2026-07-13T03:41:07Z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F88765D133C44287BC0650AA62B952ED_13</vt:lpwstr>
  </property>
  <property fmtid="{D5CDD505-2E9C-101B-9397-08002B2CF9AE}" pid="4" name="KSOTemplateDocerSaveRecord">
    <vt:lpwstr>eyJoZGlkIjoiNjFhMzZiMTJlZDJhNzVjZjA3OWMwZjI1ZDkyMWIxOWIiLCJ1c2VySWQiOiI1NTU0OTg4In0=</vt:lpwstr>
  </property>
</Properties>
</file>